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Europäisches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{AFCO}</w:t>
      </w:r>
      <w:r>
        <w:t>Ausschuss für konstitutionelle Fragen</w:t>
      </w:r>
      <w:r>
        <w:rPr>
          <w:rStyle w:val="HideTWBExt"/>
        </w:rPr>
        <w:t>&lt;/Commission&gt;</w:t>
      </w:r>
    </w:p>
    <w:p>
      <w:pPr>
        <w:pStyle w:val="LineBottom"/>
      </w:pPr>
      <w:r>
        <w:t xml:space="preserve"> </w:t>
      </w:r>
    </w:p>
    <w:p>
      <w:pPr>
        <w:pStyle w:val="CoverReference"/>
      </w:pPr>
      <w:r>
        <w:rPr>
          <w:rStyle w:val="HideTWBExt"/>
        </w:rPr>
        <w:t>&lt;RefProc&gt;</w:t>
      </w:r>
      <w:r>
        <w:t>2025/2243</w:t>
      </w:r>
      <w:r>
        <w:rPr>
          <w:rStyle w:val="HideTWBExt"/>
        </w:rPr>
        <w:t>&lt;/RefProc&gt;</w:t>
      </w:r>
      <w:r>
        <w:rPr>
          <w:rStyle w:val="HideTWBExt"/>
        </w:rPr>
        <w:t>&lt;RefTypeProc&gt;</w:t>
      </w:r>
      <w:r>
        <w:t>(ACI)</w:t>
      </w:r>
      <w:r>
        <w:rPr>
          <w:rStyle w:val="HideTWBExt"/>
        </w:rPr>
        <w:t>&lt;/RefTypeProc&gt;</w:t>
      </w:r>
    </w:p>
    <w:p>
      <w:pPr>
        <w:pStyle w:val="CoverDate"/>
      </w:pPr>
      <w:r>
        <w:rPr>
          <w:rStyle w:val="HideTWBExt"/>
        </w:rPr>
        <w:t>&lt;Date&gt;</w:t>
      </w:r>
      <w:r>
        <w:rPr>
          <w:rStyle w:val="HideTWBInt"/>
        </w:rPr>
        <w:t>{06/02/2026}</w:t>
      </w:r>
      <w:r>
        <w:t>6.2.2026</w:t>
      </w:r>
      <w:r>
        <w:rPr>
          <w:rStyle w:val="HideTWBExt"/>
        </w:rPr>
        <w:t>&lt;/Date&gt;</w:t>
      </w:r>
    </w:p>
    <w:p>
      <w:pPr>
        <w:pStyle w:val="CoverDocType"/>
      </w:pPr>
      <w:r>
        <w:rPr>
          <w:rStyle w:val="HideTWBExt"/>
        </w:rPr>
        <w:t>&lt;TypeAM&gt;</w:t>
      </w:r>
      <w:r>
        <w:t>ÄNDERUNGSANTRÄGE</w:t>
      </w:r>
      <w:r>
        <w:rPr>
          <w:rStyle w:val="HideTWBExt"/>
        </w:rPr>
        <w:t>&lt;/TypeAM&gt;</w:t>
      </w:r>
    </w:p>
    <w:p>
      <w:pPr>
        <w:pStyle w:val="CoverDocType24a"/>
      </w:pPr>
      <w:r>
        <w:rPr>
          <w:rStyle w:val="HideTWBExt"/>
        </w:rPr>
        <w:t>&lt;RangeAM&gt;</w:t>
      </w:r>
      <w:r>
        <w:t>1</w:t>
      </w:r>
      <w:r>
        <w:t xml:space="preserve"> - </w:t>
      </w:r>
      <w:r>
        <w:t>19</w:t>
      </w:r>
      <w:r>
        <w:rPr>
          <w:rStyle w:val="HideTWBExt"/>
        </w:rPr>
        <w:t>&lt;/RangeAM&gt;</w:t>
      </w:r>
    </w:p>
    <w:p>
      <w:pPr>
        <w:pStyle w:val="CoverBold"/>
      </w:pPr>
      <w:r>
        <w:rPr>
          <w:rStyle w:val="HideTWBExt"/>
        </w:rPr>
        <w:t>&lt;TitreType&gt;</w:t>
      </w:r>
      <w:r>
        <w:t>Entwurf eines Berichts</w:t>
      </w:r>
      <w:r>
        <w:rPr>
          <w:rStyle w:val="HideTWBExt"/>
        </w:rPr>
        <w:t>&lt;/TitreType&gt;</w:t>
      </w:r>
    </w:p>
    <w:p>
      <w:pPr>
        <w:pStyle w:val="CoverBold"/>
      </w:pPr>
      <w:r>
        <w:rPr>
          <w:rStyle w:val="HideTWBExt"/>
        </w:rPr>
        <w:t>&lt;Rapporteur&gt;</w:t>
      </w:r>
      <w:r>
        <w:t>Sven Simon</w:t>
      </w:r>
      <w:r>
        <w:rPr>
          <w:rStyle w:val="HideTWBExt"/>
        </w:rPr>
        <w:t>&lt;/Rapporteur&gt;</w:t>
      </w:r>
    </w:p>
    <w:p>
      <w:pPr>
        <w:pStyle w:val="CoverNormal24a"/>
      </w:pPr>
      <w:r>
        <w:rPr>
          <w:rStyle w:val="HideTWBExt"/>
        </w:rPr>
        <w:t>&lt;DocRefPE&gt;</w:t>
      </w:r>
      <w:r>
        <w:t>(PE781.475v01-00)</w:t>
      </w:r>
      <w:r>
        <w:rPr>
          <w:rStyle w:val="HideTWBExt"/>
        </w:rPr>
        <w:t>&lt;/DocRefPE&gt;</w:t>
      </w:r>
    </w:p>
    <w:p>
      <w:pPr>
        <w:pStyle w:val="CoverNormal"/>
      </w:pPr>
      <w:r>
        <w:rPr>
          <w:rStyle w:val="HideTWBExt"/>
        </w:rPr>
        <w:t>&lt;Titre&gt;</w:t>
      </w:r>
      <w:r>
        <w:t>Rahmenvereinbarung über die Beziehungen zwischen dem Europäischen Parlament und der Europäischen Kommission</w:t>
      </w:r>
      <w:r>
        <w:rPr>
          <w:rStyle w:val="HideTWBExt"/>
        </w:rPr>
        <w:t>&lt;/Titre&gt;</w:t>
      </w:r>
    </w:p>
    <w:p>
      <w:pPr>
        <w:pStyle w:val="CoverNormal24a"/>
      </w:pPr>
      <w:r>
        <w:rPr>
          <w:rStyle w:val="HideTWBExt"/>
        </w:rPr>
        <w:t>&lt;DocRef&gt;</w:t>
      </w:r>
      <w:r>
        <w:t>(2025/2243(ACI))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Änderungsantrag</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Erwägung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in der Erwägung, dass </w:t>
            </w:r>
            <w:r>
              <w:rPr>
                <w:b/>
                <w:i/>
              </w:rPr>
              <w:t>die Verträge</w:t>
            </w:r>
            <w:r>
              <w:t xml:space="preserve"> eine ausdrückliche Rechtsgrundlage für interinstitutionelle Vereinbarungen </w:t>
            </w:r>
            <w:r>
              <w:rPr>
                <w:b/>
                <w:i/>
              </w:rPr>
              <w:t>vorsehen</w:t>
            </w:r>
            <w:r>
              <w:t>,</w:t>
            </w:r>
          </w:p>
        </w:tc>
        <w:tc>
          <w:tcPr>
            <w:tcW w:w="4876" w:type="dxa"/>
            <w:tcBorders>
              <w:top w:val="nil"/>
              <w:left w:val="nil"/>
              <w:bottom w:val="nil"/>
              <w:right w:val="nil"/>
            </w:tcBorders>
          </w:tcPr>
          <w:p>
            <w:pPr>
              <w:pStyle w:val="Normal6a"/>
            </w:pPr>
            <w:r>
              <w:t>A.</w:t>
            </w:r>
            <w:r>
              <w:tab/>
            </w:r>
            <w:r>
              <w:t xml:space="preserve">in der Erwägung, dass </w:t>
            </w:r>
            <w:r>
              <w:rPr>
                <w:b/>
                <w:i/>
              </w:rPr>
              <w:t>in den Verträgen</w:t>
            </w:r>
            <w:r>
              <w:t xml:space="preserve"> eine ausdrückliche Rechtsgrundlage für interinstitutionelle Vereinbarungen </w:t>
            </w:r>
            <w:r>
              <w:rPr>
                <w:b/>
                <w:i/>
              </w:rPr>
              <w:t>vorgesehen ist</w:t>
            </w:r>
            <w:r>
              <w:t xml:space="preserve">, </w:t>
            </w:r>
            <w:r>
              <w:rPr>
                <w:b/>
                <w:i/>
              </w:rPr>
              <w:t>die den Abschluss solcher Vereinbarungen unter Achtung der Verträge, einschließlich des Grundsatzes der begrenzten Einzelermächtigung, ermöglicht, dem zufolge es nicht zulässig ist, die Kompetenzen der Organe der EU über den Geltungsbereich der Verträge hinaus auszuweiten;</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Erwägung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in der Erwägung, dass die Rahmenvereinbarung über die Beziehungen zwischen dem Parlament und der Kommission aus dem Jahr 2010 stammt und sich die interinstitutionelle Zusammenarbeit seitdem erheblich weiterentwickelt hat, was auch in der Reform „Parlament 2024“ und der anschließenden Überarbeitung der Geschäftsordnung des Parlaments, die im April 2024 angenommen wurde, zum Ausdruck gekommen ist,</w:t>
            </w:r>
          </w:p>
        </w:tc>
        <w:tc>
          <w:tcPr>
            <w:tcW w:w="4876" w:type="dxa"/>
            <w:tcBorders>
              <w:top w:val="nil"/>
              <w:left w:val="nil"/>
              <w:bottom w:val="nil"/>
              <w:right w:val="nil"/>
            </w:tcBorders>
          </w:tcPr>
          <w:p>
            <w:pPr>
              <w:pStyle w:val="Normal6a"/>
            </w:pPr>
            <w:r>
              <w:t>E.</w:t>
            </w:r>
            <w:r>
              <w:tab/>
            </w:r>
            <w:r>
              <w:t xml:space="preserve">in der Erwägung, dass die Rahmenvereinbarung über die Beziehungen zwischen dem Parlament und der Kommission aus dem Jahr 2010 stammt und sich die interinstitutionelle Zusammenarbeit seitdem erheblich weiterentwickelt hat, was auch in der Reform „Parlament 2024“ und der anschließenden Überarbeitung der Geschäftsordnung des Parlaments, die im April 2024 angenommen wurde, zum Ausdruck gekommen ist, </w:t>
            </w:r>
            <w:r>
              <w:rPr>
                <w:b/>
                <w:i/>
              </w:rPr>
              <w:t>und in der Erwägung, dass mit der Rahmenvereinbarung darauf abgezielt wird, die Kohärenz mit den Verträgen sicherzustellen und den Prüfungs-, Kontroll- und Haushaltsbefugnissen des Europäischen Parlaments praktische Wirksamkeit zu verleihen,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Erwägung E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in der Erwägung, dass in einer interinstitutionellen Vereinbarung keine automatischen oder unmittelbaren Verbindungen zwischen der Wahl zum Europäischen Parlament und der Wahl des Präsidenten oder der Präsidentin der Kommission berücksichtigt oder gefördert werden können;</w:t>
            </w:r>
            <w:r>
              <w:t xml:space="preserve"> </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Erwägung E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in der Erwägung, dass die beiden Organe dem Grundsatz des institutionellen Gleichgewichts und dem Grundsatz der loyalen Zusammenarbeit, wie sie in Artikel 13 Absatz 2 EUV verankert sind, größte Bedeutung beimessen,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Erwägung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in der Erwägung, dass in einer auf fachlicher Ebene im Einvernehmen mit der Präsidentin der Kommission durchgeführten gemeinsamen Bewertung der Umsetzung der Rahmenvereinbarung hervorgehoben wurde, dass einige ihrer Bestimmungen in Bezug auf die Gesetzgebungs-, Haushalts- und Kontrollbefugnisse des Parlaments aktualisiert und verbessert werden müssen,</w:t>
            </w:r>
          </w:p>
        </w:tc>
        <w:tc>
          <w:tcPr>
            <w:tcW w:w="4876" w:type="dxa"/>
            <w:tcBorders>
              <w:top w:val="nil"/>
              <w:left w:val="nil"/>
              <w:bottom w:val="nil"/>
              <w:right w:val="nil"/>
            </w:tcBorders>
          </w:tcPr>
          <w:p>
            <w:pPr>
              <w:pStyle w:val="Normal6a"/>
            </w:pPr>
            <w:r>
              <w:t>F.</w:t>
            </w:r>
            <w:r>
              <w:tab/>
            </w:r>
            <w:r>
              <w:t xml:space="preserve">in der Erwägung, dass in einer auf fachlicher Ebene im Einvernehmen mit der Präsidentin der Kommission durchgeführten gemeinsamen Bewertung der Umsetzung der Rahmenvereinbarung hervorgehoben wurde, dass einige ihrer Bestimmungen in Bezug auf die Gesetzgebungs-, Haushalts- und Kontrollbefugnisse des Parlaments aktualisiert und verbessert werden müssen, </w:t>
            </w:r>
            <w:r>
              <w:rPr>
                <w:b/>
                <w:i/>
              </w:rPr>
              <w:t>um das institutionelle Gleichgewicht besser widerzuspiegeln und die in den Verträgen verankerten Vorrechte des Parlaments vollumfänglich umzusetzen,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Ziffer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ist der Auffassung, dass die überarbeitete Vereinbarung für das Parlament einen wichtigen institutionellen Fortschritt in seinen Beziehungen zur Kommission darstellt;</w:t>
            </w:r>
          </w:p>
        </w:tc>
        <w:tc>
          <w:tcPr>
            <w:tcW w:w="4876" w:type="dxa"/>
            <w:tcBorders>
              <w:top w:val="nil"/>
              <w:left w:val="nil"/>
              <w:bottom w:val="nil"/>
              <w:right w:val="nil"/>
            </w:tcBorders>
          </w:tcPr>
          <w:p>
            <w:pPr>
              <w:pStyle w:val="Normal6a"/>
            </w:pPr>
            <w:r>
              <w:t>1.</w:t>
            </w:r>
            <w:r>
              <w:tab/>
            </w:r>
            <w:r>
              <w:t xml:space="preserve">ist der Auffassung, dass die überarbeitete Vereinbarung für das Parlament einen wichtigen institutionellen Fortschritt in seinen Beziehungen zur Kommission </w:t>
            </w:r>
            <w:r>
              <w:rPr>
                <w:b/>
                <w:i/>
              </w:rPr>
              <w:t>dabei</w:t>
            </w:r>
            <w:r>
              <w:t xml:space="preserve"> darstellt</w:t>
            </w:r>
            <w:r>
              <w:rPr>
                <w:b/>
                <w:i/>
              </w:rPr>
              <w:t>, die politische Verantwortung und Legitimität zu stärken, den konstruktiven Dialog auszuweiten, den Informationsfluss zwischen den beiden Organen zu verbessern und die Zusammenarbeit bei Verfahren und Planung, einschließlich Kontroll- und Untersuchungsbefugnissen, zu verbessern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Ziffer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ist der Auffassung, dass die überarbeitete Vereinbarung für das Parlament einen wichtigen institutionellen Fortschritt in seinen Beziehungen zur Kommission darstellt;</w:t>
            </w:r>
          </w:p>
        </w:tc>
        <w:tc>
          <w:tcPr>
            <w:tcW w:w="4876" w:type="dxa"/>
            <w:tcBorders>
              <w:top w:val="nil"/>
              <w:left w:val="nil"/>
              <w:bottom w:val="nil"/>
              <w:right w:val="nil"/>
            </w:tcBorders>
          </w:tcPr>
          <w:p>
            <w:pPr>
              <w:pStyle w:val="Normal6a"/>
            </w:pPr>
            <w:r>
              <w:t>1.</w:t>
            </w:r>
            <w:r>
              <w:tab/>
            </w:r>
            <w:r>
              <w:t>ist der Auffassung, dass die überarbeitete Vereinbarung für das Parlament einen wichtigen institutionellen Fortschritt in seinen Beziehungen zur Kommission darstellt</w:t>
            </w:r>
            <w:r>
              <w:rPr>
                <w:b/>
                <w:i/>
              </w:rPr>
              <w:t>, wobei es betont, dass jeder derartige Fortschritt eine Grundlage in den Verträgen haben muss</w:t>
            </w:r>
            <w:r>
              <w:t>;</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Ziffer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ist der Auffassung, dass die überarbeitete Vereinbarung für das Parlament einen </w:t>
            </w:r>
            <w:r>
              <w:rPr>
                <w:b/>
                <w:i/>
              </w:rPr>
              <w:t>wichtigen</w:t>
            </w:r>
            <w:r>
              <w:t xml:space="preserve"> institutionellen Fortschritt in seinen Beziehungen zur Kommission darstellt;</w:t>
            </w:r>
          </w:p>
        </w:tc>
        <w:tc>
          <w:tcPr>
            <w:tcW w:w="4876" w:type="dxa"/>
            <w:tcBorders>
              <w:top w:val="nil"/>
              <w:left w:val="nil"/>
              <w:bottom w:val="nil"/>
              <w:right w:val="nil"/>
            </w:tcBorders>
          </w:tcPr>
          <w:p>
            <w:pPr>
              <w:pStyle w:val="Normal6a"/>
            </w:pPr>
            <w:r>
              <w:t>1.</w:t>
            </w:r>
            <w:r>
              <w:tab/>
            </w:r>
            <w:r>
              <w:t>ist der Auffassung, dass die überarbeitete Vereinbarung für das Parlament einen institutionellen Fortschritt in seinen Beziehungen zur Kommission darstellt;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Absatz 2 – Spiegelstrich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die Bekräftigung des Grundsatzes der Gleichbehandlung von Parlament und Rat und der Rolle der Kommission als ehrliche Vermittlerin, insbesondere durch die Sicherstellung der zeitnahen Übermittlung umfassender und detaillierter Informationen an das Parlament, die sich aus der Verpflichtung ergibt, das Parlament über politische Initiativen und Gesetzgebungsvorschläge zu unterrichten, die nicht im Arbeitsprogramm der Kommission enthalten sind, und wesentliche Initiativen unmittelbar nach ihrer Annahme durch das Kollegium der Kommissionsmitglieder im Plenum vorzulegen,</w:t>
            </w:r>
          </w:p>
        </w:tc>
        <w:tc>
          <w:tcPr>
            <w:tcW w:w="4876" w:type="dxa"/>
            <w:tcBorders>
              <w:top w:val="nil"/>
              <w:left w:val="nil"/>
              <w:bottom w:val="nil"/>
              <w:right w:val="nil"/>
            </w:tcBorders>
          </w:tcPr>
          <w:p>
            <w:pPr>
              <w:pStyle w:val="Normal6a"/>
            </w:pPr>
            <w:r>
              <w:t>–</w:t>
            </w:r>
            <w:r>
              <w:tab/>
            </w:r>
            <w:r>
              <w:t xml:space="preserve">die Bekräftigung des Grundsatzes der Gleichbehandlung von Parlament und Rat und der Rolle der Kommission als ehrliche Vermittlerin, insbesondere durch die Sicherstellung der zeitnahen </w:t>
            </w:r>
            <w:r>
              <w:rPr>
                <w:b/>
                <w:i/>
              </w:rPr>
              <w:t>und transparenten</w:t>
            </w:r>
            <w:r>
              <w:t xml:space="preserve"> Übermittlung umfassender und detaillierter Informationen an das Parlament </w:t>
            </w:r>
            <w:r>
              <w:rPr>
                <w:b/>
                <w:i/>
              </w:rPr>
              <w:t>zur Ermöglichung echter demokratischer Kontrolle</w:t>
            </w:r>
            <w:r>
              <w:t>, die sich aus der Verpflichtung ergibt, das Parlament über politische Initiativen und Gesetzgebungsvorschläge zu unterrichten, die nicht im Arbeitsprogramm der Kommission enthalten sind, und wesentliche Initiativen unmittelbar nach ihrer Annahme durch das Kollegium der Kommissionsmitglieder im Plenum vorzulegen,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Ziffer 2 – Spiegelstrich 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die Zusicherung der Kommission, dafür zu sorgen, dass ihre Folgenabschätzungen unter ihrer Verantwortung nach einem transparenten Verfahren, das eine unabhängige Einschätzung garantiert, durchgeführt werden,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Ziffer 2 – Spiegelstrich 1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die Verpflichtung des gewählten Präsidenten, dem Parlament detaillierte Informationen über die Zusammensetzung des neuen Kollegiums der Kommissionsmitglieder vorzulegen, einschließlich seiner geplanten Struktur und der Sicherstellung eines ausgewogenen Geschlechterverhältnisses im Kollegium,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Absatz 2 – Spiegelstrich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die Zusicherung, dass Mitglieder der Kommission im Allgemeinen vom Parlament im Rahmen seiner politischen Aufsichtsfunktion einbestellt werden können und dass das Parlament die Anwesenheit eines bestimmten Mitglieds der Kommission im Plenum verlangen kann, wenn ein Tagesordnungspunkt dies rechtfertigt,</w:t>
            </w:r>
          </w:p>
        </w:tc>
        <w:tc>
          <w:tcPr>
            <w:tcW w:w="4876" w:type="dxa"/>
            <w:tcBorders>
              <w:top w:val="nil"/>
              <w:left w:val="nil"/>
              <w:bottom w:val="nil"/>
              <w:right w:val="nil"/>
            </w:tcBorders>
          </w:tcPr>
          <w:p>
            <w:pPr>
              <w:pStyle w:val="Normal6a"/>
            </w:pPr>
            <w:r>
              <w:t>–</w:t>
            </w:r>
            <w:r>
              <w:tab/>
            </w:r>
            <w:r>
              <w:t xml:space="preserve">die Zusicherung, dass Mitglieder der Kommission im Allgemeinen vom Parlament im Rahmen seiner politischen Aufsichtsfunktion einbestellt werden können und dass das Parlament die Anwesenheit eines bestimmten Mitglieds der Kommission im Plenum verlangen kann, wenn ein Tagesordnungspunkt dies rechtfertigt, </w:t>
            </w:r>
            <w:r>
              <w:rPr>
                <w:b/>
                <w:i/>
              </w:rPr>
              <w:t>und dass insbesondere dafür gesorgt wird, dass während der Fragestunde für eine Dauer von bis zu 90 Minuten Mitglieder der Kommission, deren Geschäftsbereiche sich auf das Thema der Fragen beziehen, anwesend sind, um eine sinnvolle, offene und demokratische Aussprache der Mitglieder des Parlaments mit den Mitgliedern der Kommission zu gewährleisten,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Absatz 2 – Spiegelstrich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den verbesserten Informationsfluss in Bezug auf internationale Abkommen, wodurch die demokratische Rechenschaftspflicht und die Transparenz in der Außenpolitik gestärkt werden;</w:t>
            </w:r>
          </w:p>
        </w:tc>
        <w:tc>
          <w:tcPr>
            <w:tcW w:w="4876" w:type="dxa"/>
            <w:tcBorders>
              <w:top w:val="nil"/>
              <w:left w:val="nil"/>
              <w:bottom w:val="nil"/>
              <w:right w:val="nil"/>
            </w:tcBorders>
          </w:tcPr>
          <w:p>
            <w:pPr>
              <w:pStyle w:val="Normal6a"/>
            </w:pPr>
            <w:r>
              <w:t>–</w:t>
            </w:r>
            <w:r>
              <w:tab/>
            </w:r>
            <w:r>
              <w:t xml:space="preserve">den verbesserten Informationsfluss in Bezug auf internationale Abkommen </w:t>
            </w:r>
            <w:r>
              <w:rPr>
                <w:b/>
                <w:i/>
              </w:rPr>
              <w:t>in allen Verhandlungsschritten</w:t>
            </w:r>
            <w:r>
              <w:t>, wodurch die demokratische Rechenschaftspflicht und die Transparenz in der Außenpolitik gestärkt werden;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Ziffer 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bedauert insbesondere, dass die folgenden Aspekte der Beziehungen zwischen den beiden Organen in der überarbeiteten Vereinbarung nicht enthalten sind: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„die Kommission unterstützt im Einklang mit den Bestimmungen des Unionsrechts und des nationalen Rechts die Untersuchungsausschüsse des Parlaments bei der Erfüllung ihrer Aufgaben nach dem Grundsatz der loyalen Zusammenarbeit“</w:t>
            </w:r>
            <w:r>
              <w:rPr>
                <w:b/>
                <w:i/>
              </w:rPr>
              <w:t>und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„zur Durchführung von Untersuchungen können die Untersuchungsausschüsse des Parlaments im Rahmen ihres Mandats</w:t>
            </w:r>
            <w:r>
              <w:t xml:space="preserve"> </w:t>
            </w:r>
            <w:r>
              <w:rPr>
                <w:b/>
                <w:i/>
              </w:rPr>
              <w:t>die Kommission ersuchen, eines oder mehrere ihrer Mitglieder zu benennen und diese Mitglieder sowie Vertreter von EU-Agenturen anhören, wenn deren Aussage als wesentlich und für eine gründliche Beurteilung des zu untersuchenden Sachverhalts erforderlich erachtet wird, und Beweise von Beamten und sonstigen Bediensteten der Kommission und der EU-Agenturen einholen“;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Sandro Gozi, Ľubica Karvašová, Reinier Van Lanschot, Sven Simon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Ziffer 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ist der Ansicht, dass die demokratische Kontrolle der Kommission nicht nur einen angemessenen Rechtsrahmen, sondern auch einen Sinn für politische Verantwortung und Engagement erfordert;</w:t>
            </w:r>
            <w:r>
              <w:t xml:space="preserve"> </w:t>
            </w:r>
            <w:r>
              <w:rPr>
                <w:b/>
                <w:i/>
              </w:rPr>
              <w:t>weist auf den formellen Austausch zwischen den Mitgliedern des Parlaments und der Kommission während der Plenartagung, auch während der Fragestunde, als Eckpfeiler der europäischen Demokratie hin;</w:t>
            </w:r>
            <w:r>
              <w:t xml:space="preserve"> </w:t>
            </w:r>
            <w:r>
              <w:rPr>
                <w:b/>
                <w:i/>
              </w:rPr>
              <w:t>sichert zu, weiter in eine parlamentarische Kultur zu investieren und diese zu fördern, damit die Teilnahme an diesen Sitzungen auf beiden Seiten sichergestellt und ein sinnvoller und substanzieller Austausch zwischen dem Parlament und der Kommission ermöglicht wird;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Ziffer 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betont, dass die Beteiligung von Kommissionsmitgliedern an Wahlkämpfen zum Europäischen Parlament, unter anderem als Spitzenkandidaten, weder gegen ihre Verpflichtung zu politischer Neutralität verstoßen noch institutionelle Erwartungen hinsichtlich der Besetzung von Ämtern wecken darf, die im Vertrag nicht vorgesehen sind;</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Ziffer 2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bedauert – trotz gebührender Berücksichtigung der vom Parlament geäußerten Standpunkte – insbesondere das Fehlen individueller Begründungen der Rücknahme der Vorschläge der Kommission zu Beginn der Amtszeit der neuen Kommission;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Ziffer 2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2c.</w:t>
            </w:r>
            <w:r>
              <w:tab/>
            </w:r>
            <w:r>
              <w:rPr>
                <w:b/>
                <w:i/>
              </w:rPr>
              <w:t>bedauert, dass die Kommission nicht angegeben hat, ob neue Gesetzgebungsinitiativen von einer Folgenabschätzung begleitet werden, und keine angemessene Begründung vorgelegt hat, wenn dies nicht der Fall ist;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Änderungsantrag</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Entschließungsantrag</w:t>
      </w:r>
      <w:r>
        <w:rPr>
          <w:rStyle w:val="HideTWBExt"/>
        </w:rPr>
        <w:t>&lt;/DocAmend&gt;</w:t>
      </w:r>
    </w:p>
    <w:p>
      <w:pPr>
        <w:pStyle w:val="NormalBold"/>
      </w:pPr>
      <w:r>
        <w:rPr>
          <w:rStyle w:val="HideTWBExt"/>
        </w:rPr>
        <w:t>&lt;Article&gt;</w:t>
      </w:r>
      <w:r>
        <w:t>Ziffer 2 d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Entschließungsantrag</w:t>
            </w:r>
          </w:p>
        </w:tc>
        <w:tc>
          <w:tcPr>
            <w:tcW w:w="4876" w:type="dxa"/>
            <w:tcBorders>
              <w:top w:val="nil"/>
              <w:left w:val="nil"/>
              <w:bottom w:val="nil"/>
              <w:right w:val="nil"/>
            </w:tcBorders>
          </w:tcPr>
          <w:p>
            <w:pPr>
              <w:pStyle w:val="AmColumnHeading"/>
            </w:pPr>
            <w:r>
              <w:t>Geänderter Text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2d.</w:t>
            </w:r>
            <w:r>
              <w:tab/>
            </w:r>
            <w:r>
              <w:rPr>
                <w:b/>
                <w:i/>
              </w:rPr>
              <w:t>erwartet, dass die Kommission sowohl die neuen als auch die bestehenden Bestimmungen der Vereinbarung uneingeschränkt einhält;</w:t>
            </w:r>
            <w:r>
              <w:t xml:space="preserve"> </w:t>
            </w:r>
            <w:r>
              <w:rPr>
                <w:b/>
                <w:i/>
              </w:rPr>
              <w:t>weist darauf hin, dass eine regelmäßige Kontrolle der Umsetzung der Vereinbarung durch das Parlament ab seinem Inkrafttreten eingeführt werden sollte;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784.243</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12</w:t>
    </w:r>
    <w:r>
      <w:fldChar w:fldCharType="end"/>
    </w:r>
    <w:r>
      <w:t>/</w:t>
    </w:r>
    <w:r>
      <w:fldChar w:fldCharType="begin"/>
    </w:r>
    <w:r>
      <w:instrText xml:space="preserve"> NUMPAGES </w:instrText>
    </w:r>
    <w:r>
      <w:fldChar w:fldCharType="separate"/>
    </w:r>
    <w:r>
      <w:t>12</w:t>
    </w:r>
    <w:r>
      <w:fldChar w:fldCharType="end"/>
    </w:r>
    <w:r>
      <w:tab/>
    </w:r>
    <w:r>
      <w:rPr>
        <w:rStyle w:val="HideTWBExt"/>
      </w:rPr>
      <w:t>&lt;PathFdR&gt;</w:t>
    </w:r>
    <w:r>
      <w:t>AM\1336622DE.docx</w:t>
    </w:r>
    <w:r>
      <w:rPr>
        <w:rStyle w:val="HideTWBExt"/>
      </w:rPr>
      <w:t>&lt;/PathFdR&gt;</w:t>
    </w:r>
  </w:p>
  <w:p>
    <w:pPr>
      <w:pStyle w:val="EPFooter2"/>
    </w:pPr>
    <w:r>
      <w:t>DE</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AM\1336622DE.docx</w:t>
    </w:r>
    <w:r>
      <w:rPr>
        <w:rStyle w:val="HideTWBExt"/>
      </w:rPr>
      <w:t>&lt;/PathFdR&gt;</w:t>
    </w:r>
    <w:r>
      <w:tab/>
    </w:r>
    <w:r>
      <w:fldChar w:fldCharType="begin"/>
    </w:r>
    <w:r>
      <w:instrText xml:space="preserve"> PAGE </w:instrText>
    </w:r>
    <w:r>
      <w:fldChar w:fldCharType="separate"/>
    </w:r>
    <w:r>
      <w:t>11</w:t>
    </w:r>
    <w:r>
      <w:fldChar w:fldCharType="end"/>
    </w:r>
    <w:r>
      <w:t>/</w:t>
    </w:r>
    <w:r>
      <w:fldChar w:fldCharType="begin"/>
    </w:r>
    <w:r>
      <w:instrText xml:space="preserve"> NUMPAGES </w:instrText>
    </w:r>
    <w:r>
      <w:fldChar w:fldCharType="separate"/>
    </w:r>
    <w:r>
      <w:t>12</w:t>
    </w:r>
    <w:r>
      <w:fldChar w:fldCharType="end"/>
    </w:r>
    <w:r>
      <w:tab/>
    </w:r>
    <w:r>
      <w:t>PE</w:t>
    </w:r>
    <w:r>
      <w:rPr>
        <w:rStyle w:val="HideTWBExt"/>
      </w:rPr>
      <w:t>&lt;NoPE&gt;</w:t>
    </w:r>
    <w:r>
      <w:t>784.243</w:t>
    </w:r>
    <w:r>
      <w:rPr>
        <w:rStyle w:val="HideTWBExt"/>
      </w:rPr>
      <w:t>&lt;/NoPE&gt;</w:t>
    </w:r>
    <w:r>
      <w:rPr>
        <w:rStyle w:val="HideTWBExt"/>
      </w:rPr>
      <w:t>&lt;Version&gt;</w:t>
    </w:r>
    <w:r>
      <w:t>v01-00</w:t>
    </w:r>
    <w:r>
      <w:rPr>
        <w:rStyle w:val="HideTWBExt"/>
      </w:rPr>
      <w:t>&lt;/Version&gt;</w:t>
    </w:r>
  </w:p>
  <w:p>
    <w:pPr>
      <w:pStyle w:val="EPFooter2"/>
    </w:pPr>
    <w:r>
      <w:tab/>
    </w:r>
    <w:r>
      <w:tab/>
    </w:r>
    <w:r>
      <w:t>DE</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AM\1336622DE.docx</w:t>
    </w:r>
    <w:r>
      <w:rPr>
        <w:rStyle w:val="HideTWBExt"/>
      </w:rPr>
      <w:t>&lt;/PathFdR&gt;</w:t>
    </w:r>
    <w:r>
      <w:tab/>
    </w:r>
    <w:r>
      <w:tab/>
    </w:r>
    <w:r>
      <w:t>PE</w:t>
    </w:r>
    <w:r>
      <w:rPr>
        <w:rStyle w:val="HideTWBExt"/>
      </w:rPr>
      <w:t>&lt;NoPE&gt;</w:t>
    </w:r>
    <w:r>
      <w:t>784.243</w:t>
    </w:r>
    <w:r>
      <w:rPr>
        <w:rStyle w:val="HideTWBExt"/>
      </w:rPr>
      <w:t>&lt;/NoPE&gt;</w:t>
    </w:r>
    <w:r>
      <w:rPr>
        <w:rStyle w:val="HideTWBExt"/>
      </w:rPr>
      <w:t>&lt;Version&gt;</w:t>
    </w:r>
    <w:r>
      <w:t>v01-00</w:t>
    </w:r>
    <w:r>
      <w:rPr>
        <w:rStyle w:val="HideTWBExt"/>
      </w:rPr>
      <w:t>&lt;/Version&gt;</w:t>
    </w:r>
  </w:p>
  <w:p>
    <w:pPr>
      <w:pStyle w:val="EPFooter2"/>
    </w:pPr>
    <w:r>
      <w:t>DE</w:t>
    </w:r>
    <w:r>
      <w:tab/>
    </w:r>
    <w:r>
      <w:rPr>
        <w:rStyle w:val="EPFooter2Motto"/>
      </w:rPr>
      <w:t>In Vielfalt geeint</w:t>
    </w:r>
    <w:r>
      <w:tab/>
    </w:r>
    <w:r>
      <w:t>DE</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Pages>
  <Words>1751</Words>
  <Characters>12255</Characters>
  <Application>Microsoft Office Word</Application>
  <DocSecurity>0</DocSecurity>
  <Lines>1</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1336622</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388435</vt:lpwstr>
  </property>
  <property fmtid="{D5CDD505-2E9C-101B-9397-08002B2CF9AE}" pid="7" name="dmxml.render.traceId">
    <vt:lpwstr>699c1b522a3ce77d6bb6f9ff686071f0</vt:lpwstr>
  </property>
  <property fmtid="{D5CDD505-2E9C-101B-9397-08002B2CF9AE}" pid="8" name="FooterPath">
    <vt:lpwstr>AM\1336622DE.docx</vt:lpwstr>
  </property>
  <property fmtid="{D5CDD505-2E9C-101B-9397-08002B2CF9AE}" pid="9" name="PE Number">
    <vt:lpwstr>784.243</vt:lpwstr>
  </property>
  <property fmtid="{D5CDD505-2E9C-101B-9397-08002B2CF9AE}" pid="10" name="UID">
    <vt:lpwstr>eu.europa.europarl-DIN1-2026-0000024973_02.00-de-01.00_text-xml</vt:lpwstr>
  </property>
</Properties>
</file>