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4.2.0 -->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804"/>
        <w:gridCol w:w="2268"/>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hRule="exact" w:val="1417"/>
          <w:jc w:val="center"/>
        </w:trPr>
        <w:tc>
          <w:tcPr>
            <w:tcW w:w="6804" w:type="dxa"/>
            <w:tcBorders>
              <w:top w:val="nil"/>
              <w:left w:val="nil"/>
              <w:bottom w:val="nil"/>
              <w:right w:val="nil"/>
            </w:tcBorders>
            <w:vAlign w:val="center"/>
          </w:tcPr>
          <w:p>
            <w:pPr>
              <w:pStyle w:val="EPName"/>
            </w:pPr>
            <w:r>
              <w:t>Europos Parlamentas</w:t>
            </w:r>
          </w:p>
          <w:p>
            <w:pPr>
              <w:pStyle w:val="EPTerm"/>
              <w:jc w:val="left"/>
            </w:pPr>
            <w:r>
              <w:t>2024-2029</w:t>
            </w:r>
          </w:p>
        </w:tc>
        <w:tc>
          <w:tcPr>
            <w:tcW w:w="2268" w:type="dxa"/>
            <w:tcBorders>
              <w:top w:val="nil"/>
              <w:left w:val="nil"/>
              <w:bottom w:val="nil"/>
              <w:right w:val="nil"/>
            </w:tcBorders>
            <w:vAlign w:val="top"/>
          </w:tcPr>
          <w:p>
            <w:pPr>
              <w:pStyle w:val="EPLogo"/>
              <w:jc w:val="right"/>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56pt;height:50.11pt">
                  <v:imagedata r:id="rId4" o:title=""/>
                </v:shape>
              </w:pict>
            </w:r>
          </w:p>
        </w:tc>
      </w:tr>
    </w:tbl>
    <w:p>
      <w:pPr>
        <w:pStyle w:val="LineTop"/>
      </w:pPr>
      <w:r>
        <w:t xml:space="preserve"> </w:t>
      </w:r>
    </w:p>
    <w:p>
      <w:pPr>
        <w:pStyle w:val="EPBody"/>
      </w:pPr>
      <w:r>
        <w:rPr>
          <w:rStyle w:val="HideTWBExt"/>
        </w:rPr>
        <w:t>&lt;Commission&gt;</w:t>
      </w:r>
      <w:r>
        <w:rPr>
          <w:rStyle w:val="HideTWBInt"/>
        </w:rPr>
        <w:t>{AFCO}</w:t>
      </w:r>
      <w:r>
        <w:t>Konstitucinių reikalų komitetas</w:t>
      </w:r>
      <w:r>
        <w:rPr>
          <w:rStyle w:val="HideTWBExt"/>
        </w:rPr>
        <w:t>&lt;/Commission&gt;</w:t>
      </w:r>
    </w:p>
    <w:p>
      <w:pPr>
        <w:pStyle w:val="LineBottom"/>
      </w:pPr>
      <w:r>
        <w:t xml:space="preserve"> </w:t>
      </w:r>
    </w:p>
    <w:p>
      <w:pPr>
        <w:pStyle w:val="CoverReference"/>
      </w:pPr>
      <w:r>
        <w:rPr>
          <w:rStyle w:val="HideTWBExt"/>
        </w:rPr>
        <w:t>&lt;RefProc&gt;</w:t>
      </w:r>
      <w:r>
        <w:t>2025/2243</w:t>
      </w:r>
      <w:r>
        <w:rPr>
          <w:rStyle w:val="HideTWBExt"/>
        </w:rPr>
        <w:t>&lt;/RefProc&gt;</w:t>
      </w:r>
      <w:r>
        <w:rPr>
          <w:rStyle w:val="HideTWBExt"/>
        </w:rPr>
        <w:t>&lt;RefTypeProc&gt;</w:t>
      </w:r>
      <w:r>
        <w:t>(ACI)</w:t>
      </w:r>
      <w:r>
        <w:rPr>
          <w:rStyle w:val="HideTWBExt"/>
        </w:rPr>
        <w:t>&lt;/RefTypeProc&gt;</w:t>
      </w:r>
    </w:p>
    <w:p>
      <w:pPr>
        <w:pStyle w:val="CoverDate"/>
      </w:pPr>
      <w:r>
        <w:rPr>
          <w:rStyle w:val="HideTWBExt"/>
        </w:rPr>
        <w:t>&lt;Date&gt;</w:t>
      </w:r>
      <w:r>
        <w:rPr>
          <w:rStyle w:val="HideTWBInt"/>
        </w:rPr>
        <w:t>{06/02/2026}</w:t>
      </w:r>
      <w:r>
        <w:t>6.2.2026</w:t>
      </w:r>
      <w:r>
        <w:rPr>
          <w:rStyle w:val="HideTWBExt"/>
        </w:rPr>
        <w:t>&lt;/Date&gt;</w:t>
      </w:r>
    </w:p>
    <w:p>
      <w:pPr>
        <w:pStyle w:val="CoverDocType"/>
      </w:pPr>
      <w:r>
        <w:rPr>
          <w:rStyle w:val="HideTWBExt"/>
        </w:rPr>
        <w:t>&lt;TypeAM&gt;</w:t>
      </w:r>
      <w:r>
        <w:t>PAKEITIMAI</w:t>
      </w:r>
      <w:r>
        <w:rPr>
          <w:rStyle w:val="HideTWBExt"/>
        </w:rPr>
        <w:t>&lt;/TypeAM&gt;</w:t>
      </w:r>
    </w:p>
    <w:p>
      <w:pPr>
        <w:pStyle w:val="CoverDocType24a"/>
      </w:pPr>
      <w:r>
        <w:rPr>
          <w:rStyle w:val="HideTWBExt"/>
        </w:rPr>
        <w:t>&lt;RangeAM&gt;</w:t>
      </w:r>
      <w:r>
        <w:t>1</w:t>
      </w:r>
      <w:r>
        <w:t xml:space="preserve"> - </w:t>
      </w:r>
      <w:r>
        <w:t>19</w:t>
      </w:r>
      <w:r>
        <w:rPr>
          <w:rStyle w:val="HideTWBExt"/>
        </w:rPr>
        <w:t>&lt;/RangeAM&gt;</w:t>
      </w:r>
    </w:p>
    <w:p>
      <w:pPr>
        <w:pStyle w:val="CoverBold"/>
      </w:pPr>
      <w:r>
        <w:rPr>
          <w:rStyle w:val="HideTWBExt"/>
        </w:rPr>
        <w:t>&lt;TitreType&gt;</w:t>
      </w:r>
      <w:r>
        <w:t>Pranešimo projektas</w:t>
      </w:r>
      <w:r>
        <w:rPr>
          <w:rStyle w:val="HideTWBExt"/>
        </w:rPr>
        <w:t>&lt;/TitreType&gt;</w:t>
      </w:r>
    </w:p>
    <w:p>
      <w:pPr>
        <w:pStyle w:val="CoverBold"/>
      </w:pPr>
      <w:r>
        <w:rPr>
          <w:rStyle w:val="HideTWBExt"/>
        </w:rPr>
        <w:t>&lt;Rapporteur&gt;</w:t>
      </w:r>
      <w:r>
        <w:t>Sven Simon</w:t>
      </w:r>
      <w:r>
        <w:rPr>
          <w:rStyle w:val="HideTWBExt"/>
        </w:rPr>
        <w:t>&lt;/Rapporteur&gt;</w:t>
      </w:r>
    </w:p>
    <w:p>
      <w:pPr>
        <w:pStyle w:val="CoverNormal24a"/>
      </w:pPr>
      <w:r>
        <w:rPr>
          <w:rStyle w:val="HideTWBExt"/>
        </w:rPr>
        <w:t>&lt;DocRefPE&gt;</w:t>
      </w:r>
      <w:r>
        <w:t>(PE781.475v01-00)</w:t>
      </w:r>
      <w:r>
        <w:rPr>
          <w:rStyle w:val="HideTWBExt"/>
        </w:rPr>
        <w:t>&lt;/DocRefPE&gt;</w:t>
      </w:r>
    </w:p>
    <w:p>
      <w:pPr>
        <w:pStyle w:val="CoverNormal"/>
      </w:pPr>
      <w:r>
        <w:rPr>
          <w:rStyle w:val="HideTWBExt"/>
        </w:rPr>
        <w:t>&lt;Titre&gt;</w:t>
      </w:r>
      <w:r>
        <w:t>Pagrindų susitarimas dėl Europos Parlamento ir Europos Komisijos santykių</w:t>
      </w:r>
      <w:r>
        <w:rPr>
          <w:rStyle w:val="HideTWBExt"/>
        </w:rPr>
        <w:t>&lt;/Titre&gt;</w:t>
      </w:r>
    </w:p>
    <w:p>
      <w:pPr>
        <w:pStyle w:val="CoverNormal24a"/>
      </w:pPr>
      <w:r>
        <w:rPr>
          <w:rStyle w:val="HideTWBExt"/>
        </w:rPr>
        <w:t>&lt;DocRef&gt;</w:t>
      </w:r>
      <w:r>
        <w:t>(2025/2243(ACI))</w:t>
      </w:r>
      <w:r>
        <w:rPr>
          <w:rStyle w:val="HideTWBExt"/>
        </w:rPr>
        <w:t>&lt;/DocRef&gt;</w:t>
      </w:r>
    </w:p>
    <w:p>
      <w:r>
        <w:br w:type="page"/>
      </w:r>
      <w:r>
        <w:t>AM_Com_NonLegReport</w:t>
      </w:r>
    </w:p>
    <w:p>
      <w:pPr>
        <w:pStyle w:val="AmNumberTabs"/>
      </w:pPr>
      <w:r>
        <w:br w:type="page"/>
      </w:r>
      <w:r>
        <w:rPr>
          <w:rStyle w:val="HideTWBExt"/>
        </w:rPr>
        <w:t>&lt;RepeatBlock-Amend&gt;</w:t>
      </w:r>
      <w:r>
        <w:rPr>
          <w:rStyle w:val="HideTWBExt"/>
        </w:rPr>
        <w:t>&lt;Amend&gt;</w:t>
      </w:r>
      <w:r>
        <w:t>Pakeitimas</w:t>
      </w:r>
      <w:r>
        <w:tab/>
      </w:r>
      <w:r>
        <w:tab/>
      </w:r>
      <w:r>
        <w:rPr>
          <w:rStyle w:val="HideTWBExt"/>
        </w:rPr>
        <w:t>&lt;NumAm&gt;</w:t>
      </w:r>
      <w:r>
        <w:t>1</w:t>
      </w:r>
      <w:r>
        <w:rPr>
          <w:rStyle w:val="HideTWBExt"/>
        </w:rPr>
        <w:t>&lt;/NumAm&gt;</w:t>
      </w:r>
    </w:p>
    <w:p>
      <w:pPr>
        <w:pStyle w:val="NormalBold"/>
      </w:pPr>
      <w:r>
        <w:rPr>
          <w:rStyle w:val="HideTWBExt"/>
          <w:b w:val="0"/>
        </w:rPr>
        <w:t>&lt;RepeatBlock-By&gt;</w:t>
      </w:r>
      <w:r>
        <w:rPr>
          <w:rStyle w:val="HideTWBExt"/>
          <w:b w:val="0"/>
        </w:rPr>
        <w:t>&lt;Members&gt;</w:t>
      </w:r>
      <w:r>
        <w:t>Patryk Jaki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A konstatuojamoji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kadangi Sutartyse numatytas aiškus tarpinstitucinių susitarimų teisinis pagrindas,</w:t>
            </w:r>
          </w:p>
        </w:tc>
        <w:tc>
          <w:tcPr>
            <w:tcW w:w="4876" w:type="dxa"/>
            <w:tcBorders>
              <w:top w:val="nil"/>
              <w:left w:val="nil"/>
              <w:bottom w:val="nil"/>
              <w:right w:val="nil"/>
            </w:tcBorders>
          </w:tcPr>
          <w:p>
            <w:pPr>
              <w:pStyle w:val="Normal6a"/>
            </w:pPr>
            <w:r>
              <w:t>A.</w:t>
            </w:r>
            <w:r>
              <w:tab/>
            </w:r>
            <w:r>
              <w:t xml:space="preserve">kadangi Sutartyse numatytas aiškus tarpinstitucinių susitarimų teisinis pagrindas, </w:t>
            </w:r>
            <w:r>
              <w:rPr>
                <w:b/>
                <w:i/>
              </w:rPr>
              <w:t>pagal kurį galima sudaryti tokius susitarimus laikantis Sutarčių nuostatų, įskaitant kompetencijos suteikimo principą, kuriuo numatytas draudimas išplėsti ES institucijų kompetencijos sritis viršijant Sutarčių taikymo sritį;</w:t>
            </w:r>
          </w:p>
        </w:tc>
      </w:tr>
    </w:tbl>
    <w:p>
      <w:pPr>
        <w:pStyle w:val="AmOrLang"/>
      </w:pPr>
      <w:r>
        <w:t xml:space="preserve">Or. </w:t>
      </w:r>
      <w:r>
        <w:rPr>
          <w:rStyle w:val="HideTWBExt"/>
        </w:rPr>
        <w:t>&lt;Original&gt;</w:t>
      </w:r>
      <w:r>
        <w:rPr>
          <w:rStyle w:val="HideTWBInt"/>
        </w:rPr>
        <w:t>{PL}</w:t>
      </w:r>
      <w:r>
        <w:t>pl</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2</w:t>
      </w:r>
      <w:r>
        <w:rPr>
          <w:rStyle w:val="HideTWBExt"/>
        </w:rPr>
        <w:t>&lt;/NumAm&gt;</w:t>
      </w:r>
    </w:p>
    <w:p>
      <w:pPr>
        <w:pStyle w:val="NormalBold"/>
      </w:pPr>
      <w:r>
        <w:rPr>
          <w:rStyle w:val="HideTWBExt"/>
          <w:b w:val="0"/>
        </w:rPr>
        <w:t>&lt;RepeatBlock-By&gt;</w:t>
      </w:r>
      <w:r>
        <w:rPr>
          <w:rStyle w:val="HideTWBExt"/>
          <w:b w:val="0"/>
        </w:rPr>
        <w:t>&lt;Members&gt;</w:t>
      </w:r>
      <w:r>
        <w:t>Juan Fernando López Aguilar, Klára Dobrev, Alessandro Zan, Marc Angel, Vasile Dîncu, Thijs Reuten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E konstatuojamoji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E.</w:t>
            </w:r>
            <w:r>
              <w:tab/>
            </w:r>
            <w:r>
              <w:t>kadangi Pagrindų susitarimas dėl Parlamento ir Komisijos santykių buvo sudarytas 2010 m. ir nuo to laiko tarpinstitucinis bendradarbiavimas labai pasikeitė, kaip matyti iš 2024 m. Parlamento reformos ir vėlesnės Parlamento darbo tvarkos taisyklių peržiūros, patvirtintos 2024 m. balandžio mėn.,</w:t>
            </w:r>
          </w:p>
        </w:tc>
        <w:tc>
          <w:tcPr>
            <w:tcW w:w="4876" w:type="dxa"/>
            <w:tcBorders>
              <w:top w:val="nil"/>
              <w:left w:val="nil"/>
              <w:bottom w:val="nil"/>
              <w:right w:val="nil"/>
            </w:tcBorders>
          </w:tcPr>
          <w:p>
            <w:pPr>
              <w:pStyle w:val="Normal6a"/>
            </w:pPr>
            <w:r>
              <w:t>E.</w:t>
            </w:r>
            <w:r>
              <w:tab/>
            </w:r>
            <w:r>
              <w:t xml:space="preserve">kadangi Pagrindų susitarimas dėl Parlamento ir Komisijos santykių buvo sudarytas 2010 m. ir nuo to laiko tarpinstitucinis bendradarbiavimas labai pasikeitė, kaip matyti iš 2024 m. Parlamento reformos ir vėlesnės Parlamento darbo tvarkos taisyklių peržiūros, patvirtintos 2024 m. balandžio mėn., </w:t>
            </w:r>
            <w:r>
              <w:rPr>
                <w:b/>
                <w:i/>
              </w:rPr>
              <w:t>ir kadangi Pagrindų susitarimu siekiama užtikrinti suderinamumą su Sutartimis ir praktiškai įgyvendinti Europos Parlamento kontrolės, tikrinimo ir biudžeto prerogatyvas,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3</w:t>
      </w:r>
      <w:r>
        <w:rPr>
          <w:rStyle w:val="HideTWBExt"/>
        </w:rPr>
        <w:t>&lt;/NumAm&gt;</w:t>
      </w:r>
    </w:p>
    <w:p>
      <w:pPr>
        <w:pStyle w:val="NormalBold"/>
      </w:pPr>
      <w:r>
        <w:rPr>
          <w:rStyle w:val="HideTWBExt"/>
          <w:b w:val="0"/>
        </w:rPr>
        <w:t>&lt;RepeatBlock-By&gt;</w:t>
      </w:r>
      <w:r>
        <w:rPr>
          <w:rStyle w:val="HideTWBExt"/>
          <w:b w:val="0"/>
        </w:rPr>
        <w:t>&lt;Members&gt;</w:t>
      </w:r>
      <w:r>
        <w:t>Patryk Jaki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E a konstatuojamoji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Ea.</w:t>
            </w:r>
            <w:r>
              <w:tab/>
            </w:r>
            <w:r>
              <w:rPr>
                <w:b/>
                <w:i/>
              </w:rPr>
              <w:t>kadangi tarpinstituciniame susitarime negali būti nurodoma arba propaguojama automatinė arba tiesioginė rinkimų į Europos Parlamentą ir Komisijos Pirmininko išrinkimo sąsaja;</w:t>
            </w:r>
          </w:p>
        </w:tc>
      </w:tr>
    </w:tbl>
    <w:p>
      <w:pPr>
        <w:pStyle w:val="AmOrLang"/>
      </w:pPr>
      <w:r>
        <w:t xml:space="preserve">Or. </w:t>
      </w:r>
      <w:r>
        <w:rPr>
          <w:rStyle w:val="HideTWBExt"/>
        </w:rPr>
        <w:t>&lt;Original&gt;</w:t>
      </w:r>
      <w:r>
        <w:rPr>
          <w:rStyle w:val="HideTWBInt"/>
        </w:rPr>
        <w:t>{PL}</w:t>
      </w:r>
      <w:r>
        <w:t>pl</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4</w:t>
      </w:r>
      <w:r>
        <w:rPr>
          <w:rStyle w:val="HideTWBExt"/>
        </w:rPr>
        <w:t>&lt;/NumAm&gt;</w:t>
      </w:r>
    </w:p>
    <w:p>
      <w:pPr>
        <w:pStyle w:val="NormalBold"/>
      </w:pPr>
      <w:r>
        <w:rPr>
          <w:rStyle w:val="HideTWBExt"/>
          <w:b w:val="0"/>
        </w:rPr>
        <w:t>&lt;RepeatBlock-By&gt;</w:t>
      </w:r>
      <w:r>
        <w:rPr>
          <w:rStyle w:val="HideTWBExt"/>
          <w:b w:val="0"/>
        </w:rPr>
        <w:t>&lt;Members&gt;</w:t>
      </w:r>
      <w:r>
        <w:t>Juan Fernando López Aguilar, Klára Dobrev, Alessandro Zan, Marc Angel, Vasile Dîncu, Thijs Reuten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E a konstatuojamoji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Ea.</w:t>
            </w:r>
            <w:r>
              <w:tab/>
            </w:r>
            <w:r>
              <w:rPr>
                <w:b/>
                <w:i/>
              </w:rPr>
              <w:t>kadangi abi institucijos teikia ypatingą svarbą institucinės pusiausvyros principui ir lojalaus tarpusavio bendradarbiavimo principui, kaip įtvirtinta ES sutarties 13 straipsnio 2 dalyje,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5</w:t>
      </w:r>
      <w:r>
        <w:rPr>
          <w:rStyle w:val="HideTWBExt"/>
        </w:rPr>
        <w:t>&lt;/NumAm&gt;</w:t>
      </w:r>
    </w:p>
    <w:p>
      <w:pPr>
        <w:pStyle w:val="NormalBold"/>
      </w:pPr>
      <w:r>
        <w:rPr>
          <w:rStyle w:val="HideTWBExt"/>
          <w:b w:val="0"/>
        </w:rPr>
        <w:t>&lt;RepeatBlock-By&gt;</w:t>
      </w:r>
      <w:r>
        <w:rPr>
          <w:rStyle w:val="HideTWBExt"/>
          <w:b w:val="0"/>
        </w:rPr>
        <w:t>&lt;Members&gt;</w:t>
      </w:r>
      <w:r>
        <w:t>Juan Fernando López Aguilar, Klára Dobrev, Alessandro Zan, Marc Angel, Vasile Dîncu, Thijs Reuten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F konstatuojamoji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F.</w:t>
            </w:r>
            <w:r>
              <w:tab/>
            </w:r>
            <w:r>
              <w:t xml:space="preserve">kadangi techninio lygmens bendrame Pagrindų susitarimo įgyvendinimo vertinime, atliktame susitarus su Komisijos Pirmininke, pabrėžta, kad reikia atnaujinti ir patobulinti kai kurias jo nuostatas, </w:t>
            </w:r>
            <w:r>
              <w:rPr>
                <w:b/>
                <w:i/>
              </w:rPr>
              <w:t>susijusias</w:t>
            </w:r>
            <w:r>
              <w:t xml:space="preserve"> su Parlamento teisėkūros, biudžeto ir tikrinimo prerogatyvomis,</w:t>
            </w:r>
          </w:p>
        </w:tc>
        <w:tc>
          <w:tcPr>
            <w:tcW w:w="4876" w:type="dxa"/>
            <w:tcBorders>
              <w:top w:val="nil"/>
              <w:left w:val="nil"/>
              <w:bottom w:val="nil"/>
              <w:right w:val="nil"/>
            </w:tcBorders>
          </w:tcPr>
          <w:p>
            <w:pPr>
              <w:pStyle w:val="Normal6a"/>
            </w:pPr>
            <w:r>
              <w:t>F.</w:t>
            </w:r>
            <w:r>
              <w:tab/>
            </w:r>
            <w:r>
              <w:t xml:space="preserve">kadangi techninio lygmens bendrame Pagrindų susitarimo įgyvendinimo vertinime, atliktame susitarus su Komisijos Pirmininke, pabrėžta, kad reikia atnaujinti ir patobulinti kai kurias jo nuostatas, </w:t>
            </w:r>
            <w:r>
              <w:rPr>
                <w:b/>
                <w:i/>
              </w:rPr>
              <w:t>siekiant geriau atspindėti institucinę pusiausvyrą ir visapusiškai įgyvendinti Parlamento prerogatyvos, kurios yra įtvirtintos Sutartyse, kiek tai susiję</w:t>
            </w:r>
            <w:r>
              <w:t xml:space="preserve"> su Parlamento teisėkūros, biudžeto ir tikrinimo prerogatyvomis,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6</w:t>
      </w:r>
      <w:r>
        <w:rPr>
          <w:rStyle w:val="HideTWBExt"/>
        </w:rPr>
        <w:t>&lt;/NumAm&gt;</w:t>
      </w:r>
    </w:p>
    <w:p>
      <w:pPr>
        <w:pStyle w:val="NormalBold"/>
      </w:pPr>
      <w:r>
        <w:rPr>
          <w:rStyle w:val="HideTWBExt"/>
          <w:b w:val="0"/>
        </w:rPr>
        <w:t>&lt;RepeatBlock-By&gt;</w:t>
      </w:r>
      <w:r>
        <w:rPr>
          <w:rStyle w:val="HideTWBExt"/>
          <w:b w:val="0"/>
        </w:rPr>
        <w:t>&lt;Members&gt;</w:t>
      </w:r>
      <w:r>
        <w:t>Juan Fernando López Aguilar, Klára Dobrev, Alessandro Zan, Marc Angel, Vasile Dîncu, Thijs Reuten, Reinier Van Lanschot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1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mano, kad peržiūrėtas susitarimas Parlamento požiūriu reiškia svarbią pažangą palaikant santykius su Komisija;</w:t>
            </w:r>
          </w:p>
        </w:tc>
        <w:tc>
          <w:tcPr>
            <w:tcW w:w="4876" w:type="dxa"/>
            <w:tcBorders>
              <w:top w:val="nil"/>
              <w:left w:val="nil"/>
              <w:bottom w:val="nil"/>
              <w:right w:val="nil"/>
            </w:tcBorders>
          </w:tcPr>
          <w:p>
            <w:pPr>
              <w:pStyle w:val="Normal6a"/>
            </w:pPr>
            <w:r>
              <w:t>1.</w:t>
            </w:r>
            <w:r>
              <w:tab/>
            </w:r>
            <w:r>
              <w:t>mano, kad peržiūrėtas susitarimas Parlamento požiūriu reiškia svarbią pažangą palaikant santykius su Komisija</w:t>
            </w:r>
            <w:r>
              <w:rPr>
                <w:b/>
                <w:i/>
              </w:rPr>
              <w:t>, siekiant sustiprinti politinę atsakomybę ir legitimumą, išplėsti konstruktyvų dialogą, pagerinti informacijos judėjimą tarp dviejų institucijų ir bendradarbiavimą procedūrų ir planavimo srityje, įskaitant tikrinimo ir tyrimo įgaliojimus</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7</w:t>
      </w:r>
      <w:r>
        <w:rPr>
          <w:rStyle w:val="HideTWBExt"/>
        </w:rPr>
        <w:t>&lt;/NumAm&gt;</w:t>
      </w:r>
    </w:p>
    <w:p>
      <w:pPr>
        <w:pStyle w:val="NormalBold"/>
      </w:pPr>
      <w:r>
        <w:rPr>
          <w:rStyle w:val="HideTWBExt"/>
          <w:b w:val="0"/>
        </w:rPr>
        <w:t>&lt;RepeatBlock-By&gt;</w:t>
      </w:r>
      <w:r>
        <w:rPr>
          <w:rStyle w:val="HideTWBExt"/>
          <w:b w:val="0"/>
        </w:rPr>
        <w:t>&lt;Members&gt;</w:t>
      </w:r>
      <w:r>
        <w:t>Patryk Jaki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1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mano, kad peržiūrėtas susitarimas Parlamento požiūriu reiškia svarbią pažangą palaikant santykius su Komisija;</w:t>
            </w:r>
          </w:p>
        </w:tc>
        <w:tc>
          <w:tcPr>
            <w:tcW w:w="4876" w:type="dxa"/>
            <w:tcBorders>
              <w:top w:val="nil"/>
              <w:left w:val="nil"/>
              <w:bottom w:val="nil"/>
              <w:right w:val="nil"/>
            </w:tcBorders>
          </w:tcPr>
          <w:p>
            <w:pPr>
              <w:pStyle w:val="Normal6a"/>
            </w:pPr>
            <w:r>
              <w:t>1.</w:t>
            </w:r>
            <w:r>
              <w:tab/>
            </w:r>
            <w:r>
              <w:t xml:space="preserve">mano, kad peržiūrėtas susitarimas Parlamento požiūriu reiškia svarbią </w:t>
            </w:r>
            <w:r>
              <w:rPr>
                <w:b/>
                <w:i/>
              </w:rPr>
              <w:t>institucinę</w:t>
            </w:r>
            <w:r>
              <w:t xml:space="preserve"> pažangą palaikant santykius su Komisija</w:t>
            </w:r>
            <w:r>
              <w:rPr>
                <w:b/>
                <w:i/>
              </w:rPr>
              <w:t>, pabrėžiant, kad bet kokia pažanga šioje srityje turi būti grindžiama Sutartimis</w:t>
            </w:r>
            <w:r>
              <w:t>;</w:t>
            </w:r>
          </w:p>
        </w:tc>
      </w:tr>
    </w:tbl>
    <w:p>
      <w:pPr>
        <w:pStyle w:val="AmOrLang"/>
      </w:pPr>
      <w:r>
        <w:t xml:space="preserve">Or. </w:t>
      </w:r>
      <w:r>
        <w:rPr>
          <w:rStyle w:val="HideTWBExt"/>
        </w:rPr>
        <w:t>&lt;Original&gt;</w:t>
      </w:r>
      <w:r>
        <w:rPr>
          <w:rStyle w:val="HideTWBInt"/>
        </w:rPr>
        <w:t>{PL}</w:t>
      </w:r>
      <w:r>
        <w:t>pl</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8</w:t>
      </w:r>
      <w:r>
        <w:rPr>
          <w:rStyle w:val="HideTWBExt"/>
        </w:rPr>
        <w:t>&lt;/NumAm&gt;</w:t>
      </w:r>
    </w:p>
    <w:p>
      <w:pPr>
        <w:pStyle w:val="NormalBold"/>
      </w:pPr>
      <w:r>
        <w:rPr>
          <w:rStyle w:val="HideTWBExt"/>
          <w:b w:val="0"/>
        </w:rPr>
        <w:t>&lt;RepeatBlock-By&gt;</w:t>
      </w:r>
      <w:r>
        <w:rPr>
          <w:rStyle w:val="HideTWBExt"/>
          <w:b w:val="0"/>
        </w:rPr>
        <w:t>&lt;Members&gt;</w:t>
      </w:r>
      <w:r>
        <w:t>Nikolas Farantouris, Reinier Van Lanschot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1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mano, kad peržiūrėtas susitarimas Parlamento požiūriu reiškia </w:t>
            </w:r>
            <w:r>
              <w:rPr>
                <w:b/>
                <w:i/>
              </w:rPr>
              <w:t>svarbią</w:t>
            </w:r>
            <w:r>
              <w:t xml:space="preserve"> pažangą palaikant santykius su Komisija;</w:t>
            </w:r>
          </w:p>
        </w:tc>
        <w:tc>
          <w:tcPr>
            <w:tcW w:w="4876" w:type="dxa"/>
            <w:tcBorders>
              <w:top w:val="nil"/>
              <w:left w:val="nil"/>
              <w:bottom w:val="nil"/>
              <w:right w:val="nil"/>
            </w:tcBorders>
          </w:tcPr>
          <w:p>
            <w:pPr>
              <w:pStyle w:val="Normal6a"/>
            </w:pPr>
            <w:r>
              <w:t>1.</w:t>
            </w:r>
            <w:r>
              <w:tab/>
            </w:r>
            <w:r>
              <w:t xml:space="preserve">mano, kad peržiūrėtas susitarimas Parlamento požiūriu reiškia </w:t>
            </w:r>
            <w:r>
              <w:rPr>
                <w:b/>
                <w:i/>
              </w:rPr>
              <w:t>institucinę</w:t>
            </w:r>
            <w:r>
              <w:t xml:space="preserve"> pažangą palaikant santykius su Komisija;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9</w:t>
      </w:r>
      <w:r>
        <w:rPr>
          <w:rStyle w:val="HideTWBExt"/>
        </w:rPr>
        <w:t>&lt;/NumAm&gt;</w:t>
      </w:r>
    </w:p>
    <w:p>
      <w:pPr>
        <w:pStyle w:val="NormalBold"/>
      </w:pPr>
      <w:r>
        <w:rPr>
          <w:rStyle w:val="HideTWBExt"/>
          <w:b w:val="0"/>
        </w:rPr>
        <w:t>&lt;RepeatBlock-By&gt;</w:t>
      </w:r>
      <w:r>
        <w:rPr>
          <w:rStyle w:val="HideTWBExt"/>
          <w:b w:val="0"/>
        </w:rPr>
        <w:t>&lt;Members&gt;</w:t>
      </w:r>
      <w:r>
        <w:t>Juan Fernando López Aguilar, Klára Dobrev, Alessandro Zan, Marc Angel, Vasile Dîncu, Thijs Reuten, Nikolas Farantouris, Reinier Van Lanschot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2 dalies 1 įtrauka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w:t>
            </w:r>
            <w:r>
              <w:tab/>
            </w:r>
            <w:r>
              <w:t xml:space="preserve">vienodo požiūrio į Parlamentą ir Tarybą principo patvirtinimas ir Komisijos, kaip sąžiningos tarpininkės, vaidmuo, visų pirma užtikrinant, kad Parlamentui būtų laiku teikiama išsami </w:t>
            </w:r>
            <w:r>
              <w:rPr>
                <w:b/>
                <w:i/>
              </w:rPr>
              <w:t>ir</w:t>
            </w:r>
            <w:r>
              <w:t xml:space="preserve"> detali informacija, kaip matyti iš įsipareigojimo informuoti Parlamentą apie politikos iniciatyvas ir pasiūlymus dėl teisėkūros procedūra priimamų aktų, neįtrauktus į Komisijos darbo programą, ir pristatyti pagrindines iniciatyvas plenariniame posėdyje iš karto po to, kai jas patvirtina Komisijos narių kolegija;</w:t>
            </w:r>
          </w:p>
        </w:tc>
        <w:tc>
          <w:tcPr>
            <w:tcW w:w="4876" w:type="dxa"/>
            <w:tcBorders>
              <w:top w:val="nil"/>
              <w:left w:val="nil"/>
              <w:bottom w:val="nil"/>
              <w:right w:val="nil"/>
            </w:tcBorders>
          </w:tcPr>
          <w:p>
            <w:pPr>
              <w:pStyle w:val="Normal6a"/>
            </w:pPr>
            <w:r>
              <w:t>–</w:t>
            </w:r>
            <w:r>
              <w:tab/>
            </w:r>
            <w:r>
              <w:t>vienodo požiūrio į Parlamentą ir Tarybą principo patvirtinimas ir Komisijos, kaip sąžiningos tarpininkės, vaidmuo, visų pirma užtikrinant, kad Parlamentui būtų laiku teikiama išsami</w:t>
            </w:r>
            <w:r>
              <w:rPr>
                <w:b/>
                <w:i/>
              </w:rPr>
              <w:t>,</w:t>
            </w:r>
            <w:r>
              <w:t xml:space="preserve"> detali </w:t>
            </w:r>
            <w:r>
              <w:rPr>
                <w:b/>
                <w:i/>
              </w:rPr>
              <w:t>ir skaidri</w:t>
            </w:r>
            <w:r>
              <w:t xml:space="preserve"> informacija </w:t>
            </w:r>
            <w:r>
              <w:rPr>
                <w:b/>
                <w:i/>
              </w:rPr>
              <w:t>sudarant sąlygas atlikti prasmingą demokratinį tikrinimą</w:t>
            </w:r>
            <w:r>
              <w:t>, kaip matyti iš įsipareigojimo informuoti Parlamentą apie politikos iniciatyvas ir pasiūlymus dėl teisėkūros procedūra priimamų aktų, neįtrauktus į Komisijos darbo programą, ir pristatyti pagrindines iniciatyvas plenariniame posėdyje iš karto po to, kai jas patvirtina Komisijos narių kolegija;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10</w:t>
      </w:r>
      <w:r>
        <w:rPr>
          <w:rStyle w:val="HideTWBExt"/>
        </w:rPr>
        <w:t>&lt;/NumAm&gt;</w:t>
      </w:r>
    </w:p>
    <w:p>
      <w:pPr>
        <w:pStyle w:val="NormalBold"/>
      </w:pPr>
      <w:r>
        <w:rPr>
          <w:rStyle w:val="HideTWBExt"/>
          <w:b w:val="0"/>
        </w:rPr>
        <w:t>&lt;RepeatBlock-By&gt;</w:t>
      </w:r>
      <w:r>
        <w:rPr>
          <w:rStyle w:val="HideTWBExt"/>
          <w:b w:val="0"/>
        </w:rPr>
        <w:t>&lt;Members&gt;</w:t>
      </w:r>
      <w:r>
        <w:t>Juan Fernando López Aguilar, Klára Dobrev, Alessandro Zan, Marc Angel, Vasile Dîncu, Thijs Reuten, Nikolas Farantouris, Reinier Van Lanschot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2 dalies 1a įtrauka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Komisijos įsipareigojimas užtikrinti, kad jai pavestas poveikio vertinimas būtų atliekamas laikantis skaidrios procedūros, kuria garantuojamas nepriklausomas vertinimas;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11</w:t>
      </w:r>
      <w:r>
        <w:rPr>
          <w:rStyle w:val="HideTWBExt"/>
        </w:rPr>
        <w:t>&lt;/NumAm&gt;</w:t>
      </w:r>
    </w:p>
    <w:p>
      <w:pPr>
        <w:pStyle w:val="NormalBold"/>
      </w:pPr>
      <w:r>
        <w:rPr>
          <w:rStyle w:val="HideTWBExt"/>
          <w:b w:val="0"/>
        </w:rPr>
        <w:t>&lt;RepeatBlock-By&gt;</w:t>
      </w:r>
      <w:r>
        <w:rPr>
          <w:rStyle w:val="HideTWBExt"/>
          <w:b w:val="0"/>
        </w:rPr>
        <w:t>&lt;Members&gt;</w:t>
      </w:r>
      <w:r>
        <w:t>Juan Fernando López Aguilar, Klára Dobrev, Alessandro Zan, Marc Angel, Vasile Dîncu, Thijs Reuten, Nikolas Farantouris, Reinier Van Lanschot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2 dalies 1 b įtrauka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išrinktojo Komisijos Pirmininko pareiga pateikti Parlamentui išsamią informaciją apie būsimos Komisijos narių kolegijos sudėtį, įskaitant jos planuojamą struktūrą ir lyčių pusiausvyros užtikrinimą kolegijoje;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12</w:t>
      </w:r>
      <w:r>
        <w:rPr>
          <w:rStyle w:val="HideTWBExt"/>
        </w:rPr>
        <w:t>&lt;/NumAm&gt;</w:t>
      </w:r>
    </w:p>
    <w:p>
      <w:pPr>
        <w:pStyle w:val="NormalBold"/>
      </w:pPr>
      <w:r>
        <w:rPr>
          <w:rStyle w:val="HideTWBExt"/>
          <w:b w:val="0"/>
        </w:rPr>
        <w:t>&lt;RepeatBlock-By&gt;</w:t>
      </w:r>
      <w:r>
        <w:rPr>
          <w:rStyle w:val="HideTWBExt"/>
          <w:b w:val="0"/>
        </w:rPr>
        <w:t>&lt;Members&gt;</w:t>
      </w:r>
      <w:r>
        <w:t>Juan Fernando López Aguilar, Klára Dobrev, Alessandro Zan, Marc Angel, Vasile Dîncu, Thijs Reuten, Nikolas Farantouris, Reinier Van Lanschot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2 dalies 3 įtrauka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w:t>
            </w:r>
            <w:r>
              <w:tab/>
            </w:r>
            <w:r>
              <w:t>užtikrinimas, kad Parlamentas, vykdydamas savo politinės priežiūros funkciją, paprastai kvies Komisijos narius pateikti pareiškimus Parlamente; be to, Parlamentas gali prašyti, kad plenariniame posėdyje dalyvautų konkretus Komisijos narys, jei tai pateisinama atsižvelgiant į tam tikrą darbotvarkės punktą;</w:t>
            </w:r>
          </w:p>
        </w:tc>
        <w:tc>
          <w:tcPr>
            <w:tcW w:w="4876" w:type="dxa"/>
            <w:tcBorders>
              <w:top w:val="nil"/>
              <w:left w:val="nil"/>
              <w:bottom w:val="nil"/>
              <w:right w:val="nil"/>
            </w:tcBorders>
          </w:tcPr>
          <w:p>
            <w:pPr>
              <w:pStyle w:val="Normal6a"/>
            </w:pPr>
            <w:r>
              <w:t>–</w:t>
            </w:r>
            <w:r>
              <w:tab/>
            </w:r>
            <w:r>
              <w:t xml:space="preserve">užtikrinimas, kad Parlamentas, vykdydamas savo politinės priežiūros funkciją, paprastai kvies Komisijos narius pateikti pareiškimus Parlamente; be to, Parlamentas gali prašyti, kad plenariniame posėdyje dalyvautų konkretus Komisijos narys, jei tai pateisinama atsižvelgiant į tam tikrą darbotvarkės punktą; </w:t>
            </w:r>
            <w:r>
              <w:rPr>
                <w:b/>
                <w:i/>
              </w:rPr>
              <w:t>visų pirma klausimų valandoje, kurios trukmė siekia iki 90 minučių, turi dalyvauti Komisijos nariai, kurių atsakomybės sritys būtų susijusios su klausimų tema, taip siekiant užtikrinti prasmingas, atviras ir demokratines Europos Parlamento narių ir Komisijos narių diskusijas;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13</w:t>
      </w:r>
      <w:r>
        <w:rPr>
          <w:rStyle w:val="HideTWBExt"/>
        </w:rPr>
        <w:t>&lt;/NumAm&gt;</w:t>
      </w:r>
    </w:p>
    <w:p>
      <w:pPr>
        <w:pStyle w:val="NormalBold"/>
      </w:pPr>
      <w:r>
        <w:rPr>
          <w:rStyle w:val="HideTWBExt"/>
          <w:b w:val="0"/>
        </w:rPr>
        <w:t>&lt;RepeatBlock-By&gt;</w:t>
      </w:r>
      <w:r>
        <w:rPr>
          <w:rStyle w:val="HideTWBExt"/>
          <w:b w:val="0"/>
        </w:rPr>
        <w:t>&lt;Members&gt;</w:t>
      </w:r>
      <w:r>
        <w:t>Juan Fernando López Aguilar, Klára Dobrev, Alessandro Zan, Marc Angel, Vasile Dîncu, Thijs Reuten, Nikolas Farantouris, Reinier Van Lanschot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2 dalies 9 įtrauka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w:t>
            </w:r>
            <w:r>
              <w:tab/>
            </w:r>
            <w:r>
              <w:t>geresnis informacijos apie tarptautinius susitarimus srautas, taip stiprinant demokratinę atskaitomybę ir skaidrumą išorės politikos srityje;</w:t>
            </w:r>
          </w:p>
        </w:tc>
        <w:tc>
          <w:tcPr>
            <w:tcW w:w="4876" w:type="dxa"/>
            <w:tcBorders>
              <w:top w:val="nil"/>
              <w:left w:val="nil"/>
              <w:bottom w:val="nil"/>
              <w:right w:val="nil"/>
            </w:tcBorders>
          </w:tcPr>
          <w:p>
            <w:pPr>
              <w:pStyle w:val="Normal6a"/>
            </w:pPr>
            <w:r>
              <w:t>–</w:t>
            </w:r>
            <w:r>
              <w:tab/>
            </w:r>
            <w:r>
              <w:t xml:space="preserve">geresnis informacijos apie tarptautinius susitarimus srautas </w:t>
            </w:r>
            <w:r>
              <w:rPr>
                <w:b/>
                <w:i/>
              </w:rPr>
              <w:t>visais derybų etapais</w:t>
            </w:r>
            <w:r>
              <w:t>, taip stiprinant demokratinę atskaitomybę ir skaidrumą išorės politikos srityje;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14</w:t>
      </w:r>
      <w:r>
        <w:rPr>
          <w:rStyle w:val="HideTWBExt"/>
        </w:rPr>
        <w:t>&lt;/NumAm&gt;</w:t>
      </w:r>
    </w:p>
    <w:p>
      <w:pPr>
        <w:pStyle w:val="NormalBold"/>
      </w:pPr>
      <w:r>
        <w:rPr>
          <w:rStyle w:val="HideTWBExt"/>
          <w:b w:val="0"/>
        </w:rPr>
        <w:t>&lt;RepeatBlock-By&gt;</w:t>
      </w:r>
      <w:r>
        <w:rPr>
          <w:rStyle w:val="HideTWBExt"/>
          <w:b w:val="0"/>
        </w:rPr>
        <w:t>&lt;Members&gt;</w:t>
      </w:r>
      <w:r>
        <w:t>Juan Fernando López Aguilar, Klára Dobrev, Alessandro Zan, Marc Angel, Vasile Dîncu, Thijs Reuten, Nikolas Farantouris, Reinier Van Lanschot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2 a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2a.</w:t>
            </w:r>
            <w:r>
              <w:tab/>
            </w:r>
            <w:r>
              <w:rPr>
                <w:b/>
                <w:i/>
              </w:rPr>
              <w:t>ypač apgailestauja dėl to, kad į peržiūrėtą susitarimą neįtraukti šie abiejų institucijų santykių aspektai:</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 „Komisija, laikydamasi Sąjungos ir nacionalinės teisės nuostatų, padeda Europos Parlamento tyrimo komitetams atlikti jų užduotis pagal lojalaus tarpusavio bendradarbiavimo principą“</w:t>
            </w:r>
            <w:r>
              <w:rPr>
                <w:b/>
                <w:i/>
              </w:rPr>
              <w:t>ir</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 „Siekdami atlikti tyrimus pagal savo įgaliojimus, Europos Parlamento tyrimo komitetai gali</w:t>
            </w:r>
            <w:r>
              <w:t xml:space="preserve"> </w:t>
            </w:r>
            <w:r>
              <w:rPr>
                <w:b/>
                <w:i/>
              </w:rPr>
              <w:t>paraginti Komisiją paskirti vieną ar daugiau savo narių, kurie būtų atsakingi už tiriamą klausimą, ir išklausyti tuos narius, taip pat ES agentūrų atstovus, jei jų parodymai laikomi turinčiais esminės svarbos ir būtinais nuodugniam tiriamo klausimo vertinimui, ir gauti įrodymų iš Komisijos ir ES agentūrų pareigūnų ir kitų tarnautojų“;</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15</w:t>
      </w:r>
      <w:r>
        <w:rPr>
          <w:rStyle w:val="HideTWBExt"/>
        </w:rPr>
        <w:t>&lt;/NumAm&gt;</w:t>
      </w:r>
    </w:p>
    <w:p>
      <w:pPr>
        <w:pStyle w:val="NormalBold"/>
      </w:pPr>
      <w:r>
        <w:rPr>
          <w:rStyle w:val="HideTWBExt"/>
          <w:b w:val="0"/>
        </w:rPr>
        <w:t>&lt;RepeatBlock-By&gt;</w:t>
      </w:r>
      <w:r>
        <w:rPr>
          <w:rStyle w:val="HideTWBExt"/>
          <w:b w:val="0"/>
        </w:rPr>
        <w:t>&lt;Members&gt;</w:t>
      </w:r>
      <w:r>
        <w:t>Sandro Gozi, Ľubica Karvašová, Reinier Van Lanschot, Sven Simon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2 a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2a.</w:t>
            </w:r>
            <w:r>
              <w:tab/>
            </w:r>
            <w:r>
              <w:rPr>
                <w:b/>
                <w:i/>
              </w:rPr>
              <w:t>mano, kad demokratinei Komisijos priežiūrai vykdyti reikalinga ne tik tinkama teisinė sistema, bet ir politinės atsakomybės suvokimas ir įsipareigojimas;</w:t>
            </w:r>
            <w:r>
              <w:t xml:space="preserve"> </w:t>
            </w:r>
            <w:r>
              <w:rPr>
                <w:b/>
                <w:i/>
              </w:rPr>
              <w:t>atkreipia dėmesį į oficialų Parlamento narių ir Komisijos keitimąsi nuomonėmis per plenarinę sesiją, įskaitant klausimų valandą, nes tai yra Europos demokratijos kertinis akmuo;</w:t>
            </w:r>
            <w:r>
              <w:t xml:space="preserve"> </w:t>
            </w:r>
            <w:r>
              <w:rPr>
                <w:b/>
                <w:i/>
              </w:rPr>
              <w:t>įsipareigoja toliau investuoti į parlamentinę kultūrą ir ją puoselėti, kad būtų užtikrintas abiejų šalių dalyvavimas šiose sesijose, sudarant sąlygas prasmingam ir esminiam Parlamento ir Komisijos keitimuisi nuomonėmis;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16</w:t>
      </w:r>
      <w:r>
        <w:rPr>
          <w:rStyle w:val="HideTWBExt"/>
        </w:rPr>
        <w:t>&lt;/NumAm&gt;</w:t>
      </w:r>
    </w:p>
    <w:p>
      <w:pPr>
        <w:pStyle w:val="NormalBold"/>
      </w:pPr>
      <w:r>
        <w:rPr>
          <w:rStyle w:val="HideTWBExt"/>
          <w:b w:val="0"/>
        </w:rPr>
        <w:t>&lt;RepeatBlock-By&gt;</w:t>
      </w:r>
      <w:r>
        <w:rPr>
          <w:rStyle w:val="HideTWBExt"/>
          <w:b w:val="0"/>
        </w:rPr>
        <w:t>&lt;Members&gt;</w:t>
      </w:r>
      <w:r>
        <w:t>Patryk Jaki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2 a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2a.</w:t>
            </w:r>
            <w:r>
              <w:tab/>
            </w:r>
            <w:r>
              <w:rPr>
                <w:b/>
                <w:i/>
              </w:rPr>
              <w:t>pabrėžia, kad Komisijos nariams dalyvaujant Europos Parlamento rinkimų kampanijose, be kita ko, kaip pagrindiniams kandidatams (Spitzenkandidaten), neturi būti pažeidžiamas jų politinio neutralumo principas ir nesukuriama institucinių lūkesčių dėl skyrimo eiti pareigas, kurios nenumatytos pagal Sutartis;</w:t>
            </w:r>
          </w:p>
        </w:tc>
      </w:tr>
    </w:tbl>
    <w:p>
      <w:pPr>
        <w:pStyle w:val="AmOrLang"/>
      </w:pPr>
      <w:r>
        <w:t xml:space="preserve">Or. </w:t>
      </w:r>
      <w:r>
        <w:rPr>
          <w:rStyle w:val="HideTWBExt"/>
        </w:rPr>
        <w:t>&lt;Original&gt;</w:t>
      </w:r>
      <w:r>
        <w:rPr>
          <w:rStyle w:val="HideTWBInt"/>
        </w:rPr>
        <w:t>{PL}</w:t>
      </w:r>
      <w:r>
        <w:t>pl</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17</w:t>
      </w:r>
      <w:r>
        <w:rPr>
          <w:rStyle w:val="HideTWBExt"/>
        </w:rPr>
        <w:t>&lt;/NumAm&gt;</w:t>
      </w:r>
    </w:p>
    <w:p>
      <w:pPr>
        <w:pStyle w:val="NormalBold"/>
      </w:pPr>
      <w:r>
        <w:rPr>
          <w:rStyle w:val="HideTWBExt"/>
          <w:b w:val="0"/>
        </w:rPr>
        <w:t>&lt;RepeatBlock-By&gt;</w:t>
      </w:r>
      <w:r>
        <w:rPr>
          <w:rStyle w:val="HideTWBExt"/>
          <w:b w:val="0"/>
        </w:rPr>
        <w:t>&lt;Members&gt;</w:t>
      </w:r>
      <w:r>
        <w:t>Juan Fernando López Aguilar, Klára Dobrev, Alessandro Zan, Marc Angel, Vasile Dîncu, Thijs Reuten, Nikolas Farantouris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2 b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2b.</w:t>
            </w:r>
            <w:r>
              <w:tab/>
            </w:r>
            <w:r>
              <w:rPr>
                <w:b/>
                <w:i/>
              </w:rPr>
              <w:t>deramai atsižvelgdamas į Parlamento pareikštas nuomones, ypač apgailestauja dėl to, kad nebuvo pateikta atskirų pagrindimų, paaiškinančių, kodėl Komisija atšaukė savo pasiūlymus naujos Komisijos kadencijos pradžioje;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18</w:t>
      </w:r>
      <w:r>
        <w:rPr>
          <w:rStyle w:val="HideTWBExt"/>
        </w:rPr>
        <w:t>&lt;/NumAm&gt;</w:t>
      </w:r>
    </w:p>
    <w:p>
      <w:pPr>
        <w:pStyle w:val="NormalBold"/>
      </w:pPr>
      <w:r>
        <w:rPr>
          <w:rStyle w:val="HideTWBExt"/>
          <w:b w:val="0"/>
        </w:rPr>
        <w:t>&lt;RepeatBlock-By&gt;</w:t>
      </w:r>
      <w:r>
        <w:rPr>
          <w:rStyle w:val="HideTWBExt"/>
          <w:b w:val="0"/>
        </w:rPr>
        <w:t>&lt;Members&gt;</w:t>
      </w:r>
      <w:r>
        <w:t>Juan Fernando López Aguilar, Klára Dobrev, Alessandro Zan, Marc Angel, Vasile Dîncu, Thijs Reuten, Nikolas Farantouris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2 c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2c.</w:t>
            </w:r>
            <w:r>
              <w:tab/>
            </w:r>
            <w:r>
              <w:rPr>
                <w:b/>
                <w:i/>
              </w:rPr>
              <w:t>apgailestauja dėl to, kad trūksta informacijos iš Komisijos, ar prie naujų teisėkūros iniciatyvų bus pridėtas poveikio vertinimas, ir tinkamo pagrindimo nesant poveikio vertinimo;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19</w:t>
      </w:r>
      <w:r>
        <w:rPr>
          <w:rStyle w:val="HideTWBExt"/>
        </w:rPr>
        <w:t>&lt;/NumAm&gt;</w:t>
      </w:r>
    </w:p>
    <w:p>
      <w:pPr>
        <w:pStyle w:val="NormalBold"/>
      </w:pPr>
      <w:r>
        <w:rPr>
          <w:rStyle w:val="HideTWBExt"/>
          <w:b w:val="0"/>
        </w:rPr>
        <w:t>&lt;RepeatBlock-By&gt;</w:t>
      </w:r>
      <w:r>
        <w:rPr>
          <w:rStyle w:val="HideTWBExt"/>
          <w:b w:val="0"/>
        </w:rPr>
        <w:t>&lt;Members&gt;</w:t>
      </w:r>
      <w:r>
        <w:t>Juan Fernando López Aguilar, Klára Dobrev, Alessandro Zan, Marc Angel, Vasile Dîncu, Thijs Reuten, Nikolas Farantouris, Reinier Van Lanschot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2 d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2d.</w:t>
            </w:r>
            <w:r>
              <w:tab/>
            </w:r>
            <w:r>
              <w:rPr>
                <w:b/>
                <w:i/>
              </w:rPr>
              <w:t>tikisi, kad Komisija visapusiškai laikysis tiek naujų, tiek esamų šio susitarimo nuostatų.</w:t>
            </w:r>
            <w:r>
              <w:t xml:space="preserve"> </w:t>
            </w:r>
            <w:r>
              <w:rPr>
                <w:b/>
                <w:i/>
              </w:rPr>
              <w:t>įsigaliojus šiam susitarimui Europos Parlamentas turėtų vykdyti reguliarią jo įgyvendinimo stebėseną;</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r>
        <w:rPr>
          <w:rStyle w:val="HideTWBExt"/>
        </w:rPr>
        <w:t>&lt;/RepeatBlock-Amend&gt;</w:t>
      </w:r>
    </w:p>
    <w:sectPr>
      <w:footerReference w:type="even" r:id="rId5"/>
      <w:footerReference w:type="default" r:id="rId6"/>
      <w:footerReference w:type="first" r:id="rId7"/>
      <w:pgSz w:w="11909" w:h="16834"/>
      <w:pgMar w:top="1134" w:right="1417" w:bottom="1417" w:left="1417" w:header="1134" w:footer="567"/>
      <w:cols w:space="720"/>
      <w:titlePg/>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t>PE</w:t>
    </w:r>
    <w:r>
      <w:rPr>
        <w:rStyle w:val="HideTWBExt"/>
      </w:rPr>
      <w:t>&lt;NoPE&gt;</w:t>
    </w:r>
    <w:r>
      <w:t>784.243</w:t>
    </w:r>
    <w:r>
      <w:rPr>
        <w:rStyle w:val="HideTWBExt"/>
      </w:rPr>
      <w:t>&lt;/NoPE&gt;</w:t>
    </w:r>
    <w:r>
      <w:rPr>
        <w:rStyle w:val="HideTWBExt"/>
      </w:rPr>
      <w:t>&lt;Version&gt;</w:t>
    </w:r>
    <w:r>
      <w:t>v01-00</w:t>
    </w:r>
    <w:r>
      <w:rPr>
        <w:rStyle w:val="HideTWBExt"/>
      </w:rPr>
      <w:t>&lt;/Version&gt;</w:t>
    </w:r>
    <w:r>
      <w:tab/>
    </w:r>
    <w:r>
      <w:fldChar w:fldCharType="begin"/>
    </w:r>
    <w:r>
      <w:instrText xml:space="preserve"> PAGE </w:instrText>
    </w:r>
    <w:r>
      <w:fldChar w:fldCharType="separate"/>
    </w:r>
    <w:r>
      <w:t>10</w:t>
    </w:r>
    <w:r>
      <w:fldChar w:fldCharType="end"/>
    </w:r>
    <w:r>
      <w:t>/</w:t>
    </w:r>
    <w:r>
      <w:fldChar w:fldCharType="begin"/>
    </w:r>
    <w:r>
      <w:instrText xml:space="preserve"> NUMPAGES </w:instrText>
    </w:r>
    <w:r>
      <w:fldChar w:fldCharType="separate"/>
    </w:r>
    <w:r>
      <w:t>11</w:t>
    </w:r>
    <w:r>
      <w:fldChar w:fldCharType="end"/>
    </w:r>
    <w:r>
      <w:tab/>
    </w:r>
    <w:r>
      <w:rPr>
        <w:rStyle w:val="HideTWBExt"/>
      </w:rPr>
      <w:t>&lt;PathFdR&gt;</w:t>
    </w:r>
    <w:r>
      <w:t>AM\1336622LT.docx</w:t>
    </w:r>
    <w:r>
      <w:rPr>
        <w:rStyle w:val="HideTWBExt"/>
      </w:rPr>
      <w:t>&lt;/PathFdR&gt;</w:t>
    </w:r>
  </w:p>
  <w:p>
    <w:pPr>
      <w:pStyle w:val="EPFooter2"/>
    </w:pPr>
    <w:r>
      <w:t>LT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&lt;PathFdR&gt;</w:t>
    </w:r>
    <w:r>
      <w:t>AM\1336622LT.docx</w:t>
    </w:r>
    <w:r>
      <w:rPr>
        <w:rStyle w:val="HideTWBExt"/>
      </w:rPr>
      <w:t>&lt;/PathFdR&gt;</w:t>
    </w:r>
    <w:r>
      <w:tab/>
    </w:r>
    <w:r>
      <w:fldChar w:fldCharType="begin"/>
    </w:r>
    <w:r>
      <w:instrText xml:space="preserve"> PAGE </w:instrText>
    </w:r>
    <w:r>
      <w:fldChar w:fldCharType="separate"/>
    </w:r>
    <w:r>
      <w:t>11</w:t>
    </w:r>
    <w:r>
      <w:fldChar w:fldCharType="end"/>
    </w:r>
    <w:r>
      <w:t>/</w:t>
    </w:r>
    <w:r>
      <w:fldChar w:fldCharType="begin"/>
    </w:r>
    <w:r>
      <w:instrText xml:space="preserve"> NUMPAGES </w:instrText>
    </w:r>
    <w:r>
      <w:fldChar w:fldCharType="separate"/>
    </w:r>
    <w:r>
      <w:t>11</w:t>
    </w:r>
    <w:r>
      <w:fldChar w:fldCharType="end"/>
    </w:r>
    <w:r>
      <w:tab/>
    </w:r>
    <w:r>
      <w:t>PE</w:t>
    </w:r>
    <w:r>
      <w:rPr>
        <w:rStyle w:val="HideTWBExt"/>
      </w:rPr>
      <w:t>&lt;NoPE&gt;</w:t>
    </w:r>
    <w:r>
      <w:t>784.243</w:t>
    </w:r>
    <w:r>
      <w:rPr>
        <w:rStyle w:val="HideTWBExt"/>
      </w:rPr>
      <w:t>&lt;/NoPE&gt;</w:t>
    </w:r>
    <w:r>
      <w:rPr>
        <w:rStyle w:val="HideTWBExt"/>
      </w:rPr>
      <w:t>&lt;Version&gt;</w:t>
    </w:r>
    <w:r>
      <w:t>v01-00</w:t>
    </w:r>
    <w:r>
      <w:rPr>
        <w:rStyle w:val="HideTWBExt"/>
      </w:rPr>
      <w:t>&lt;/Version&gt;</w:t>
    </w:r>
  </w:p>
  <w:p>
    <w:pPr>
      <w:pStyle w:val="EPFooter2"/>
    </w:pPr>
    <w:r>
      <w:tab/>
    </w:r>
    <w:r>
      <w:tab/>
    </w:r>
    <w:r>
      <w:t>LT</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&lt;PathFdR&gt;</w:t>
    </w:r>
    <w:r>
      <w:t>AM\1336622LT.docx</w:t>
    </w:r>
    <w:r>
      <w:rPr>
        <w:rStyle w:val="HideTWBExt"/>
      </w:rPr>
      <w:t>&lt;/PathFdR&gt;</w:t>
    </w:r>
    <w:r>
      <w:tab/>
    </w:r>
    <w:r>
      <w:tab/>
    </w:r>
    <w:r>
      <w:t>PE</w:t>
    </w:r>
    <w:r>
      <w:rPr>
        <w:rStyle w:val="HideTWBExt"/>
      </w:rPr>
      <w:t>&lt;NoPE&gt;</w:t>
    </w:r>
    <w:r>
      <w:t>784.243</w:t>
    </w:r>
    <w:r>
      <w:rPr>
        <w:rStyle w:val="HideTWBExt"/>
      </w:rPr>
      <w:t>&lt;/NoPE&gt;</w:t>
    </w:r>
    <w:r>
      <w:rPr>
        <w:rStyle w:val="HideTWBExt"/>
      </w:rPr>
      <w:t>&lt;Version&gt;</w:t>
    </w:r>
    <w:r>
      <w:t>v01-00</w:t>
    </w:r>
    <w:r>
      <w:rPr>
        <w:rStyle w:val="HideTWBExt"/>
      </w:rPr>
      <w:t>&lt;/Version&gt;</w:t>
    </w:r>
  </w:p>
  <w:p>
    <w:pPr>
      <w:pStyle w:val="EPFooter2"/>
    </w:pPr>
    <w:r>
      <w:t>LT</w:t>
    </w:r>
    <w:r>
      <w:tab/>
    </w:r>
    <w:r>
      <w:rPr>
        <w:rStyle w:val="EPFooter2Motto"/>
      </w:rPr>
      <w:t>Suvienijusi įvairovę</w:t>
    </w:r>
    <w:r>
      <w:tab/>
    </w:r>
    <w:r>
      <w:t>LT</w: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evenAndOddHeaders/>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docVars>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roman\fcharset0\fprq2{\*\panose 02020603050405020304}Times New Roman;}{\flominor\f31504\fbidi \froman\fcharset0\fprq2{\*\panose 02020603050405020304}Times New Roman;}&#13;_x000a_{\fdbminor\f31505\fbidi \froman\fcharset0\fprq2{\*\panose 02020603050405020304}Times New Roman;}{\fhiminor\f31506\fbidi \fswiss\fcharset0\fprq2{\*\panose 020f0502020204030204}Calibri;}&#13;_x000a_{\fbiminor\f31507\fbidi \froman\fcharset0\fprq2{\*\panose 02020603050405020304}Times New Roman;}{\f276\fbidi \froman\fcharset238\fprq2 Times New Roman CE;}{\f277\fbidi \froman\fcharset204\fprq2 Times New Roman Cyr;}&#13;_x000a_{\f279\fbidi \froman\fcharset161\fprq2 Times New Roman Greek;}{\f280\fbidi \froman\fcharset162\fprq2 Times New Roman Tur;}{\f281\fbidi \froman\fcharset177\fprq2 Times New Roman (Hebrew);}{\f282\fbidi \froman\fcharset178\fprq2 Times New Roman (Arabic);}&#13;_x000a_{\f283\fbidi \froman\fcharset186\fprq2 Times New Roman Baltic;}{\f284\fbidi \froman\fcharset163\fprq2 Times New Roman (Vietnamese);}{\f286\fbidi \fswiss\fcharset238\fprq2 Arial CE;}{\f287\fbidi \fswiss\fcharset204\fprq2 Arial Cyr;}&#13;_x000a_{\f289\fbidi \fswiss\fcharset161\fprq2 Arial Greek;}{\f290\fbidi \fswiss\fcharset162\fprq2 Arial Tur;}{\f291\fbidi \fswiss\fcharset177\fprq2 Arial (Hebrew);}{\f292\fbidi \fswiss\fcharset178\fprq2 Arial (Arabic);}&#13;_x000a_{\f293\fbidi \fswiss\fcharset186\fprq2 Arial Baltic;}{\f294\fbidi \fswiss\fcharset163\fprq2 Arial (Vietnamese);}{\f616\fbidi \froman\fcharset238\fprq2 Cambria Math CE;}{\f617\fbidi \froman\fcharset204\fprq2 Cambria Math Cyr;}&#13;_x000a_{\f619\fbidi \froman\fcharset161\fprq2 Cambria Math Greek;}{\f620\fbidi \froman\fcharset162\fprq2 Cambria Math Tur;}{\f623\fbidi \froman\fcharset186\fprq2 Cambria Math Baltic;}{\f624\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38\fbidi \froman\fcharset238\fprq2 Times New Roman CE;}{\fbimajor\f31539\fbidi \froman\fcharset204\fprq2 Times New Roman Cyr;}{\fbimajor\f31541\fbidi \froman\fcharset161\fprq2 Times New Roman Greek;}&#13;_x000a_{\fbimajor\f31542\fbidi \froman\fcharset162\fprq2 Times New Roman Tur;}{\fbimajor\f31543\fbidi \froman\fcharset177\fprq2 Times New Roman (Hebrew);}{\fbimajor\f31544\fbidi \froman\fcharset178\fprq2 Times New Roman (Arabic);}&#13;_x000a_{\fbimajor\f31545\fbidi \froman\fcharset186\fprq2 Times New Roman Baltic;}{\fbimajor\f31546\fbidi \froman\fcharset163\fprq2 Times New Roman (Vietnamese);}{\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dbminor\f31558\fbidi \froman\fcharset238\fprq2 Times New Roman CE;}{\fdbminor\f31559\fbidi \froman\fcharset204\fprq2 Times New Roman Cyr;}&#13;_x000a_{\fdbminor\f31561\fbidi \froman\fcharset161\fprq2 Times New Roman Greek;}{\fdbminor\f31562\fbidi \froman\fcharset162\fprq2 Times New Roman Tur;}{\fdbminor\f31563\fbidi \froman\fcharset177\fprq2 Times New Roman (Hebrew);}&#13;_x000a_{\fdbminor\f31564\fbidi \froman\fcharset178\fprq2 Times New Roman (Arabic);}{\fdbminor\f31565\fbidi \froman\fcharset186\fprq2 Times New Roman Baltic;}{\fdbminor\f31566\fbidi \froman\fcharset163\fprq2 Times New Roman (Vietnamese);}&#13;_x000a_{\fhiminor\f31568\fbidi \fswiss\fcharset238\fprq2 Calibri CE;}{\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78\fbidi \froman\fcharset238\fprq2 Times New Roman CE;}{\fbiminor\f31579\fbidi \froman\fcharset204\fprq2 Times New Roman Cyr;}&#13;_x000a_{\fbiminor\f31581\fbidi \froman\fcharset161\fprq2 Times New Roman Greek;}{\fbiminor\f31582\fbidi \froman\fcharset162\fprq2 Times New Roman Tur;}{\fbiminor\f31583\fbidi \froman\fcharset177\fprq2 Times New Roman (Hebrew);}&#13;_x000a_{\fbiminor\f31584\fbidi \froman\fcharset178\fprq2 Times New Roman (Arabic);}{\fbiminor\f31585\fbidi \froman\fcharset186\fprq2 Times New Roman Baltic;}{\fbiminor\f31586\fbidi \froman\fcharset163\fprq2 Times New Roman (Vietnamese);}}&#13;_x000a_{\colortbl;\red0\green0\blue0;\red0\green0\blue255;\red0\green255\blue255;\red0\green255\blue0;\red255\green0\blue255;\red255\green0\blue0;\red255\green255\blue0;\red255\green255\blue255;\red0\green0\blue128;\red0\green128\blue128;\red0\green128\blue0;&#13;_x000a_\red128\green0\blue128;\red128\green0\blue0;\red128\green128\blue0;\red128\green128\blue128;\red192\green192\blue192;}{\*\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Normal;}{\*\cs10 \additive &#13;_x000a_\ssemihidden \spriority0 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priority0 Normal Table;}{\*\cs15 \additive &#13;_x000a_\v\f1\fs20\cf9\lang1024\langfe1024\noproof \spriority0 \styrsid1140430 HideTWBExt;}{\s16\qr \li0\ri0\sb240\sa240\nowidctlpar\wrapdefault\aspalpha\aspnum\faauto\adjustright\rin0\lin0\itap0 \rtlch\fcs1 \af0\afs20\alang1025 \ltrch\fcs0 &#13;_x000a_\fs24\lang2057\langfe2057\cgrid\langnp2057\langfenp2057 \sbasedon0 \snext16 \spriority0 \styrsid1140430 AmOrLang;}{\s17\ql \li0\ri0\sa120\nowidctlpar\wrapdefault\aspalpha\aspnum\faauto\adjustright\rin0\lin0\itap0 \rtlch\fcs1 \af0\afs20\alang1025 &#13;_x000a_\ltrch\fcs0 \fs24\lang2057\langfe2057\cgrid\langnp2057\langfenp2057 \sbasedon0 \snext17 \spriority0 \styrsid1140430 Normal6a;}{\s18\ql \li0\ri0\nowidctlpar\wrapdefault\aspalpha\aspnum\faauto\adjustright\rin0\lin0\itap0 \rtlch\fcs1 \af0\afs20\alang1025 &#13;_x000a_\ltrch\fcs0 \b\fs24\lang2057\langfe2057\cgrid\langnp2057\langfenp2057 \sbasedon0 \snext18 \spriority0 \styrsid1140430 NormalBold;}{\s19\qc \li0\ri0\sa240\nowidctlpar\wrapdefault\aspalpha\aspnum\faauto\adjustright\rin0\lin0\itap0 \rtlch\fcs1 &#13;_x000a_\af0\afs20\alang1025 \ltrch\fcs0 \i\fs24\lang2057\langfe2057\cgrid\langnp2057\langfenp2057 \sbasedon0 \snext19 \spriority0 \styrsid1140430 AmColumnHeading;}{\s20\ql \li0\ri0\sb240\nowidctlpar&#13;_x000a_\tx879\tx936\tx1021\tx1077\tx1134\tx1191\tx1247\tx1304\tx1361\tx1418\tx1474\tx1531\tx1588\tx1644\tx1701\tx1758\tx1814\tx1871\tx2070\tx2126\tx3374\tx3430\wrapdefault\aspalpha\aspnum\faauto\adjustright\rin0\lin0\itap0 \rtlch\fcs1 \af0\afs20\alang1025 &#13;_x000a_\ltrch\fcs0 \b\fs24\lang2057\langfe2057\cgrid\langnp2057\langfenp2057 \sbasedon0 \snext20 \spriority0 \styrsid1140430 AmNumberTabs;}}{\*\rsidtbl \rsid24658\rsid358857\rsid735077\rsid787282\rsid1140430\rsid2892074\rsid3622648\rsid4666813\rsid5708216&#13;_x000a_\rsid6641733\rsid7553164\rsid8465581\rsid8681905\rsid8724649\rsid9636012\rsid9862312\rsid11215221\rsid11370291\rsid11434737\rsid11607138\rsid11824949\rsid12154954\rsid12213393\rsid14424199\rsid15204470\rsid15285974\rsid15535219\rsid15950462\rsid16324206&#13;_x000a_\rsid16662270}{\mmathPr\mmathFont34\mbrkBin0\mbrkBinSub0\msmallFrac0\mdispDef1\mlMargin0\mrMargin0\mdefJc1\mwrapIndent1440\mintLim0\mnaryLim1}{\info{\author FELIX Karina}{\operator FELIX Karina}{\creatim\yr2019\mo7\dy3\hr17\min21}&#13;_x000a_{\revtim\yr2019\mo7\dy3\hr17\min21}{\version1}{\edmins0}{\nofpages1}{\nofwords25}{\nofchars291}{\*\company European Parliament}{\nofcharsws294}{\vern97}}{\*\xmlnstbl {\xmlns1 http://schemas.microsoft.com/office/word/2003/wordml}}&#13;_x000a_\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1\viewscale100\pgbrdrhead\pgbrdrfoot\nolnhtadjtbl\nojkernpunct\rsidroot1140430\utinl \donotshowprops1\fet0{\*\wgrffmtfilter 013f}\ilfomacatclnup0{\*\template C:\\Users\\kfelix\\AppData\\Local\\Temp\\Blank1.dot}{\*\ftnsep \ltrpar &#13;_x000a_\pard\plain \ltrpar\ql \li0\ri0\widctlpar\wrapdefault\aspalpha\aspnum\faauto\adjustright\rin0\lin0\itap0 \rtlch\fcs1 \af0\afs20\alang1025 \ltrch\fcs0 \fs24\lang2057\langfe2057\cgrid\langnp2057\langfenp2057 {\rtlch\fcs1 \af0 \ltrch\fcs0 \insrsid12213393 &#13;_x000a_\chftnsep &#13;_x000a_\par }}{\*\ftnsepc \ltrpar \pard\plain \ltrpar\ql \li0\ri0\widctlpar\wrapdefault\aspalpha\aspnum\faauto\adjustright\rin0\lin0\itap0 \rtlch\fcs1 \af0\afs20\alang1025 \ltrch\fcs0 \fs24\lang2057\langfe2057\cgrid\langnp2057\langfenp2057 {\rtlch\fcs1 \af0 &#13;_x000a_\ltrch\fcs0 \insrsid12213393 \chftnsepc &#13;_x000a_\par }}{\*\aftnsep \ltrpar \pard\plain \ltrpar\ql \li0\ri0\widctlpar\wrapdefault\aspalpha\aspnum\faauto\adjustright\rin0\lin0\itap0 \rtlch\fcs1 \af0\afs20\alang1025 \ltrch\fcs0 \fs24\lang2057\langfe2057\cgrid\langnp2057\langfenp2057 {\rtlch\fcs1 \af0 &#13;_x000a_\ltrch\fcs0 \insrsid12213393 \chftnsep &#13;_x000a_\par }}{\*\aftnsepc \ltrpar \pard\plain \ltrpar\ql \li0\ri0\widctlpar\wrapdefault\aspalpha\aspnum\faauto\adjustright\rin0\lin0\itap0 \rtlch\fcs1 \af0\afs20\alang1025 \ltrch\fcs0 \fs24\lang2057\langfe2057\cgrid\langnp2057\langfenp2057 {\rtlch\fcs1 \af0 &#13;_x000a_\ltrch\fcs0 \insrsid12213393 \chftnsepc &#13;_x000a_\par }}\ltrpar \sectd \ltrsect\psz9\linex0\headery1134\footery505\endnhere\titlepg\sectdefaultcl\sectrsid14424199\sftnbj\sftnrestart {\*\pnseclvl1\pnucrm\pnstart1\pnindent720\pnhang {\pntxta .}}{\*\pnseclvl2\pnucltr\pnstart1\pnindent720\pnhang {\pntxta .}}&#13;_x000a_{\*\pnseclvl3\pndec\pnstart1\pnindent720\pnhang {\pntxta .}}{\*\pnseclvl4\pnlcltr\pnstart1\pnindent720\pnhang {\pntxta )}}{\*\pnseclvl5\pndec\pnstart1\pnindent720\pnhang {\pntxtb (}{\pntxta )}}{\*\pnseclvl6\pnlcltr\pnstart1\pnindent720\pnhang {\pntxtb (}&#13;_x000a_{\pntxta )}}{\*\pnseclvl7\pnlcrm\pnstart1\pnindent720\pnhang {\pntxtb (}{\pntxta )}}{\*\pnseclvl8\pnlcltr\pnstart1\pnindent720\pnhang {\pntxtb (}{\pntxta )}}{\*\pnseclvl9\pnlcrm\pnstart1\pnindent720\pnhang {\pntxtb (}{\pntxta )}}\pard\plain \ltrpar&#13;_x000a_\s20\ql \li0\ri0\sb240\keepn\nowidctlpar\tx879\tx936\tx1021\tx1077\tx1134\tx1191\tx1247\tx1304\tx1361\tx1418\tx1474\tx1531\tx1588\tx1644\tx1701\tx1758\tx1814\tx1871\tx2070\tx2126\tx3374\tx3430\wrapdefault\aspalpha\aspnum\faauto\adjustright\rin0&#13;_x000a_\lin0\itap0\pararsid1140430 \rtlch\fcs1 \af0\afs20\alang1025 \ltrch\fcs0 \b\fs24\lang2057\langfe2057\cgrid\langnp2057\langfenp2057 {\rtlch\fcs1 \af0 \ltrch\fcs0 \cs15\b0\v\f1\fs20\cf9\lang1024\langfe1024\noproof\insrsid1140430\charrsid4417459 &#13;_x000a_{\*\bkmkstart restart}&lt;Amend&gt;}{\rtlch\fcs1 \af0 \ltrch\fcs0 \insrsid1140430\charrsid1799708 [ZAMENDMENT]}{\rtlch\fcs1 \af0 \ltrch\fcs0 \insrsid1140430 \tab \tab }{\rtlch\fcs1 \af0 \ltrch\fcs0 &#13;_x000a_\cs15\b0\v\f1\fs20\cf9\lang1024\langfe1024\noproof\insrsid1140430\charrsid4417459 &lt;NumAm&gt;}{\rtlch\fcs1 \af0 \ltrch\fcs0 \insrsid1140430\charrsid1799708 [ZNRAM]}{\rtlch\fcs1 \af0 \ltrch\fcs0 &#13;_x000a_\cs15\b0\v\f1\fs20\cf9\lang1024\langfe1024\noproof\insrsid1140430\charrsid4417459 &lt;/NumAm&gt;}{\rtlch\fcs1 \af0 \ltrch\fcs0 \insrsid1140430\charrsid4080556 &#13;_x000a_\par }\pard\plain \ltrpar\s18\ql \li0\ri0\nowidctlpar\wrapdefault\aspalpha\aspnum\faauto\adjustright\rin0\lin0\itap0\pararsid1140430 \rtlch\fcs1 \af0\afs20\alang1025 \ltrch\fcs0 \b\fs24\lang2057\langfe2057\cgrid\langnp2057\langfenp2057 {\rtlch\fcs1 \af0 &#13;_x000a_\ltrch\fcs0 \cs15\b0\v\f1\fs20\cf9\lang1024\langfe1024\noproof\insrsid1140430\charrsid14699840 &lt;RepeatBlock-By&gt;}{\rtlch\fcs1 \af0 \ltrch\fcs0 \lang1024\langfe1024\noproof\insrsid1140430\charrsid14699840 [RepeatMembers]}{\rtlch\fcs1 \af0 \ltrch\fcs0 &#13;_x000a_\cs15\b0\v\f1\fs20\cf9\lang1024\langfe1024\noproof\insrsid1140430\charrsid14699840 &lt;Members&gt;}{\rtlch\fcs1 \af0 \ltrch\fcs0 \insrsid1140430\charrsid14699840 [ZMEMBERS]}{\rtlch\fcs1 \af0 \ltrch\fcs0 &#13;_x000a_\cs15\b0\v\f1\fs20\cf9\lang1024\langfe1024\noproof\insrsid1140430\charrsid14699840 &lt;/Members&gt;}{\rtlch\fcs1 \af0 \ltrch\fcs0 \insrsid1140430\charrsid14699840 &#13;_x000a_\par }\pard\plain \ltrpar\ql \li0\ri0\widctlpar\wrapdefault\aspalpha\aspnum\faauto\adjustright\rin0\lin0\itap0\pararsid1140430 \rtlch\fcs1 \af0\afs20\alang1025 \ltrch\fcs0 \fs24\lang2057\langfe2057\cgrid\langnp2057\langfenp2057 {\rtlch\fcs1 \af0 \ltrch\fcs0 &#13;_x000a_\cs15\v\f1\fs20\cf9\lang1024\langfe1024\noproof\langnp1043\insrsid1140430\charrsid14424489 &lt;AuNomDe&gt;&lt;OptDel&gt;}{\rtlch\fcs1 \af0 \ltrch\fcs0 \lang1043\langfe2057\langnp1043\insrsid1140430\charrsid14424489 [ZONBEHALF]}{\rtlch\fcs1 \af0 \ltrch\fcs0 &#13;_x000a_\cs15\v\f1\fs20\cf9\lang1024\langfe1024\noproof\langnp1043\insrsid1140430\charrsid14424489 &lt;/OptDel&gt;&lt;/AuNomDe&gt;}{\rtlch\fcs1 \af0 \ltrch\fcs0 \lang1043\langfe2057\langnp1043\insrsid1140430\charrsid14424489 &#13;_x000a_\par }{\rtlch\fcs1 \af0 \ltrch\fcs0 \insrsid1140430\charrsid14699840 &lt;&lt;&lt;}{\rtlch\fcs1 \af0 \ltrch\fcs0 \cs15\v\f1\fs20\cf9\lang1024\langfe1024\noproof\insrsid1140430\charrsid14699840 &lt;/RepeatBlock-By&gt;}{\rtlch\fcs1 \af0 \ltrch\fcs0 &#13;_x000a_\insrsid1140430\charrsid14699840 &#13;_x000a_\par }\pard\plain \ltrpar\s18\ql \li0\ri0\nowidctlpar\wrapdefault\aspalpha\aspnum\faauto\adjustright\rin0\lin0\itap0\pararsid1140430 \rtlch\fcs1 \af0\afs20\alang1025 \ltrch\fcs0 \b\fs24\lang2057\langfe2057\cgrid\langnp2057\langfenp2057 {\rtlch\fcs1 \af0 &#13;_x000a_\ltrch\fcs0 \cs15\b0\v\f1\fs20\cf9\lang1024\langfe1024\noproof\insrsid1140430\charrsid4737239 &lt;DocAmend&gt;}{\rtlch\fcs1 \af0 \ltrch\fcs0 \insrsid1140430\charrsid1799708 [Z}{\rtlch\fcs1 \af0 \ltrch\fcs0 \insrsid1140430 AMDOC}{\rtlch\fcs1 \af0 \ltrch\fcs0 &#13;_x000a_\insrsid1140430\charrsid1799708 ]}{\rtlch\fcs1 \af0 \ltrch\fcs0 \cs15\b0\v\f1\fs20\cf9\lang1024\langfe1024\noproof\insrsid1140430\charrsid4737239 &lt;/DocAmend&gt;}{\rtlch\fcs1 \af0 \ltrch\fcs0 \insrsid1140430\charrsid1799708 &#13;_x000a_\par }{\rtlch\fcs1 \af0 \ltrch\fcs0 \cs15\b0\v\f1\fs20\cf9\lang1024\langfe1024\noproof\insrsid1140430\charrsid1799708 &lt;Article&gt;}{\rtlch\fcs1 \af0 \ltrch\fcs0 \insrsid1140430\charrsid1799708 [ZAMPART]}{\rtlch\fcs1 \af0 \ltrch\fcs0 &#13;_x000a_\cs15\b0\v\f1\fs20\cf9\lang1024\langfe1024\noproof\insrsid1140430\charrsid1799708 &lt;/Article&gt;}{\rtlch\fcs1 \af0 \ltrch\fcs0 \insrsid1140430\charrsid1799708 &#13;_x000a_\par \ltrrow}\trowd \irow0\irowband0\ltrrow\ts11\trqc\trgaph340\trleft-340\trftsWidth3\trwWidth9752\trftsWidthB3\trpaddl340\trpaddr340\trpaddfl3\trpaddft3\trpaddfb3\trpaddfr3\tblrsid7949889\tblind0\tblindtype3 \clvertalt\clbrdrt\brdrtbl \clbrdrl\brdrtbl &#13;_x000a_\clbrdrb\brdrtbl \clbrdrr\brdrtbl \cltxlrtb\clftsWidth3\clwWidth9752\clshdrawnil \cellx9412\pard\plain \ltrpar\ql \li0\ri0\keepn\widctlpar\intbl\wrapdefault\aspalpha\aspnum\faauto\adjustright\rin0\lin0\pararsid13053803 \rtlch\fcs1 \af0\afs20\alang1025 &#13;_x000a_\ltrch\fcs0 \fs24\lang2057\langfe2057\cgrid\langnp2057\langfenp2057 {\rtlch\fcs1 \af0 \ltrch\fcs0 \insrsid1140430\charrsid1799708 \cell }\pard\plain \ltrpar\ql \li0\ri0\widctlpar\intbl\wrapdefault\aspalpha\aspnum\faauto\adjustright\rin0\lin0 \rtlch\fcs1 &#13;_x000a_\af0\afs20\alang1025 \ltrch\fcs0 \fs24\lang2057\langfe2057\cgrid\langnp2057\langfenp2057 {\rtlch\fcs1 \af0 \ltrch\fcs0 \insrsid1140430\charrsid1799708 \trowd \irow0\irowband0\ltrrow&#13;_x000a_\ts11\trqc\trgaph340\trleft-340\trftsWidth3\trwWidth9752\trftsWidthB3\trpaddl340\trpaddr340\trpaddfl3\trpaddft3\trpaddfb3\trpaddfr3\tblrsid7949889\tblind0\tblindtype3 \clvertalt\clbrdrt\brdrtbl \clbrdrl\brdrtbl \clbrdrb\brdrtbl \clbrdrr\brdrtbl &#13;_x000a_\cltxlrtb\clftsWidth3\clwWidth9752\clshdrawnil \cellx9412\row \ltrrow}\trowd \irow1\irowband1\ltrrow&#13;_x000a_\ts11\trqc\trgaph340\trleft-340\trftsWidth3\trwWidth9752\trftsWidthB3\trpaddl340\trpaddr340\trpaddfl3\trpaddft3\trpaddfb3\trpaddfr3\tblrsid7949889\tblind0\tblindtype3 \clvertalt\clbrdrt\brdrtbl \clbrdrl\brdrtbl \clbrdrb\brdrtbl \clbrdrr\brdrtbl &#13;_x000a_\cltxlrtb\clftsWidth3\clwWidth4876\clshdrawnil \cellx4536\clvertalt\clbrdrt\brdrtbl \clbrdrl\brdrtbl \clbrdrb\brdrtbl \clbrdrr\brdrtbl \cltxlrtb\clftsWidth3\clwWidth4876\clshdrawnil \cellx9412\pard\plain \ltrpar&#13;_x000a_\s19\qc \li0\ri0\sa240\keepn\nowidctlpar\intbl\wrapdefault\aspalpha\aspnum\faauto\adjustright\rin0\lin0\pararsid13053803 \rtlch\fcs1 \af0\afs20\alang1025 \ltrch\fcs0 \i\fs24\lang2057\langfe2057\cgrid\langnp2057\langfenp2057 {\rtlch\fcs1 \af0 \ltrch\fcs0 &#13;_x000a_\insrsid1140430\charrsid1799708 [ZLEFT]\cell [ZRIGHT]\cell }\pard\plain \ltrpar\ql \li0\ri0\widctlpar\intbl\wrapdefault\aspalpha\aspnum\faauto\adjustright\rin0\lin0 \rtlch\fcs1 \af0\afs20\alang1025 \ltrch\fcs0 &#13;_x000a_\fs24\lang2057\langfe2057\cgrid\langnp2057\langfenp2057 {\rtlch\fcs1 \af0 \ltrch\fcs0 \insrsid1140430\charrsid1799708 \trowd \irow1\irowband1\ltrrow&#13;_x000a_\ts11\trqc\trgaph340\trleft-340\trftsWidth3\trwWidth9752\trftsWidthB3\trpaddl340\trpaddr340\trpaddfl3\trpaddft3\trpaddfb3\trpaddfr3\tblrsid7949889\tblind0\tblindtype3 \clvertalt\clbrdrt\brdrtbl \clbrdrl\brdrtbl \clbrdrb\brdrtbl \clbrdrr\brdrtbl &#13;_x000a_\cltxlrtb\clftsWidth3\clwWidth4876\clshdrawnil \cellx4536\clvertalt\clbrdrt\brdrtbl \clbrdrl\brdrtbl \clbrdrb\brdrtbl \clbrdrr\brdrtbl \cltxlrtb\clftsWidth3\clwWidth4876\clshdrawnil \cellx9412\row \ltrrow}\pard\plain \ltrpar&#13;_x000a_\s17\ql \li0\ri0\sa120\nowidctlpar\intbl\wrapdefault\aspalpha\aspnum\faauto\adjustright\rin0\lin0\pararsid7949889 \rtlch\fcs1 \af0\afs20\alang1025 \ltrch\fcs0 \fs24\lang2057\langfe2057\cgrid\langnp2057\langfenp2057 {\rtlch\fcs1 \af0 \ltrch\fcs0 &#13;_x000a_\insrsid1140430\charrsid1799708 [ZTEXTL]\cell [ZTEXTR]}{\rtlch\fcs1 \af0\afs24 \ltrch\fcs0 \insrsid1140430\charrsid1799708 \cell }\pard\plain \ltrpar\ql \li0\ri0\widctlpar\intbl\wrapdefault\aspalpha\aspnum\faauto\adjustright\rin0\lin0 \rtlch\fcs1 &#13;_x000a_\af0\afs20\alang1025 \ltrch\fcs0 \fs24\lang2057\langfe2057\cgrid\langnp2057\langfenp2057 {\rtlch\fcs1 \af0 \ltrch\fcs0 \insrsid1140430\charrsid1799708 \trowd \irow2\irowband2\lastrow \ltrrow&#13;_x000a_\ts11\trqc\trgaph340\trleft-340\trftsWidth3\trwWidth9752\trftsWidthB3\trpaddl340\trpaddr340\trpaddfl3\trpaddft3\trpaddfb3\trpaddfr3\tblrsid7949889\tblind0\tblindtype3 \clvertalt\clbrdrt\brdrtbl \clbrdrl\brdrtbl \clbrdrb\brdrtbl \clbrdrr\brdrtbl &#13;_x000a_\cltxlrtb\clftsWidth3\clwWidth4876\clshdrawnil \cellx4536\clvertalt\clbrdrt\brdrtbl \clbrdrl\brdrtbl \clbrdrb\brdrtbl \clbrdrr\brdrtbl \cltxlrtb\clftsWidth3\clwWidth4876\clshdrawnil \cellx9412\row }\pard\plain \ltrpar&#13;_x000a_\s16\qr \li0\ri0\sb240\sa240\nowidctlpar\wrapdefault\aspalpha\aspnum\faauto\adjustright\rin0\lin0\itap0\pararsid1140430 \rtlch\fcs1 \af0\afs20\alang1025 \ltrch\fcs0 \fs24\lang2057\langfe2057\cgrid\langnp2057\langfenp2057 {\rtlch\fcs1 \af0 \ltrch\fcs0 &#13;_x000a_\insrsid1140430\charrsid1799708 Or. }{\rtlch\fcs1 \af0 \ltrch\fcs0 \cs15\v\f1\fs20\cf9\lang1024\langfe1024\noproof\insrsid1140430\charrsid1799708 &lt;Original&gt;}{\rtlch\fcs1 \af0 \ltrch\fcs0 \insrsid1140430\charrsid1799708 [ZORLANG]}{\rtlch\fcs1 \af0 &#13;_x000a_\ltrch\fcs0 \cs15\v\f1\fs20\cf9\lang1024\langfe1024\noproof\insrsid1140430\charrsid1799708 &lt;/Original&gt;}{\rtlch\fcs1 \af0 \ltrch\fcs0 \insrsid1140430\charrsid1799708 &#13;_x000a_\par }\pard\plain \ltrpar\ql \li0\ri0\widctlpar\wrapdefault\aspalpha\aspnum\faauto\adjustright\rin0\lin0\itap0\pararsid1140430 \rtlch\fcs1 \af0\afs20\alang1025 \ltrch\fcs0 \fs24\lang2057\langfe2057\cgrid\langnp2057\langfenp2057 {\rtlch\fcs1 \af0 \ltrch\fcs0 &#13;_x000a_\cs15\v\f1\fs20\cf9\lang1024\langfe1024\noproof\insrsid1140430\charrsid1799708 &lt;/Amend&gt;}{\rtlch\fcs1 \af0 \ltrch\fcs0 \insrsid24658\charrsid16324206 {\*\bkmkend restart}&#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priority99 \lsdlocked0 Placeholder Text;\lsdqformat1 \lsdpriority1 \lsdlocked0 No Spacing;\lsdpriority60 \lsdlocked0 Light Shading;&#13;_x000a_\lsdpriority61 \lsdlocked0 Light List;\lsdpriority62 \lsdlocked0 Light Grid;\lsdpriority63 \lsdlocked0 Medium Shading 1;\lsdpriority64 \lsdlocked0 Medium Shading 2;\lsdpriority65 \lsdlocked0 Medium List 1;\lsdpriority66 \lsdlocked0 Medium List 2;&#13;_x000a_\lsdpriority67 \lsdlocked0 Medium Grid 1;\lsdpriority68 \lsdlocked0 Medium Grid 2;\lsdpriority69 \lsdlocked0 Medium Grid 3;\lsdpriority70 \lsdlocked0 Dark List;\lsdpriority71 \lsdlocked0 Colorful Shading;\lsdpriority72 \lsdlocked0 Colorful List;&#13;_x000a_\lsdpriority73 \lsdlocked0 Colorful Grid;\lsdpriority60 \lsdlocked0 Light Shading Accent 1;\lsdpriority61 \lsdlocked0 Light List Accent 1;\lsdpriority62 \lsdlocked0 Light Grid Accent 1;\lsdpriority63 \lsdlocked0 Medium Shading 1 Accent 1;&#13;_x000a_\lsdpriority64 \lsdlocked0 Medium Shading 2 Accent 1;\lsdpriority65 \lsdlocked0 Medium List 1 Accent 1;\lsdsemihidden1 \lsdpriority99 \lsdlocked0 Revision;\lsdqformat1 \lsdpriority34 \lsdlocked0 List Paragraph;&#13;_x000a_\lsdqformat1 \lsdpriority29 \lsdlocked0 Quote;\lsdqformat1 \lsdpriority30 \lsdlocked0 Intense Quote;\lsdpriority66 \lsdlocked0 Medium List 2 Accent 1;\lsdpriority67 \lsdlocked0 Medium Grid 1 Accent 1;\lsdpriority68 \lsdlocked0 Medium Grid 2 Accent 1;&#13;_x000a_\lsdpriority69 \lsdlocked0 Medium Grid 3 Accent 1;\lsdpriority70 \lsdlocked0 Dark List Accent 1;\lsdpriority71 \lsdlocked0 Colorful Shading Accent 1;\lsdpriority72 \lsdlocked0 Colorful List Accent 1;\lsdpriority73 \lsdlocked0 Colorful Grid Accent 1;&#13;_x000a_\lsdpriority60 \lsdlocked0 Light Shading Accent 2;\lsdpriority61 \lsdlocked0 Light List Accent 2;\lsdpriority62 \lsdlocked0 Light Grid Accent 2;\lsdpriority63 \lsdlocked0 Medium Shading 1 Accent 2;\lsdpriority64 \lsdlocked0 Medium Shading 2 Accent 2;&#13;_x000a_\lsdpriority65 \lsdlocked0 Medium List 1 Accent 2;\lsdpriority66 \lsdlocked0 Medium List 2 Accent 2;\lsdpriority67 \lsdlocked0 Medium Grid 1 Accent 2;\lsdpriority68 \lsdlocked0 Medium Grid 2 Accent 2;\lsdpriority69 \lsdlocked0 Medium Grid 3 Accent 2;&#13;_x000a_\lsdpriority70 \lsdlocked0 Dark List Accent 2;\lsdpriority71 \lsdlocked0 Colorful Shading Accent 2;\lsdpriority72 \lsdlocked0 Colorful List Accent 2;\lsdpriority73 \lsdlocked0 Colorful Grid Accent 2;\lsdpriority60 \lsdlocked0 Light Shading Accent 3;&#13;_x000a_\lsdpriority61 \lsdlocked0 Light List Accent 3;\lsdpriority62 \lsdlocked0 Light Grid Accent 3;\lsdpriority63 \lsdlocked0 Medium Shading 1 Accent 3;\lsdpriority64 \lsdlocked0 Medium Shading 2 Accent 3;\lsdpriority65 \lsdlocked0 Medium List 1 Accent 3;&#13;_x000a_\lsdpriority66 \lsdlocked0 Medium List 2 Accent 3;\lsdpriority67 \lsdlocked0 Medium Grid 1 Accent 3;\lsdpriority68 \lsdlocked0 Medium Grid 2 Accent 3;\lsdpriority69 \lsdlocked0 Medium Grid 3 Accent 3;\lsdpriority70 \lsdlocked0 Dark List Accent 3;&#13;_x000a_\lsdpriority71 \lsdlocked0 Colorful Shading Accent 3;\lsdpriority72 \lsdlocked0 Colorful List Accent 3;\lsdpriority73 \lsdlocked0 Colorful Grid Accent 3;\lsdpriority60 \lsdlocked0 Light Shading Accent 4;\lsdpriority61 \lsdlocked0 Light List Accent 4;&#13;_x000a_\lsdpriority62 \lsdlocked0 Light Grid Accent 4;\lsdpriority63 \lsdlocked0 Medium Shading 1 Accent 4;\lsdpriority64 \lsdlocked0 Medium Shading 2 Accent 4;\lsdpriority65 \lsdlocked0 Medium List 1 Accent 4;\lsdpriority66 \lsdlocked0 Medium List 2 Accent 4;&#13;_x000a_\lsdpriority67 \lsdlocked0 Medium Grid 1 Accent 4;\lsdpriority68 \lsdlocked0 Medium Grid 2 Accent 4;\lsdpriority69 \lsdlocked0 Medium Grid 3 Accent 4;\lsdpriority70 \lsdlocked0 Dark List Accent 4;\lsdpriority71 \lsdlocked0 Colorful Shading Accent 4;&#13;_x000a_\lsdpriority72 \lsdlocked0 Colorful List Accent 4;\lsdpriority73 \lsdlocked0 Colorful Grid Accent 4;\lsdpriority60 \lsdlocked0 Light Shading Accent 5;\lsdpriority61 \lsdlocked0 Light List Accent 5;\lsdpriority62 \lsdlocked0 Light Grid Accent 5;&#13;_x000a_\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6054&#13;_x000a_9504b331d5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lt-LT"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pPr>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LineBottom">
    <w:name w:val="LineBottom"/>
    <w:basedOn w:val="Normal"/>
    <w:next w:val="Normal"/>
    <w:pPr>
      <w:widowControl/>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widowControl/>
      <w:spacing w:after="80"/>
    </w:pPr>
    <w:rPr>
      <w:rFonts w:ascii="Arial" w:eastAsia="Arial" w:hAnsi="Arial" w:cs="Arial"/>
      <w:sz w:val="20"/>
    </w:rPr>
  </w:style>
  <w:style w:type="paragraph" w:customStyle="1" w:styleId="EPLogo">
    <w:name w:val="EPLogo"/>
    <w:basedOn w:val="Normal"/>
    <w:pPr>
      <w:widowControl/>
      <w:jc w:val="right"/>
    </w:pPr>
  </w:style>
  <w:style w:type="paragraph" w:customStyle="1" w:styleId="EPName">
    <w:name w:val="EPName"/>
    <w:basedOn w:val="Normal"/>
    <w:pPr>
      <w:widowControl/>
      <w:spacing w:before="80" w:after="80"/>
    </w:pPr>
    <w:rPr>
      <w:rFonts w:ascii="Arial Narrow" w:eastAsia="Arial" w:hAnsi="Arial Narrow" w:cs="Arial"/>
      <w:b/>
      <w:sz w:val="32"/>
    </w:rPr>
  </w:style>
  <w:style w:type="paragraph" w:customStyle="1" w:styleId="CoverNormal24a">
    <w:name w:val="CoverNormal24a"/>
    <w:basedOn w:val="Normal"/>
    <w:pPr>
      <w:widowControl/>
      <w:spacing w:after="480"/>
      <w:ind w:left="1416"/>
    </w:pPr>
  </w:style>
  <w:style w:type="paragraph" w:customStyle="1" w:styleId="CoverNormal">
    <w:name w:val="CoverNormal"/>
    <w:basedOn w:val="Normal"/>
    <w:pPr>
      <w:widowControl/>
      <w:ind w:left="1418"/>
    </w:pPr>
  </w:style>
  <w:style w:type="paragraph" w:customStyle="1" w:styleId="CoverReference">
    <w:name w:val="CoverReference"/>
    <w:basedOn w:val="Normal"/>
    <w:pPr>
      <w:widowControl/>
      <w:spacing w:before="1080"/>
      <w:jc w:val="right"/>
    </w:pPr>
    <w:rPr>
      <w:rFonts w:ascii="Arial" w:eastAsia="Arial" w:hAnsi="Arial" w:cs="Arial"/>
      <w:b/>
    </w:rPr>
  </w:style>
  <w:style w:type="paragraph" w:customStyle="1" w:styleId="CoverDocType">
    <w:name w:val="CoverDocType"/>
    <w:basedOn w:val="Normal"/>
    <w:pPr>
      <w:widowControl/>
      <w:ind w:left="1418"/>
    </w:pPr>
    <w:rPr>
      <w:rFonts w:ascii="Arial" w:hAnsi="Arial"/>
      <w:b/>
      <w:sz w:val="48"/>
    </w:rPr>
  </w:style>
  <w:style w:type="paragraph" w:customStyle="1" w:styleId="CoverDate">
    <w:name w:val="CoverDate"/>
    <w:basedOn w:val="Normal"/>
    <w:pPr>
      <w:widowControl/>
      <w:spacing w:before="240" w:after="1200"/>
    </w:pPr>
  </w:style>
  <w:style w:type="paragraph" w:customStyle="1" w:styleId="CoverDocType24a">
    <w:name w:val="CoverDocType24a"/>
    <w:basedOn w:val="Normal"/>
    <w:pPr>
      <w:widowControl/>
      <w:spacing w:after="480"/>
      <w:ind w:left="1416"/>
    </w:pPr>
    <w:rPr>
      <w:rFonts w:ascii="Arial" w:eastAsia="Arial" w:hAnsi="Arial" w:cs="Arial"/>
      <w:b/>
      <w:sz w:val="48"/>
    </w:rPr>
  </w:style>
  <w:style w:type="paragraph" w:customStyle="1" w:styleId="CoverBold">
    <w:name w:val="CoverBold"/>
    <w:basedOn w:val="Normal"/>
    <w:pPr>
      <w:widowControl/>
      <w:ind w:left="1416"/>
    </w:pPr>
    <w:rPr>
      <w:b/>
    </w:rPr>
  </w:style>
  <w:style w:type="paragraph" w:customStyle="1" w:styleId="EPBody">
    <w:name w:val="EPBody"/>
    <w:basedOn w:val="Normal"/>
    <w:pPr>
      <w:widowControl/>
      <w:jc w:val="center"/>
    </w:pPr>
    <w:rPr>
      <w:rFonts w:ascii="Arial" w:eastAsia="Arial" w:hAnsi="Arial" w:cs="Arial"/>
      <w:i/>
      <w:sz w:val="22"/>
    </w:rPr>
  </w:style>
  <w:style w:type="paragraph" w:customStyle="1" w:styleId="LineTop">
    <w:name w:val="LineTop"/>
    <w:basedOn w:val="Normal"/>
    <w:next w:val="Normal"/>
    <w:pPr>
      <w:widowControl/>
      <w:pBdr>
        <w:top w:val="single" w:sz="4" w:space="1" w:color="000000"/>
      </w:pBdr>
      <w:jc w:val="center"/>
    </w:pPr>
    <w:rPr>
      <w:rFonts w:ascii="Arial" w:eastAsia="Arial" w:hAnsi="Arial" w:cs="Arial"/>
      <w:sz w:val="16"/>
    </w:rPr>
  </w:style>
  <w:style w:type="character" w:customStyle="1" w:styleId="HideTWBExt">
    <w:name w:val="HideTWBExt"/>
    <w:rPr>
      <w:rFonts w:ascii="Arial" w:hAnsi="Arial"/>
      <w:vanish/>
      <w:color w:val="000080"/>
      <w:sz w:val="20"/>
    </w:rPr>
  </w:style>
  <w:style w:type="paragraph" w:customStyle="1" w:styleId="EPFooter2">
    <w:name w:val="EPFooter2"/>
    <w:basedOn w:val="Normal"/>
    <w:next w:val="Normal"/>
    <w:pPr>
      <w:widowControl/>
      <w:tabs>
        <w:tab w:val="center" w:pos="4534"/>
        <w:tab w:val="right" w:pos="9920"/>
      </w:tabs>
      <w:ind w:left="-840" w:right="-840"/>
    </w:pPr>
    <w:rPr>
      <w:rFonts w:ascii="Arial" w:eastAsia="Arial" w:hAnsi="Arial" w:cs="Arial"/>
      <w:b/>
      <w:sz w:val="48"/>
    </w:rPr>
  </w:style>
  <w:style w:type="character" w:customStyle="1" w:styleId="HideTWBInt">
    <w:name w:val="HideTWBInt"/>
    <w:rPr>
      <w:rFonts w:ascii="Arial" w:eastAsia="Arial" w:hAnsi="Arial" w:cs="Arial"/>
      <w:vanish/>
      <w:color w:val="808080"/>
      <w:sz w:val="20"/>
    </w:rPr>
  </w:style>
  <w:style w:type="paragraph" w:customStyle="1" w:styleId="NormalBold">
    <w:name w:val="NormalBold"/>
    <w:basedOn w:val="Normal"/>
    <w:pPr>
      <w:widowControl/>
    </w:pPr>
    <w:rPr>
      <w:b/>
    </w:rPr>
  </w:style>
  <w:style w:type="paragraph" w:customStyle="1" w:styleId="AmOrLang">
    <w:name w:val="AmOrLang"/>
    <w:basedOn w:val="Normal"/>
    <w:pPr>
      <w:widowControl/>
      <w:spacing w:before="240" w:after="240"/>
      <w:jc w:val="right"/>
    </w:pPr>
  </w:style>
  <w:style w:type="paragraph" w:customStyle="1" w:styleId="Normal6a">
    <w:name w:val="Normal6a"/>
    <w:basedOn w:val="Normal"/>
    <w:pPr>
      <w:widowControl/>
      <w:spacing w:after="120"/>
    </w:pPr>
  </w:style>
  <w:style w:type="paragraph" w:customStyle="1" w:styleId="AmColumnHeading">
    <w:name w:val="AmColumnHeading"/>
    <w:basedOn w:val="Normal"/>
    <w:pPr>
      <w:widowControl/>
      <w:spacing w:after="240"/>
      <w:jc w:val="center"/>
    </w:pPr>
    <w:rPr>
      <w:i/>
    </w:rPr>
  </w:style>
  <w:style w:type="paragraph" w:customStyle="1" w:styleId="AmNumberTabs">
    <w:name w:val="AmNumberTabs"/>
    <w:basedOn w:val="Normal"/>
    <w:pPr>
      <w:widowControl/>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tabs>
        <w:tab w:val="center" w:pos="4534"/>
        <w:tab w:val="right" w:pos="9070"/>
      </w:tabs>
      <w:spacing w:before="240" w:after="240"/>
    </w:pPr>
    <w:rPr>
      <w:sz w:val="22"/>
    </w:rPr>
  </w:style>
  <w:style w:type="paragraph" w:customStyle="1" w:styleId="AmCrossRef">
    <w:name w:val="AmCrossRef"/>
    <w:basedOn w:val="Normal"/>
    <w:pPr>
      <w:widowControl/>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widowControl/>
      <w:tabs>
        <w:tab w:val="center" w:pos="6800"/>
        <w:tab w:val="right" w:pos="15020"/>
      </w:tabs>
    </w:pPr>
    <w:rPr>
      <w:sz w:val="22"/>
    </w:rPr>
  </w:style>
  <w:style w:type="paragraph" w:customStyle="1" w:styleId="Normal0">
    <w:name w:val="Normal0"/>
    <w:basedOn w:val="Normal"/>
    <w:pPr>
      <w:widowControl/>
    </w:pPr>
    <w:rPr>
      <w:sz w:val="0"/>
    </w:rPr>
  </w:style>
  <w:style w:type="paragraph" w:customStyle="1" w:styleId="EPFooter2Landscape">
    <w:name w:val="EPFooter2Landscape"/>
    <w:pPr>
      <w:widowControl/>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themeColor="bg2" w:themeFill="bg2"/>
    </w:rPr>
  </w:style>
  <w:style w:type="paragraph" w:customStyle="1" w:styleId="PMissingStyle">
    <w:name w:val="P_MissingStyle"/>
    <w:basedOn w:val="Normal"/>
    <w:pPr>
      <w:widowControl/>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widowControl/>
      <w:spacing w:after="240"/>
    </w:pPr>
  </w:style>
  <w:style w:type="paragraph" w:customStyle="1" w:styleId="NormalBold12b">
    <w:name w:val="NormalBold12b"/>
    <w:basedOn w:val="Normal"/>
    <w:pPr>
      <w:widowControl/>
      <w:spacing w:before="240"/>
    </w:pPr>
    <w:rPr>
      <w:b/>
    </w:rPr>
  </w:style>
  <w:style w:type="paragraph" w:customStyle="1" w:styleId="AmJustTitle">
    <w:name w:val="AmJustTitle"/>
    <w:basedOn w:val="Normal"/>
    <w:next w:val="AmJustText"/>
    <w:pPr>
      <w:keepNext/>
      <w:widowControl/>
      <w:spacing w:before="240" w:after="240"/>
      <w:jc w:val="center"/>
    </w:pPr>
    <w:rPr>
      <w:i/>
    </w:rPr>
  </w:style>
  <w:style w:type="paragraph" w:customStyle="1" w:styleId="AmJustText">
    <w:name w:val="AmJustText"/>
    <w:basedOn w:val="Normal"/>
    <w:pPr>
      <w:widowControl/>
      <w:spacing w:after="240"/>
    </w:pPr>
    <w:rPr>
      <w:i/>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png" /><Relationship Id="rId5" Type="http://schemas.openxmlformats.org/officeDocument/2006/relationships/footer" Target="footer1.xml" /><Relationship Id="rId6" Type="http://schemas.openxmlformats.org/officeDocument/2006/relationships/footer" Target="footer2.xml" /><Relationship Id="rId7" Type="http://schemas.openxmlformats.org/officeDocument/2006/relationships/footer" Target="footer3.xml" /><Relationship Id="rId8" Type="http://schemas.openxmlformats.org/officeDocument/2006/relationships/theme" Target="theme/theme1.xml" /><Relationship Id="rId9"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11</Pages>
  <Words>1531</Words>
  <Characters>10661</Characters>
  <Application>Microsoft Office Word</Application>
  <DocSecurity>0</DocSecurity>
  <Lines>1</Lines>
  <Paragraphs>176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creator>European Parliament</dc:creator>
  <cp:lastModifiedBy>European Parliament</cp:lastModifiedBy>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LT</vt:lpwstr>
  </property>
  <property fmtid="{D5CDD505-2E9C-101B-9397-08002B2CF9AE}" pid="3" name="&lt;FdR&gt;">
    <vt:lpwstr>1336622</vt:lpwstr>
  </property>
  <property fmtid="{D5CDD505-2E9C-101B-9397-08002B2CF9AE}" pid="4" name="&lt;Model&gt;">
    <vt:lpwstr>AM_Com_NonLegReport</vt:lpwstr>
  </property>
  <property fmtid="{D5CDD505-2E9C-101B-9397-08002B2CF9AE}" pid="5" name="&lt;Type&gt;">
    <vt:lpwstr>AM</vt:lpwstr>
  </property>
  <property fmtid="{D5CDD505-2E9C-101B-9397-08002B2CF9AE}" pid="6" name="dmxml.render.id">
    <vt:lpwstr>376197</vt:lpwstr>
  </property>
  <property fmtid="{D5CDD505-2E9C-101B-9397-08002B2CF9AE}" pid="7" name="dmxml.render.traceId">
    <vt:lpwstr>698c979497048fa1fe34936ee628d2ec</vt:lpwstr>
  </property>
  <property fmtid="{D5CDD505-2E9C-101B-9397-08002B2CF9AE}" pid="8" name="FooterPath">
    <vt:lpwstr>AM\1336622LT.docx</vt:lpwstr>
  </property>
  <property fmtid="{D5CDD505-2E9C-101B-9397-08002B2CF9AE}" pid="9" name="PE Number">
    <vt:lpwstr>784.243</vt:lpwstr>
  </property>
  <property fmtid="{D5CDD505-2E9C-101B-9397-08002B2CF9AE}" pid="10" name="UID">
    <vt:lpwstr>eu.europa.europarl-DIN1-2026-0000024973_02.00-lt-01.00_text-xml</vt:lpwstr>
  </property>
</Properties>
</file>