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{AFCO}</w:t>
      </w:r>
      <w:r>
        <w:t>Commissie constitutionele zaken</w:t>
      </w:r>
      <w:r>
        <w:rPr>
          <w:rStyle w:val="HideTWBExt"/>
        </w:rPr>
        <w:t>&lt;/Commission&gt;</w:t>
      </w:r>
    </w:p>
    <w:p>
      <w:pPr>
        <w:pStyle w:val="LineBottom"/>
      </w:pPr>
      <w:r>
        <w:t xml:space="preserve"> </w:t>
      </w:r>
    </w:p>
    <w:p>
      <w:pPr>
        <w:pStyle w:val="CoverReference"/>
      </w:pPr>
      <w:r>
        <w:rPr>
          <w:rStyle w:val="HideTWBExt"/>
        </w:rPr>
        <w:t>&lt;RefProc&gt;</w:t>
      </w:r>
      <w:r>
        <w:t>2025/2243</w:t>
      </w:r>
      <w:r>
        <w:rPr>
          <w:rStyle w:val="HideTWBExt"/>
        </w:rPr>
        <w:t>&lt;/RefProc&gt;</w:t>
      </w:r>
      <w:r>
        <w:rPr>
          <w:rStyle w:val="HideTWBExt"/>
        </w:rPr>
        <w:t>&lt;RefTypeProc&gt;</w:t>
      </w:r>
      <w:r>
        <w:t>(ACI)</w:t>
      </w:r>
      <w:r>
        <w:rPr>
          <w:rStyle w:val="HideTWBExt"/>
        </w:rPr>
        <w:t>&lt;/RefTypeProc&gt;</w:t>
      </w:r>
    </w:p>
    <w:p>
      <w:pPr>
        <w:pStyle w:val="CoverDate"/>
      </w:pPr>
      <w:r>
        <w:rPr>
          <w:rStyle w:val="HideTWBExt"/>
        </w:rPr>
        <w:t>&lt;Date&gt;</w:t>
      </w:r>
      <w:r>
        <w:rPr>
          <w:rStyle w:val="HideTWBInt"/>
        </w:rPr>
        <w:t>{06/02/2026}</w:t>
      </w:r>
      <w:r>
        <w:t>6.2.2026</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19</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Sven Simon</w:t>
      </w:r>
      <w:r>
        <w:rPr>
          <w:rStyle w:val="HideTWBExt"/>
        </w:rPr>
        <w:t>&lt;/Rapporteur&gt;</w:t>
      </w:r>
    </w:p>
    <w:p>
      <w:pPr>
        <w:pStyle w:val="CoverNormal24a"/>
      </w:pPr>
      <w:r>
        <w:rPr>
          <w:rStyle w:val="HideTWBExt"/>
        </w:rPr>
        <w:t>&lt;DocRefPE&gt;</w:t>
      </w:r>
      <w:r>
        <w:t>(PE781.475v01-00)</w:t>
      </w:r>
      <w:r>
        <w:rPr>
          <w:rStyle w:val="HideTWBExt"/>
        </w:rPr>
        <w:t>&lt;/DocRefPE&gt;</w:t>
      </w:r>
    </w:p>
    <w:p>
      <w:pPr>
        <w:pStyle w:val="CoverNormal"/>
      </w:pPr>
      <w:r>
        <w:rPr>
          <w:rStyle w:val="HideTWBExt"/>
        </w:rPr>
        <w:t>&lt;Titre&gt;</w:t>
      </w:r>
      <w:r>
        <w:t>Kaderakkoord over de betrekkingen tussen het Europees Parlement en de Europese Commissie</w:t>
      </w:r>
      <w:r>
        <w:rPr>
          <w:rStyle w:val="HideTWBExt"/>
        </w:rPr>
        <w:t>&lt;/Titre&gt;</w:t>
      </w:r>
    </w:p>
    <w:p>
      <w:pPr>
        <w:pStyle w:val="CoverNormal24a"/>
      </w:pPr>
      <w:r>
        <w:rPr>
          <w:rStyle w:val="HideTWBExt"/>
        </w:rPr>
        <w:t>&lt;DocRef&gt;</w:t>
      </w:r>
      <w:r>
        <w:t>(2025/2243(ACI))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de Verdragen uitdrukkelijk voorzien in een juridische grondslag voor interinstitutionele akkoorden</w:t>
            </w:r>
            <w:r>
              <w:rPr>
                <w:b/>
                <w:i/>
              </w:rPr>
              <w:t>;</w:t>
            </w:r>
          </w:p>
        </w:tc>
        <w:tc>
          <w:tcPr>
            <w:tcW w:w="4876" w:type="dxa"/>
            <w:tcBorders>
              <w:top w:val="nil"/>
              <w:left w:val="nil"/>
              <w:bottom w:val="nil"/>
              <w:right w:val="nil"/>
            </w:tcBorders>
          </w:tcPr>
          <w:p>
            <w:pPr>
              <w:pStyle w:val="Normal6a"/>
            </w:pPr>
            <w:r>
              <w:t>A.</w:t>
            </w:r>
            <w:r>
              <w:tab/>
            </w:r>
            <w:r>
              <w:t>overwegende dat de Verdragen uitdrukkelijk voorzien in een juridische grondslag voor interinstitutionele akkoorden</w:t>
            </w:r>
            <w:r>
              <w:rPr>
                <w:b/>
                <w:i/>
              </w:rPr>
              <w:t>, op basis waarvan dergelijke akkoorden kunnen worden gesloten met inachtneming van de Verdragen, met inbegrip van het beginsel van bevoegdheidstoedeling op grond waarvan geen uitbreiding van de bevoegdheden van de EU-instellingen is toegestaan buiten het toepassingsgebied van de Verdragen,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het kaderakkoord over de betrekkingen tussen het Europees Parlement en de Europese Commissie dateert van 2010 en dat de interinstitutionele samenwerking sindsdien aanzienlijk is geëvolueerd, zoals weerspiegeld in de hervorming “Parlement 2024” en de herziening van het Reglement van het Europees Parlement die in dat kader werd doorgevoerd en die in april 2024 werd goedgekeurd,</w:t>
            </w:r>
          </w:p>
        </w:tc>
        <w:tc>
          <w:tcPr>
            <w:tcW w:w="4876" w:type="dxa"/>
            <w:tcBorders>
              <w:top w:val="nil"/>
              <w:left w:val="nil"/>
              <w:bottom w:val="nil"/>
              <w:right w:val="nil"/>
            </w:tcBorders>
          </w:tcPr>
          <w:p>
            <w:pPr>
              <w:pStyle w:val="Normal6a"/>
            </w:pPr>
            <w:r>
              <w:t>E.</w:t>
            </w:r>
            <w:r>
              <w:tab/>
            </w:r>
            <w:r>
              <w:t xml:space="preserve">overwegende dat het kaderakkoord over de betrekkingen tussen het Europees Parlement en de Europese Commissie dateert van 2010 en dat de interinstitutionele samenwerking sindsdien aanzienlijk is geëvolueerd, zoals weerspiegeld in de hervorming “Parlement 2024” en de herziening van het Reglement van het Europees Parlement die in dat kader werd doorgevoerd en die in april 2024 werd goedgekeurd, </w:t>
            </w:r>
            <w:r>
              <w:rPr>
                <w:b/>
                <w:i/>
              </w:rPr>
              <w:t>en overwegende dat het kaderakkoord erop gericht is de consistentie met de Verdragen te waarborgen en praktische uitvoering te geven aan de prerogatieven van het Europees Parlement op het gebied van controle, toezicht en begroting,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in het interinstitutioneel akkoord geen rekening kan worden gehouden met, noch kan worden gepleit voor een automatisch of rechtstreeks verband tussen de Europese verkiezingen en de verkiezing van de voorzitter van de Commissie,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de twee instellingen het grootste belang hechten aan het beginsel van institutioneel evenwicht en het beginsel van wederzijdse loyale samenwerking, zoals verankerd in artikel 13, lid 2, VEU,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overwegende dat bij een gezamenlijke beoordeling van de uitvoering van het kaderakkoord die werd uitgevoerd op technisch niveau, in overleg met de voorzitter van de Commissie, naar voren is gekomen dat het noodzakelijk was een aantal bepalingen van het kaderakkoord inzake de wetgevende, begrotings- en controlebevoegdheden van het Parlement te actualiseren en te verbeteren;</w:t>
            </w:r>
          </w:p>
        </w:tc>
        <w:tc>
          <w:tcPr>
            <w:tcW w:w="4876" w:type="dxa"/>
            <w:tcBorders>
              <w:top w:val="nil"/>
              <w:left w:val="nil"/>
              <w:bottom w:val="nil"/>
              <w:right w:val="nil"/>
            </w:tcBorders>
          </w:tcPr>
          <w:p>
            <w:pPr>
              <w:pStyle w:val="Normal6a"/>
            </w:pPr>
            <w:r>
              <w:t>F.</w:t>
            </w:r>
            <w:r>
              <w:tab/>
            </w:r>
            <w:r>
              <w:t xml:space="preserve">overwegende dat bij een gezamenlijke beoordeling van de uitvoering van het kaderakkoord die werd uitgevoerd op technisch niveau, in overleg met de voorzitter van de Commissie, naar voren is gekomen dat het noodzakelijk was een aantal bepalingen van het kaderakkoord inzake de wetgevende, begrotings- en controlebevoegdheden van het Parlement te actualiseren en te verbeteren </w:t>
            </w:r>
            <w:r>
              <w:rPr>
                <w:b/>
                <w:i/>
              </w:rPr>
              <w:t>om beter rekening te houden met het institutionele evenwicht en om de prerogatieven van het Parlement uit hoofde van de Verdragen volledig ten uitvoer te leggen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beschouwt het herziene akkoord als een belangrijke stap voorwaarts voor het Parlement wat betreft zijn betrekkingen met de Commissie;</w:t>
            </w:r>
          </w:p>
        </w:tc>
        <w:tc>
          <w:tcPr>
            <w:tcW w:w="4876" w:type="dxa"/>
            <w:tcBorders>
              <w:top w:val="nil"/>
              <w:left w:val="nil"/>
              <w:bottom w:val="nil"/>
              <w:right w:val="nil"/>
            </w:tcBorders>
          </w:tcPr>
          <w:p>
            <w:pPr>
              <w:pStyle w:val="Normal6a"/>
            </w:pPr>
            <w:r>
              <w:t>1.</w:t>
            </w:r>
            <w:r>
              <w:tab/>
            </w:r>
            <w:r>
              <w:t xml:space="preserve">beschouwt het herziene akkoord als een belangrijke stap voorwaarts voor het Parlement wat betreft zijn betrekkingen met de Commissie </w:t>
            </w:r>
            <w:r>
              <w:rPr>
                <w:b/>
                <w:i/>
              </w:rPr>
              <w:t>om de politieke verantwoordelijkheid en legitimiteit te versterken, de constructieve dialoog uit te breiden, de uitwisseling van informatie tussen de twee instellingen te verbeteren en de samenwerking op het gebied van procedures en planning, met inbegrip van de controle- en onderzoeksbevoegdheden, te verbeteren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beschouwt het herziene akkoord als een belangrijke stap voorwaarts voor het Parlement wat betreft zijn betrekkingen met de Commissie;</w:t>
            </w:r>
          </w:p>
        </w:tc>
        <w:tc>
          <w:tcPr>
            <w:tcW w:w="4876" w:type="dxa"/>
            <w:tcBorders>
              <w:top w:val="nil"/>
              <w:left w:val="nil"/>
              <w:bottom w:val="nil"/>
              <w:right w:val="nil"/>
            </w:tcBorders>
          </w:tcPr>
          <w:p>
            <w:pPr>
              <w:pStyle w:val="Normal6a"/>
            </w:pPr>
            <w:r>
              <w:t>1.</w:t>
            </w:r>
            <w:r>
              <w:tab/>
            </w:r>
            <w:r>
              <w:t>beschouwt het herziene akkoord als een belangrijke stap voorwaarts voor het Parlement wat betreft zijn betrekkingen met de Commissie</w:t>
            </w:r>
            <w:r>
              <w:rPr>
                <w:b/>
                <w:i/>
              </w:rPr>
              <w:t>, maar benadrukt tegelijkertijd dat elke vooruitgang op dit gebied gebaseerd moet zijn op de Verdragen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beschouwt het herziene akkoord als een </w:t>
            </w:r>
            <w:r>
              <w:rPr>
                <w:b/>
                <w:i/>
              </w:rPr>
              <w:t>belangrijke</w:t>
            </w:r>
            <w:r>
              <w:t xml:space="preserve"> stap voorwaarts voor het Parlement wat betreft zijn betrekkingen met de Commissie;</w:t>
            </w:r>
          </w:p>
        </w:tc>
        <w:tc>
          <w:tcPr>
            <w:tcW w:w="4876" w:type="dxa"/>
            <w:tcBorders>
              <w:top w:val="nil"/>
              <w:left w:val="nil"/>
              <w:bottom w:val="nil"/>
              <w:right w:val="nil"/>
            </w:tcBorders>
          </w:tcPr>
          <w:p>
            <w:pPr>
              <w:pStyle w:val="Normal6a"/>
            </w:pPr>
            <w:r>
              <w:t>1.</w:t>
            </w:r>
            <w:r>
              <w:tab/>
            </w:r>
            <w:r>
              <w:t>beschouwt het herziene akkoord als een stap voorwaarts voor het Parlement wat betreft zijn betrekkingen met de Commissie;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 streepje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de bevestiging van het beginsel van gelijke behandeling van het Parlement en de Raad en de bevestiging van rol van de Commissie als eerlijke bemiddelaar, met name doordat gewaarborgd wordt dat de Commissie tijdig omvattende </w:t>
            </w:r>
            <w:r>
              <w:rPr>
                <w:b/>
                <w:i/>
              </w:rPr>
              <w:t>en</w:t>
            </w:r>
            <w:r>
              <w:t xml:space="preserve"> gedetailleerde informatie verstrekt aan het Parlement, zoals blijkt uit de toezegging van de Commissie om het Parlement te informeren over beleidsinitiatieven en wetgevingsvoorstellen die niet in het werkprogramma van de Commissie zijn opgenomen, en de toezegging dat initiatieven van bijzonder belang onmiddellijk na de goedkeuring ervan door het college van commissarissen in de plenaire vergadering zullen worden gepresenteerd;</w:t>
            </w:r>
          </w:p>
        </w:tc>
        <w:tc>
          <w:tcPr>
            <w:tcW w:w="4876" w:type="dxa"/>
            <w:tcBorders>
              <w:top w:val="nil"/>
              <w:left w:val="nil"/>
              <w:bottom w:val="nil"/>
              <w:right w:val="nil"/>
            </w:tcBorders>
          </w:tcPr>
          <w:p>
            <w:pPr>
              <w:pStyle w:val="Normal6a"/>
            </w:pPr>
            <w:r>
              <w:t>-</w:t>
            </w:r>
            <w:r>
              <w:tab/>
            </w:r>
            <w:r>
              <w:t>de bevestiging van het beginsel van gelijke behandeling van het Parlement en de Raad en de bevestiging van rol van de Commissie als eerlijke bemiddelaar, met name doordat gewaarborgd wordt dat de Commissie tijdig omvattende</w:t>
            </w:r>
            <w:r>
              <w:rPr>
                <w:b/>
                <w:i/>
              </w:rPr>
              <w:t>,</w:t>
            </w:r>
            <w:r>
              <w:t xml:space="preserve"> gedetailleerde </w:t>
            </w:r>
            <w:r>
              <w:rPr>
                <w:b/>
                <w:i/>
              </w:rPr>
              <w:t>en transparante</w:t>
            </w:r>
            <w:r>
              <w:t xml:space="preserve"> informatie verstrekt aan het Parlement </w:t>
            </w:r>
            <w:r>
              <w:rPr>
                <w:b/>
                <w:i/>
              </w:rPr>
              <w:t>om een zinvolle democratische controle mogelijk te maken</w:t>
            </w:r>
            <w:r>
              <w:t>, zoals blijkt uit de toezegging van de Commissie om het Parlement te informeren over beleidsinitiatieven en wetgevingsvoorstellen die niet in het werkprogramma van de Commissie zijn opgenomen, en de toezegging dat initiatieven van bijzonder belang onmiddellijk na de goedkeuring ervan door het college van commissarissen in de plenaire vergadering zullen worden gepresenteerd;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 streepje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 toezegging van de Commissie om ervoor te zorgen dat haar effectbeoordelingen onder haar verantwoordelijkheid worden uitgevoerd volgens een transparante procedure die een onafhankelijke beoordeling garandeert.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 streepje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 verplichting van de verkozen voorzitter om het Parlement gedetailleerde informatie te verstrekken over de samenstelling van het nieuwe college van commissarissen, met inbegrip van de geplande structuur ervan, en om een evenwichtige verdeling tussen mannen en vrouwen in het college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 streepje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de garantie dat leden van de Commissie in de regel door het Parlement zullen worden uitgenodigd in het kader van zijn taak om politieke toezicht uit te oefenen, en de regel dat het Parlement een specifiek lid van de Commissie kan verzoeken in de plenaire vergadering aanwezig te zijn wanneer een agendapunt daartoe aanleiding geeft;</w:t>
            </w:r>
          </w:p>
        </w:tc>
        <w:tc>
          <w:tcPr>
            <w:tcW w:w="4876" w:type="dxa"/>
            <w:tcBorders>
              <w:top w:val="nil"/>
              <w:left w:val="nil"/>
              <w:bottom w:val="nil"/>
              <w:right w:val="nil"/>
            </w:tcBorders>
          </w:tcPr>
          <w:p>
            <w:pPr>
              <w:pStyle w:val="Normal6a"/>
            </w:pPr>
            <w:r>
              <w:t>-</w:t>
            </w:r>
            <w:r>
              <w:tab/>
            </w:r>
            <w:r>
              <w:t xml:space="preserve">de garantie dat leden van de Commissie in de regel door het Parlement zullen worden uitgenodigd in het kader van zijn taak om politieke toezicht uit te oefenen, en de regel dat het Parlement een specifiek lid van de Commissie kan verzoeken in de plenaire vergadering aanwezig te zijn wanneer een agendapunt daartoe aanleiding geeft; </w:t>
            </w:r>
            <w:r>
              <w:rPr>
                <w:b/>
                <w:i/>
              </w:rPr>
              <w:t>met name tijdens het vragenuur, dat maximaal 90 minuten duurt, zijn de leden van de Commissie aanwezig van wie de portefeuilles verband houden met het onderwerp van de vragen, zodat een zinvol, open en democratisch debat tussen de leden van het Europees Parlement en de leden van de Commissie kan worden gewaarborgd;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 streepje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het waarborgen van een betere informatie-uitwisseling over internationale overeenkomsten, waardoor de democratische verantwoordingsplicht en de transparantie in verband met het externe beleid worden versterkt;</w:t>
            </w:r>
          </w:p>
        </w:tc>
        <w:tc>
          <w:tcPr>
            <w:tcW w:w="4876" w:type="dxa"/>
            <w:tcBorders>
              <w:top w:val="nil"/>
              <w:left w:val="nil"/>
              <w:bottom w:val="nil"/>
              <w:right w:val="nil"/>
            </w:tcBorders>
          </w:tcPr>
          <w:p>
            <w:pPr>
              <w:pStyle w:val="Normal6a"/>
            </w:pPr>
            <w:r>
              <w:t>-</w:t>
            </w:r>
            <w:r>
              <w:tab/>
            </w:r>
            <w:r>
              <w:t xml:space="preserve">het waarborgen van een betere informatie-uitwisseling over internationale overeenkomsten </w:t>
            </w:r>
            <w:r>
              <w:rPr>
                <w:b/>
                <w:i/>
              </w:rPr>
              <w:t>in alle fasen van de onderhandelingen</w:t>
            </w:r>
            <w:r>
              <w:t>, waardoor de democratische verantwoordingsplicht en de transparantie in verband met het externe beleid worden versterkt;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betreurt in het bijzonder dat de volgende aspecten van de betrekkingen tussen de twee instellingen niet in het herziene akkoord zijn opgenomen: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“Overeenkomstig de bepalingen van het recht van de Unie en het nationale recht staat de Commissie de enquêtecommissies van het Europees Parlement bij in de uitvoering van hun taken conform het beginsel van wederzijdse loyale samenwerking”;</w:t>
            </w:r>
            <w:r>
              <w:rPr>
                <w:b/>
                <w:i/>
              </w:rPr>
              <w: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“Om onderzoeken te verrichten, kunnen de enquêtecommissies van het Europees Parlement binnen de grenzen van hun mandaat:</w:t>
            </w:r>
            <w:r>
              <w:t xml:space="preserve"> </w:t>
            </w:r>
            <w:r>
              <w:rPr>
                <w:b/>
                <w:i/>
              </w:rPr>
              <w:t>de Commissie verzoeken een of meer van haar leden aan te wijzen en deze leden alsook vertegenwoordigers van de EU-agentschappen te horen indien hun getuigenis van wezenlijk belang en noodzakelijk wordt geacht voor een grondige beoordeling van de onderzochte kwestie, en bewijsmateriaal in te winnen bij ambtenaren en andere personeelsleden van de Commissie en van EU-agentschappen”;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Sandro Gozi, Ľubica Karvašová, Reinier Van Lanschot, Sven Simon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is van mening dat democratische controle op de Commissie niet alleen een passend rechtskader vereist, maar ook zin voor politieke verantwoordelijkheid en daadkracht;</w:t>
            </w:r>
            <w:r>
              <w:t xml:space="preserve"> </w:t>
            </w:r>
            <w:r>
              <w:rPr>
                <w:b/>
                <w:i/>
              </w:rPr>
              <w:t>wijst erop dat de formele dialoog tussen de leden van het Parlement en de Commissie tijdens de plenaire vergadering, onder meer in het kader van het vragenuur, een hoeksteen van de Europese democratie vormt;</w:t>
            </w:r>
            <w:r>
              <w:t xml:space="preserve"> </w:t>
            </w:r>
            <w:r>
              <w:rPr>
                <w:b/>
                <w:i/>
              </w:rPr>
              <w:t>verbindt zich ertoe verder te ijveren voor een parlementaire cultuur en deze te bevorderen, zodat beide partijen deze vergaderingen bijwonen en er een zinvolle en inhoudelijke gedachtewisseling kan plaatsvinden tussen het Parlement en de Commissie;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benadrukt dat de deelname van leden van de Commissie aan verkiezingscampagnes voor het Europees Parlement, onder meer als lijsttrekkers (Spitzenkandidaten), niet mag indruisen tegen de verplichte politieke neutraliteit noch institutionele verwachtingen mag scheppen voor benoemingen in functies die niet in de Verdragen zijn voorzien;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betreurt met name dat er, ondanks het feit dat naar behoren rekening is gehouden met de standpunten van het Parlement, geen afzonderlijke motiveringen zijn gegeven voor de intrekking van de voorstellen van de Commissie aan het begin van de ambtstermijn van de nieuwe Commissie;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quater.</w:t>
            </w:r>
            <w:r>
              <w:tab/>
            </w:r>
            <w:r>
              <w:rPr>
                <w:b/>
                <w:i/>
              </w:rPr>
              <w:t>betreurt dat de Commissie niet heeft aangegeven of nieuwe wetgevingsinitiatieven vergezeld zullen gaan van een effectbeoordeling, en geen passende motivering heeft gegeven indien dit niet het geval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quinquies.</w:t>
            </w:r>
            <w:r>
              <w:tab/>
            </w:r>
            <w:r>
              <w:rPr>
                <w:b/>
                <w:i/>
              </w:rPr>
              <w:t>verwacht dat de Commissie zich volledig houdt aan zowel de nieuwe als de bestaande bepalingen van het akkoord;</w:t>
            </w:r>
            <w:r>
              <w:t xml:space="preserve"> </w:t>
            </w:r>
            <w:r>
              <w:rPr>
                <w:b/>
                <w:i/>
              </w:rPr>
              <w:t>wijst erop dat het Europees Parlement vanaf de inwerkingtreding van het akkoord regelmatig toezicht moet houden op de uitvoering ervan;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784.243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12</w:t>
    </w:r>
    <w:r>
      <w:fldChar w:fldCharType="end"/>
    </w:r>
    <w:r>
      <w:tab/>
    </w:r>
    <w:r>
      <w:rPr>
        <w:rStyle w:val="HideTWBExt"/>
      </w:rPr>
      <w:t>&lt;PathFdR&gt;</w:t>
    </w:r>
    <w:r>
      <w:t>AM\1336622NL.docx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AM\1336622NL.docx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12</w:t>
    </w:r>
    <w:r>
      <w:fldChar w:fldCharType="end"/>
    </w:r>
    <w:r>
      <w:tab/>
    </w:r>
    <w:r>
      <w:t>PE</w:t>
    </w:r>
    <w:r>
      <w:rPr>
        <w:rStyle w:val="HideTWBExt"/>
      </w:rPr>
      <w:t>&lt;NoPE&gt;</w:t>
    </w:r>
    <w:r>
      <w:t>784.243</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AM\1336622NL.docx</w:t>
    </w:r>
    <w:r>
      <w:rPr>
        <w:rStyle w:val="HideTWBExt"/>
      </w:rPr>
      <w:t>&lt;/PathFdR&gt;</w:t>
    </w:r>
    <w:r>
      <w:tab/>
    </w:r>
    <w:r>
      <w:tab/>
    </w:r>
    <w:r>
      <w:t>PE</w:t>
    </w:r>
    <w:r>
      <w:rPr>
        <w:rStyle w:val="HideTWBExt"/>
      </w:rPr>
      <w:t>&lt;NoPE&gt;</w:t>
    </w:r>
    <w:r>
      <w:t>784.243</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1955</Words>
  <Characters>11925</Characters>
  <Application>Microsoft Office Word</Application>
  <DocSecurity>0</DocSecurity>
  <Lines>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1336622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388533</vt:lpwstr>
  </property>
  <property fmtid="{D5CDD505-2E9C-101B-9397-08002B2CF9AE}" pid="7" name="dmxml.render.traceId">
    <vt:lpwstr>699c1fc10f67b935b94c96189796a9f3</vt:lpwstr>
  </property>
  <property fmtid="{D5CDD505-2E9C-101B-9397-08002B2CF9AE}" pid="8" name="FooterPath">
    <vt:lpwstr>AM\1336622NL.docx</vt:lpwstr>
  </property>
  <property fmtid="{D5CDD505-2E9C-101B-9397-08002B2CF9AE}" pid="9" name="PE Number">
    <vt:lpwstr>784.243</vt:lpwstr>
  </property>
  <property fmtid="{D5CDD505-2E9C-101B-9397-08002B2CF9AE}" pid="10" name="UID">
    <vt:lpwstr>eu.europa.europarl-DIN1-2026-0000024973_02.00-nl-01.00_text-xml</vt:lpwstr>
  </property>
</Properties>
</file>