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 Europejski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{AFCO}</w:t>
      </w:r>
      <w:r>
        <w:t>Komisja Spraw Konstytucyjnych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2025/2243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(ACI)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{06/02/2026}</w:t>
      </w:r>
      <w:r>
        <w:t>6.2.2026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POPRAWKI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19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Projekt sprawozdania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Sven Simon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(PE781.475v01-00)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Porozumienie ramowe w sprawie stosunków między Parlamentem Europejskim i Komisją Europejską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(2025/2243(ACI))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Patryk Jaki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mając na uwadze, że traktaty przewidują wyraźną podstawę prawną dla porozumień międzyinstytucjonalnych,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mając na uwadze, że traktaty przewidują wyraźną podstawę prawną dla porozumień międzyinstytucjonalnych, </w:t>
            </w:r>
            <w:r>
              <w:rPr>
                <w:b/>
                <w:i/>
              </w:rPr>
              <w:t>która to podstawa pozwala na zawieranie takich porozumień z poszanowaniem Traktatów, w tym zasady przyznania, która nie pozwala na pozatraktatowe rozszerzanie kompetencji instytucji UE,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Fernando López Aguilar, Klára Dobrev, Alessandro Zan, Marc Angel, Vasile Dîncu, Thijs Reuten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mając na uwadze, że porozumienie ramowe w sprawie stosunków między Parlamentem i Komisją pochodzi z 2010 r., a od tego czasu współpraca międzyinstytucjonalna znacznie się rozwinęła, co znalazło odzwierciedlenie w reformie „Parlament 2024” i w późniejszych zmianach Regulaminu Parlamentu przyjętych w kwietniu 2024 r.,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mając na uwadze, że porozumienie ramowe w sprawie stosunków między Parlamentem i Komisją pochodzi z 2010 r., a od tego czasu współpraca międzyinstytucjonalna znacznie się rozwinęła, co znalazło odzwierciedlenie w reformie „Parlament 2024” i w późniejszych zmianach Regulaminu Parlamentu przyjętych w kwietniu 2024 r.</w:t>
            </w:r>
            <w:r>
              <w:rPr>
                <w:b/>
                <w:i/>
              </w:rPr>
              <w:t>; mając na uwadze</w:t>
            </w:r>
            <w:r>
              <w:t xml:space="preserve">, </w:t>
            </w:r>
            <w:r>
              <w:rPr>
                <w:b/>
                <w:i/>
              </w:rPr>
              <w:t>że porozumienie ramowe ma na celu zapewnienie spójności z traktatami oraz nadanie praktycznego skutku prerogatywom Parlamentu Europejskiego w zakresie kontroli, nadzoru i budżetu,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Patryk Jaki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E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 a.</w:t>
            </w:r>
            <w:r>
              <w:tab/>
            </w:r>
            <w:r>
              <w:rPr>
                <w:b/>
                <w:i/>
              </w:rPr>
              <w:t>Mając na uwadze, że porozumienie międzyinstytucjonalne nie może uwzględniać lub promować żadnych automatycznych lub bezpośrednich powiązań pomiędzy wyborami europejskimi a wyborem przewodniczącego Komisji,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Fernando López Aguilar, Klára Dobrev, Alessandro Zan, Marc Angel, Vasile Dîncu, Thijs Reuten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E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mając na uwadze, że obie instytucje przywiązują najwyższą wagę do zasady równowagi instytucjonalnej i zasady wzajemnej lojalnej współpracy, zapisanych w art. 13 ust. 2 TUE,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Fernando López Aguilar, Klára Dobrev, Alessandro Zan, Marc Angel, Vasile Dîncu, Thijs Reuten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mając na uwadze, że wspólna ocena realizacji porozumienia ramowego przeprowadzona na szczeblu technicznym w porozumieniu z przewodniczącą Komisji podkreśliła potrzebę aktualizacji i udoskonalenia niektórych jego postanowień w odniesieniu do prerogatyw ustawodawczych, budżetowych i kontrolnych </w:t>
            </w:r>
            <w:r>
              <w:rPr>
                <w:b/>
                <w:i/>
              </w:rPr>
              <w:t>Parlamentu</w:t>
            </w:r>
            <w: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mając na uwadze, że wspólna ocena realizacji porozumienia ramowego przeprowadzona na szczeblu technicznym w porozumieniu z przewodniczącą Komisji podkreśliła potrzebę aktualizacji i udoskonalenia niektórych jego postanowień</w:t>
            </w:r>
            <w:r>
              <w:rPr>
                <w:b/>
                <w:i/>
              </w:rPr>
              <w:t>, aby lepiej odzwierciedlić równowagę instytucjonalną i w pełni wdrożyć prerogatywy Parlamentu zapisane w traktatach</w:t>
            </w:r>
            <w:r>
              <w:t xml:space="preserve"> w odniesieniu do </w:t>
            </w:r>
            <w:r>
              <w:rPr>
                <w:b/>
                <w:i/>
              </w:rPr>
              <w:t>jego</w:t>
            </w:r>
            <w:r>
              <w:t xml:space="preserve"> prerogatyw ustawodawczych, budżetowych i kontrolnych,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Fernando López Aguilar, Klára Dobrev, Alessandro Zan, Marc Angel, Vasile Dîncu, Thijs Reuten, Reinier Van Lanschot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jest zdania, że zmienione porozumienie stanowi dla Parlamentu znaczny postęp instytucjonalny w stosunkach z Komisją;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jest zdania, że zmienione porozumienie stanowi dla Parlamentu znaczny postęp instytucjonalny w stosunkach z Komisją </w:t>
            </w:r>
            <w:r>
              <w:rPr>
                <w:b/>
                <w:i/>
              </w:rPr>
              <w:t>w celu wzmocnienia odpowiedzialności politycznej i legitymacji, rozszerzenia konstruktywnego dialogu, poprawy przepływu informacji między obiema instytucjami oraz poprawy współpracy w zakresie procedur i planowania, w tym uprawnień kontrolnych i śledczych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Patryk Jaki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jest zdania, że zmienione porozumienie stanowi dla Parlamentu znaczny postęp instytucjonalny w stosunkach z Komisją;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jest zdania, że zmienione porozumienie stanowi dla Parlamentu znaczny postęp instytucjonalny w stosunkach z Komisją</w:t>
            </w:r>
            <w:r>
              <w:rPr>
                <w:b/>
                <w:i/>
              </w:rPr>
              <w:t>, podkreślając zarazem, że każdy taki postęp musi znajdować swoje oparcie w Traktatch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Nikolas Farantouris, Reinier Van Lanschot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jest zdania, że zmienione porozumienie stanowi dla Parlamentu </w:t>
            </w:r>
            <w:r>
              <w:rPr>
                <w:b/>
                <w:i/>
              </w:rPr>
              <w:t>znaczny</w:t>
            </w:r>
            <w:r>
              <w:t xml:space="preserve"> postęp instytucjonalny w stosunkach z Komisją;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jest zdania, że zmienione porozumienie stanowi dla Parlamentu postęp instytucjonalny w stosunkach z Komisją;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Fernando López Aguilar, Klára Dobrev, Alessandro Zan, Marc Angel, Vasile Dîncu, Thijs Reuten, Nikolas Farantouris, Reinier Van Lanschot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 – tiret pierwsze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-</w:t>
            </w:r>
            <w:r>
              <w:tab/>
            </w:r>
            <w:r>
              <w:t>potwierdzenie zasady równego traktowania Parlamentu i Rady oraz roli Komisji jako bezstronnego mediatora, w szczególności poprzez zapewnienie kompleksowego, we właściwym czasie i szczegółowego dopływu informacji do Parlamentu, o którym świadczy zobowiązanie do informowania Parlamentu o inicjatywach politycznych i wnioskach ustawodawczych nieuwzględnionych w programie prac Komisji oraz do przedstawiania kluczowych inicjatyw na posiedzeniu plenarnym natychmiast po ich przyjęciu przez kolegium komisarzy;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-</w:t>
            </w:r>
            <w:r>
              <w:tab/>
            </w:r>
            <w:r>
              <w:t xml:space="preserve">potwierdzenie zasady równego traktowania Parlamentu i Rady oraz roli Komisji jako bezstronnego mediatora, w szczególności poprzez zapewnienie kompleksowego, we właściwym czasie i szczegółowego </w:t>
            </w:r>
            <w:r>
              <w:rPr>
                <w:b/>
                <w:i/>
              </w:rPr>
              <w:t>oraz przejrzystego</w:t>
            </w:r>
            <w:r>
              <w:t xml:space="preserve"> dopływu informacji do Parlamentu </w:t>
            </w:r>
            <w:r>
              <w:rPr>
                <w:b/>
                <w:i/>
              </w:rPr>
              <w:t>umożliwiającego rzetelną kontrolę demokratyczną</w:t>
            </w:r>
            <w:r>
              <w:t>, o którym świadczy zobowiązanie do informowania Parlamentu o inicjatywach politycznych i wnioskach ustawodawczych nieuwzględnionych w programie prac Komisji oraz do przedstawiania kluczowych inicjatyw na posiedzeniu plenarnym natychmiast po ich przyjęciu przez kolegium komisarzy;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Fernando López Aguilar, Klára Dobrev, Alessandro Zan, Marc Angel, Vasile Dîncu, Thijs Reuten, Nikolas Farantouris, Reinier Van Lanschot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 – tiret pierwsze a (nowe)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-</w:t>
            </w:r>
            <w:r>
              <w:tab/>
            </w:r>
            <w:r>
              <w:rPr>
                <w:b/>
                <w:i/>
              </w:rPr>
              <w:t>zobowiązanie Komisji do zadbania o to, by jej oceny wpływu był przeprowadzane w ramach jej kompetencji i według przejrzystej procedury gwarantującej niezależną ocenę;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Fernando López Aguilar, Klára Dobrev, Alessandro Zan, Marc Angel, Vasile Dîncu, Thijs Reuten, Nikolas Farantouris, Reinier Van Lanschot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 – tiret pierwsze b (nowe)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-</w:t>
            </w:r>
            <w:r>
              <w:tab/>
            </w:r>
            <w:r>
              <w:rPr>
                <w:b/>
                <w:i/>
              </w:rPr>
              <w:t>spoczywający na nowo wybranym przewodniczącym obowiązek przedstawiania Parlamentowi szczegółowych informacji na temat składu nowego kolegium komisarzy, w tym jego planowanej struktury i zapewnienia równowagi płci w kolegium;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Fernando López Aguilar, Klára Dobrev, Alessandro Zan, Marc Angel, Vasile Dîncu, Thijs Reuten, Nikolas Farantouris, Reinier Van Lanschot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 – tiret trzecie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-</w:t>
            </w:r>
            <w:r>
              <w:tab/>
            </w:r>
            <w:r>
              <w:t>zapewnienie, że Parlament będzie co do zasady w ramach swojej funkcji nadzoru politycznego wzywał członków Komisji, a przy tym może on zażądać obecności na posiedzeniu plenarnym konkretnego komisarza, jeżeli uzasadnia to rozpatrywany punkt porządku obrad;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-</w:t>
            </w:r>
            <w:r>
              <w:tab/>
            </w:r>
            <w:r>
              <w:t xml:space="preserve">zapewnienie, że Parlament będzie co do zasady w ramach swojej funkcji nadzoru politycznego wzywał członków Komisji, a przy tym może on zażądać obecności na posiedzeniu plenarnym konkretnego komisarza, jeżeli uzasadnia to rozpatrywany punkt porządku obrad; </w:t>
            </w:r>
            <w:r>
              <w:rPr>
                <w:b/>
                <w:i/>
              </w:rPr>
              <w:t>w szczególności podczas tury pytań trwającej do 90 minut obecni są członkowie Komisji, których teki dotyczą tematu pytań, tak aby zapewnić konstruktywną, otwartą i demokratyczną debatę między posłami do Parlamentu Europejskiego a członkami Komisji;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Fernando López Aguilar, Klára Dobrev, Alessandro Zan, Marc Angel, Vasile Dîncu, Thijs Reuten, Nikolas Farantouris, Reinier Van Lanschot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 – tiret dziewiąte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-</w:t>
            </w:r>
            <w:r>
              <w:tab/>
            </w:r>
            <w:r>
              <w:t>poprawa przepływu informacji dotyczących umów międzynarodowych, a tym samym wzmocnienie demokratycznej rozliczalności i przejrzystości w polityce zewnętrznej;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-</w:t>
            </w:r>
            <w:r>
              <w:tab/>
            </w:r>
            <w:r>
              <w:t xml:space="preserve">poprawa przepływu informacji dotyczących umów międzynarodowych </w:t>
            </w:r>
            <w:r>
              <w:rPr>
                <w:b/>
                <w:i/>
              </w:rPr>
              <w:t>na wszystkich etapach negocjacji</w:t>
            </w:r>
            <w:r>
              <w:t>, a tym samym wzmocnienie demokratycznej rozliczalności i przejrzystości w polityce zewnętrznej;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Fernando López Aguilar, Klára Dobrev, Alessandro Zan, Marc Angel, Vasile Dîncu, Thijs Reuten, Nikolas Farantouris, Reinier Van Lanschot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ubolewa w szczególności, że w zmienionym porozumieniu nie uwzględniono następujących aspektów stosunków między obiema instytucjami: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- „Komisja, działając zgodnie z przepisami prawa Unii i prawa krajowego, wspiera komisje śledcze Parlamentu Europejskiego w wykonywaniu ich zadań zgodnie z zasadą wzajemnej lojalnej współpracy”;</w:t>
            </w:r>
            <w:r>
              <w:rPr>
                <w:b/>
                <w:i/>
              </w:rPr>
              <w:t>oraz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- „W celu prowadzenia dochodzeń, w granicach swojego mandatu, komisje śledcze Parlamentu Europejskiego mogą:</w:t>
            </w:r>
            <w:r>
              <w:t xml:space="preserve"> </w:t>
            </w:r>
            <w:r>
              <w:rPr>
                <w:b/>
                <w:i/>
              </w:rPr>
              <w:t>zwrócić się do Komisji o wyznaczenie co najmniej jednego członka i wysłuchanie tych członków, a także przedstawicieli agencji UE, jeżeli ich zeznania zostaną uznane za istotne i niezbędne do dogłębnej oceny sprawy będącej przedmiotem dochodzenia oraz do uzyskania dowodów od urzędników i innych pracowników Komisji i agencji UE”;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Sandro Gozi, Ľubica Karvašová, Reinier Van Lanschot, Sven Simon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uważa, że demokratyczna kontrola nad Komisją wymaga nie tylko odpowiednich ram prawnych, ale także poczucia odpowiedzialności politycznej i zaangażowania politycznego;</w:t>
            </w:r>
            <w:r>
              <w:t xml:space="preserve"> </w:t>
            </w:r>
            <w:r>
              <w:rPr>
                <w:b/>
                <w:i/>
              </w:rPr>
              <w:t>zwraca uwagę na formalną wymianę poglądów między posłami do Parlamentu a Komisją podczas sesji plenarnej, w tym podczas tury pytań, będącą podstawą demokracji europejskiej;</w:t>
            </w:r>
            <w:r>
              <w:t xml:space="preserve"> </w:t>
            </w:r>
            <w:r>
              <w:rPr>
                <w:b/>
                <w:i/>
              </w:rPr>
              <w:t>zobowiązuje się do dalszego inwestowania w kulturę parlamentarną i jej wspierania, tak aby obie strony mogły uczestniczyć w tych sesjach, co umożliwi konstruktywną i merytoryczną wymianę poglądów między Parlamentem a Komisją;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Patryk Jaki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 a.</w:t>
            </w:r>
            <w:r>
              <w:tab/>
            </w:r>
            <w:r>
              <w:rPr>
                <w:b/>
                <w:i/>
              </w:rPr>
              <w:t>Podkreśla, że udział członków Komisji w kampaniach wyborczych do Parlamentu Europejskiego, w tym jako główni kandydaci (Spitzenkandidaten), nie może naruszać ich obowiązku neutralności politycznej ani tworzyć oczekiwań instytucjonalnych dotyczących mianowania na stanowiska, które nie są przewidziane w Traktatach;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Fernando López Aguilar, Klára Dobrev, Alessandro Zan, Marc Angel, Vasile Dîncu, Thijs Reuten, Nikolas Farantouris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2b.</w:t>
            </w:r>
            <w:r>
              <w:tab/>
            </w:r>
            <w:r>
              <w:rPr>
                <w:b/>
                <w:i/>
              </w:rPr>
              <w:t>uwzględniając należycie opinie wyrażone przez Parlament, ubolewa w szczególności nad brakiem indywidualnego uzasadnienia wycofania wniosków Komisji na początku nowej kadencji Komisji;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Fernando López Aguilar, Klára Dobrev, Alessandro Zan, Marc Angel, Vasile Dîncu, Thijs Reuten, Nikolas Farantouris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 c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2c.</w:t>
            </w:r>
            <w:r>
              <w:tab/>
            </w:r>
            <w:r>
              <w:rPr>
                <w:b/>
                <w:i/>
              </w:rPr>
              <w:t>ubolewa, że Komisja nie wskazała, czy nowym inicjatywom ustawodawczym będzie towarzyszyć ocena skutków, ani nie przedstawiła odpowiedniego uzasadnienia w przeciwnym razie;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Fernando López Aguilar, Klára Dobrev, Alessandro Zan, Marc Angel, Vasile Dîncu, Thijs Reuten, Nikolas Farantouris, Reinier Van Lanschot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 d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2d.</w:t>
            </w:r>
            <w:r>
              <w:tab/>
            </w:r>
            <w:r>
              <w:rPr>
                <w:b/>
                <w:i/>
              </w:rPr>
              <w:t>oczekuje, że Komisja będzie w pełni przestrzegać zarówno nowych, jak i istniejących postanowień umowy;</w:t>
            </w:r>
            <w:r>
              <w:t xml:space="preserve"> </w:t>
            </w:r>
            <w:r>
              <w:rPr>
                <w:b/>
                <w:i/>
              </w:rPr>
              <w:t>Parlament Europejski powinien regularnie monitorować wdrażanie umowy od momentu jej wejścia w życie;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784.243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10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11</w:t>
    </w:r>
    <w:r>
      <w:fldChar w:fldCharType="end"/>
    </w:r>
    <w:r>
      <w:tab/>
    </w:r>
    <w:r>
      <w:rPr>
        <w:rStyle w:val="HideTWBExt"/>
      </w:rPr>
      <w:t>&lt;PathFdR&gt;</w:t>
    </w:r>
    <w:r>
      <w:t>AM\1336622PL.docx</w:t>
    </w:r>
    <w:r>
      <w:rPr>
        <w:rStyle w:val="HideTWBExt"/>
      </w:rPr>
      <w:t>&lt;/PathFdR&gt;</w:t>
    </w:r>
  </w:p>
  <w:p>
    <w:pPr>
      <w:pStyle w:val="EPFooter2"/>
    </w:pPr>
    <w:r>
      <w:t>PL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AM\1336622PL.docx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11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11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784.243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PL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AM\1336622PL.docx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784.243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PL</w:t>
    </w:r>
    <w:r>
      <w:tab/>
    </w:r>
    <w:r>
      <w:rPr>
        <w:rStyle w:val="EPFooter2Motto"/>
      </w:rPr>
      <w:t>Zjednoczona w różnorodności</w:t>
    </w:r>
    <w:r>
      <w:tab/>
    </w:r>
    <w:r>
      <w:t>PL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11</Pages>
  <Words>1573</Words>
  <Characters>10275</Characters>
  <Application>Microsoft Office Word</Application>
  <DocSecurity>0</DocSecurity>
  <Lines>1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1336622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388644</vt:lpwstr>
  </property>
  <property fmtid="{D5CDD505-2E9C-101B-9397-08002B2CF9AE}" pid="7" name="dmxml.render.traceId">
    <vt:lpwstr>699c2f75236a7608f3c52054f46bcb4f</vt:lpwstr>
  </property>
  <property fmtid="{D5CDD505-2E9C-101B-9397-08002B2CF9AE}" pid="8" name="FooterPath">
    <vt:lpwstr>AM\1336622PL.docx</vt:lpwstr>
  </property>
  <property fmtid="{D5CDD505-2E9C-101B-9397-08002B2CF9AE}" pid="9" name="PE Number">
    <vt:lpwstr>784.243</vt:lpwstr>
  </property>
  <property fmtid="{D5CDD505-2E9C-101B-9397-08002B2CF9AE}" pid="10" name="UID">
    <vt:lpwstr>eu.europa.europarl-DIN1-2026-0000024973_02.00-pl-01.00_text-xml</vt:lpwstr>
  </property>
</Properties>
</file>