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4.1.0.0 -->
  <w:body>
    <w:tbl>
      <w:tblPr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vAlign w:val="center"/>
          </w:tcPr>
          <w:p w:rsidR="00A77B3E">
            <w:pPr>
              <w:pStyle w:val="EPName"/>
            </w:pPr>
            <w:r>
              <w:t>Evropský parlament</w:t>
            </w:r>
          </w:p>
          <w:p>
            <w:pPr>
              <w:pStyle w:val="EPTerm"/>
            </w:pPr>
            <w:r>
              <w:t>2014-2019</w:t>
            </w:r>
          </w:p>
        </w:tc>
        <w:tc>
          <w:tcPr/>
          <w:p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height:51.02pt;width:91.56pt">
                  <v:imagedata r:id="rId4" o:title=""/>
                </v:shape>
              </w:pict>
            </w:r>
          </w:p>
        </w:tc>
      </w:tr>
    </w:tbl>
    <w:p w:rsidR="00A77B3E">
      <w:pPr>
        <w:pStyle w:val="LineTop"/>
      </w:pPr>
    </w:p>
    <w:p>
      <w:pPr>
        <w:pStyle w:val="ZCommittee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RefProc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2018/2115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Z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05/12/2018</w:t>
      </w:r>
      <w:r>
        <w:rPr>
          <w:rStyle w:val="HideTWBInt"/>
        </w:rPr>
        <w:t>}</w:t>
      </w:r>
      <w:r>
        <w:t>5. 12. 2018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TypeDocAM"/>
      </w:pPr>
      <w:r>
        <w:rPr>
          <w:rStyle w:val="HideTWBExt"/>
        </w:rPr>
        <w:t>&lt;</w:t>
      </w:r>
      <w:r>
        <w:rPr>
          <w:rStyle w:val="HideTWBExt"/>
        </w:rPr>
        <w:t>TypeAM</w:t>
      </w:r>
      <w:r>
        <w:rPr>
          <w:rStyle w:val="HideTWBExt"/>
        </w:rPr>
        <w:t>&gt;</w:t>
      </w:r>
      <w:r>
        <w:t>POZMĚŇOVACÍ NÁVRHY</w:t>
      </w:r>
      <w:r>
        <w:rPr>
          <w:rStyle w:val="HideTWBExt"/>
        </w:rPr>
        <w:t>&lt;/</w:t>
      </w:r>
      <w:r>
        <w:rPr>
          <w:rStyle w:val="HideTWBExt"/>
        </w:rPr>
        <w:t>TypeAM</w:t>
      </w:r>
      <w:r>
        <w:rPr>
          <w:rStyle w:val="HideTWBExt"/>
        </w:rPr>
        <w:t>&gt;</w:t>
      </w:r>
    </w:p>
    <w:p>
      <w:pPr>
        <w:pStyle w:val="NRAMS"/>
      </w:pPr>
      <w:r>
        <w:rPr>
          <w:rStyle w:val="HideTWBExt"/>
        </w:rPr>
        <w:t>&lt;</w:t>
      </w:r>
      <w:r>
        <w:rPr>
          <w:rStyle w:val="HideTWBExt"/>
        </w:rPr>
        <w:t>RangeAM</w:t>
      </w:r>
      <w:r>
        <w:rPr>
          <w:rStyle w:val="HideTWBExt"/>
        </w:rPr>
        <w:t>&gt;</w:t>
      </w:r>
      <w:r>
        <w:t>1 - 262</w:t>
      </w:r>
      <w:r>
        <w:rPr>
          <w:rStyle w:val="HideTWBExt"/>
        </w:rPr>
        <w:t>&lt;/</w:t>
      </w:r>
      <w:r>
        <w:rPr>
          <w:rStyle w:val="HideTWBExt"/>
        </w:rPr>
        <w:t>RangeAM</w:t>
      </w:r>
      <w:r>
        <w:rPr>
          <w:rStyle w:val="HideTWBExt"/>
        </w:rPr>
        <w:t>&gt;</w:t>
      </w:r>
    </w:p>
    <w:p>
      <w:pPr>
        <w:pStyle w:val="CoverBold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Bold"/>
      </w:pPr>
      <w:r>
        <w:rPr>
          <w:rStyle w:val="HideTWBExt"/>
        </w:rPr>
        <w:t>&lt;</w:t>
      </w:r>
      <w:r>
        <w:rPr>
          <w:rStyle w:val="HideTWBExt"/>
        </w:rPr>
        <w:t>Rapporteur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Rapporteur</w:t>
      </w:r>
      <w:r>
        <w:rPr>
          <w:rStyle w:val="HideTWBExt"/>
        </w:rPr>
        <w:t>&gt;</w:t>
      </w:r>
    </w:p>
    <w:p>
      <w:pPr>
        <w:pStyle w:val="Cover24"/>
      </w:pPr>
      <w:r>
        <w:rPr>
          <w:rStyle w:val="HideTWBExt"/>
        </w:rPr>
        <w:t>&lt;</w:t>
      </w:r>
      <w:r>
        <w:rPr>
          <w:rStyle w:val="HideTWBExt"/>
        </w:rPr>
        <w:t>DocRefPE</w:t>
      </w:r>
      <w:r>
        <w:rPr>
          <w:rStyle w:val="HideTWBExt"/>
        </w:rPr>
        <w:t>&gt;</w:t>
      </w:r>
      <w:r>
        <w:t>(</w:t>
      </w:r>
      <w:r>
        <w:t>PE623.704v01-00</w:t>
      </w:r>
      <w:r>
        <w:t>)</w:t>
      </w:r>
      <w:r>
        <w:rPr>
          <w:rStyle w:val="HideTWBExt"/>
        </w:rPr>
        <w:t>&lt;/</w:t>
      </w:r>
      <w:r>
        <w:rPr>
          <w:rStyle w:val="HideTWBExt"/>
        </w:rPr>
        <w:t>DocRefPE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Doporučení místopředsedkyni Komise, vysoké představitelce Unie pro zahraniční věci a bezpečnostní politiku, a Radě týkající se hodnocení následných kroků ESVČ dva roky po zprávě EP o strategické komunikaci EU s cílem bojovat proti propagandě, kterou proti ní vedou třetí strany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24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</w:t>
      </w:r>
      <w:r>
        <w:t>2018/2115(INI)</w:t>
      </w:r>
      <w:r>
        <w:t>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</w:t>
      </w:r>
      <w:r>
        <w:rPr>
          <w:rStyle w:val="HideTWBExt"/>
        </w:rPr>
        <w:t>RepeatBlock-Amend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2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—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sdělení Komise ze dne 26. dubna 2018 „Boj proti dezinformacím na internetu: evropský přístup“ (COM(2018)0236),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3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—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celounijní kodex zásad boje proti šíření dezinformací, který byl zveřejněn dne 26. září 2018,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3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doporučení Evropského parlamentu ze dne 15. listopadu 2017 Radě, Komisi a ESVČ k Východnímu partnerství před summitem konaným v listopadu 2017,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3 b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společné sdělení Evropskému parlamentu a Radě ze dne 13. září 2017 nazvané „Odolnost, odrazování a obrana: budování silné kybernetické bezpečnosti pro EU" (JOIN(2017)450),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3 c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společné sdělení Evropskému parlamentu a Radě ze dne 7. července 2017 nazvané „Strategický přístup k odolnosti ve vnější činnosti EU“ (JOIN(2017)21),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4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—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své usnesení ze dne 23. listopadu 2016 o strategické komunikaci EU s cílem bojovat proti propagandě, kterou proti ní vedou třetí strany</w:t>
            </w:r>
            <w:r>
              <w:rPr>
                <w:rStyle w:val="SupBoldItalic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_________________</w:t>
            </w:r>
          </w:p>
        </w:tc>
        <w:tc>
          <w:tcPr/>
          <w:p>
            <w:pPr>
              <w:pStyle w:val="Normal6"/>
            </w:pP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Style w:val="SupBoldItalic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Úř. věst. C 224, 27.6.2018, s. 58.</w:t>
            </w:r>
          </w:p>
        </w:tc>
        <w:tc>
          <w:tcPr/>
          <w:p>
            <w:pPr>
              <w:pStyle w:val="Normal6"/>
            </w:pP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4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—</w:t>
            </w:r>
            <w:r>
              <w:tab/>
            </w:r>
            <w:r>
              <w:t>s ohledem na své usnesení ze dne 23. listopadu 2016 o strategické komunikaci EU s cílem bojovat proti propagandě, kterou proti ní vedou třetí strany</w:t>
            </w:r>
            <w:r>
              <w:rPr>
                <w:rStyle w:val="Sup"/>
              </w:rPr>
              <w:t>1</w:t>
            </w:r>
            <w:r>
              <w:t>,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t>s ohledem na své usnesení ze dne 23. listopadu 2016 o strategické komunikaci EU s cílem bojovat proti propagandě, kterou proti ní vedou třetí strany</w:t>
            </w:r>
            <w:r>
              <w:rPr>
                <w:rStyle w:val="Sup"/>
              </w:rPr>
              <w:t>1</w:t>
            </w:r>
            <w: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usnesení, které zmiňuje Rusko 33krát, ale Islámský stát nebo islámskou hrozbu pouze čtyřikrát,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_________________</w:t>
            </w:r>
          </w:p>
        </w:tc>
        <w:tc>
          <w:tcPr/>
          <w:p>
            <w:pPr>
              <w:pStyle w:val="Normal6"/>
            </w:pPr>
            <w:r>
              <w:t>_________________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Style w:val="Sup"/>
              </w:rPr>
              <w:t>1</w:t>
            </w:r>
            <w:r>
              <w:t xml:space="preserve"> </w:t>
            </w:r>
            <w:r>
              <w:t>Úř. věst. C 224, 27.6.2018, s. 58.</w:t>
            </w:r>
          </w:p>
        </w:tc>
        <w:tc>
          <w:tcPr/>
          <w:p>
            <w:pPr>
              <w:pStyle w:val="Normal6"/>
            </w:pPr>
            <w:r>
              <w:rPr>
                <w:rStyle w:val="Sup"/>
              </w:rPr>
              <w:t>1</w:t>
            </w:r>
            <w:r>
              <w:t xml:space="preserve"> </w:t>
            </w:r>
            <w:r>
              <w:t>Úř. věst. C 224, 27.6.2018, s. 58.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4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článek 19 Všeobecné deklarace lidských práv, který chrání právo každého jedince na přesvědčení, aniž by za to trpěl újmu, a právo vyhledávat, přijímat a rozšiřovat informace a myšlenky všeho druhu, bez ohledu na hranice a jakýmikoli prostředky,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7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—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studii proveditelnosti Evropské nadace pro demokracii týkající se iniciativ ruskojazyčných sdělovacích prostředků ve Východním partnerství a mimo něj „Bringing Plurality and Balance to the Russian Language Media Space“ (Vnesení plurality a rovnováhy do prostoru ruskojazyčných sdělovacích prostředků),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7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 ohledem na společné prohlášení o spolupráci EU a NATO z roku 2018,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8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 ohledem na společné prohlášení zvláštního zpravodaje OSN pro svobodu přesvědčení a projevu, zástupce Organizace pro bezpečnost a spolupráci v Evropě (OBSE) pro svobodu sdělovacích prostředků, zvláštního zpravodaje Organizace amerických států pro svobodu projevu a zvláštního zpravodaje Africké komise pro lidská práva a práva národů pro svobodu projevu a přístup k informacím o svobodě projevu a „falešných zprávách“, dezinformacích a propagandě,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9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zprávu A/HRC/38/35 zvláštního zpravodaje pro podporu a ochranu práva na svobodu přesvědčení a projevu ze dne 6. 4. 2018,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9 a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zprávu o obraně akademické svobody v rámci vnější činnosti EU 2018/2117(INI),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9 b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poslední zprávu Europolu nazvanou „Situace a vývoj terorismu v EU v roce 2018“, která poukazuje na stupňující se činnost teroristických skupin v kybernetickém prostoru a na jejich možnou konvergenci s jinými zločineckými skupinami</w:t>
            </w:r>
            <w:r>
              <w:rPr>
                <w:rStyle w:val="SupBoldItalic"/>
              </w:rPr>
              <w:t>1a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t>_________________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Style w:val="SupBoldItalic"/>
              </w:rPr>
              <w:t>1a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 odkazem: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https://www.europol.europa.eu/activities-services/main-reports/european-union-terrorism-situation-and-trend-report-2018-tesat-2018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9 b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činnost transatlantické komise pro integritu voleb,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Právní východisko 9 c (nové)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ohledem na zásady ze Santa Clary týkající se transparentnosti a odpovědnosti v postupech moderování obsahu,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Dílčí nadpis 1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 xml:space="preserve">Současný stav v roce 2018 – Boj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informační</w:t>
            </w:r>
            <w:r>
              <w:t xml:space="preserve"> válce</w:t>
            </w:r>
          </w:p>
        </w:tc>
        <w:tc>
          <w:tcPr/>
          <w:p>
            <w:pPr>
              <w:pStyle w:val="Normal6"/>
            </w:pPr>
            <w:r>
              <w:t xml:space="preserve">Současný stav v roce 2018 – Boj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hybridní</w:t>
            </w:r>
            <w:r>
              <w:t xml:space="preserve"> válce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Dílčí nadpis 1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 xml:space="preserve">Současný stav v roce 2018 – Boj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informační</w:t>
            </w:r>
            <w:r>
              <w:t xml:space="preserve"> válce</w:t>
            </w:r>
          </w:p>
        </w:tc>
        <w:tc>
          <w:tcPr/>
          <w:p>
            <w:pPr>
              <w:pStyle w:val="Normal6"/>
            </w:pPr>
            <w:r>
              <w:t xml:space="preserve">Současný stav v roce 2018 – Boj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hybridní</w:t>
            </w:r>
            <w:r>
              <w:t xml:space="preserve"> válce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>mít na paměti, že svoboda slova a projevu, jakož i pluralita sdělovacích prostředků by měly být jádrem demokratických společností a zajišťovat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by měly být jádrem demokratických společností a zajišťovat nejlepší ochranu proti nepřátelské propagandě;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vyjadřuje v tomto ohledu znepokojení nad zhoršujícím se stavem svobod sdělovacích prostředků a nad případy útoků na novináře, ke kterým došlo i uvnitř EU;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poznamenává, že by měly být podniknuty další kroky k zaručení transparentnosti vlastnictví sdělovacích prostředků a jejich plurality;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by měly být jádrem demokratických společností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zajišťovat nejlepší ochranu proti nepřátelské propagandě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>mít na paměti, že svoboda slova a projevu, jakož i pluralita sdělovacích prostředků by měly být jádrem demokratických společností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domnívá se, že nejlepšími garanty demokracie jsou samotní občané a že klíčovým faktorem ochrany před falešnými zprávami je vzdělání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>mít na paměti, že svoboda slova a projevu, jakož i pluralita sdělovacích prostředků by měly být jádrem demokratických společností a zajišťovat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by měly být jádrem demokratických společností a zajišťovat nejlepší ochranu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dezinformačním kampaním a</w:t>
            </w:r>
            <w:r>
              <w:t xml:space="preserve">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mít na paměti</w:t>
            </w:r>
            <w:r>
              <w:t xml:space="preserve">, že svoboda slova a projevu, jakož i pluralita sdělovacích prostředků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by měly být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zajišťovat</w:t>
            </w:r>
            <w:r>
              <w:t xml:space="preserve">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zdůraznit</w:t>
            </w:r>
            <w:r>
              <w:t>, že svoboda slova a projevu, jakož i pluralita sdělovacích prostředků 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jsou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zajišťují</w:t>
            </w:r>
            <w:r>
              <w:t xml:space="preserve"> nejlepší ochranu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dezinformační a</w:t>
            </w:r>
            <w:r>
              <w:t xml:space="preserve">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by měly být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zajišťovat</w:t>
            </w:r>
            <w:r>
              <w:t xml:space="preserve">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jsou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poskytují</w:t>
            </w:r>
            <w:r>
              <w:t xml:space="preserve"> nejlepší ochranu proti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by měly být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zajišťovat</w:t>
            </w:r>
            <w:r>
              <w:t xml:space="preserve">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jsou</w:t>
            </w:r>
            <w:r>
              <w:t xml:space="preserve"> jádrem demokratických společností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poskytují</w:t>
            </w:r>
            <w:r>
              <w:t xml:space="preserve"> nejlepší ochranu proti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Louis Michel</w:t>
      </w:r>
      <w:r>
        <w:t xml:space="preserve">, </w:t>
      </w:r>
      <w:r>
        <w:t>Hilde Vautmans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>mít na paměti, že svoboda slova a projevu, jakož i pluralita sdělovacích prostředků by měly být jádrem demokratických společností a zajišťovat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by měly být jádrem demokratických společností a zajišťovat nejlepší ochranu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dezinformační a</w:t>
            </w:r>
            <w:r>
              <w:t xml:space="preserve">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NL</w:t>
      </w:r>
      <w:r>
        <w:rPr>
          <w:rStyle w:val="HideTWBInt"/>
        </w:rPr>
        <w:t>}</w:t>
      </w:r>
      <w:r>
        <w:t>nl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a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>mít na paměti, že svoboda slova a projevu, jakož i pluralita sdělovacích prostředků by měly být jádrem demokratických společností a zajišťovat nejlepší ochranu proti nepřátelské propagandě;</w:t>
            </w:r>
          </w:p>
        </w:tc>
        <w:tc>
          <w:tcPr/>
          <w:p>
            <w:pPr>
              <w:pStyle w:val="Normal6"/>
            </w:pPr>
            <w:r>
              <w:t>a)</w:t>
            </w:r>
            <w:r>
              <w:tab/>
            </w:r>
            <w:r>
              <w:t xml:space="preserve">mít na paměti, že svoboda slova a projevu, jakož i pluralita sdělovacích prostředků by měly být jádrem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odolných</w:t>
            </w:r>
            <w:r>
              <w:t xml:space="preserve"> demokratických společností a zajišťovat nejlepší ochranu proti 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a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vzhledem k tomu, že v Evropské unii se termínem „propaganda“ rozumí šíření myšlenek, konceptů, informací a politických doktrín za účelem vytváření nebo změny veřejného mínění;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termínem „dezinformace“ se obvykle rozumí záměrné šíření úmyslně nepravdivých nebo nepřesných informací;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a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v potaz, že v současné situaci mohou vést informační válku a provádět propagandu a podobné činnosti státní i nestátní činitelé, skupiny, ale i jednotlivci, někdy ve spojení se zločineckými organizacemi;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a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zapojit do tohoto procesu všechny relevantní zainteresované strany včetně hlavních tiskových, novinářských a mediálních sdružení;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a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členské státy, kandidátské a přidružené země, aby zajistily fungující systém veřejnoprávního vysílání, které jde příkladem v poskytování nestranných a objektivních informací v souladu s nejlepšími novinářskými postupy a etikou;</w:t>
            </w:r>
            <w:r>
              <w:t xml:space="preserve"> 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a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v úvahu, že v zájmu ochrany občanů EU by mělo být klíčové zabývat se celým možným spektrem dezinformací a propagandy, aniž by se zaváděl systém cenzury;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zvážit vytvoření závazného právního rámce pro řešení hybridní války včetně kybernetické a informační války jak na úrovni EU, tak na mezinárodní úrovni, jehož potřebu prokázaly zejména nepřátelské akce Ruska v těchto oblastech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domnívá se, že veškeré pokusy čelit skutečné nebo domnělé nepřátelské propagandě nejsou v souladu s odstavcem 1a uvedeným výše a vzniká tím riziko, že budou nesouhlasné názory v rámci EU prezentovány jako spadající do pátého sloupce, což by mělo velmi neblahý dopad na atmosféru svobodné diskuse v Evropě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závazného</w:t>
            </w:r>
            <w:r>
              <w:t xml:space="preserve"> právního rámce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 řešení hybridní války včetně kybernetické a informační války jak na úrovni EU, tak na mezinárodní úrovni, jehož potřebu prokázaly zejména</w:t>
            </w:r>
            <w:r>
              <w:t xml:space="preserve"> nepřátelské akce Ruska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těchto oblastech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právního rámce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jak na úrovni EU, tak na mezinárodní úrovni, který dá všem občanům nástroje umožňující jim pochopit a kriticky posoudit obsah informací, které jim byly sděleny, a rozpoznat zavádějící informace, neboť</w:t>
            </w:r>
            <w:r>
              <w:t xml:space="preserve"> nepřátelské akce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zejména</w:t>
            </w:r>
            <w:r>
              <w:t xml:space="preserve"> Ruska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Turecka, Spojených arabských emirátů, Spojených států amerických a Číny ukázaly, že je to zapotřebí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hybridní války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včetně kybernetické a informační války</w:t>
            </w:r>
            <w:r>
              <w:t xml:space="preserve"> jak na úrovni EU, tak na mezinárodní úrovni,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jehož potřebu prokázaly zejména nepřátelské akce Ruska v</w:t>
            </w:r>
            <w:r>
              <w:t xml:space="preserve"> těchto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oblastech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hybridní války jak na úrovni EU, tak na mezinárodní úrovni,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který by Unii umožnil pádně reagovat na kampaně, které ohrožují demokracii nebo právní stát, včetně cílených sankcí namířených proti těm, kdo jsou za zorganizování a provedení</w:t>
            </w:r>
            <w:r>
              <w:t xml:space="preserve"> těchto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kampaní odpovědní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>zvážit vytvoření závazného právního rámce pro řešení hybridní války včetně kybernetické a informační války jak na úrovni EU, tak na mezinárodní úrovni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jehož potřebu prokázaly zejména nepřátelské akce Ruska v těchto oblastech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>zvážit vytvoření závazného právního rámce pro řešení hybridní války včetně kybernetické a informační války jak na úrovni EU, tak na mezinárodní úrovni;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Patricia Lalonde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hybridní války</w:t>
            </w:r>
            <w:r>
              <w:t xml:space="preserve"> včetně kybernetické a informační války jak na úrovni EU, tak na mezinárodní úrovni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jehož potřebu prokázaly zejména nepřátelské akce Ruska v těchto oblastech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hybridních hrozeb</w:t>
            </w:r>
            <w:r>
              <w:t xml:space="preserve"> včetně kybernetické a informační války jak na úrovni EU, tak na mezinárodní úrovni;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hybridní války včetně kybernetické a informační války jak na úrovni EU, tak na mezinárodní úrovni, jehož potřebu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prokázaly zejména nepřátelské akce Ruska v těchto</w:t>
            </w:r>
            <w:r>
              <w:t xml:space="preserve"> oblastech;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hybridní války včetně kybernetické a informační války jak na úrovni EU, tak na mezinárodní úrovni, jehož potřebu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prokázala vysoká míra aktivity třetích zemí ve výše uvedených</w:t>
            </w:r>
            <w:r>
              <w:t xml:space="preserve"> oblastech;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závazného</w:t>
            </w:r>
            <w:r>
              <w:t xml:space="preserve"> právního rámce pro řešení hybridní války včetně kybernetické a informační války jak na úrovni EU, tak na mezinárodní úrovni, jehož potřebu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prokázaly</w:t>
            </w:r>
            <w:r>
              <w:t xml:space="preserve"> zejména nepřátelské akce Ruska v těchto oblastech;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>zvážit vytvoření právního rámce pro řešení hybridní války včetně kybernetické a informační války jak na úrovni EU, tak na mezinárodní úrovni, jehož potřebu 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ukazují</w:t>
            </w:r>
            <w:r>
              <w:t xml:space="preserve"> zejména nepřátelské akce Ruska v těchto oblastech;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39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>zvážit vytvoření závazného právního rámce pro řešení hybridní války včetně kybernetické a informační války jak na úrovni EU, tak na mezinárodní úrovni, jehož potřebu prokázaly zejména nepřátelské akce Ruska v těchto oblastech;</w:t>
            </w:r>
          </w:p>
        </w:tc>
        <w:tc>
          <w:tcPr/>
          <w:p>
            <w:pPr>
              <w:pStyle w:val="Normal6"/>
            </w:pPr>
            <w:r>
              <w:t>b)</w:t>
            </w:r>
            <w:r>
              <w:tab/>
            </w:r>
            <w:r>
              <w:t xml:space="preserve">zvážit vytvoření závazného právního rámce pro řešení hybridní války včetně kybernetické a informační války jak na úrovni EU, tak na mezinárodní úrovni, jehož potřebu prokázaly zejména nepřátelské akce Ruska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dalších státních i nestátních činitelů</w:t>
            </w:r>
            <w:r>
              <w:t xml:space="preserve"> v těchto oblastech;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b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riziko zneužití termínů „propaganda“, „dezinformace“ a „falešné zprávy“ pro účely diskreditace nezávislé žurnalistiky, sdělovacích prostředků, akademické obce a kritických hlasů;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a odsoudit skutečnost, že určité vlády využívají technické kontroly a digitálních technologií k uzavírání digitálního prostoru;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b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chránit a usnadňovat prostředí příznivé pro celou škálu informací, myšlenek, různých sdělovacích prostředků a pro občanskou společnost fungující jako strážce demokratických svobod;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podporovat jejich úsilí zaměřené na odhalování falešných zpráv, dezinformací a propagandy a upozorňování na ně;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a nevládních organizací zabývajících se propagandou a dezinformacemi a zajistit, aby se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strategická komunikace EU stala vysokou prioritou evropské agendy; vyzývá místopředsedkyni Komise, vysokou představitelku a Komisi, aby se v této oblasti intenzivněji zapojily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a nevládních organizací zabývajících se propagandou a dezinformacemi a zajistit, aby se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EU více zaměřila na předcházení těmto jevům účinnějšími a cílenějšími politikami zaměřenými na boj proti sociálnímu vyloučení, chudobě a nezaměstnanosti, které jsou skutečnými prapříčinami extremismu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a nevládních organizací zabývajících se propagandou a dezinformacemi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zajistit, aby se strategická komunikace EU stala vysokou prioritou evropské agendy; vyzývá místopředsedkyni Komise, vysokou představitelku a Komisi, aby se v této oblasti intenzivněji zapojily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 a nevládních organizací zabývajících se propagandou a dezinformacemi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ale také vzdělávací hnutí na místní úrovni, která poskytují dětem i dospělým nezbytné nástroje pro výchovu k občanství, porozumění základním právům a rozvíjení kritického myšlení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nevládních organizací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zabývajících se propagandou a dezinformacemi</w:t>
            </w:r>
            <w:r>
              <w:t xml:space="preserve"> a zajistit, aby se strategická komunikace EU stala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vysokou prioritou</w:t>
            </w:r>
            <w:r>
              <w:t xml:space="preserve">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akademických</w:t>
            </w:r>
            <w:r>
              <w:t xml:space="preserve"> institucí,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politických stran,</w:t>
            </w:r>
            <w:r>
              <w:t xml:space="preserve"> think tanků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  <w:r>
              <w:t xml:space="preserve"> nevládních organizací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jiných společenských aktérů, na něž cílí a které ovlivňuje propaganda a dezinformace,</w:t>
            </w:r>
            <w:r>
              <w:t xml:space="preserve"> a zajistit, aby se strategická komunikace EU stala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jednou z nejdůležitějších priorit</w:t>
            </w:r>
            <w:r>
              <w:t xml:space="preserve"> evropské agendy;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 a nevládních organizací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zajištěním vzdělávání a financování</w:t>
            </w:r>
            <w:r>
              <w:t xml:space="preserve"> rostoucí počet státních institucí, think tanků a nevládních organizací zabývajících se propagandou a dezinformacemi a zajistit, aby se strategická komunikace EU stala vysokou prioritou evropské agendy; vyzývá místopředsedkyni Komise, vysokou představitelku a Komisi, aby se v této oblasti intenzivněji zapojily;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evropské lídry, kteří této hrozbě dosud nevěnovali dostatečnou pozornost, aby uznali, že je naléhavě nutné strategicky se zaměřit na to, jak čelit nepřátelské informační válce;</w:t>
            </w:r>
            <w:r>
              <w:t xml:space="preserve"> 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a nevládních organizací zabývajících se propagandou a dezinformacemi a zajistit, aby se strategická komunikace EU stala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vysokou</w:t>
            </w:r>
            <w:r>
              <w:t xml:space="preserve">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 a nevládních organizací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ale také kybernetických aktivit na místní úrovni</w:t>
            </w:r>
            <w:r>
              <w:t xml:space="preserve"> zabývajících se propagandou a dezinformacemi a zajistit, aby se strategická komunikace EU stala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maximální</w:t>
            </w:r>
            <w:r>
              <w:t xml:space="preserve"> prioritou evropské agendy;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rostoucí počet</w:t>
            </w:r>
            <w:r>
              <w:t xml:space="preserve"> státních institucí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  <w:r>
              <w:t xml:space="preserve"> think tanků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nevládních organizací</w:t>
            </w:r>
            <w:r>
              <w:t xml:space="preserve">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činnost rostoucího počtu</w:t>
            </w:r>
            <w:r>
              <w:t xml:space="preserve"> státních institucí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think tanků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 a nevládních organizací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 a nevládních organizací zabývajících se propagandou a dezinformacemi a zajistit, aby se strategická komunikace EU stala vysokou prioritou evropské agendy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přičemž je třeba pamatovat na to, že klíčovou roli sehrává polarizace a klesající důvěra ve sdělovací prostředky, kdy tyto jevy představují primární živnou půdu pro dezinformace</w:t>
            </w:r>
            <w:r>
              <w:t>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49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Ilhan Kyuchyuk</w:t>
      </w:r>
      <w:r>
        <w:t xml:space="preserve">, </w:t>
      </w:r>
      <w:r>
        <w:t>Jozo Radoš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státních institucí, think tanků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nevládních organizací</w:t>
            </w:r>
            <w:r>
              <w:t xml:space="preserve">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>podporovat rostoucí počet státních institucí, think tanků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nevládních organizací a dalších aktérů</w:t>
            </w:r>
            <w:r>
              <w:t xml:space="preserve">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státních institucí, think tanků a nevládních organizací</w:t>
            </w:r>
            <w:r>
              <w:t xml:space="preserve">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  <w:tc>
          <w:tcPr/>
          <w:p>
            <w:pPr>
              <w:pStyle w:val="Normal6"/>
            </w:pPr>
            <w:r>
              <w:t>c)</w:t>
            </w:r>
            <w:r>
              <w:tab/>
            </w:r>
            <w:r>
              <w:t xml:space="preserve">podporovat rostoucí počet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aktérů</w:t>
            </w:r>
            <w:r>
              <w:t xml:space="preserve"> zabývajících se propagandou a dezinformacemi a zajistit, aby se strategická komunikace EU stala vysokou prioritou evropské agendy; vyzývá místopředsedkyni Komise, vysokou představitelku a Komisi, aby se v této oblasti intenzivněji zapojily;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ca)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zajistit, aby orgány EU a členské státy úzce spolupracovaly na stávajících a budoucích iniciativách s cílem zintenzivnit úsilí o zajištění svobodných a spravedlivých demokratických procesů a snahu zakročit proti dezinformačním kampaním, které se pokoušejí rozdělit otevřené společnosti a zasahovat do voleb a rozhodovacího procesu v EU, členských státech i státech s EU sousedících;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c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ca)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v úvahu, že v roce 2017 se počet džihádismem inspirovaných útoků v Evropě ve srovnání s rokem 2016 více než zdvojnásobil (zpráva Europolu o situaci v oblasti terorismu a jejím vývoji v EU z roku 2018);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mít na paměti, že online propaganda organizace Dá'iš a její navazování kontaktů přes sociální média jsou i nadále základními prostředky, jakými verbuje a radikalizuje jedince a jak získává peněžní prostředky;</w:t>
            </w:r>
            <w:r>
              <w:t xml:space="preserve"> 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připomínat členským státům, které nadále popírají existenci strategické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připomínat členským státům, které nadále popírají existenci strategické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Louis Michel</w:t>
      </w:r>
      <w:r>
        <w:t xml:space="preserve">, </w:t>
      </w:r>
      <w:r>
        <w:t>Hilde Vautmans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strategické propagandy, aby ji uznaly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přijaly proaktivní opatření, která proti této propagandě budou bojovat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budou ji odhalovat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strategické propagandy, aby ji uznaly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 dopad, jaký mají dezinformace a propaganda na veřejné mínění, aby</w:t>
            </w:r>
            <w:r>
              <w:t xml:space="preserve"> přijaly proaktivní opatření, která proti této propagandě budou bojovat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aby přijaly opatření na podporu individuální a kolektivní odolnosti vůči dezinformacím a propagandě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NL</w:t>
      </w:r>
      <w:r>
        <w:rPr>
          <w:rStyle w:val="HideTWBInt"/>
        </w:rPr>
        <w:t>}</w:t>
      </w:r>
      <w:r>
        <w:t>nl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připomínat členským státům</w:t>
            </w:r>
            <w:r>
              <w:t xml:space="preserve">, které nadále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popírají</w:t>
            </w:r>
            <w:r>
              <w:t xml:space="preserve"> existenci strategické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snažit se hmatatelnými důkazy přesvědčit členské státy</w:t>
            </w:r>
            <w:r>
              <w:t xml:space="preserve">, které nadále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mají pochybnosti o</w:t>
            </w:r>
            <w:r>
              <w:t xml:space="preserve"> existenci strategické propagandy, aby ji uznaly a přijaly proaktivní opatření, která proti této propagandě budou bojovat a budou ji odhalovat;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>připomínat členským státům, které nadále popírají existenci strategické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strategické propagandy, aby ji uznaly a přijaly proaktivní opatření, která proti této propagandě budou bojovat a budou ji odhalovat;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 členské státy, aby přijaly proaktivní opatření a patřičně investovaly do vlastní kapacity čelit strategické komunikaci nepřátelských třetích stran;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strategické propagandy, aby ji uznaly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přijaly proaktivní</w:t>
            </w:r>
            <w:r>
              <w:t xml:space="preserve">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>připomínat členským státům, které nadále popírají existenci strategické propagandy, aby ji uznaly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podporovat je v přijímání proaktivních</w:t>
            </w:r>
            <w:r>
              <w:t xml:space="preserve"> opatření, která proti této propagandě budou bojovat a budou ji odhalovat;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všechny členské státy, aby vyhodnotily situaci na svém území;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59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strategické</w:t>
            </w:r>
            <w:r>
              <w:t xml:space="preserve">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t xml:space="preserve">připomínat členským státům, které nadále popírají existenci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dezinformační a nepřátelské</w:t>
            </w:r>
            <w:r>
              <w:t xml:space="preserve"> propagandy, aby ji uznaly a přijaly proaktivní opatření, která proti této propagandě budou bojovat a budou ji odhalovat;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připomínat členským státům</w:t>
            </w:r>
            <w:r>
              <w:t>, které nadále popírají existenci strategické propagandy, aby ji uznaly a přijaly proaktivní opatření, která proti této propagandě budou bojovat a budou ji odhalovat;</w:t>
            </w:r>
          </w:p>
        </w:tc>
        <w:tc>
          <w:tcPr/>
          <w:p>
            <w:pPr>
              <w:pStyle w:val="Normal6"/>
            </w:pPr>
            <w:r>
              <w:t>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 členské státy</w:t>
            </w:r>
            <w:r>
              <w:t>, které nadále popírají existenci strategické propagandy, aby ji uznaly a přijaly proaktivní opatření, která proti této propagandě budou bojovat a budou ji odhalovat;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v úvahu rostoucí přítomnost čínských ekonomických investic v EU i v partnerských zemích, jejich infrastrukturní projekty, mimo jiné v oblasti telekomunikací, a možné využití online propagandy i za hranicemi Číny;</w:t>
            </w:r>
            <w:r>
              <w:t xml:space="preserve"> 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 členské státy, aby proaktivně investovaly do vzdělávacích opatření, která vysvětlují různé způsoby vytváření a šíření dezinformací, s cílem zlepšit schopnost občanů rozpoznat dezinformace a reagovat na ně;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vybízet členské státy, aby zajistily účinnou výměnu informací mezi všemi jejich relevantními orgány pro boj proti propagandě, manipulaci a dezinformacím, včetně kybernetické a informační války;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členské státy, aby vzaly v potaz známé případy špionáže ze strany partnerských třetích zemí a zejména telefonní odposlechy, a to i odposlechy lídrů EU, ze strany Spojených států, a aby těmto případům čelily;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d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zvyšovat povědomí o dezinformačních kampaních Ruska, neboť jsou hlavním zdrojem dezinformací v Evropě;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Dílčí nadpis 2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Druhy zavádějících informací, dezinformací a propagandy cílené proti EU a sousedním zemím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nemá důkazy o žádných propagandistických kampaních třetích zemí, které by byly nepřátelské vůči EU;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považuje výrok, který tvrdí opak, za výsledek paranoie a snah o přechod k politice bloků a konfrontace;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zdůrazňuje, že dezinformační kampaně jsou součástí širší strategie a obvykle je doprovázejí další nepřátelské aktivity;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vážně je třeba brát zejména informační válku doprovázející vojenskou ofenzívu, které je třeba postavit se s rozhodností, jednotou a silou;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konstatuje, že dosavadní úsilí o prokázání nepřátelského vlivu nebo propagandy bylo samo zdrojem falešných zpráv;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69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zvyšovat povědomí o pokračujících dezinformačních kampaních, přičemž je nutné zdroj dezinformací identifikovat a pojmenovat s cílem umožnit adekvátní reakci;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jako jsou Gruzie, Moldavsko, Srbsko a Ukrajina,</w:t>
            </w:r>
            <w:r>
              <w:t xml:space="preserve"> a přenést pozornost k hloubkové analýze jejich dopadu a účinnosti, a to s cílem vyvinout opatření, která proti takovým vlivům a nástrojům budou bojovat;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budou</w:t>
            </w:r>
            <w:r>
              <w:t xml:space="preserve">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jejich dopadu a účinnosti, a to s cílem vyvinout opatření, která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budou</w:t>
            </w:r>
            <w:r>
              <w:t xml:space="preserve"> proti takovým vlivům a nástrojům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aktivně a rychle</w:t>
            </w:r>
            <w:r>
              <w:t xml:space="preserve"> bojovat;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EU a sousedním zemím</w:t>
            </w:r>
            <w:r>
              <w:t xml:space="preserve">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lidem v EU a jejím sousedství</w:t>
            </w:r>
            <w:r>
              <w:t xml:space="preserve"> a přenést pozornost k hloubkové analýze jejich dopadu a účinnosti, a to s cílem vyvinout opatření, která proti takovým vlivům a nástrojům budou bojovat;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>uznat práci prováděnou na různých úrovních k určení druhů vlivu a nástrojů používaných proti EU a sousedním zemím a přenést pozornost k hloubkové analýze jejich dopadu a účinnosti, a to s cílem vyvinout opatření, která proti takovým vlivům a nástrojům budou bojovat;</w:t>
            </w:r>
          </w:p>
        </w:tc>
        <w:tc>
          <w:tcPr/>
          <w:p>
            <w:pPr>
              <w:pStyle w:val="Normal6"/>
            </w:pPr>
            <w:r>
              <w:t>e)</w:t>
            </w:r>
            <w:r>
              <w:tab/>
            </w:r>
            <w:r>
              <w:t xml:space="preserve">uznat práci prováděnou na různých úrovních k určení druhů vlivu a nástrojů používaných proti EU a sousedním zemím a přenést pozornost k hloubkové analýze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výzkumu</w:t>
            </w:r>
            <w:r>
              <w:t xml:space="preserve"> jejich dopadu a účinnosti, a to s cílem vyvinout opatření, která proti takovým vlivům a nástrojům budou bojovat;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varovat před vlivem umělé inteligence a jejího rychlého rozvoje na šíření falešných zpráv, přičemž se znepokojením konstatuje, že umělá inteligence bude již brzy schopna samostatně vytvářet další kapacity v oblasti umělé inteligence, a že je tudíž nutné vyčlenit významné prostředky na výzkum a vývoj v oblastech, kde se umělá inteligence protíná s informační válkou, s cílem urychleně navýšit schopnosti umělé inteligence v oblasti šíření propagandy a dezinformací, mimo jiné i prostřednictvím „deep fake“ videí;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vybídnout členské státy ke zřízení stálých struktur s dostatečnou kapacitou pro identifikaci a prevenci dezinformací a jiných nepřátelských aktivit a boj proti nim;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e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zaměřit se na pokračující využívání dezinformací autoritářskými aktéry, jako je Írán, jejichž šíření falešných zpráv podněcuje a rozdmychává další napětí v nestabilních oblastech konfliktu, přičemž současně cílí na obyvatelstvo Evropy s cílem skrýt své nekalé záměry;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naléhavě vyzývá členské státy, aby proti takovýmto krokům bojovaly posílením spolupráce a využíváním zkušeností z podobně smýšlejících zemí a nevládních organizací;</w:t>
            </w:r>
            <w:r>
              <w:t xml:space="preserve"> 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propracovanost</w:t>
            </w:r>
            <w:r>
              <w:t xml:space="preserve"> nástrojů používaných 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šíření falešných zpráv</w:t>
            </w:r>
            <w:r>
              <w:t xml:space="preserve">, včetně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nových způsobů šíření propagandy pomocí většího počtu nízkoúrovňových webových stránek, portálů a televizních stanic k šíření hlavních sdělení; v této souvislosti je znepokojen činností Ruska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složitost</w:t>
            </w:r>
            <w:r>
              <w:t xml:space="preserve"> nástrojů používaných 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vytváření a šíření dezinformací</w:t>
            </w:r>
            <w:r>
              <w:t xml:space="preserve">, včetně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„deepfakes“ a aplikací pro soukromé zasílání zpráv, přičemž je nutné vzít na vědomí, že při šíření dezinformací hrají stejně významnou úlohu i tradiční sdělovací prostředky, jako jsou televizní stanice a internetové stránky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včetně nových způsobů šíření propagandy pomocí</w:t>
            </w:r>
            <w:r>
              <w:t xml:space="preserve"> většího počtu nízkoúrovňových webových stránek, portálů a televizních stanic k šíření hlavních sdělení;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které mají poškodit členské státy, instituce, politické síly nebo skupiny jednotlivců, včetně nových metod využívajících</w:t>
            </w:r>
            <w:r>
              <w:t xml:space="preserve"> většího počtu nízkoúrovňových webových stránek, portálů a televizních stanic k šíření hlavních sdělení;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79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dezinformací a</w:t>
            </w:r>
            <w:r>
              <w:t xml:space="preserve"> falešných zpráv, včetně nových způsobů šíření propagandy pomocí většího počtu nízkoúrovňových webových stránek,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optimalizace vyhledávačů, využívání</w:t>
            </w:r>
            <w:r>
              <w:t xml:space="preserve"> portálů a televizních stanic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manipulace zvuku, obrazu nebo videí, v některých případech i za pomoci algoritmů a umělé inteligence,</w:t>
            </w:r>
            <w:r>
              <w:t xml:space="preserve"> k šíření hlavních sdělení; v této souvislosti je znepokojen činností Ruska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Íránu, Severní Koreje a dalších státních či nestátních subjektů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se</w:t>
            </w:r>
            <w:r>
              <w:t xml:space="preserve">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reakci EU a členských států</w:t>
            </w:r>
            <w:r>
              <w:t xml:space="preserve"> na neustále rostoucí propracovanost nástrojů používaných k šíření falešných zpráv, včetně nových způsobů šíření propagandy pomocí většího počtu nízkoúrovňových webových stránek,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„deepfakes“ a manipulace video obsahu, automatizovaných botů, služeb pro zasílání zašifrovaných zpráv, on-line</w:t>
            </w:r>
            <w:r>
              <w:t xml:space="preserve"> portálů a televizních stanic k šíření hlavních sdělení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odpovídajícím způsobem ji přizpůsobit</w:t>
            </w:r>
            <w:r>
              <w:t xml:space="preserve">; v této souvislosti je znepokojen činností Ruska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dalších třetích stran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klíčových zpráv a výkladů vyhovujících Rusku (včetně prokázané taktiky Ruska, jíž je tzv. propaganda pomocí „4D“ – „Dismiss, Distort, Distract, Dismay“ (zamítnout, překroutit, odvést pozornost, vystrašit))</w:t>
            </w:r>
            <w:r>
              <w:t>; v této souvislosti je znepokojen činností Ruska;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Patricia Lalonde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 znepokojen činností</w:t>
            </w:r>
            <w:r>
              <w:t xml:space="preserve">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důrazně odsuzuje stále více agresivní činnost</w:t>
            </w:r>
            <w:r>
              <w:t xml:space="preserve"> Ruska;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v této souvislosti je znepokojen činností Ruska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zejména prostřednictvím politiků a institucí ovládaných nebo financovaných státem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falešných zpráv</w:t>
            </w:r>
            <w:r>
              <w:t>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dezinformací</w:t>
            </w:r>
            <w:r>
              <w:t>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v této souvislosti je znepokojen činností Ruska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to jak ze strany státních, tak nestátních subjektů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činností</w:t>
            </w:r>
            <w:r>
              <w:t xml:space="preserve">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aktivitami a nástroji</w:t>
            </w:r>
            <w:r>
              <w:t xml:space="preserve"> Ruska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jež usilují o rozložení či pozastavení normativních základů a zásad evropských demokracií, jako jsou volby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89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 znepokojen činností Ruska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neznámých</w:t>
            </w:r>
            <w:r>
              <w:t xml:space="preserve"> nízkoúrovňových webových stránek,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zpravodajských</w:t>
            </w:r>
            <w:r>
              <w:t xml:space="preserve"> portálů a televizních stanic k šíření hlavních sdělení;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 znepokojen činností Ruska, a to jak</w:t>
            </w:r>
            <w:r>
              <w:t xml:space="preserve"> v této souvislosti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tak s ohledem na jeho nepřátelské podvratné operace vůči zemím EU, jež mají podobu ovlivňování voleb nebo politiky a podpory extremistických hnutí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činností Ruska;</w:t>
            </w:r>
          </w:p>
        </w:tc>
        <w:tc>
          <w:tcPr/>
          <w:p>
            <w:pPr>
              <w:pStyle w:val="Normal6"/>
            </w:pPr>
            <w:r>
              <w:t>f)</w:t>
            </w:r>
            <w:r>
              <w:tab/>
            </w:r>
            <w:r>
              <w:t xml:space="preserve">soustředit se na neustále rostoucí propracovanost nástrojů používaných k šíření falešných zpráv, včetně nových způsobů šíření propagandy pomocí většího počtu nízkoúrovňových webových stránek, portálů a televizních stanic k šíření hlavních sdělení; v této souvislosti je znepokojen činností Ruska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dalších zemí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Iveta Grigule-Pēterse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f – odrážka 1 (nová)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čelit dezinformačním kampaním usilujícím o podlomení nezávislosti, svrchovanosti a územní celistvosti všech zemí Východního partnerství v jejich mezinárodně uznávaných hranicích prostřednictvím všech prostředků dostupných v rámci strategické komunikace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identifikovat a úzce monitorovat nevládní organizace s vazbami na autoritářské státy, mimo jiné včetně Ruska, působící v EU a jejích partnerských zemích, které v Evropě hrají úlohu hlásných trub těchto nepřátelských zemí;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věnovat zvláštní pozornost financování, transparentnosti a cílům těchto subjektů a omezit možnosti jejich nepřátelské angažovanosti v podobě uplatňování zahraničního vlivu a propagandistické a dezinformační činnosti proti EU a jejím sousedním státům;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 členské státy, kandidátské země a přidružené země, aby přijaly účinné a jasné právní předpisy, které zajistí transparentnost vlastnictví sdělovacích prostředků a zdrojů jejich financování, a umožní tak veřejnému mínění identifikovat a správně určit zájmy zúčastněných stran;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věnovat zvláštní pozornost zprávám a obsahu, jež otevřeně usilují o násilí, rasismus, sebevražedné útoky, nábor „zahraničních bojovníků“, nejrůznější trestné činy nebo o podněcování k jedné nebo více z těchto činností;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f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na vědomí, že rozsah kybernetických útoků neustále narůstá;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zdůrazňuje, že tyto útoky provádí organizované skupiny (např. Fancy Bear, Cyber Caliphate, APT28), jež jsou často sponzorovány třetími stranami za účelem šíření chaosu a nedůvěry k současnému světovému řádu a mezinárodním institucím;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f c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fc)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posílit snahu o vyšetření probíhajícího procesu outsourcingu propagandy a využívání sady nástrojů pro znásobení síly ze strany nepřátelských třetích stran;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navzdory svým snahám o opak považována za nejčastější nástroj šíření dezinformací a nepřátelské propagandy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především prostorem svobody projevu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navzdory svým snahám o opak považována za nejčastější nástroj šíření dezinformací a nepřátelské propagandy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nejčastějším nástrojem šíření falešných zpráv a obsahu podněcujícího k nenávisti a násilí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99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navzdory svým snahám o opak</w:t>
            </w:r>
            <w:r>
              <w:t xml:space="preserve"> považována za nejčastější nástroj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>věnovat zvláštní pozornost sociálním médiím, která jsou považována za nejčastější nástroj šíření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navzdory svým snahám o opak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považována za nejčastější nástroj</w:t>
            </w:r>
            <w:r>
              <w:t xml:space="preserve">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navzdory svým snahám o opak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jedním z nástrojů</w:t>
            </w:r>
            <w:r>
              <w:t xml:space="preserve"> šíření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>věnovat zvláštní pozornost sociálním médiím, která jsou navzdory svým snahám o opak považována za nejčastější nástroj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navzdory přihlédnutí k nové vnímavosti společností provozujících sociální média k problematice dezinformací a k jejich investicím do jejich schopností s těmito dezinformacemi bojovat</w:t>
            </w:r>
            <w:r>
              <w:t xml:space="preserve"> věnovat zvláštní pozornost sociálním médiím, která jsou navzdory svým snahám o opak považována za nejčastější nástroj šíření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sociálním médiím</w:t>
            </w:r>
            <w:r>
              <w:t>, která jsou navzdory svým snahám o opak považována za nejčastější nástroj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účinnému provádění unijního kodexu zásad boje proti dezinformacím ze strany sociálních médií</w:t>
            </w:r>
            <w:r>
              <w:t>, která jsou navzdory svým snahám o opak považována za nejčastější nástroj šíření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>věnovat zvláštní pozornost sociálním médiím, která jsou navzdory svým snahám o opak považována za nejčastější nástroj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médiím, která jsou navzdory svým snahám o opak považována za nejčastější nástroj šíření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pozdních a ne vždy upřímných</w:t>
            </w:r>
            <w:r>
              <w:t xml:space="preserve">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>věnovat zvláštní pozornost sociálním médiím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která jsou</w:t>
            </w:r>
            <w:r>
              <w:t xml:space="preserve"> navzdory svým snahám o opak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považována</w:t>
            </w:r>
            <w:r>
              <w:t xml:space="preserve"> za nejčastější nástroj šíření dezinformací a nepřátelské propagandy;</w:t>
            </w:r>
          </w:p>
        </w:tc>
        <w:tc>
          <w:tcPr/>
          <w:p>
            <w:pPr>
              <w:pStyle w:val="Normal6"/>
            </w:pPr>
            <w:r>
              <w:t>g)</w:t>
            </w:r>
            <w:r>
              <w:tab/>
            </w:r>
            <w:r>
              <w:t xml:space="preserve">věnovat zvláštní pozornost sociálním médiím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službám zasílání zpráv, jež jsou společně</w:t>
            </w:r>
            <w:r>
              <w:t xml:space="preserve"> navzdory svým snahám o opak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považovány</w:t>
            </w:r>
            <w:r>
              <w:t xml:space="preserve"> za nejčastější nástroj šíření dezinformací a nepřátelské propagandy;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ga)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členské státy a Evropskou unii, aby kontrolovaly zahraniční investice do evropských zpravodajských sdělovacích prostředků, a považuje v tomto ohledu za příznačnou situaci v televizním kanálu „Euronews“, jehož většinovými podílníky jsou Američané a Egypťané;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g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ga)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přihlédnout k tomu, že Dá’iš mění svou taktiku a z internetových stránek se přesunuje ke službám pro zasílání zašifrovaných zpráv, jež jsou populární u islamistických skupin;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regulovat činnost společností provozujících</w:t>
            </w:r>
            <w:r>
              <w:t xml:space="preserve"> sociální média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zajistit jejich plnou transparentnost a odpovědnost, zejména pak zajistit, aby bylo možné odhalit totožnost nejen autorů, ale také sponzorů předkládaného politického obsahu a místo, z něhož působí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právně upravit, že společnosti provozující</w:t>
            </w:r>
            <w:r>
              <w:t xml:space="preserve"> sociální média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musí nezávislým důvěryhodným třetím stranám poskytovat přístup k informacím o cílené politické reklamě, včetně tematické reklamy, a to k informacím v reálném čase i k archivovaným, a činit společnosti odpovědnými za sociální dopad automatizovaných systémů doporučení, které propagují dezinformace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regulovat činnost společností provozujících sociální média a zajistit jejich plnou transparentnost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odpovědnost, zejména pak zajistit, aby bylo možné odhalit totožnost nejen autorů, ale také sponzorů předkládaného politického obsahu a místo, z něhož působí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má obavy o pluralitu a spravedlnost veřejné diskuse s ohledem na dopad hospodářského modelu hlavních sociálních sítí a jejich algoritmů, jež dávají určitý obsah do popředí na úkor různorodého a kvalitního mediálního obsahu a názorů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109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zejména pak zajistit, aby bylo možné odhalit totožnost nejen autorů, ale také sponzorů předkládaného politického obsahu a místo, z něhož působí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Clare Moody</w:t>
      </w:r>
      <w:r>
        <w:t xml:space="preserve">, </w:t>
      </w:r>
      <w:r>
        <w:t>Wajid Khan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regulovat činnost společností provozujících sociální média a zajistit jejich plnou transparentnost a odpovědnost, zejména 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zajistit, aby bylo možné odhalit</w:t>
            </w:r>
            <w:r>
              <w:t xml:space="preserve">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regulovat činnost společností provozujících sociální média a zajistit jejich plnou transparentnost a odpovědnost, zejména pak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uživatelům sdělit</w:t>
            </w:r>
            <w:r>
              <w:t xml:space="preserve"> totožnost nejen autorů, ale také sponzorů předkládaného politického obsahu a místo, z něhož působí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přičemž je nutné zdůraznit, že společnosti provozující sociální média jsou odpovědné za rychlé odstraňování systémových falešných zpráv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regulovat</w:t>
            </w:r>
            <w:r>
              <w:t xml:space="preserve">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monitorovat</w:t>
            </w:r>
            <w:r>
              <w:t xml:space="preserve">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 xml:space="preserve">společně s členskými státy regulovat činnost společností provozujících sociální média a zajistit jejich plnou transparentnost a odpovědnost, zejména pak zajistit, aby bylo možné odhalit totožnost nejen autorů, ale také sponzorů předkládaného politického obsahu a místo, z něhož působí;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výše uvedená opatření by neměla být zacílená na politické oponenty ani je postihovat, ani by neměla být záminkou pro takové jednání;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služby zasílání zpráv a poskytovatele internetových vyhledávačů</w:t>
            </w:r>
            <w:r>
              <w:t xml:space="preserve">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odpovědnost, zejména pak zajistit, aby bylo možné odhalit totožnost nejen autorů, ale také sponzorů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 xml:space="preserve">  </w:t>
            </w:r>
            <w:r>
              <w:t xml:space="preserve">předkládaného politického obsahu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– především Ruska –</w:t>
            </w:r>
            <w:r>
              <w:t xml:space="preserve"> a místo, z něhož působí;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h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h)</w:t>
            </w:r>
            <w:r>
              <w:tab/>
            </w:r>
            <w:r>
              <w:t>společně s členskými státy regulovat činnost společností provozujících sociální média a zajistit jejich plnou transparentnost a odpovědnost, zejména pak zajistit, aby bylo možné odhalit totožnost nejen autorů, ale také sponzorů předkládaného politického obsahu a místo, z něhož působí;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 w:val="0"/>
                <w:i/>
                <w:strike w:val="0"/>
                <w:color w:val="000000"/>
                <w:sz w:val="24"/>
                <w:highlight w:val="none"/>
                <w:u w:val="none" w:color="auto"/>
              </w:rPr>
              <w:t>(Netýká se českého znění.)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h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zajistit, aby příslušné odvětví a internetové platformy plnily závazky, které přijaly v rámci kodexu zásad boje proti dezinformacím, a aby proti problému dezinformací účinně bojovaly prostřednictvím: i) zajištění transparentnosti politické reklamy na základě účinných hloubkových kontrol totožnosti sponzorů, ii) rozhodným postupem proti falešným účtům, jež jsou aktivní v rámci jejich služeb, iii) identifikace zneužívání automatizovaných botů a iv) účinné spolupráce s nezávislými ověřovateli faktů;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se státními orgány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 všech vyšetřováních údajného využívání jejich platforem pro nepřátelské účely a aby prováděly transparentní audity subjektů, u nichž bylo zjištěno, že dezinformace a propagandu šíří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>naléhavě vyzvat společnosti provozující sociální média, aby úzce spolupracovaly se státními orgány;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se státními</w:t>
            </w:r>
            <w:r>
              <w:t xml:space="preserve"> orgány při všech vyšetřováních údajného využívání jejich platforem pro nepřátelské účely a aby prováděly transparentní audity subjektů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u nichž bylo zjištěno, že dezinformace a propagandu šíří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 justičními</w:t>
            </w:r>
            <w:r>
              <w:t xml:space="preserve"> orgány při všech vyšetřováních údajného využívání jejich platforem pro nepřátelské účely a aby prováděly transparentní audity subjektů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podezřelých z šíření falešných zpráv a z podněcování k nenávisti a násilí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119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>naléhavě vyzvat společnosti provozující sociální média, aby úzce spolupracovaly se státními orgány při všech vyšetřováních údajného využívání jejich platforem pro nepřátelské účely a aby prováděly transparentní audity subjektů, u nichž bylo zjištěno, že dezinformace a propagandu šíří;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se státními orgány při všech vyšetřováních údajného využívání jejich platforem pro nepřátelské účely a aby prováděly transparentní audity subjektů, u nichž bylo zjištěno, že dezinformace a propagandu šíří;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naléhavě vyzvat společnosti provozující sociální média, aby v případě, že dochází k šíření podezřelého obsahu politického charakteru, reagovaly v reálném čase, zvláště pokud tento obsah podněcuje k nenávisti nebo k trestné činnosti;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>naléhavě vyzvat společnosti provozující sociální média, aby úzce spolupracovaly se státními orgány při všech vyšetřováních údajného využívání jejich platforem pro nepřátelské účely a aby prováděly transparentní audity subjektů, u nichž bylo zjištěno, že dezinformace a propagandu šíří;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se státními orgány při všech vyšetřováních údajného využívání jejich platforem pro nepřátelské účely a aby prováděly transparentní audity subjektů, u nichž bylo zjištěno, že dezinformace a propagandu šíří;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zvláštní pozornost je třeba věnovat porušování ochrany osobních údajů jednotlivců, kteří se do výše uvedených činností reálně vůbec nezapojovali;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>naléhavě vyzvat společnosti provozující sociální média, aby úzce spolupracovaly se státními orgány při všech vyšetřováních údajného využívání jejich platforem pro nepřátelské účely a aby prováděly transparentní audity subjektů, u nichž bylo zjištěno, že dezinformace a propagandu šíří;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zajistily plné dodržování právních předpisů na ochranu údajů a dalších nařízení a</w:t>
            </w:r>
            <w:r>
              <w:t xml:space="preserve"> úzce spolupracovaly se státními orgány při všech vyšetřováních údajného využívání jejich platforem pro nepřátelské účely a aby prováděly transparentní audity subjektů, u nichž bylo zjištěno, že dezinformace a propagandu šíří;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spolupracovaly</w:t>
            </w:r>
            <w:r>
              <w:t xml:space="preserve"> se státními orgány při všech vyšetřováních údajného využívání jejich platforem pro nepřátelské účely a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prováděly</w:t>
            </w:r>
            <w:r>
              <w:t xml:space="preserve"> transparentní audity subjektů, u nichž bylo zjištěno, že dezinformace a propagandu šíří;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poskytovatele služeb zasílání zpráv</w:t>
            </w:r>
            <w:r>
              <w:t xml:space="preserve">, aby úzce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spolupracovali</w:t>
            </w:r>
            <w:r>
              <w:t xml:space="preserve"> se státními orgány při všech vyšetřováních údajného využívání jejich platforem pro nepřátelské účely a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prováděli</w:t>
            </w:r>
            <w:r>
              <w:t xml:space="preserve"> transparentní audity subjektů, u nichž bylo zjištěno, že dezinformace a propagandu šíří;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i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se státními orgány při všech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vyšetřováních</w:t>
            </w:r>
            <w:r>
              <w:t xml:space="preserve"> údajného využívání jejich platforem pro nepřátelské účely a aby prováděly transparentní audity subjektů, u nichž bylo zjištěno, že dezinformace a propagandu šíří;</w:t>
            </w:r>
          </w:p>
        </w:tc>
        <w:tc>
          <w:tcPr/>
          <w:p>
            <w:pPr>
              <w:pStyle w:val="Normal6"/>
            </w:pPr>
            <w:r>
              <w:t>i)</w:t>
            </w:r>
            <w:r>
              <w:tab/>
            </w:r>
            <w:r>
              <w:t xml:space="preserve">naléhavě vyzvat společnosti provozující sociální média, aby úzce spolupracovaly se státními orgány při všech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soudních šetřeních</w:t>
            </w:r>
            <w:r>
              <w:t xml:space="preserve"> údajného využívání jejich platforem pro nepřátelské účely a aby prováděly transparentní audity subjektů, u nichž bylo zjištěno, že dezinformace a propagandu šíří;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i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 význam poskytování vzdělávacích školení mladých generací o používání nových médií včetně sociálních platforem a zvyšování mediální gramotnosti;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důrazně podporovat zavádění osvětových kampaní a propagovat školení a mediální gramotnost;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i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podporovat žurnalistické projekty pracující na odhalování dezinformací a začínající podniky zaměřené na vyspělé technologie vytvářející digitální nástroje, jež publikum vyzbrojují proti dezinformačním útokům;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mít na paměti</w:t>
            </w:r>
            <w:r>
              <w:t xml:space="preserve">, že zákaz podezřelých účtů nebo vymazání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nevhodného obsahu lze považovat za cenzuru, a proto je třeba zajistit, aby taková opatření byla prováděna transparentně, ve spolupráci s příslušnými orgány a občanskou společností a s úplným pochopením důvodů, které k opatřením vedou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vzít na vědomí</w:t>
            </w:r>
            <w:r>
              <w:t xml:space="preserve">, že zákaz podezřelých účtů nebo vymazání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dezinformací v rámci kampaně vedené státem je zásahem do práva na svobodu projevu, který je oprávněný pouze tehdy, pokud jej nařizují právní předpisy a nutně jej vyžaduje demokratická společnost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nebo vymazání nevhodného obsahu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lze považovat za cenzuru</w:t>
            </w:r>
            <w:r>
              <w:t>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nebo vymazání nevhodného obsahu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 formou cenzury</w:t>
            </w:r>
            <w:r>
              <w:t>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nebo vymazání nevhodného obsahu</w:t>
            </w:r>
            <w:r>
              <w:t xml:space="preserve"> lze považovat za cenzuru,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>mít na paměti, že zákaz podezřelých účtů lze považovat za cenzuru,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129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nebo vymazání nevhodného obsahu lze považovat za cenzuru, a proto je třeba zajistit, aby taková opatření byla prováděna transparentně, ve spolupráci s příslušnými orgány a občanskou společností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s úplným pochopením důvodů, které k opatřením vedou;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>mít na paměti, že zákaz podezřelých účtů nebo vymazání nevhodného obsahu lze považovat za cenzuru, a proto je třeba zajistit, aby taková opatření byla prováděna transparentně, ve spolupráci s příslušnými orgány a občanskou společností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  <w:r>
              <w:t xml:space="preserve"> s úplným pochopením důvodů, které k opatřením vedou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pouze v případě, že existují konkrétní důkazy, které tato opatření ospravedlňují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>mít na paměti, že zákaz podezřelých účtů nebo vymazání nevhodného obsahu lze považovat za cenzuru,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nebo vymazání nevhodného obsahu lze považovat za cenzuru, a proto je třeba zajistit, aby taková opatření byla prováděna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 soudním dohledem,</w:t>
            </w:r>
            <w:r>
              <w:t xml:space="preserve"> transparentně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úměrně</w:t>
            </w:r>
            <w:r>
              <w:t>, ve spolupráci s příslušnými orgány a občanskou společností a s úplným pochopením důvodů, které k opatřením vedou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 při dodržování zásad svobody tisku a projevu a umožnění účinných opravných prostředků; konstatuje, že by nikdo neměl mít obavy kvůli názorům, které zastává, pokud jejich vyjadřování neporušuje veřejný pořádek stanovený v právních předpisech, a že proto všichni zástupci veřejnosti mohou přijímat nebo předávat zprávy či názory bez zásahů ze strany veřejných orgánů a bez ohledu na hranice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>mít na paměti, že zákaz podezřelých účtů nebo vymazání nevhodného obsahu lze považovat za cenzuru, a proto je třeba zajistit, aby taková opatření byla prováděna transparentně, ve spolupráci s příslušnými orgány a občanskou společností a s úplným pochopením důvodů, které k opatřením vedou;</w:t>
            </w:r>
          </w:p>
        </w:tc>
        <w:tc>
          <w:tcPr/>
          <w:p>
            <w:pPr>
              <w:pStyle w:val="Normal6"/>
            </w:pPr>
            <w:r>
              <w:t>j)</w:t>
            </w:r>
            <w:r>
              <w:tab/>
            </w:r>
            <w:r>
              <w:t xml:space="preserve">mít na paměti, že zákaz podezřelých účtů nebo vymazání nevhodného obsahu lze považovat za cenzuru, a proto je třeba zajistit, aby taková opatření byla prováděna transparentně, ve spolupráci s příslušnými orgány a občanskou společností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členských státech a partnerských zemích</w:t>
            </w:r>
            <w:r>
              <w:t xml:space="preserve"> a s úplným pochopením důvodů, které k opatřením vedou;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j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 společnosti provozující sociální média, aby všechny uživatele jasně uvědomily o tom, jaké druhy obsahu jsou zakázány, a všechny dotčené uživatele jasně uvědomily o důvodu odstranění jejich obsahu nebo pozastavení jejich účtu;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umožnit uživatelům využít smysluplných a včasných odvolacích procesů v případě jakéhokoli odstranění obsahu nebo pozastavení účtu;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j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sociální média k tomu, aby pro své uživatele harmonizovaly vnitřní soubor předpisů s právním řádem země, ve které působí;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technologické společnosti, aby více investovaly do nástrojů pro zjišťování propagandy, zvyšování odpovědnosti na internetu a snižování finančních pobídek pro ty, kdo těží z dezinformací;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 tomto ohledu vítá samoregulaci a individuální závazky tohoto odvětví, které by však měly být ověřovány Komisí, členskými státy a občanskou společností, aby tak byl stanoven společný soubor minimálních norem;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 c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jc)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Evropskou komisi, aby připravila důkladné posouzení nových nařízení, včetně obecného nařízení o ochraně osobních údajů a nadcházejícího nařízení o soukromí a elektronických komunikacích, jakožto záruky proti zneužívání sociálních platforem;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 d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technologické společnosti, aby více investovaly do nástrojů pro zjišťování propagandy, zvyšování odpovědnosti na internetu a snižování finančních pobídek pro ty, kdo těží z dezinformací;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 tomto ohledu vítá samoregulaci a individuální závazky tohoto odvětví, které by však měly být ověřovány Komisí, členskými státy a občanskou společností, aby tak byl stanoven společný soubor minimálních norem;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 e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 společnosti provozující sociální média, aby zajistily lepší kontrolu totožnosti uživatelů před tím, než se připojí k příslušné platformě nebo sociální síti, ve snaze zabránit botnetům a rozsáhlému zneužívání platforem sociálních médií;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j f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jf)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naléhat na média, aby potvrzovaly a zveřejňovaly původ obsahu, a předcházely tak infiltraci zlomyslných třetích stran;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139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opatření a uvažovat o krok napřed, a nejen pouze reagovat na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již nastalé útoky</w:t>
            </w:r>
            <w:r>
              <w:t xml:space="preserve">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>pokračovat v rozvoji větší odolnosti a schopnosti reagovat na hrozby v reálném čase, připravovat předběžná opatření a uvažovat o krok napřed, a nejen pouze reagovat na 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činy, k nimž již došlo,</w:t>
            </w:r>
            <w:r>
              <w:t xml:space="preserve"> a provádět jejich následnou analýzu;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>pokračovat v rozvoji větší odolnosti a schopnosti reagovat na hrozby v reálném čase, připravovat předběžná opatření a uvažovat o krok napřed, a nejen pouze reagovat na již nastalé útoky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opatření a uvažovat o krok napřed, a nejen pouze reagovat na již nastalé útoky a provádět jejich následnou analýzu;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upozorňovat na technický pokrok v této oblasti a uvědomovat si tedy, že některé algoritmy a umělou inteligenci lze využít k dezinformačním kampaním a k šíření propagandy;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předávat si osvědčené zkušenosti s opatřeními, která již přijaly jednotlivé členské státy;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Louis Michel</w:t>
      </w:r>
      <w:r>
        <w:t xml:space="preserve">, </w:t>
      </w:r>
      <w:r>
        <w:t>Hilde Vautmans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>pokračovat v rozvoji větší odolnosti a schopnosti reagovat na hrozby v reálném čase, připravovat předběžná opatření a uvažovat o krok napřed, a nejen pouze reagovat na již nastalé útoky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opatření a uvažovat o krok napřed, a nejen pouze reagovat na již nastalé útoky a provádět jejich následnou analýzu;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 konzultacích s občanskou společností a svobodnými a nezávislými médii přijmout účinná opatření a poskytnout náležitou podporu za účelem zajištění přístupu čtenářů či uživatelů k objektivním a spolehlivým informacím a zprávám;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NL</w:t>
      </w:r>
      <w:r>
        <w:rPr>
          <w:rStyle w:val="HideTWBInt"/>
        </w:rPr>
        <w:t>}</w:t>
      </w:r>
      <w:r>
        <w:t>nl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>pokračovat v rozvoji větší odolnosti a schopnosti reagovat na hrozby v reálném čase, připravovat předběžná opatření a uvažovat o krok napřed, a nejen pouze reagovat na již nastalé útoky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opatření a uvažovat o krok napřed, a nejen pouze reagovat na již nastalé útoky a provádět jejich následnou analýzu;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domnívá se, že tato činnost je normální součástí komunikace a že by ji za žádných okolností neměla doprovázet právní opatření, jako je například cenzura;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opatření a uvažovat o krok napřed, a nejen pouze reagovat na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již nastalé útoky</w:t>
            </w:r>
            <w:r>
              <w:t xml:space="preserve">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a schopnosti reagovat na hrozby v reálném čase, připravovat předběžná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proaktivní</w:t>
            </w:r>
            <w:r>
              <w:t xml:space="preserve"> opatření a uvažovat o krok napřed, a nejen pouze reagovat na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útoky, k nimž v oblasti kybernetiky a informatiky již došlo,</w:t>
            </w:r>
            <w:r>
              <w:t xml:space="preserve"> a provádět jejich následnou analýzu;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k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schopnosti reagovat na hrozby v reálném čase, připravovat předběžná opatření a uvažovat o krok napřed, a nejen pouze reagovat na již nastalé útoky a provádět jejich následnou analýzu;</w:t>
            </w:r>
          </w:p>
        </w:tc>
        <w:tc>
          <w:tcPr/>
          <w:p>
            <w:pPr>
              <w:pStyle w:val="Normal6"/>
            </w:pPr>
            <w:r>
              <w:t>k)</w:t>
            </w:r>
            <w:r>
              <w:tab/>
            </w:r>
            <w:r>
              <w:t xml:space="preserve">pokračovat v rozvoji větší odolnosti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 základě přístupu prosazovaného všemi vládami a celou společností a v rozvoji větší</w:t>
            </w:r>
            <w:r>
              <w:t xml:space="preserve"> schopnosti reagovat na hrozby v reálném čase, připravovat předběžná opatření a uvažovat o krok napřed, a nejen pouze reagovat na již nastalé útoky a provádět jejich následnou analýzu;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pracovat ve spolupráci se zpravodajskými službami a se Zpravodajským a informačním centrem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k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rozvíjet formy úzké spolupráce se Spojeným královstvím po brexitu zaměřené na rozsáhlejší snahy o boj proti dezinformacím a falešným zprávám ve větším měřítku, a to za strategického využití odborných znalostí Spojeného království, jakož i technologických, finančních a jiných kapacit, jež jsou k dispozici;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l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věnovat zvláštní pozornost nejen významu odhalování, ale také důležitosti zajištění jasného přiřazení původců takových útoků, včetně veřejného pojmenování pachatelů, jejich sponzorů a cílů, o které usilují, jakož i měření dopadu těchto útoků na cílové skupiny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domnívá se, že veškeré pokusy státních orgánů, a to i orgánů EU, o šíření „oficiální pravdy“ a o potírání takzvané nepřátelské propagandy připomínají nejhorší praktiky totalitních režimů a že tyto pokusy povedou k tomu, že Unie a její členské státy budou veřejnému mínění k smíchu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l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 xml:space="preserve">věnovat zvláštní pozornost nejen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významu odhalování</w:t>
            </w:r>
            <w:r>
              <w:t xml:space="preserve">, ale také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důležitosti zajištění jasného přiřazení</w:t>
            </w:r>
            <w:r>
              <w:t xml:space="preserve"> původců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takových</w:t>
            </w:r>
            <w:r>
              <w:t xml:space="preserve"> útoků, včetně veřejného pojmenování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pachatelů, jejich sponzorů</w:t>
            </w:r>
            <w:r>
              <w:t xml:space="preserve"> a cílů, o které usilují, jakož i měření dopadu těchto útoků na cílové skupiny;</w:t>
            </w:r>
          </w:p>
        </w:tc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 xml:space="preserve">věnovat zvláštní pozornost nejen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vyvracení přijímaných idejí a falešných zpráv</w:t>
            </w:r>
            <w:r>
              <w:t xml:space="preserve">, ale také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identifikaci</w:t>
            </w:r>
            <w:r>
              <w:t xml:space="preserve"> původců útoků, včetně veřejného pojmenování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osob stojících v pozadí útoků</w:t>
            </w:r>
            <w:r>
              <w:t xml:space="preserve"> a cílů, o které usilují, jakož i měření dopadu těchto útoků na cílové skupiny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zejména na nejzranitelnější skupiny, jako jsou děti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l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 xml:space="preserve">věnovat zvláštní pozornost nejen významu odhalování, ale také důležitosti zajištění jasného přiřazení původců takových útoků,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včetně veřejného pojmenování pachatelů,</w:t>
            </w:r>
            <w:r>
              <w:t xml:space="preserve"> jejich sponzorů a cílů, o které usilují, jakož i měření dopadu těchto útoků na cílové skupiny;</w:t>
            </w:r>
          </w:p>
        </w:tc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>věnovat zvláštní pozornost nejen významu odhalování, ale také důležitosti zajištění jasného přiřazení původců takových útoků, jejich sponzorů a cílů, o které usilují, jakož i měření dopadu těchto útoků na cílové skupiny;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149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l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>věnovat zvláštní pozornost nejen významu odhalování, ale také důležitosti zajištění jasného přiřazení původců takových útoků, včetně veřejného pojmenování pachatelů, jejich sponzorů a cílů, o které usilují, jakož i měření dopadu těchto útoků na cílové skupiny;</w:t>
            </w:r>
          </w:p>
        </w:tc>
        <w:tc>
          <w:tcPr/>
          <w:p>
            <w:pPr>
              <w:pStyle w:val="Normal6"/>
            </w:pPr>
            <w:r>
              <w:t>l)</w:t>
            </w:r>
            <w:r>
              <w:tab/>
            </w:r>
            <w:r>
              <w:t xml:space="preserve">věnovat zvláštní pozornost nejen významu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vyvracení a</w:t>
            </w:r>
            <w:r>
              <w:t xml:space="preserve"> odhalování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lží</w:t>
            </w:r>
            <w:r>
              <w:t>, ale také důležitosti zajištění jasného přiřazení původců takových útoků, včetně veřejného pojmenování pachatelů, jejich sponzorů a cílů, o které usilují, jakož i měření dopadu těchto útoků na cílové skupiny;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občanskou společnost a odbornou veřejnost do dalšího zdokonalování opatření zaměřených na ověřování faktů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vystavení dezinformacím</w:t>
            </w:r>
            <w:r>
              <w:t>, prohlubování výzkumu a analýzu manipulací s informacemi;</w:t>
            </w:r>
          </w:p>
        </w:tc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občanskou společnost a odbornou veřejnost do dalšího zdokonalování opatření zaměřených na ověřování faktů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odhalování dezinformací</w:t>
            </w:r>
            <w:r>
              <w:t xml:space="preserve">, prohlubování výzkumu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účinnější</w:t>
            </w:r>
            <w:r>
              <w:t xml:space="preserve"> analýzu manipulací s informacemi;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občanskou společnost a odbornou veřejnost do dalšího</w:t>
            </w:r>
            <w:r>
              <w:t xml:space="preserve"> zdokonalování opatření zaměřených na ověřování faktů a vystavení dezinformacím, prohlubování výzkumu a analýzu manipulací s informacemi;</w:t>
            </w:r>
          </w:p>
        </w:tc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>zapojit 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odbornou veřejnost z řad občanské společnosti do činnosti kybernetických aktivistů působících na nejnižší úrovni spočívající v dalším</w:t>
            </w:r>
            <w:r>
              <w:t xml:space="preserve"> zdokonalování opatření zaměřených na ověřování faktů a vystavení dezinformacím, prohlubování výzkumu a analýzu manipulací s informacemi;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občanskou společnost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 odbornou veřejnost do dalšího zdokonalování opatření zaměřených na ověřování faktů a vystavení dezinformacím, prohlubování výzkumu a analýzu manipulací s informacemi;</w:t>
            </w:r>
          </w:p>
        </w:tc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>zapojit občanskou společnost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</w:t>
            </w:r>
            <w:r>
              <w:t xml:space="preserve"> odbornou veřejnost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soukromé subjekty (včetně technologických společností) a akademické obce</w:t>
            </w:r>
            <w:r>
              <w:t xml:space="preserve"> do dalšího zdokonalování opatření zaměřených na ověřování faktů a vystavení dezinformacím, prohlubování výzkumu a analýzu manipulací s informacemi;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občanskou společnost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odbornou veřejnost</w:t>
            </w:r>
            <w:r>
              <w:t xml:space="preserve"> do dalšího zdokonalování opatření zaměřených na ověřování faktů a vystavení dezinformacím, prohlubování výzkumu a analýzu manipulací s informacemi;</w:t>
            </w:r>
          </w:p>
        </w:tc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>zapojit občanskou společnost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odbornou veřejnost a všechny relevantní zúčastněné strany (včetně hlavních organizací sdružujících novináře a média)</w:t>
            </w:r>
            <w:r>
              <w:t xml:space="preserve"> do dalšího zdokonalování opatření zaměřených na ověřování faktů a vystavení dezinformacím, prohlubování výzkumu a analýzu manipulací s informacemi;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>zapojit občanskou společnost a odbornou veřejnost do dalšího zdokonalování opatření zaměřených na ověřování faktů a vystavení dezinformacím, prohlubování výzkumu a analýzu manipulací s informacemi;</w:t>
            </w:r>
          </w:p>
        </w:tc>
        <w:tc>
          <w:tcPr/>
          <w:p>
            <w:pPr>
              <w:pStyle w:val="Normal6"/>
            </w:pPr>
            <w:r>
              <w:t>m)</w:t>
            </w:r>
            <w:r>
              <w:tab/>
            </w:r>
            <w:r>
              <w:t xml:space="preserve">zapojit občanskou společnost a odbornou veřejnost do dalšího zdokonalování opatření zaměřených na ověřování faktů a vystavení dezinformacím, prohlubování výzkumu a analýzu manipulací s informacemi;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zvážit odměňování nebo financování iniciativ zaměřených a boj proti dezinformačním kampaním;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podporovat mediální vzdělávání evropských občanů;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podporovat mediální gramotnost a vysoce profesionální žurnalistiku ve společnosti a zahrnout tuto problematiku i do školních osnov, neboť kvalitní žurnalistika má zásadní význam pro budování důvěry veřejnosti a uvádění falešných zpráv a dezinformací na pravou míru, aniž by byly prohlášeny za legitimní;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věnovat zvláštní pozornost nutnosti zlepšovat mediální gramotnost a kritické myšlení prostřednictvím odborné přípravy a vzdělávání, zvyšovat informovanost a podporovat nezávislou a investigativní žurnalistiku v EU a jejím sousedství;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zvyšovat povědomí o negativních dopadech dezinformací prostřednictvím konkrétně zaměřených komunikačních kampaní, seminářů a školení určených médiím, osobám ovlivňujícím veřejné mínění a osobám formujícím veřejné mínění v EU a v jejím sousedství;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Patricia Lalonde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 ohledem na sílící kontakty obyvatelstva se sociálními médii připravovat ve spolupráci s členskými státy a občanskou společností školení zaměřená na kritickou analýzu a falešné zprávy;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159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úspěchy spojenců EU, jako jsou USA a Kanada, v boji proti propagandě vytvářené třetími stranami;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k zavedení strukturované spolupráce mezi EU a těmito zeměmi, a po brexitu také mezi EU a Spojeným královstvím;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podporovat přeshraniční spolupráci týkající se programů mediální gramotnosti a prosazovat nástroje pro mediální gramotnost, jako je internetová knihovna EU a její vzdělávací centrum pro mediální gramotnost;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c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mc)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ocenit soubor opatření, která přijala NATO a jež se zaměřují na boj proti novým typům hybridních hrozeb, a společné prohlášení o spolupráci EU a NATO v této oblasti;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EU, aby zajistila účinné a rychlé provedení těchto doporučení, a to i na úrovni SBOP;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d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posílit rozlišovací schopnosti s cílem určit nejen nástroje použité při jakémkoli porušení předpisů, ale také zdroj, původ a pachatele nepřátelské činnosti, jež je třeba jasně označit, odhalit a potrestat;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m e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me)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zveřejnit všechny odhalené případy nepřátelské propagandy společně s podrobným informačním přehledem, v němž budou popsány používané metody, zdroj porušení předpisů, původ útoku, pachatelé a hlavní cíl, a to ve snaze upozornit veřejnost způsobem, který osloví publikum, na něž míří dané případy nepřátelské propagandy; 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m f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mf)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zadat vypracování studií a sociologických průzkumů, které se budou podrobně zabývat vlivem nepřátelské propagandy na cílové publikum, a podají je způsobem, který nejlépe povede ke zmaření jejího dopadu;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Dílčí nadpis 5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Evropský přístup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hmatatelné výsledky, kterých dosáhla pracovní skupina East StratCom; pokračovat v podpoře pracovní skupiny EU East StratCom, která od svého vzniku odhalila více než 4 000 případů dezinformačních kampaní na nejrůznější témata;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hmatatelné výsledky, kterých dosáhla pracovní skupina East StratCom; pokračovat v podpoře pracovní skupiny EU East StratCom, která od svého vzniku odhalila více než 4 000 případů dezinformačních kampaní na nejrůznější témata;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hmatatelné</w:t>
            </w:r>
            <w:r>
              <w:t xml:space="preserve"> výsledky, kterých dosáhla pracovní skupina East StratCom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pokračovat v podpoře</w:t>
            </w:r>
            <w:r>
              <w:t xml:space="preserve"> pracovní skupiny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EU East StratCom, která od svého vzniku odhalila více než 4 000 případů dezinformačních kampaní na nejrůznější témata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považuje</w:t>
            </w:r>
            <w:r>
              <w:t xml:space="preserve"> výsledky, kterých dosáhla pracovní skupina East StratCom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za chabé;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požaduje zrušení této</w:t>
            </w:r>
            <w:r>
              <w:t xml:space="preserve"> pracovní skupiny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jejíž „zjištění“ jsou směšná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169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t>uznat hmatatelné výsledky, kterých dosáhla pracovní skupina East StratCom; pokračovat v podpoře pracovní skupiny EU East StratCom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která od svého vzniku odhalila více než 4 000 případů dezinformačních kampaní na nejrůznější témata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t xml:space="preserve">uznat hmatatelné výsledky, kterých dosáhla pracovní skupina East StratCom; pokračovat v podpoře pracovní skupiny EU East StratCom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poté, co bude vypracována analýza jejích silných a slabých stránek a nutných zlepšení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t>uznat hmatatelné výsledky, kterých dosáhla pracovní skupina East StratCom; pokračovat v podpoře pracovní skupiny EU East StratCom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která</w:t>
            </w:r>
            <w:r>
              <w:t xml:space="preserve"> od svého vzniku odhalila více než 4 000 případů dezinformačních kampaní na nejrůznější témata;</w:t>
            </w:r>
          </w:p>
        </w:tc>
        <w:tc>
          <w:tcPr/>
          <w:p>
            <w:pPr>
              <w:pStyle w:val="Normal6"/>
            </w:pPr>
            <w:r>
              <w:t>n)</w:t>
            </w:r>
            <w:r>
              <w:tab/>
            </w:r>
            <w:r>
              <w:t xml:space="preserve">uznat hmatatelné výsledky, kterých dosáhla pracovní skupina East StratCom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k nimž patří například vytvoření internetové stránky euvsdisinfo.eu a účtu @EUmythbuster na Twitteru</w:t>
            </w:r>
            <w:r>
              <w:t>; pokračovat v podpoře pracovní skupiny EU East StratCom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 domnívá se, že tato skupina je mimořádně přínosná, pokud jde o výsledky;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zdůrazňuje, že</w:t>
            </w:r>
            <w:r>
              <w:t xml:space="preserve"> od svého vzniku odhalila více než 4 000 případů dezinformačních kampaní na nejrůznější témata;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n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ocenit vytvoření nových pracovních skupin ESVČ pro strategickou komunikaci, které tvoří odborníci s příslušnými jazykovými a odbornými znalostmi, konkrétně pracovní skupiny pro západní Balkán a pracovní skupiny „Jih“ pro země Blízkého východu, severní Afriky a Perského zálivu, jejichž úkolem je zajistit koordinovanou a konzistentní komunikaci EU v těchto regionech a potírat dezinformace a propagandu namířené proti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n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uznává význam reflexe nad evropskou koordinací strategické komunikace a vyzývá k tomu, aby pracovní skupina East StratCom brala při své činnosti v potaz všechny problémy geostrategického charakteru a nesoustředila se pouze na východní země;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n 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podpořit společné úsilí Komise a ESVČ o zlepšení schopnosti zjišťovat, analyzovat a odhalovat dezinformace tím, že pracovní skupiny ESVČ pro strategickou komunikaci a delegace EU v sousedství dostanou k dispozici nové zaměstnance, nástroje a dovednosti, včetně nových nástrojů pro analýzu údajů, náboru dalších vědců specializovaných na údaje a odborníků na dezinformace a pokrytí širší škály zdrojů a jazyků, pokud jde o dosah a dopad dezinformací;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o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přeměnit pracovní skupinu East StratCom v plnohodnotnou jednotku a poskytnout jí přiměřené finanční a personální zdroje, které výrazně zvýší její potenciál, účinnost a kvalitu práce;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o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přeměnit pracovní skupinu East StratCom v plnohodnotnou jednotku a poskytnout jí přiměřené finanční a personální zdroje, které výrazně zvýší její potenciál, účinnost a kvalitu práce;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o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přeměnit pracovní skupinu East StratCom v plnohodnotnou jednotku a poskytnout jí přiměřené finanční a personální zdroje, které výrazně zvýší její potenciál, účinnost a kvalitu práce;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o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přeměnit</w:t>
            </w:r>
            <w:r>
              <w:t xml:space="preserve"> pracovní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skupinu East StratCom v plnohodnotnou jednotku a poskytnout jí</w:t>
            </w:r>
            <w:r>
              <w:t xml:space="preserve"> přiměřené finanční a personální zdroje, které výrazně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zvýší její</w:t>
            </w:r>
            <w:r>
              <w:t xml:space="preserve"> potenciál, účinnost a kvalitu práce;</w:t>
            </w:r>
          </w:p>
        </w:tc>
        <w:tc>
          <w:tcPr/>
          <w:p>
            <w:pPr>
              <w:pStyle w:val="Normal6"/>
            </w:pPr>
            <w: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podpořit všechny tři</w:t>
            </w:r>
            <w:r>
              <w:t xml:space="preserve"> pracovní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skupiny ESVČ pro strategickou komunikaci tím, že jim budou poskytnuty</w:t>
            </w:r>
            <w:r>
              <w:t xml:space="preserve"> přiměřené finanční a personální zdroje, které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mají</w:t>
            </w:r>
            <w:r>
              <w:t xml:space="preserve"> výrazně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zvýšit jejich</w:t>
            </w:r>
            <w:r>
              <w:t xml:space="preserve"> potenciál, účinnost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profesionalitu, institucionální kontinuitu</w:t>
            </w:r>
            <w:r>
              <w:t> a kvalitu práce;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o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o)</w:t>
            </w:r>
            <w:r>
              <w:tab/>
            </w:r>
            <w:r>
              <w:t>přeměnit pracovní skupinu East StratCom v plnohodnotnou jednotku a poskytnout jí přiměřené finanční a personální zdroje, které výrazně zvýší její potenciál, účinnost a kvalitu práce;</w:t>
            </w:r>
          </w:p>
        </w:tc>
        <w:tc>
          <w:tcPr/>
          <w:p>
            <w:pPr>
              <w:pStyle w:val="Normal6"/>
            </w:pPr>
            <w:r>
              <w:t>o)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naléhavě</w:t>
            </w:r>
            <w:r>
              <w:t xml:space="preserve"> přeměnit pracovní skupinu East StratCom v plnohodnotnou jednotku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případně dokonce ve větší strukturu v rámci ESVČ,</w:t>
            </w:r>
            <w:r>
              <w:t xml:space="preserve"> a poskytnout jí přiměřené finanční a personální zdroje, které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stále potřebuje a jež</w:t>
            </w:r>
            <w:r>
              <w:t xml:space="preserve"> výrazně zvýší její potenciál, účinnost a kvalitu práce;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179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o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zajistit, aby finanční prostředky, jež budou v nadcházející době přiděleny Evropským parlamentem, včetně navýšení prostředků ve výši 3 mil. EUR na přípravnou akci, směřovaly na skutečný boj proti ruským dezinformacím a byly pod kontrolou pracovní skupiny East StratCom, jak bylo určeno;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o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zavést záruky za účelem ochrany činnosti a provozuschopnosti pracovní skupiny EU East StratCom před politickým vměšováním úředníků a zemí, které ruské dezinformace podporují;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p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efektivitu a výsledky;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p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efektivitu a výsledky;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p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efektivitu a výsledky;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p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efektivitu a výsledky;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p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p)</w:t>
            </w:r>
            <w:r>
              <w:tab/>
            </w:r>
            <w:r>
              <w:t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efektivitu a výsledky;</w:t>
            </w:r>
          </w:p>
        </w:tc>
        <w:tc>
          <w:tcPr/>
          <w:p>
            <w:pPr>
              <w:pStyle w:val="Normal6"/>
            </w:pPr>
            <w:r>
              <w:t>p)</w:t>
            </w:r>
            <w:r>
              <w:tab/>
            </w:r>
            <w:r>
              <w:t xml:space="preserve">řešit současné nedostatky pracovní skupiny East StratCom, včetně nedostatku regionálních odborných znalostí, velké fluktuace zaměstnanců a nedostatečné institucionální kontinuity, a zajistit odpovídající finanční zdroje a přiměřenou organizační strukturu, neboť je to jediný způsob, jak zajistit plnou profesionalitu,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aktivitu,</w:t>
            </w:r>
            <w:r>
              <w:t xml:space="preserve"> efektivitu a výsledky;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q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q)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členské státy, které tak dosud neučinily, aby pracovní skupině East StratCom přidělily své vlastní národní odborníky;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q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q)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členské státy, které tak dosud neučinily, aby pracovní skupině East StratCom přidělily své vlastní národní odborníky;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q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q)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členské státy, které tak dosud neučinily, aby pracovní skupině East StratCom přidělily své vlastní národní odborníky;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189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q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q)</w:t>
            </w:r>
            <w:r>
              <w:tab/>
            </w:r>
            <w:r>
              <w:t xml:space="preserve">vyzvat členské státy, které tak dosud neučinily,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pracovní skupině</w:t>
            </w:r>
            <w:r>
              <w:t xml:space="preserve"> East StratCom přidělily své vlastní národní odborníky;</w:t>
            </w:r>
          </w:p>
        </w:tc>
        <w:tc>
          <w:tcPr/>
          <w:p>
            <w:pPr>
              <w:pStyle w:val="Normal6"/>
            </w:pPr>
            <w:r>
              <w:t>q)</w:t>
            </w:r>
            <w:r>
              <w:tab/>
            </w:r>
            <w:r>
              <w:t xml:space="preserve">vyzvat členské státy, které tak dosud neučinily,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třem pracovním skupinám</w:t>
            </w:r>
            <w:r>
              <w:t xml:space="preserve"> East StratCom přidělily své vlastní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vyslané</w:t>
            </w:r>
            <w:r>
              <w:t xml:space="preserve"> národní odborníky;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q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q)</w:t>
            </w:r>
            <w:r>
              <w:tab/>
            </w:r>
            <w:r>
              <w:t>vyzvat členské státy, které tak dosud neučinily, aby pracovní skupině East StratCom přidělily své vlastní národní odborníky;</w:t>
            </w:r>
          </w:p>
        </w:tc>
        <w:tc>
          <w:tcPr/>
          <w:p>
            <w:pPr>
              <w:pStyle w:val="Normal6"/>
            </w:pPr>
            <w:r>
              <w:t>q)</w:t>
            </w:r>
            <w:r>
              <w:tab/>
            </w:r>
            <w:r>
              <w:t xml:space="preserve">vyzvat členské státy, které tak dosud neučinily, aby pracovní skupině East StratCom přidělily své vlastní národní odborníky;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země, které jsou blízkými partnery, k tomu, aby pracovní skupině poskytovaly poradenství, pokud jde o taktiky společných státních a nestátních nepřátel;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Ramona Nicole Mănescu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q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qa)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význam a nezbytnost lepší koordinace vlády nad EU a aktivní podpory subjektů EU, jako je pracovní skupina East StratCom;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zapojit zastoupení EU v rámci Evropské unie a delegace EU mimo Evropskou unii do podpory práce pracovní skupiny East StratCom,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zapojit zastoupení EU v rámci Evropské unie a delegace EU mimo Evropskou unii do podpory práce pracovní skupiny East StratCom,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zapojit</w:t>
            </w:r>
            <w:r>
              <w:t xml:space="preserve"> zastoupení EU v rámci Evropské unie a delegace EU mimo Evropskou unii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do podpory práce pracovní skupiny East StratCom, a to mj. zajištěním</w:t>
            </w:r>
            <w:r>
              <w:t xml:space="preserve">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vybídnout</w:t>
            </w:r>
            <w:r>
              <w:t xml:space="preserve"> zastoupení EU v rámci Evropské unie a delegace EU mimo Evropskou unii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k dodání</w:t>
            </w:r>
            <w:r>
              <w:t xml:space="preserve"> překladů jejich publikací v místních jazycích;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 xml:space="preserve">zapojit zastoupení EU v rámci Evropské unie a delegace EU mimo Evropskou unii do podpory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práce pracovní skupiny East StratCom</w:t>
            </w:r>
            <w:r>
              <w:t>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zintenzívnit spolupráci mezi pracovní skupinou East StratCom a všemi orgány EU, členskými státy a podobně smýšlejícími partnery;</w:t>
            </w:r>
            <w:r>
              <w:t xml:space="preserve"> zapojit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například</w:t>
            </w:r>
            <w:r>
              <w:t xml:space="preserve"> zastoupení EU v rámci Evropské unie a delegace EU mimo Evropskou unii do podpory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její práce</w:t>
            </w:r>
            <w:r>
              <w:t>, a to mj. zajištěním překladů jejich publikací v místních jazycích;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>zapojit zastoupení EU v rámci Evropské unie a delegace EU mimo Evropskou unii do podpory práce pracovní skupiny East StratCom,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 xml:space="preserve">zapojit zastoupení EU v rámci Evropské unie a delegace EU mimo Evropskou unii do podpory práce pracovní skupiny East StratCom, a to mj.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sdílením mezinárodních zkušeností a osvědčených postupů a</w:t>
            </w:r>
            <w:r>
              <w:t xml:space="preserve"> zajištěním překladů jejich publikací v místních jazycích;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>zapojit zastoupení EU v rámci Evropské unie a delegace EU mimo Evropskou unii do podpory práce pracovní skupiny East StratCom,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 xml:space="preserve">zapojit zastoupení EU v rámci Evropské unie a delegace EU mimo Evropskou unii do podpory práce pracovní skupiny East StratCom,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pracovní skupiny Jih a pracovní skupiny pro západní Balkán,</w:t>
            </w:r>
            <w:r>
              <w:t xml:space="preserve"> a to mj. zajištěním překladů jejich publikací v místních jazycích;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r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>zapojit zastoupení EU v rámci Evropské unie a delegace EU mimo Evropskou unii do podpory práce pracovní skupiny East StratCom, a to mj. zajištěním překladů jejich publikací v místních jazycích;</w:t>
            </w:r>
          </w:p>
        </w:tc>
        <w:tc>
          <w:tcPr/>
          <w:p>
            <w:pPr>
              <w:pStyle w:val="Normal6"/>
            </w:pPr>
            <w:r>
              <w:t>r)</w:t>
            </w:r>
            <w:r>
              <w:tab/>
            </w:r>
            <w:r>
              <w:t>zapojit zastoupení EU v rámci Evropské unie a delegace EU mimo Evropskou unii do podpory práce pracovní skupiny East StratCom, a to mj. zajištěním překladů jejich publikací v místních jazycích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jakož i jejich sdílení a propagace;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k tomu, aby více specializovaných pracovníků pracovalo na strategické komunikaci, zejména v delegacích EU ve východním a jižním sousedství a v zemích západního Balkánu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199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zaměřit se na přistupující země a partnery v rámci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zaměřit se na přistupující země a partnery v rámci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zaměřit se na přistupující země a partnery v rámci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Patricia Lalonde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rámci</w:t>
            </w:r>
            <w:r>
              <w:t xml:space="preserve"> sousedství EU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které jsou často v první linii, pokud jde o vystavení ruské propagandě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>zaměřit se na přistupující země a partnery v sousedství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rámci sousedství EU, které jsou často v první linii, pokud jde o vystavení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ruské</w:t>
            </w:r>
            <w:r>
              <w:t xml:space="preserve"> propagandě;</w:t>
            </w:r>
          </w:p>
        </w:tc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rámci sousedství EU, které jsou často v první linii, pokud jde o vystavení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protiunijní</w:t>
            </w:r>
            <w:r>
              <w:t xml:space="preserve">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>zaměřit se na přistupující země a partnery v rámci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rámci sousedství EU, které jsou často v první linii, pokud jde o vystavení ruské propagandě;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pomáhat jim v boji proti nepřátelské propagandě a dezinformacím, mimo jiné prostřednictvím podpory strategických komunikačních jednotek v rámci svých příslušných orgánů;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naléhavě vyzvat tyto partnerské země EU, aby v tomto ohledu přijaly v této souvislosti více cílených, aktivních, účinných a transparentních opatření;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Cristian Dan Preda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>zaměřit se na přistupující země a partnery v rámci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rámci sousedství EU, které jsou často v první linii, pokud jde o vystavení ruské propagandě;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upřednostnit zejména rozvoj dlouhodobého strategického přístupu a oslovování zemí Východního partnerství se zaměřením na mezilidské kontakty a spolupracovat se stávajícími sítěmi občanské společnosti, které již představují zdroj odolnosti založené na společenství;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s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 xml:space="preserve">zaměřit se na přistupující země a partnery v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rámci</w:t>
            </w:r>
            <w:r>
              <w:t xml:space="preserve"> sousedství EU, které jsou často v první linii, pokud jde o vystavení ruské propagandě;</w:t>
            </w:r>
          </w:p>
        </w:tc>
        <w:tc>
          <w:tcPr/>
          <w:p>
            <w:pPr>
              <w:pStyle w:val="Normal6"/>
            </w:pPr>
            <w:r>
              <w:t>s)</w:t>
            </w:r>
            <w:r>
              <w:tab/>
            </w:r>
            <w:r>
              <w:t>zaměřit se na přistupující země a partnery v sousedství EU, které jsou často v první linii, pokud jde o vystavení ruské propagandě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 zapojit odborníky z těchto třetích zemí v sousedství EU, které jsou vystaveny stejným hrozbám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Marietje Schaake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s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posílit schopnosti delegací EU v zahraničí, zastoupení Komise a kontaktních kanceláří Evropského parlamentu v členských státech za účelem rozvoje místní kapacity pro zjišťování a odhalování dezinformací a pro účinnou komunikaci o hodnotách a politikách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Ilhan Kyuchyuk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s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zvážit stávající šíření a budoucí hrozby dezinformací, jež mají za cíl ohrozit nezávislost, svrchovanost a územní celistvost všech zemí Východního partnerství v rámci jejich mezinárodně uznaných hranic;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209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María Teresa Giménez Barbat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s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rozšířit komunikaci založenou na kampaních a lepší koordinaci a šíření pozitivní argumentace ve všech orgánech EU a v členských státech, mimo jiné konsolidací příslušných rozpočtů a vytvářením společného on-line archivu úspěšných případů;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t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stanovit strategickou komunikaci bojující proti propagandě za opakující se bod programu a provádět pravidelný přezkum politiky EU v této oblasti;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t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t)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stanovit</w:t>
            </w:r>
            <w:r>
              <w:t xml:space="preserve"> strategickou komunikaci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bojující proti propagandě za opakující se bod programu</w:t>
            </w:r>
            <w:r>
              <w:t xml:space="preserve"> a provádět pravidelný přezkum politiky EU v této oblasti;</w:t>
            </w:r>
          </w:p>
        </w:tc>
        <w:tc>
          <w:tcPr/>
          <w:p>
            <w:pPr>
              <w:pStyle w:val="Normal6"/>
            </w:pPr>
            <w:r>
              <w:t>t)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upřednostňovat</w:t>
            </w:r>
            <w:r>
              <w:t xml:space="preserve"> strategickou komunikaci a provádět pravidelný přezkum politiky EU v této oblasti;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t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nadále podporovat práci Evropské nadace pro demokracii na cestě k praktickým řešením na podporu a posílení demokratických, nezávislých a různorodých sdělovacích prostředků v ruském jazyce v zemích Východního partnerství i mimo něj;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t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věnovat pozornost všem mezinárodním subjektům, které v současné době jednají podobným způsobem;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t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podpořit novou iniciativu Evropské nadace pro demokracii - podpůrného fondu pro kreativní obsah-, jejímž cílem je podpora tvorby nezpravodajského obsahu v ruském jazyce;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Evropskou komisi a všechny členské státy a podobně smýšlející země, aby se pozitivně zapojily do tohoto projektu a podporovaly ho;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t c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tc)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pokračovat v komunikaci a provádění celounijního kodexu zásad boje proti šíření dezinformací s odpovídajícími regulačními opatřeními, včetně konkrétních legislativních návrhů, s jejichž pomocí bude přizpůsoben celounijní přístup k manipulaci s informacemi, včetně otázky rozhlasového a televizního vysílání a udělování licencí;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t d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uznat úlohu církve ve společnostech mnoha členských států a partnerských zemí a zahájit smysluplný dialog a spolupráci v oblasti boje proti dezinformacím a nepřátelské propagandě a změnit způsob prezentace, podle níž je EU v rozporu s konzervativními hodnotami;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příští Evropské radě a Komisi, aby bylo boji proti strategické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příští Evropské radě a Komisi, aby bylo boji proti strategické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219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příští Evropské radě a Komisi, aby bylo boji proti strategické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příští Evropské radě a Komisi, aby bylo boji proti strategické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příští Evropské radě a Komisi, aby bylo boji proti strategické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Louis Michel</w:t>
      </w:r>
      <w:r>
        <w:t xml:space="preserve">, </w:t>
      </w:r>
      <w:r>
        <w:t>Hilde Vautmans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u)</w:t>
            </w:r>
            <w:r>
              <w:tab/>
            </w:r>
            <w:r>
              <w:t xml:space="preserve">navrhnout příští Evropské radě a Komisi,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bylo boji proti strategické propagandě v nové Komisi vyhrazeno samostatné portfolio s odpovídající podporou specializované agentury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u)</w:t>
            </w:r>
            <w:r>
              <w:tab/>
            </w:r>
            <w:r>
              <w:t xml:space="preserve">navrhnout příští Evropské radě a Komisi, aby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 nové Komisi byly zavedeny dostatečné zdroje a nástroje pro boj proti strategické propagandě a zabezpečení objektivního podávání zpráv a šíření informací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NL</w:t>
      </w:r>
      <w:r>
        <w:rPr>
          <w:rStyle w:val="HideTWBInt"/>
        </w:rPr>
        <w:t>}</w:t>
      </w:r>
      <w:r>
        <w:t>nl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u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u)</w:t>
            </w:r>
            <w:r>
              <w:tab/>
            </w:r>
            <w:r>
              <w:t xml:space="preserve">navrhnout příští Evropské radě a Komisi, aby bylo boji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strategické</w:t>
            </w:r>
            <w:r>
              <w:t xml:space="preserve"> propagandě v nové Komisi vyhrazeno samostatné portfolio s odpovídající podporou specializované agentury;</w:t>
            </w:r>
          </w:p>
        </w:tc>
        <w:tc>
          <w:tcPr/>
          <w:p>
            <w:pPr>
              <w:pStyle w:val="Normal6"/>
            </w:pPr>
            <w:r>
              <w:t>u)</w:t>
            </w:r>
            <w:r>
              <w:tab/>
            </w:r>
            <w:r>
              <w:t xml:space="preserve">navrhnout příští Evropské radě a Komisi, aby bylo boji proti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dezinformační a nepřátelské</w:t>
            </w:r>
            <w:r>
              <w:t xml:space="preserve"> propagandě v nové Komisi vyhrazeno samostatné portfolio s odpovídající podporou specializované agentury;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vypouští se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think tanky, nevládní organizace a další subjekty a instituce,</w:t>
            </w:r>
            <w:r>
              <w:t xml:space="preserve"> které se zabývají strategickou propagandou, do sítě v rámci celé EU, která by pomohla koordinovat jejich činnost a shromažďovat jejich zjištění na jednom místě;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které se zabývají strategickou propagandou, do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mezivládní</w:t>
            </w:r>
            <w:r>
              <w:t xml:space="preserve"> sítě v rámci celé EU, která by pomohla koordinovat jejich činnost a shromažďovat jejich zjištění na jednom místě;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think tanky, nevládní organizace a další subjekty a instituce, které se zabývají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strategickou propagandou</w:t>
            </w:r>
            <w:r>
              <w:t xml:space="preserve">, do sítě v rámci celé EU, která by pomohla koordinovat jejich činnost a shromažďovat jejich zjištění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 jednom místě</w:t>
            </w:r>
            <w:r>
              <w:t>; 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think tanky, nevládní organizace a další subjekty a instituce, které se zabývají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hybridní válkou</w:t>
            </w:r>
            <w:r>
              <w:t>, do sítě v rámci celé EU, která by pomohla koordinovat jejich činnost a shromažďovat jejich zjištění; přidělit tomuto podniku dostatečné zdroje; zdůrazňuje, že tato síť by měla být otevřená podobně smýšlejícím partnerům EU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kteří by se mohli podělit o své zkušenosti týkající se situací, kdy se stali terčem dezinformací a o boji proti dezinformacím a nepřátelské propagandě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nevládní organizace</w:t>
            </w:r>
            <w:r>
              <w:t xml:space="preserve">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229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t xml:space="preserve">, </w:t>
      </w:r>
      <w:r>
        <w:t>Jozo Radoš</w:t>
      </w:r>
      <w:r>
        <w:t xml:space="preserve">, </w:t>
      </w:r>
      <w:r>
        <w:t>Ilhan Kyuchyuk</w:t>
      </w:r>
      <w:r>
        <w:t xml:space="preserve">, </w:t>
      </w:r>
      <w:r>
        <w:t>Urmas Paet</w:t>
      </w:r>
      <w:r>
        <w:t xml:space="preserve">, 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Rebecca Harms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r>
        <w:rPr>
          <w:rStyle w:val="HideTWBExt"/>
        </w:rPr>
        <w:t>&lt;</w:t>
      </w:r>
      <w:r>
        <w:rPr>
          <w:rStyle w:val="HideTWBExt"/>
        </w:rPr>
        <w:t>AuNomDe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Verts/ALE</w:t>
      </w:r>
      <w:r>
        <w:rPr>
          <w:rStyle w:val="HideTWBInt"/>
        </w:rPr>
        <w:t>}</w:t>
      </w:r>
      <w:r>
        <w:t>za skupinu Verts/ALE</w:t>
      </w:r>
      <w:r>
        <w:rPr>
          <w:rStyle w:val="HideTWBExt"/>
        </w:rPr>
        <w:t>&lt;/</w:t>
      </w:r>
      <w:r>
        <w:rPr>
          <w:rStyle w:val="HideTWBExt"/>
        </w:rPr>
        <w:t>AuNomDe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>propojit stávající národní a místní specializovaná střediska,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  <w:tc>
          <w:tcPr/>
          <w:p>
            <w:pPr>
              <w:pStyle w:val="Normal6"/>
            </w:pPr>
            <w:r>
              <w:t>v)</w:t>
            </w:r>
            <w:r>
              <w:tab/>
            </w:r>
            <w:r>
              <w:t xml:space="preserve">propojit stávající národní a místní specializovaná střediska,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sdělovací prostředky,</w:t>
            </w:r>
            <w:r>
              <w:t xml:space="preserve"> think tanky, nevládní organizace a další subjekty a instituce, které se zabývají strategickou propagandou, do sítě v rámci celé EU, která by pomohla koordinovat jejich činnost a shromažďovat jejich zjištění na jednom místě; přidělit tomuto podniku dostatečné zdroje; zdůrazňuje, že tato síť by měla být otevřená podobně smýšlejícím partnerům EU;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Norica Nicolai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v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rozvíjet vlastní komunikační strategie, jejichž cílem je předcházet incidentům, při nichž občané EU, včetně významných politiků a odborníků, jsou trvale vyzýváni k účasti na nelegálních cestách do okupovaných území v rámci zemí Východního partnerství, aniž by si byli vědomi možných politických a právních důsledků;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v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vyčlenit více zdrojů na investigativní zpravodajství, podporovat nezávislé, profesionální novináře a poskytovat školení týkající se boje proti dezinformacím a nepřátelské propagandě;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 b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vb)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zajistit, aby odborníci, kteří se EU zapojí do boje proti dezinformacím v každé zemi, nebyli politicky zaujaní a nebyli aktivními účastníky interního politického sporu v rámci této země;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v c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vc)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zavést téma boje proti strategické propagandě do osnov Evropské bezpečnostní a obranné školy a její sítě;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v d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vd)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sledovat a monitorovat zdroje financování a původ nepřátelské propagandy;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 tomto ohledu zdůrazňuje, že je třeba zajistit transparentnost vlastnictví sdělovacích prostředků;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 e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ve)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provést přezkum fungování vnitrostátních přístupů zavedených členskými státy;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v f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vf)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vyzvat sousední a partnerské země EU, aby se připojily ke kodexu zásad EU v oblasti boje proti dezinformacím, aby bylo možné dále prosazovat holistický přístup zaměřený proti šíření dezinformací on-line;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používat inteligentní způsoby a technologie pro boj proti dezinformacím, nenávistným projevům a falešným zprávám on-line, jakož i oslovit publikum, na něž se zaměřují nepřátelské dezinformační kampaně;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zdůrazňuje schopnost demokratických společností činit vlastní svrchovaná politická rozhodnutí</w:t>
            </w:r>
            <w:r>
              <w:t>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vyjadřuje politování nad tím, že členské státy EU a orgány EU se při tomto vměšování velmi často vyznačují tím, že například dotují propagační kampaně na podporu EU v kandidátských zemích</w:t>
            </w:r>
            <w:r>
              <w:t>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239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 do voleb a referend, jakož i používání botů, trollů a falešných účtů v politických kampaních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</w:t>
            </w:r>
            <w:r>
              <w:t xml:space="preserve"> zdůrazňuje schopnost demokratických společností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ať už se jedná o jakékoli strany, nebo soukromé podniky,</w:t>
            </w:r>
            <w:r>
              <w:t xml:space="preserve"> do voleb a referend, jakož i používání botů, trollů a falešných účtů v politických kampaních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je v tomto ohledu znepokojen nedávným vývojem v algoritmech hlavních sociálních sítí, jako je Facebook, a jejich potenciálně škodlivou rolí při upozorňování na přední obsah obsahující falešné zprávy nebo nenávistné projevy,</w:t>
            </w:r>
            <w:r>
              <w:t xml:space="preserve"> zdůrazňuje schopnost demokratických společností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 do voleb a referend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jakož i</w:t>
            </w:r>
            <w:r>
              <w:t xml:space="preserve"> používání botů, trollů a falešných účtů v politických kampaních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; zdůrazňuje</w:t>
            </w:r>
            <w:r>
              <w:t xml:space="preserve"> schopnost demokratických společností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 voleb a referend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</w:t>
            </w:r>
            <w:r>
              <w:t xml:space="preserve"> používání botů, trollů a falešných účtů v politických kampaních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 vyzvat postižené členské státy, aby v případě potřeby za podpory Eurojustu provedly důkladné vyšetřování těchto nepřátelských kampaní;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zdůraznit</w:t>
            </w:r>
            <w:r>
              <w:t xml:space="preserve"> schopnost demokratických společností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 do voleb a referend, jakož i používání botů, trollů a falešných účtů v politických kampaních; zdůrazňuje schopnost demokratických společností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jako např. Ruska,</w:t>
            </w:r>
            <w:r>
              <w:t xml:space="preserve"> do voleb a referend, jakož i používání botů, trollů a falešných účtů v politických kampaních; zdůrazňuje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právo a</w:t>
            </w:r>
            <w:r>
              <w:t xml:space="preserve"> schopnost demokratických společností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zdůrazňuje schopnost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demokratických společností</w:t>
            </w:r>
            <w:r>
              <w:t xml:space="preserve"> činit vlastní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svrchovaná</w:t>
            </w:r>
            <w:r>
              <w:t xml:space="preserve">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zdůrazňuje schopnost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občanů</w:t>
            </w:r>
            <w:r>
              <w:t xml:space="preserve"> činit vlastní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 do voleb a referend, jakož i používání botů, trollů a falešných účtů v politických kampaních; zdůrazňuje schopnost demokratických společností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algoritmů, umělé inteligence,</w:t>
            </w:r>
            <w:r>
              <w:t xml:space="preserve"> trollů a falešných účtů v politických kampaních; zdůrazňuje schopnost demokratických společností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Marietje Schaake</w:t>
      </w:r>
      <w:r>
        <w:t xml:space="preserve">, </w:t>
      </w:r>
      <w:r>
        <w:t>Petras Auštrevičius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zdůrazňuje schopnost demokratických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společností</w:t>
            </w:r>
            <w:r>
              <w:t xml:space="preserve">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zlovolné</w:t>
            </w:r>
            <w:r>
              <w:t xml:space="preserve"> používání botů, trollů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tzv. „deep fakes“ (realistické fotomontáže a videomontáže)</w:t>
            </w:r>
            <w:r>
              <w:t xml:space="preserve"> a falešných účtů v politických kampaních; zdůrazňuje schopnost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občanů v</w:t>
            </w:r>
            <w:r>
              <w:t xml:space="preserve"> demokratických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společnostech</w:t>
            </w:r>
            <w:r>
              <w:t xml:space="preserve">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w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>důrazně odsoudit vměšování třetích stran do voleb a referend, jakož i používání botů, trollů a falešných účtů v politických kampaních; zdůrazňuje schopnost demokratických společností činit vlastní svrchovaná politická rozhodnutí;</w:t>
            </w:r>
          </w:p>
        </w:tc>
        <w:tc>
          <w:tcPr/>
          <w:p>
            <w:pPr>
              <w:pStyle w:val="Normal6"/>
            </w:pPr>
            <w:r>
              <w:t>w)</w:t>
            </w:r>
            <w:r>
              <w:tab/>
            </w:r>
            <w:r>
              <w:t xml:space="preserve">důrazně odsoudit vměšování třetích stran do voleb a referend, jakož i používání botů, trollů a falešných účtů v politických kampaních; zdůrazňuje schopnost demokratických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nezávislých</w:t>
            </w:r>
            <w:r>
              <w:t xml:space="preserve"> společností činit vlastní svrchovaná politická rozhodnutí;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w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wa)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zdůraznila, že nyní a v budoucnu budou na internetu a v kybernetické sféře probíhat další volební kampaně a další politické činnosti;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mít na paměti, že jedním z klíčových prvků účinné demokracie a pluralitního systému jako Evropské unie je bezpečná, ale pluralitní diskuse, a to i v kybernetické oblasti;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x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>vyzvat členské státy, aby sdílely údaje o jakémkoli zahraničním vměšování do volebních procesů a vyměňovaly si osvědčené postupy boje proti takovým zásahům s cílem zvýšit odolnost vůči takovému vměšování;</w:t>
            </w:r>
          </w:p>
        </w:tc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>vyzvat členské státy, aby sdílely údaje o jakémkoli zahraničním vměšování do volebních procesů a vyměňovaly si osvědčené postupy boje proti takovým zásahům s cílem zvýšit odolnost vůči takovému vměšování;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Jean-Luc Schaffhauser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x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>vyzvat členské státy, aby sdílely údaje o jakémkoli zahraničním vměšování do volebních procesů a vyměňovaly si osvědčené postupy boje proti takovým zásahům s cílem zvýšit odolnost vůči takovému vměšování;</w:t>
            </w:r>
          </w:p>
        </w:tc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 xml:space="preserve">vyzvat členské státy, aby sdílely údaje o jakémkoli zahraničním vměšování do volebních procesů a vyměňovaly si osvědčené postupy boje proti takovým zásahům s cílem zvýšit odolnost vůči takovému vměšování;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je, aby tuto zásadu dodržovaly i ve své vlastní vnější činnosti;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249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x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>vyzvat členské státy, aby sdílely údaje o jakémkoli zahraničním vměšování do volebních procesů a vyměňovaly si osvědčené postupy boje proti takovým zásahům s cílem zvýšit odolnost vůči takovému vměšování;</w:t>
            </w:r>
          </w:p>
        </w:tc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 xml:space="preserve">vyzvat členské státy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podobně smýšlející země</w:t>
            </w:r>
            <w:r>
              <w:t>, aby sdílely údaje o jakémkoli zahraničním vměšování do volebních procesů a vyměňovaly si osvědčené postupy boje proti takovým zásahům s cílem zvýšit odolnost vůči takovému vměšování;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x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>vyzvat členské státy, aby sdílely údaje o jakémkoli zahraničním vměšování do volebních procesů a vyměňovaly si osvědčené postupy boje proti takovým zásahům s cílem zvýšit odolnost vůči takovému vměšování;</w:t>
            </w:r>
          </w:p>
        </w:tc>
        <w:tc>
          <w:tcPr/>
          <w:p>
            <w:pPr>
              <w:pStyle w:val="Normal6"/>
            </w:pPr>
            <w:r>
              <w:t>x)</w:t>
            </w:r>
            <w:r>
              <w:tab/>
            </w:r>
            <w:r>
              <w:t xml:space="preserve">vyzvat členské státy, aby sdílely údaje o jakémkoli zahraničním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či vnitřním</w:t>
            </w:r>
            <w:r>
              <w:t xml:space="preserve"> vměšování do volebních procesů a vyměňovaly si osvědčené postupy boje proti takovým zásahům s cílem zvýšit odolnost vůči takovému vměšování;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Marie-Christine Vergiat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x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xa)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vyzývá členské státy, aby zavedly programy pro vzdělávání a zvyšování povědomí o používání digitálních nástrojů, zejména internetu a sociálních médií, s cílem rozvíjet kritické myšlení a zpřístupnit rozmanité a pluralitní informace tak, aby bylo možné analyzovat a odmítnout dezinformace;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FR</w:t>
      </w:r>
      <w:r>
        <w:rPr>
          <w:rStyle w:val="HideTWBInt"/>
        </w:rPr>
        <w:t>}</w:t>
      </w:r>
      <w:r>
        <w:t>fr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y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 xml:space="preserve">vyzvat členské státy, aby zajistily, aby volební zákony zohledňovaly možné hrozby vyplývající z kybernetických útoků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nepřátelské propagandy</w:t>
            </w:r>
            <w:r>
              <w:t>; a zdůrazňuje, že by tyto zákony měly být odpovídajícím způsobem pozměněny, aby bylo možné takovým hrozbám účinně čelit;</w:t>
            </w:r>
          </w:p>
        </w:tc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zločinů v oblasti kybernetiky a porušování svobodné možnosti volby</w:t>
            </w:r>
            <w:r>
              <w:t>; a zdůrazňuje, že by tyto zákony měly být odpovídajícím způsobem pozměněny, aby bylo možné takovým hrozbám účinně čelit;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253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Anders Sellström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y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 xml:space="preserve">vyzvat členské státy, aby zajistily, aby volební zákony zohledňovaly možné hrozby vyplývající z kybernetických útoků a nepřátelské propagandy; a zdůrazňuje, že by tyto zákony měly být odpovídajícím způsobem pozměněny, aby bylo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možné</w:t>
            </w:r>
            <w:r>
              <w:t xml:space="preserve"> takovým hrozbám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účinně</w:t>
            </w:r>
            <w:r>
              <w:t xml:space="preserve"> čelit;</w:t>
            </w:r>
          </w:p>
        </w:tc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dezinformací</w:t>
            </w:r>
            <w:r>
              <w:t xml:space="preserve"> a nepřátelské propagandy; a zdůrazňuje, že by tyto zákony měly být odpovídajícím způsobem pozměněny, aby bylo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umožněno členském státům</w:t>
            </w:r>
            <w:r>
              <w:t xml:space="preserve"> takovým hrozbám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aktivně</w:t>
            </w:r>
            <w:r>
              <w:t xml:space="preserve"> čelit;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254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y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 a nepřátelské propagandy; a zdůrazňuje, že by tyto zákony měly být odpovídajícím způsobem pozměněny, aby bylo možné takovým hrozbám účinně čelit;</w:t>
            </w:r>
          </w:p>
        </w:tc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 xml:space="preserve">vyzvat členské státy, aby zajistily, aby volební zákony zohledňovaly možné hrozby vyplývající z kybernetických útoků a nepřátelské propagandy; a zdůrazňuje, že by tyto zákony měly být odpovídajícím způsobem pozměněny, aby bylo možné takovým hrozbám účinně čelit;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v tomto ohledu chválí iniciativy, jako je švédský úřad pro civilní připravenost;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255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Georgios Epitideios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y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 a nepřátelské propagandy; a zdůrazňuje, že by tyto zákony měly být odpovídajícím způsobem pozměněny, aby bylo možné takovým hrozbám účinně čelit;</w:t>
            </w:r>
          </w:p>
        </w:tc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 xml:space="preserve">vyzvat členské státy, aby zajistily, aby volební zákony zohledňovaly možné hrozby vyplývající z kybernetických útoků a nepřátelské propagandy; a zdůrazňuje, že by tyto zákony měly být odpovídajícím způsobem pozměněny, aby bylo možné takovým hrozbám účinně čelit;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aniž by však byly vytvořeny podmínky pro protiprávní vměšování a pro změnu výsledků voleb;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EL</w:t>
      </w:r>
      <w:r>
        <w:rPr>
          <w:rStyle w:val="HideTWBInt"/>
        </w:rPr>
        <w:t>}</w:t>
      </w:r>
      <w:r>
        <w:t>el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256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Eugen Freund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y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 a nepřátelské propagandy; a zdůrazňuje, že by tyto zákony měly být odpovídajícím způsobem pozměněny, aby bylo možné takovým hrozbám účinně čelit;</w:t>
            </w:r>
          </w:p>
        </w:tc>
        <w:tc>
          <w:tcPr/>
          <w:p>
            <w:pPr>
              <w:pStyle w:val="Normal6"/>
            </w:pPr>
            <w:r>
              <w:t>y)</w:t>
            </w:r>
            <w:r>
              <w:tab/>
            </w:r>
            <w:r>
              <w:t>vyzvat členské státy, aby zajistily, aby volební zákony zohledňovaly možné hrozby vyplývající z kybernetických útoků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, dezinformačních kampaní</w:t>
            </w:r>
            <w:r>
              <w:t xml:space="preserve"> a nepřátelské propagandy; a zdůrazňuje, že by tyto zákony měly být odpovídajícím způsobem pozměněny, aby bylo možné takovým hrozbám účinně čelit;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257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y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ya)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 podporu zemí usilujících o přistoupení k EU, zejména Gruzie, Moldavska, Ukrajiny a západního Balkánu, prostřednictvím osvědčených postupů, jakož i lidských zdrojů a technologií určených k zajištění důsledné ochrany jejich volebních procesů před nepřátelskými aktivitami v oblasti kybernetiky, dezinformací a propagandy pocházející z Ruska a ze strany dalších nepřátelských aktérů;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258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Clare Moody</w:t>
      </w:r>
      <w:r>
        <w:t xml:space="preserve">, </w:t>
      </w:r>
      <w:r>
        <w:t>Wajid Khan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z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navrhnout právní předpisy pro řešení používání údajů v rámci volebních kampaní, a to v návaznosti na odhalení týkající se zneužívání údajů ze strany společnosti Cambridge Analytica v roce 2016 při kampani předcházející referendu ve Spojeném království, aby tak bylo možné dále zabezpečit budoucí volební kampaně před nepatřičným ovlivňováním;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259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Anna Elżbieta Fotyga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 z a (nový)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</w:p>
        </w:tc>
        <w:tc>
          <w:tcPr/>
          <w:p>
            <w:pPr>
              <w:pStyle w:val="Normal6"/>
            </w:pP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za)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zhodnotit takové iniciativy, jako je Transatlantická komise pro integritu voleb složená ze dvou stran, která shromážďuje politické, technické, mediální a obchodní zástupce s cílem ochránít volební proces před zahraničními zásahy;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260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Urmas Paet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2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 xml:space="preserve">pověřuje svého předsedu, aby předal toto doporučení Radě, Komisi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místopředsedkyni Komise,</w:t>
            </w:r>
            <w:r>
              <w:t xml:space="preserve"> vysoké představitelce Unie pro zahraniční věci a bezpečnostní politiku,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jakož i</w:t>
            </w:r>
            <w:r>
              <w:t xml:space="preserve"> pro informaci ESVČ a NATO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prezidentovi, vládě a parlamentu Ruska</w:t>
            </w:r>
            <w:r>
              <w:t>.</w:t>
            </w:r>
          </w:p>
        </w:tc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 xml:space="preserve">pověřuje svého předsedu, aby předal toto doporučení Radě, Komisi a vysoké představitelce Unie pro zahraniční věci a bezpečnostní politiku,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místopředsedkyni Komise a</w:t>
            </w:r>
            <w:r>
              <w:t> pro informaci ESVČ a NATO.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261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Fabio Massimo Castaldo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2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 xml:space="preserve">pověřuje svého předsedu, aby předal toto doporučení Radě, Komisi 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místopředsedkyni Komise,</w:t>
            </w:r>
            <w:r>
              <w:t xml:space="preserve"> vysoké představitelce Unie pro zahraniční věci a bezpečnostní politiku,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jakož i</w:t>
            </w:r>
            <w:r>
              <w:t xml:space="preserve"> pro informaci ESVČ a NATO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prezidentovi, vládě a parlamentu Ruska</w:t>
            </w:r>
            <w:r>
              <w:t>.</w:t>
            </w:r>
          </w:p>
        </w:tc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 xml:space="preserve">pověřuje svého předsedu, aby předal toto doporučení Radě, Komisi a vysoké představitelce Unie pro zahraniční věci a bezpečnostní politiku,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místopředsedkyni Komise a</w:t>
            </w:r>
            <w:r>
              <w:t xml:space="preserve"> pro informaci ESVČ a NATO.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</w:p>
    <w:p>
      <w:pPr>
        <w:pStyle w:val="AMNumberTabs"/>
      </w:pPr>
      <w:r>
        <w:rPr>
          <w:rStyle w:val="HideTWBExt"/>
        </w:rPr>
        <w:t>&lt;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t>Pozměňovací návrh</w:t>
      </w:r>
      <w:r>
        <w:tab/>
      </w:r>
      <w:r>
        <w:tab/>
      </w:r>
      <w:r>
        <w:rPr>
          <w:rStyle w:val="HideTWBExt"/>
        </w:rPr>
        <w:t>&lt;</w:t>
      </w:r>
      <w:r>
        <w:rPr>
          <w:rStyle w:val="HideTWBExt"/>
        </w:rPr>
        <w:t>NumAm</w:t>
      </w:r>
      <w:r>
        <w:rPr>
          <w:rStyle w:val="HideTWBExt"/>
        </w:rPr>
        <w:t>&gt;</w:t>
      </w:r>
      <w:r>
        <w:t>262</w:t>
      </w:r>
      <w:r>
        <w:rPr>
          <w:rStyle w:val="HideTWBExt"/>
        </w:rPr>
        <w:t>&lt;/</w:t>
      </w:r>
      <w:r>
        <w:rPr>
          <w:rStyle w:val="HideTWBExt"/>
        </w:rPr>
        <w:t>NumAm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Members</w:t>
      </w:r>
      <w:r>
        <w:rPr>
          <w:rStyle w:val="HideTWBExt"/>
        </w:rPr>
        <w:t>&gt;</w:t>
      </w:r>
      <w:r>
        <w:t>Javier Nart</w:t>
      </w:r>
      <w:r>
        <w:rPr>
          <w:rStyle w:val="HideTWBExt"/>
        </w:rPr>
        <w:t>&lt;/</w:t>
      </w:r>
      <w:r>
        <w:rPr>
          <w:rStyle w:val="HideTWBExt"/>
        </w:rPr>
        <w:t>Members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&lt;/</w:t>
      </w:r>
      <w:r>
        <w:rPr>
          <w:rStyle w:val="HideTWBExt"/>
        </w:rPr>
        <w:t>RepeatBlock-By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DocAmend</w:t>
      </w:r>
      <w:r>
        <w:rPr>
          <w:rStyle w:val="HideTWBExt"/>
        </w:rPr>
        <w:t>&gt;</w:t>
      </w:r>
      <w:r>
        <w:t>Návrh usnesení</w:t>
      </w:r>
      <w:r>
        <w:rPr>
          <w:rStyle w:val="HideTWBExt"/>
        </w:rPr>
        <w:t>&lt;/</w:t>
      </w:r>
      <w:r>
        <w:rPr>
          <w:rStyle w:val="HideTWBExt"/>
        </w:rPr>
        <w:t>DocAmend</w:t>
      </w:r>
      <w:r>
        <w:rPr>
          <w:rStyle w:val="HideTWBExt"/>
        </w:rPr>
        <w:t>&gt;</w:t>
      </w:r>
    </w:p>
    <w:p>
      <w:pPr>
        <w:pStyle w:val="NormalBold"/>
      </w:pPr>
      <w:r>
        <w:rPr>
          <w:rStyle w:val="HideTWBExt"/>
        </w:rPr>
        <w:t>&lt;</w:t>
      </w:r>
      <w:r>
        <w:rPr>
          <w:rStyle w:val="HideTWBExt"/>
        </w:rPr>
        <w:t>Article</w:t>
      </w:r>
      <w:r>
        <w:rPr>
          <w:rStyle w:val="HideTWBExt"/>
        </w:rPr>
        <w:t>&gt;</w:t>
      </w:r>
      <w:r>
        <w:t>Bod 2</w:t>
      </w:r>
      <w:r>
        <w:rPr>
          <w:rStyle w:val="HideTWBExt"/>
        </w:rPr>
        <w:t>&lt;/</w:t>
      </w:r>
      <w:r>
        <w:rPr>
          <w:rStyle w:val="HideTWBExt"/>
        </w:rPr>
        <w:t>Article</w:t>
      </w:r>
      <w:r>
        <w:rPr>
          <w:rStyle w:val="HideTWBExt"/>
        </w:rPr>
        <w:t>&gt;</w:t>
      </w:r>
    </w:p>
    <w:tbl>
      <w:tblPr>
        <w:jc w:val="center"/>
        <w:tblLayout w:type="fixed"/>
        <w:tblCellMar>
          <w:top w:w="0" w:type="dxa"/>
          <w:left w:w="340" w:type="dxa"/>
          <w:bottom w:w="0" w:type="dxa"/>
          <w:right w:w="340" w:type="dxa"/>
        </w:tblCellMar>
      </w:tblPr>
      <w:tblGrid>
        <w:gridCol w:w="4876"/>
        <w:gridCol w:w="4876"/>
      </w:tblGrid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gridSpan w:val="2"/>
          </w:tcPr>
          <w:p/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val="240"/>
          <w:jc w:val="center"/>
        </w:trPr>
        <w:tc>
          <w:tcPr/>
          <w:p>
            <w:pPr>
              <w:pStyle w:val="ColumnHeading"/>
            </w:pPr>
            <w:r>
              <w:t>Návrh usnesení</w:t>
            </w:r>
          </w:p>
        </w:tc>
        <w:tc>
          <w:tcPr/>
          <w:p>
            <w:pPr>
              <w:pStyle w:val="ColumnHeading"/>
            </w:pPr>
            <w:r>
              <w:t>Pozměňovací návrh</w:t>
            </w:r>
          </w:p>
        </w:tc>
      </w:tr>
      <w:tr>
        <w:tblPrEx>
          <w:jc w:val="center"/>
          <w:tblLayout w:type="fixed"/>
          <w:tblCellMar>
            <w:top w:w="0" w:type="dxa"/>
            <w:left w:w="340" w:type="dxa"/>
            <w:bottom w:w="0" w:type="dxa"/>
            <w:right w:w="340" w:type="dxa"/>
          </w:tblCellMar>
        </w:tblPrEx>
        <w:trPr>
          <w:trHeight w:hRule="auto" w:val="0"/>
          <w:jc w:val="center"/>
        </w:trPr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>pověřuje svého předsedu, aby předal toto doporučení Radě, Komisi a místopředsedkyni Komise, vysoké představitelce Unie pro zahraniční věci a bezpečnostní politiku, jakož i pro informaci ESVČ a NATO a prezidentovi, vládě a parlamentu Ruska.</w:t>
            </w:r>
          </w:p>
        </w:tc>
        <w:tc>
          <w:tcPr/>
          <w:p>
            <w:pPr>
              <w:pStyle w:val="Normal6"/>
            </w:pPr>
            <w:r>
              <w:t>2.</w:t>
            </w:r>
            <w:r>
              <w:tab/>
            </w:r>
            <w:r>
              <w:t xml:space="preserve">pověřuje svého předsedu, aby předal toto doporučení Radě, Komisi a místopředsedkyni Komise, vysoké představitelce Unie pro zahraniční věci a bezpečnostní politiku, jakož i pro informaci ESVČ a NATO a prezidentovi, vládě a parlamentu Ruska </w:t>
            </w:r>
            <w:r>
              <w:rPr>
                <w:rFonts w:ascii="Times New Roman" w:eastAsia="Times New Roman" w:hAnsi="Times New Roman" w:cs="Times New Roman"/>
                <w:b/>
                <w:i/>
                <w:strike w:val="0"/>
                <w:color w:val="000000"/>
                <w:sz w:val="24"/>
                <w:highlight w:val="none"/>
                <w:u w:val="none" w:color="auto"/>
              </w:rPr>
              <w:t>a Spojených států amerických</w:t>
            </w:r>
            <w:r>
              <w:t>.</w:t>
            </w:r>
          </w:p>
        </w:tc>
      </w:tr>
    </w:tbl>
    <w:p>
      <w:pPr>
        <w:pStyle w:val="Olang"/>
      </w:pPr>
      <w:r>
        <w:t>Or.</w:t>
      </w:r>
      <w:r>
        <w:t xml:space="preserve"> </w:t>
      </w:r>
      <w:r>
        <w:rPr>
          <w:rStyle w:val="HideTWBExt"/>
        </w:rPr>
        <w:t>&lt;</w:t>
      </w:r>
      <w:r>
        <w:rPr>
          <w:rStyle w:val="HideTWBExt"/>
        </w:rPr>
        <w:t>Original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EN</w:t>
      </w:r>
      <w:r>
        <w:rPr>
          <w:rStyle w:val="HideTWBInt"/>
        </w:rPr>
        <w:t>}</w:t>
      </w:r>
      <w:r>
        <w:t>en</w:t>
      </w:r>
      <w:r>
        <w:rPr>
          <w:rStyle w:val="HideTWBExt"/>
        </w:rPr>
        <w:t>&lt;/</w:t>
      </w:r>
      <w:r>
        <w:rPr>
          <w:rStyle w:val="HideTWBExt"/>
        </w:rPr>
        <w:t>Original</w:t>
      </w:r>
      <w:r>
        <w:rPr>
          <w:rStyle w:val="HideTWBExt"/>
        </w:rPr>
        <w:t>&gt;</w:t>
      </w:r>
    </w:p>
    <w:p>
      <w:r>
        <w:rPr>
          <w:rStyle w:val="HideTWBExt"/>
        </w:rPr>
        <w:t>&lt;/</w:t>
      </w:r>
      <w:r>
        <w:rPr>
          <w:rStyle w:val="HideTWBExt"/>
        </w:rPr>
        <w:t>Amend</w:t>
      </w:r>
      <w:r>
        <w:rPr>
          <w:rStyle w:val="HideTWBExt"/>
        </w:rPr>
        <w:t>&gt;</w:t>
      </w:r>
      <w:r>
        <w:rPr>
          <w:rStyle w:val="HideTWBExt"/>
        </w:rPr>
        <w:t>&lt;/</w:t>
      </w:r>
      <w:r>
        <w:rPr>
          <w:rStyle w:val="HideTWBExt"/>
        </w:rPr>
        <w:t>RepeatBlock-Amend</w:t>
      </w:r>
      <w:r>
        <w:rPr>
          <w:rStyle w:val="HideTWBExt"/>
        </w:rPr>
        <w:t>&gt;</w:t>
      </w:r>
    </w:p>
    <w:sectPr>
      <w:footerReference w:type="even" r:id="rId5"/>
      <w:footerReference w:type="default" r:id="rId6"/>
      <w:footerReference w:type="first" r:id="rId7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631.900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AM\1171300CS.docx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AM\1171300CS.docx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631.900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AM\1171300CS.docx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631.900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Footer2"/>
    </w:pPr>
    <w:r>
      <w:t>CS</w:t>
    </w:r>
    <w:r>
      <w:tab/>
    </w:r>
    <w:r>
      <w:rPr>
        <w:rStyle w:val="Footer2Middle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gruik" w:val="value of gruik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&#10;{\f34\fbidi \froman\fcharset0\fprq2{\*\panose 02040503050406030204}Cambria Math;}{\flomajor\f31500\fbidi \froman\fcharset0\fprq2{\*\panose 02020603050405020304}Times New Roman;}&#13;&#10;{\fdbmajor\f31501\fbidi \froman\fcharset0\fprq2{\*\panose 02020603050405020304}Times New Roman;}{\fhimajor\f31502\fbidi \fswiss\fcharset0\fprq2{\*\panose 020f0302020204030204}Calibri Light;}&#13;&#10;{\fbimajor\f31503\fbidi \froman\fcharset0\fprq2{\*\panose 02020603050405020304}Times New Roman;}{\flominor\f31504\fbidi \froman\fcharset0\fprq2{\*\panose 02020603050405020304}Times New Roman;}&#13;&#10;{\fdbminor\f31505\fbidi \froman\fcharset0\fprq2{\*\panose 02020603050405020304}Times New Roman;}{\fhiminor\f31506\fbidi \fswiss\fcharset0\fprq2{\*\panose 020f0502020204030204}Calibri;}&#13;&#10;{\fbiminor\f31507\fbidi \froman\fcharset0\fprq2{\*\panose 02020603050405020304}Times New Roman;}{\f279\fbidi \froman\fcharset238\fprq2 Times New Roman CE;}{\f280\fbidi \froman\fcharset204\fprq2 Times New Roman Cyr;}&#13;&#10;{\f282\fbidi \froman\fcharset161\fprq2 Times New Roman Greek;}{\f283\fbidi \froman\fcharset162\fprq2 Times New Roman Tur;}{\f284\fbidi \froman\fcharset177\fprq2 Times New Roman (Hebrew);}{\f285\fbidi \froman\fcharset178\fprq2 Times New Roman (Arabic);}&#13;&#10;{\f286\fbidi \froman\fcharset186\fprq2 Times New Roman Baltic;}{\f287\fbidi \froman\fcharset163\fprq2 Times New Roman (Vietnamese);}{\f289\fbidi \fswiss\fcharset238\fprq2 Arial CE;}{\f290\fbidi \fswiss\fcharset204\fprq2 Arial Cyr;}&#13;&#10;{\f292\fbidi \fswiss\fcharset161\fprq2 Arial Greek;}{\f293\fbidi \fswiss\fcharset162\fprq2 Arial Tur;}{\f294\fbidi \fswiss\fcharset177\fprq2 Arial (Hebrew);}{\f295\fbidi \fswiss\fcharset178\fprq2 Arial (Arabic);}&#13;&#10;{\f296\fbidi \fswiss\fcharset186\fprq2 Arial Baltic;}{\f297\fbidi \fswiss\fcharset163\fprq2 Arial (Vietnamese);}{\f619\fbidi \froman\fcharset238\fprq2 Cambria Math CE;}{\f620\fbidi \froman\fcharset204\fprq2 Cambria Math Cyr;}&#13;&#10;{\f622\fbidi \froman\fcharset161\fprq2 Cambria Math Greek;}{\f623\fbidi \froman\fcharset162\fprq2 Cambria Math Tur;}{\f626\fbidi \froman\fcharset186\fprq2 Cambria Math Baltic;}{\f627\fbidi \froman\fcharset163\fprq2 Cambria Math (Vietnamese);}&#13;&#10;{\flomajor\f31508\fbidi \froman\fcharset238\fprq2 Times New Roman CE;}{\flomajor\f31509\fbidi \froman\fcharset204\fprq2 Times New Roman Cyr;}{\flomajor\f31511\fbidi \froman\fcharset161\fprq2 Times New Roman Greek;}&#13;&#10;{\flomajor\f31512\fbidi \froman\fcharset162\fprq2 Times New Roman Tur;}{\flomajor\f31513\fbidi \froman\fcharset177\fprq2 Times New Roman (Hebrew);}{\flomajor\f31514\fbidi \froman\fcharset178\fprq2 Times New Roman (Arabic);}&#13;&#10;{\flomajor\f31515\fbidi \froman\fcharset186\fprq2 Times New Roman Baltic;}{\flomajor\f31516\fbidi \froman\fcharset163\fprq2 Times New Roman (Vietnamese);}{\fdbmajor\f31518\fbidi \froman\fcharset238\fprq2 Times New Roman CE;}&#13;&#10;{\fdbmajor\f31519\fbidi \froman\fcharset204\fprq2 Times New Roman Cyr;}{\fdbmajor\f31521\fbidi \froman\fcharset161\fprq2 Times New Roman Greek;}{\fdbmajor\f31522\fbidi \froman\fcharset162\fprq2 Times New Roman Tur;}&#13;&#10;{\fdbmajor\f31523\fbidi \froman\fcharset177\fprq2 Times New Roman (Hebrew);}{\fdbmajor\f31524\fbidi \froman\fcharset178\fprq2 Times New Roman (Arabic);}{\fdbmajor\f31525\fbidi \froman\fcharset186\fprq2 Times New Roman Baltic;}&#13;&#10;{\fdbmajor\f31526\fbidi \froman\fcharset163\fprq2 Times New Roman (Vietnamese);}{\fhimajor\f31528\fbidi \fswiss\fcharset238\fprq2 Calibri Light CE;}{\fhimajor\f31529\fbidi \fswiss\fcharset204\fprq2 Calibri Light Cyr;}&#13;&#10;{\fhimajor\f31531\fbidi \fswiss\fcharset161\fprq2 Calibri Light Greek;}{\fhimajor\f31532\fbidi \fswiss\fcharset162\fprq2 Calibri Light Tur;}{\fhimajor\f31533\fbidi \fswiss\fcharset177\fprq2 Calibri Light (Hebrew);}&#13;&#10;{\fhimajor\f31534\fbidi \fswiss\fcharset178\fprq2 Calibri Light (Arabic);}{\fhimajor\f31535\fbidi \fswiss\fcharset186\fprq2 Calibri Light Baltic;}{\fhimajor\f31536\fbidi \fswiss\fcharset163\fprq2 Calibri Light (Vietnamese);}&#13;&#10;{\fbimajor\f31538\fbidi \froman\fcharset238\fprq2 Times New Roman CE;}{\fbimajor\f31539\fbidi \froman\fcharset204\fprq2 Times New Roman Cyr;}{\fbimajor\f31541\fbidi \froman\fcharset161\fprq2 Times New Roman Greek;}&#13;&#10;{\fbimajor\f31542\fbidi \froman\fcharset162\fprq2 Times New Roman Tur;}{\fbimajor\f31543\fbidi \froman\fcharset177\fprq2 Times New Roman (Hebrew);}{\fbimajor\f31544\fbidi \froman\fcharset178\fprq2 Times New Roman (Arabic);}&#13;&#10;{\fbimajor\f31545\fbidi \froman\fcharset186\fprq2 Times New Roman Baltic;}{\fbimajor\f31546\fbidi \froman\fcharset163\fprq2 Times New Roman (Vietnamese);}{\flominor\f31548\fbidi \froman\fcharset238\fprq2 Times New Roman CE;}&#13;&#10;{\flominor\f31549\fbidi \froman\fcharset204\fprq2 Times New Roman Cyr;}{\flominor\f31551\fbidi \froman\fcharset161\fprq2 Times New Roman Greek;}{\flominor\f31552\fbidi \froman\fcharset162\fprq2 Times New Roman Tur;}&#13;&#10;{\flominor\f31553\fbidi \froman\fcharset177\fprq2 Times New Roman (Hebrew);}{\flominor\f31554\fbidi \froman\fcharset178\fprq2 Times New Roman (Arabic);}{\flominor\f31555\fbidi \froman\fcharset186\fprq2 Times New Roman Baltic;}&#13;&#10;{\flominor\f31556\fbidi \froman\fcharset163\fprq2 Times New Roman (Vietnamese);}{\fdbminor\f31558\fbidi \froman\fcharset238\fprq2 Times New Roman CE;}{\fdbminor\f31559\fbidi \froman\fcharset204\fprq2 Times New Roman Cyr;}&#13;&#10;{\fdbminor\f31561\fbidi \froman\fcharset161\fprq2 Times New Roman Greek;}{\fdbminor\f31562\fbidi \froman\fcharset162\fprq2 Times New Roman Tur;}{\fdbminor\f31563\fbidi \froman\fcharset177\fprq2 Times New Roman (Hebrew);}&#13;&#10;{\fdbminor\f31564\fbidi \froman\fcharset178\fprq2 Times New Roman (Arabic);}{\fdbminor\f31565\fbidi \froman\fcharset186\fprq2 Times New Roman Baltic;}{\fdbminor\f31566\fbidi \froman\fcharset163\fprq2 Times New Roman (Vietnamese);}&#13;&#10;{\fhiminor\f31568\fbidi \fswiss\fcharset238\fprq2 Calibri CE;}{\fhiminor\f31569\fbidi \fswiss\fcharset204\fprq2 Calibri Cyr;}{\fhiminor\f31571\fbidi \fswiss\fcharset161\fprq2 Calibri Greek;}{\fhiminor\f31572\fbidi \fswiss\fcharset162\fprq2 Calibri Tur;}&#13;&#10;{\fhiminor\f31573\fbidi \fswiss\fcharset177\fprq2 Calibri (Hebrew);}{\fhiminor\f31574\fbidi \fswiss\fcharset178\fprq2 Calibri (Arabic);}{\fhiminor\f31575\fbidi \fswiss\fcharset186\fprq2 Calibri Baltic;}&#13;&#10;{\fhiminor\f31576\fbidi \fswiss\fcharset163\fprq2 Calibri (Vietnamese);}{\fbiminor\f31578\fbidi \froman\fcharset238\fprq2 Times New Roman CE;}{\fbiminor\f31579\fbidi \froman\fcharset204\fprq2 Times New Roman Cyr;}&#13;&#10;{\fbiminor\f31581\fbidi \froman\fcharset161\fprq2 Times New Roman Greek;}{\fbiminor\f31582\fbidi \froman\fcharset162\fprq2 Times New Roman Tur;}{\fbiminor\f31583\fbidi \froman\fcharset177\fprq2 Times New Roman (Hebrew);}&#13;&#10;{\fbiminor\f31584\fbidi \froman\fcharset178\fprq2 Times New Roman (Arabic);}{\fbiminor\f31585\fbidi \froman\fcharset186\fprq2 Times New Roman Baltic;}{\fbiminor\f31586\fbidi \froman\fcharset163\fprq2 Times New Roman (Vietnamese);}}&#13;&#10;{\colortbl;\red0\green0\blue0;\red0\green0\blue255;\red0\green255\blue255;\red0\green255\blue0;\red255\green0\blue255;\red255\green0\blue0;\red255\green255\blue0;\red255\green255\blue255;\red0\green0\blue128;\red0\green128\blue128;\red0\green128\blue0;&#13;&#10;\red128\green0\blue128;\red128\green0\blue0;\red128\green128\blue0;\red128\green128\blue128;\red192\green192\blue192;}{\*\defchp }{\*\defpap \ql \li0\ri0\widctlpar\wrapdefault\aspalpha\aspnum\faauto\adjustright\rin0\lin0\itap0 }\noqfpromote {\stylesheet{&#13;&#10;\ql \li0\ri0\widctlpar\wrapdefault\aspalpha\aspnum\faauto\adjustright\rin0\lin0\itap0 \rtlch\fcs1 \af0\afs20\alang1025 \ltrch\fcs0 \fs24\lang2057\langfe2057\cgrid\langnp2057\langfenp2057 \snext0 \sqformat \spriority0 Normal;}{\*\cs10 \additive &#13;&#10;\ssemihidden \spriority0 Default Paragraph Font;}{\*\ts11\tsrowd\trftsWidthB3\trpaddl108\trpaddr108\trpaddfl3\trpaddft3\trpaddfb3\trpaddfr3\tblind0\tblindtype3\tsvertalt\tsbrdrt\tsbrdrl\tsbrdrb\tsbrdrr\tsbrdrdgl\tsbrdrdgr\tsbrdrh\tsbrdrv &#13;&#10;\ql \li0\ri0\widctlpar\wrapdefault\aspalpha\aspnum\faauto\adjustright\rin0\lin0\itap0 \rtlch\fcs1 \af0\afs20\alang1025 \ltrch\fcs0 \fs20\lang2057\langfe2057\cgrid\langnp2057\langfenp2057 \snext11 \ssemihidden \spriority0 Normal Table;}{\*\cs15 \additive &#13;&#10;\v\f1\fs20\cf9\lang1024\langfe1024\noproof \spriority0 \styrsid3894482 HideTWBExt;}{\s16\qr \li0\ri0\sb240\sa240\nowidctlpar\wrapdefault\aspalpha\aspnum\faauto\adjustright\rin0\lin0\itap0 \rtlch\fcs1 \af0\afs20\alang1025 \ltrch\fcs0 &#13;&#10;\fs24\lang1024\langfe1024\cgrid\noproof\langnp2057\langfenp2057 \sbasedon0 \snext16 \spriority0 \styrsid3894482 Olang;}{\s17\ql \li0\ri0\sa120\nowidctlpar\wrapdefault\aspalpha\aspnum\faauto\adjustright\rin0\lin0\itap0 \rtlch\fcs1 \af0\afs20\alang1025 &#13;&#10;\ltrch\fcs0 \fs24\lang1024\langfe1024\cgrid\noproof\langnp2057\langfenp2057 \sbasedon0 \snext17 \slink18 \spriority0 \styrsid3894482 Normal6;}{\*\cs18 \additive \fs24\lang1024\langfe1024\noproof \slink17 \slocked \spriority0 \styrsid3894482 Normal6 Char;}&#13;&#10;{\s19\ql \li0\ri0\nowidctlpar\wrapdefault\aspalpha\aspnum\faauto\adjustright\rin0\lin0\itap0 \rtlch\fcs1 \af0\afs20\alang1025 \ltrch\fcs0 \b\fs24\lang2057\langfe2057\cgrid\langnp2057\langfenp2057 \sbasedon0 \snext19 \slink20 \spriority0 \styrsid3894482 &#13;&#10;NormalBold;}{\*\cs20 \additive \b\fs24 \slink19 \slocked \spriority0 \styrsid3894482 NormalBold Char;}{\s21\qc \li0\ri0\sa240\nowidctlpar\wrapdefault\aspalpha\aspnum\faauto\adjustright\rin0\lin0\itap0 \rtlch\fcs1 \af0\afs20\alang1025 \ltrch\fcs0 &#13;&#10;\i\fs24\lang2057\langfe2057\cgrid\langnp2057\langfenp2057 \sbasedon0 \snext21 \spriority0 \styrsid3894482 ColumnHeading;}{\s22\ql \li0\ri0\sb240\nowidctlpar&#13;&#10;\tx879\tx936\tx1021\tx1077\tx1134\tx1191\tx1247\tx1304\tx1361\tx1418\tx1474\tx1531\tx1588\tx1644\tx1701\tx1758\tx1814\tx1871\tx2070\tx2126\tx3374\tx3430\wrapdefault\aspalpha\aspnum\faauto\adjustright\rin0\lin0\itap0 \rtlch\fcs1 \af0\afs20\alang1025 &#13;&#10;\ltrch\fcs0 \b\fs24\lang2057\langfe2057\cgrid\langnp2057\langfenp2057 \sbasedon0 \snext22 \spriority0 \styrsid3894482 AMNumberTabs;}}{\*\rsidtbl \rsid24658\rsid735077\rsid2892074\rsid3894482\rsid4666813\rsid6568229\rsid6641733\rsid9636012\rsid11215221&#13;&#10;\rsid12154954\rsid14424199\rsid15204470\rsid15285974\rsid15950462\rsid16324206\rsid16662270}{\mmathPr\mmathFont34\mbrkBin0\mbrkBinSub0\msmallFrac0\mdispDef1\mlMargin0\mrMargin0\mdefJc1\mwrapIndent1440\mintLim0\mnaryLim1}{\info{\author FELIX Karina}&#13;&#10;{\operator FELIX Karina}{\creatim\yr2017\mo11\dy16\hr17}{\revtim\yr2017\mo11\dy16\hr17}{\version1}{\edmins0}{\nofpages1}{\nofwords24}{\nofchars292}{\*\company European Parliament}{\nofcharsws292}{\vern92}}{\*\xmlnstbl {\xmlns1 http://schemas.microsoft.com&#13;&#10;/office/word/2003/wordml}}\paperw11906\paperh16838\margl1418\margr1418\margt1134\margb1418\gutter0\ltrsect &#13;&#10;\facingp\widowctrl\ftnbj\aenddoc\ftnrstpg\trackmoves0\trackformatting1\donotembedsysfont1\relyonvml0\donotembedlingdata0\grfdocevents0\validatexml1\showplaceholdtext0\ignoremixedcontent0\saveinvalidxml0&#13;&#10;\showxmlerrors1\margmirror\noxlattoyen\expshrtn\noultrlspc\dntblnsbdb\nospaceforul\formshade\horzdoc\dghspace180\dgvspace180\dghorigin1701\dgvorigin1984\dghshow0\dgvshow0&#13;&#10;\jexpand\viewkind1\viewscale100\pgbrdrhead\pgbrdrfoot\nolnhtadjtbl\nojkernpunct\rsidroot3894482\utinl \fet0{\*\wgrffmtfilter 013f}\ilfomacatclnup0{\*\template C:\\Users\\kfelix\\AppData\\Local\\Temp\\Blank1.dot}{\*\ftnsep \ltrpar \pard\plain \ltrpar&#13;&#10;\ql \li0\ri0\widctlpar\wrapdefault\aspalpha\aspnum\faauto\adjustright\rin0\lin0\itap0 \rtlch\fcs1 \af0\afs20\alang1025 \ltrch\fcs0 \fs24\lang2057\langfe2057\cgrid\langnp2057\langfenp2057 {\rtlch\fcs1 \af0 \ltrch\fcs0 \insrsid6568229 \chftnsep &#13;&#10;\par }}{\*\ftnsepc \ltrpar \pard\plain \ltrpar\ql \li0\ri0\widctlpar\wrapdefault\aspalpha\aspnum\faauto\adjustright\rin0\lin0\itap0 \rtlch\fcs1 \af0\afs20\alang1025 \ltrch\fcs0 \fs24\lang2057\langfe2057\cgrid\langnp2057\langfenp2057 {\rtlch\fcs1 \af0 &#13;&#10;\ltrch\fcs0 \insrsid6568229 \chftnsepc &#13;&#10;\par }}{\*\aftnsep \ltrpar \pard\plain \ltrpar\ql \li0\ri0\widctlpar\wrapdefault\aspalpha\aspnum\faauto\adjustright\rin0\lin0\itap0 \rtlch\fcs1 \af0\afs20\alang1025 \ltrch\fcs0 \fs24\lang2057\langfe2057\cgrid\langnp2057\langfenp2057 {\rtlch\fcs1 \af0 &#13;&#10;\ltrch\fcs0 \insrsid6568229 \chftnsep &#13;&#10;\par }}{\*\aftnsepc \ltrpar \pard\plain \ltrpar\ql \li0\ri0\widctlpar\wrapdefault\aspalpha\aspnum\faauto\adjustright\rin0\lin0\itap0 \rtlch\fcs1 \af0\afs20\alang1025 \ltrch\fcs0 \fs24\lang2057\langfe2057\cgrid\langnp2057\langfenp2057 {\rtlch\fcs1 \af0 &#13;&#10;\ltrch\fcs0 \insrsid6568229 \chftnsepc &#13;&#10;\par }}\ltrpar \sectd \ltrsect\psz9\linex0\headery1134\footery505\endnhere\titlepg\sectdefaultcl\sectrsid14424199\sftnbj\sftnrstpg {\*\pnseclvl1\pnucrm\pnstart1\pnindent720\pnhang {\pntxta .}}{\*\pnseclvl2\pnucltr\pnstart1\pnindent720\pnhang {\pntxta .}}&#13;&#10;{\*\pnseclvl3\pndec\pnstart1\pnindent720\pnhang {\pntxta .}}{\*\pnseclvl4\pnlcltr\pnstart1\pnindent720\pnhang {\pntxta )}}{\*\pnseclvl5\pndec\pnstart1\pnindent720\pnhang {\pntxtb (}{\pntxta )}}{\*\pnseclvl6\pnlcltr\pnstart1\pnindent720\pnhang {\pntxtb (}&#13;&#10;{\pntxta )}}{\*\pnseclvl7\pnlcrm\pnstart1\pnindent720\pnhang {\pntxtb (}{\pntxta )}}{\*\pnseclvl8\pnlcltr\pnstart1\pnindent720\pnhang {\pntxtb (}{\pntxta )}}{\*\pnseclvl9\pnlcrm\pnstart1\pnindent720\pnhang {\pntxtb (}{\pntxta )}}\pard\plain \ltrpar&#13;&#10;\s22\ql \li0\ri0\sb240\keepn\nowidctlpar\tx879\tx936\tx1021\tx1077\tx1134\tx1191\tx1247\tx1304\tx1361\tx1418\tx1474\tx1531\tx1588\tx1644\tx1701\tx1758\tx1814\tx1871\tx2070\tx2126\tx3374\tx3430\wrapdefault\aspalpha\aspnum\faauto\adjustright\rin0&#13;&#10;\lin0\itap0\pararsid3894482 \rtlch\fcs1 \af0\afs20\alang1025 \ltrch\fcs0 \b\fs24\lang2057\langfe2057\cgrid\langnp2057\langfenp2057 {\rtlch\fcs1 \af0 \ltrch\fcs0 \cs15\b0\v\f1\fs20\cf9\lang1024\langfe1024\noproof\insrsid3894482\charrsid4417459 &#13;&#10;{\*\bkmkstart restart}&lt;Amend&gt;}{\rtlch\fcs1 \af0 \ltrch\fcs0 \insrsid3894482\charrsid1799708 [ZAMENDMENT]}{\rtlch\fcs1 \af0 \ltrch\fcs0 \insrsid3894482 \tab \tab }{\rtlch\fcs1 \af0 \ltrch\fcs0 &#13;&#10;\cs15\b0\v\f1\fs20\cf9\lang1024\langfe1024\noproof\insrsid3894482\charrsid4417459 &lt;NumAm&gt;}{\rtlch\fcs1 \af0 \ltrch\fcs0 \insrsid3894482\charrsid1799708 [ZNRAM]}{\rtlch\fcs1 \af0 \ltrch\fcs0 &#13;&#10;\cs15\b0\v\f1\fs20\cf9\lang1024\langfe1024\noproof\insrsid3894482\charrsid4417459 &lt;/NumAm&gt;}{\rtlch\fcs1 \af0 \ltrch\fcs0 \insrsid3894482\charrsid4080556 &#13;&#10;\par }\pard\plain \ltrpar\s19\ql \li0\ri0\nowidctlpar\wrapdefault\aspalpha\aspnum\faauto\adjustright\rin0\lin0\itap0\pararsid3894482 \rtlch\fcs1 \af0\afs20\alang1025 \ltrch\fcs0 \b\fs24\lang2057\langfe2057\cgrid\langnp2057\langfenp2057 {\rtlch\fcs1 \af0 &#13;&#10;\ltrch\fcs0 \cs15\b0\v\f1\fs20\cf9\lang1024\langfe1024\noproof\insrsid3894482\charrsid14699840 &lt;RepeatBlock-By&gt;}{\rtlch\fcs1 \af0 \ltrch\fcs0 \lang1024\langfe1024\noproof\insrsid3894482\charrsid14699840 [RepeatMembers]}{\rtlch\fcs1 \af0 \ltrch\fcs0 &#13;&#10;\cs15\b0\v\f1\fs20\cf9\lang1024\langfe1024\noproof\insrsid3894482\charrsid14699840 &lt;Members&gt;}{\rtlch\fcs1 \af0 \ltrch\fcs0 \insrsid3894482\charrsid14699840 [ZMEMBERS]}{\rtlch\fcs1 \af0 \ltrch\fcs0 &#13;&#10;\cs15\b0\v\f1\fs20\cf9\lang1024\langfe1024\noproof\insrsid3894482\charrsid14699840 &lt;/Members&gt;}{\rtlch\fcs1 \af0 \ltrch\fcs0 \insrsid3894482\charrsid14699840 &#13;&#10;\par }\pard\plain \ltrpar\ql \li0\ri0\widctlpar\wrapdefault\aspalpha\aspnum\faauto\adjustright\rin0\lin0\itap0\pararsid3894482 \rtlch\fcs1 \af0\afs20\alang1025 \ltrch\fcs0 \fs24\lang2057\langfe2057\cgrid\langnp2057\langfenp2057 {\rtlch\fcs1 \af0 \ltrch\fcs0 &#13;&#10;\cs15\v\f1\fs20\cf9\lang1024\langfe1024\noproof\insrsid3894482\charrsid14699840 &lt;AuNomDe&gt;&lt;OptDel&gt;}{\rtlch\fcs1 \af0 \ltrch\fcs0 \insrsid3894482\charrsid14699840 [ZONBEHALF]}{\rtlch\fcs1 \af0 \ltrch\fcs0 &#13;&#10;\cs15\v\f1\fs20\cf9\lang1024\langfe1024\noproof\insrsid3894482\charrsid14699840 &lt;/OptDel&gt;&lt;/AuNomDe&gt;}{\rtlch\fcs1 \af0 \ltrch\fcs0 \insrsid3894482\charrsid14699840 &#13;&#10;\par &lt;&lt;&lt;}{\rtlch\fcs1 \af0 \ltrch\fcs0 \cs15\v\f1\fs20\cf9\lang1024\langfe1024\noproof\insrsid3894482\charrsid14699840 &lt;/RepeatBlock-By&gt;}{\rtlch\fcs1 \af0 \ltrch\fcs0 \insrsid3894482\charrsid14699840 &#13;&#10;\par }\pard\plain \ltrpar\s19\ql \li0\ri0\nowidctlpar\wrapdefault\aspalpha\aspnum\faauto\adjustright\rin0\lin0\itap0\pararsid3894482 \rtlch\fcs1 \af0\afs20\alang1025 \ltrch\fcs0 \b\fs24\lang2057\langfe2057\cgrid\langnp2057\langfenp2057 {\rtlch\fcs1 \af0 &#13;&#10;\ltrch\fcs0 \cs15\b0\v\f1\fs20\cf9\lang1024\langfe1024\noproof\insrsid3894482\charrsid4737239 &lt;DocAmend&gt;}{\rtlch\fcs1 \af0 \ltrch\fcs0 \insrsid3894482\charrsid1799708 [Z}{\rtlch\fcs1 \af0 \ltrch\fcs0 \insrsid3894482 AMDOC}{\rtlch\fcs1 \af0 \ltrch\fcs0 &#13;&#10;\insrsid3894482\charrsid1799708 ]}{\rtlch\fcs1 \af0 \ltrch\fcs0 \cs15\b0\v\f1\fs20\cf9\lang1024\langfe1024\noproof\insrsid3894482\charrsid4737239 &lt;/DocAmend&gt;}{\rtlch\fcs1 \af0 \ltrch\fcs0 \insrsid3894482\charrsid1799708 &#13;&#10;\par }{\rtlch\fcs1 \af0 \ltrch\fcs0 \cs15\b0\v\f1\fs20\cf9\lang1024\langfe1024\noproof\insrsid3894482\charrsid1799708 &lt;Article&gt;}{\rtlch\fcs1 \af0 \ltrch\fcs0 \insrsid3894482\charrsid1799708 [ZAMPART]}{\rtlch\fcs1 \af0 \ltrch\fcs0 &#13;&#10;\cs15\b0\v\f1\fs20\cf9\lang1024\langfe1024\noproof\insrsid3894482\charrsid1799708 &lt;/Article&gt;}{\rtlch\fcs1 \af0 \ltrch\fcs0 \insrsid3894482\charrsid1799708 &#13;&#10;\par \ltrrow}\trowd \irow0\irowband0\ltrrow\ts11\trqc\trgaph340\trleft-340\trftsWidth3\trwWidth9752\trftsWidthB3\trftsWidthA3\trpaddl340\trpaddr340\trpaddfl3\trpaddfr3\tblrsid7949889\tblind0\tblindtype3 \clvertalt\clbrdrt\brdrtbl \clbrdrl\brdrtbl \clbrdrb&#13;&#10;\brdrtbl \clbrdrr\brdrtbl \cltxlrtb\clftsWidth3\clwWidth9752\clshdrawnil \cellx9412\pard\plain \ltrpar\ql \li0\ri0\keepn\widctlpar\intbl\wrapdefault\aspalpha\aspnum\faauto\adjustright\rin0\lin0\pararsid13053803 \rtlch\fcs1 \af0\afs20\alang1025 &#13;&#10;\ltrch\fcs0 \fs24\lang2057\langfe2057\cgrid\langnp2057\langfenp2057 {\rtlch\fcs1 \af0 \ltrch\fcs0 \insrsid3894482\charrsid1799708 \cell }\pard \ltrpar\ql \li0\ri0\widctlpar\intbl\wrapdefault\aspalpha\aspnum\faauto\adjustright\rin0\lin0 {\rtlch\fcs1 \af0 &#13;&#10;\ltrch\fcs0 \insrsid3894482\charrsid1799708 \trowd \irow0\irowband0\ltrrow\ts11\trqc\trgaph340\trleft-340\trftsWidth3\trwWidth9752\trftsWidthB3\trftsWidthA3\trpaddl340\trpaddr340\trpaddfl3\trpaddfr3\tblrsid7949889\tblind0\tblindtype3 \clvertalt\clbrdrt&#13;&#10;\brdrtbl \clbrdrl\brdrtbl \clbrdrb\brdrtbl \clbrdrr\brdrtbl \cltxlrtb\clftsWidth3\clwWidth9752\clshdrawnil \cellx9412\row \ltrrow}\trowd \irow1\irowband1\ltrrow&#13;&#10;\ts11\trqc\trgaph340\trleft-340\trftsWidth3\trwWidth9752\trftsWidthB3\trftsWidthA3\trpaddl340\trpaddr340\trpaddfl3\trpaddfr3\tblrsid7949889\tblind0\tblindtype3 \clvertalt\clbrdrt\brdrtbl \clbrdrl\brdrtbl \clbrdrb\brdrtbl \clbrdrr\brdrtbl &#13;&#10;\cltxlrtb\clftsWidth3\clwWidth4876\clshdrawnil \cellx4536\clvertalt\clbrdrt\brdrtbl \clbrdrl\brdrtbl \clbrdrb\brdrtbl \clbrdrr\brdrtbl \cltxlrtb\clftsWidth3\clwWidth4876\clshdrawnil \cellx9412\pard\plain \ltrpar&#13;&#10;\s21\qc \li0\ri0\sa240\keepn\nowidctlpar\intbl\wrapdefault\aspalpha\aspnum\faauto\adjustright\rin0\lin0\pararsid13053803 \rtlch\fcs1 \af0\afs20\alang1025 \ltrch\fcs0 \i\fs24\lang2057\langfe2057\cgrid\langnp2057\langfenp2057 {\rtlch\fcs1 \af0 \ltrch\fcs0 &#13;&#10;\insrsid3894482\charrsid1799708 [ZLEFT]\cell [ZRIGHT]\cell }\pard\plain \ltrpar\ql \li0\ri0\widctlpar\intbl\wrapdefault\aspalpha\aspnum\faauto\adjustright\rin0\lin0 \rtlch\fcs1 \af0\afs20\alang1025 \ltrch\fcs0 &#13;&#10;\fs24\lang2057\langfe2057\cgrid\langnp2057\langfenp2057 {\rtlch\fcs1 \af0 \ltrch\fcs0 \insrsid3894482\charrsid1799708 \trowd \irow1\irowband1\ltrrow&#13;&#10;\ts11\trqc\trgaph340\trleft-340\trftsWidth3\trwWidth9752\trftsWidthB3\trftsWidthA3\trpaddl340\trpaddr340\trpaddfl3\trpaddfr3\tblrsid7949889\tblind0\tblindtype3 \clvertalt\clbrdrt\brdrtbl \clbrdrl\brdrtbl \clbrdrb\brdrtbl \clbrdrr\brdrtbl &#13;&#10;\cltxlrtb\clftsWidth3\clwWidth4876\clshdrawnil \cellx4536\clvertalt\clbrdrt\brdrtbl \clbrdrl\brdrtbl \clbrdrb\brdrtbl \clbrdrr\brdrtbl \cltxlrtb\clftsWidth3\clwWidth4876\clshdrawnil \cellx9412\row \ltrrow}\pard\plain \ltrpar&#13;&#10;\s17\ql \li0\ri0\sa120\nowidctlpar\intbl\wrapdefault\aspalpha\aspnum\faauto\adjustright\rin0\lin0\pararsid7949889 \rtlch\fcs1 \af0\afs20\alang1025 \ltrch\fcs0 \fs24\lang1024\langfe1024\cgrid\noproof\langnp2057\langfenp2057 {\rtlch\fcs1 \af0 \ltrch\fcs0 &#13;&#10;\insrsid3894482\charrsid1799708 [ZTEXTL]\cell [ZTEXTR]}{\rtlch\fcs1 \af0\afs24 \ltrch\fcs0 \insrsid3894482\charrsid1799708 \cell }\pard\plain \ltrpar\ql \li0\ri0\widctlpar\intbl\wrapdefault\aspalpha\aspnum\faauto\adjustright\rin0\lin0 \rtlch\fcs1 &#13;&#10;\af0\afs20\alang1025 \ltrch\fcs0 \fs24\lang2057\langfe2057\cgrid\langnp2057\langfenp2057 {\rtlch\fcs1 \af0 \ltrch\fcs0 \insrsid3894482\charrsid1799708 \trowd \irow2\irowband2\lastrow \ltrrow&#13;&#10;\ts11\trqc\trgaph340\trleft-340\trftsWidth3\trwWidth9752\trftsWidthB3\trftsWidthA3\trpaddl340\trpaddr340\trpaddfl3\trpaddfr3\tblrsid7949889\tblind0\tblindtype3 \clvertalt\clbrdrt\brdrtbl \clbrdrl\brdrtbl \clbrdrb\brdrtbl \clbrdrr\brdrtbl &#13;&#10;\cltxlrtb\clftsWidth3\clwWidth4876\clshdrawnil \cellx4536\clvertalt\clbrdrt\brdrtbl \clbrdrl\brdrtbl \clbrdrb\brdrtbl \clbrdrr\brdrtbl \cltxlrtb\clftsWidth3\clwWidth4876\clshdrawnil \cellx9412\row }\pard\plain \ltrpar&#13;&#10;\s16\qr \li0\ri0\sb240\sa240\nowidctlpar\wrapdefault\aspalpha\aspnum\faauto\adjustright\rin0\lin0\itap0\pararsid3894482 \rtlch\fcs1 \af0\afs20\alang1025 \ltrch\fcs0 \fs24\lang1024\langfe1024\cgrid\noproof\langnp2057\langfenp2057 {\rtlch\fcs1 \af0 &#13;&#10;\ltrch\fcs0 \noproof0\insrsid3894482\charrsid1799708 Or. }{\rtlch\fcs1 \af0 \ltrch\fcs0 \cs15\v\f1\fs20\cf9\noproof0\insrsid3894482\charrsid1799708 &lt;Original&gt;}{\rtlch\fcs1 \af0 \ltrch\fcs0 \noproof0\insrsid3894482\charrsid1799708 [ZORLANG]}{\rtlch\fcs1 &#13;&#10;\af0 \ltrch\fcs0 \cs15\v\f1\fs20\cf9\noproof0\insrsid3894482\charrsid1799708 &lt;/Original&gt;}{\rtlch\fcs1 \af0 \ltrch\fcs0 \noproof0\insrsid3894482\charrsid1799708 &#13;&#10;\par }\pard\plain \ltrpar\ql \li0\ri0\widctlpar\wrapdefault\aspalpha\aspnum\faauto\adjustright\rin0\lin0\itap0\pararsid3894482 \rtlch\fcs1 \af0\afs20\alang1025 \ltrch\fcs0 \fs24\lang2057\langfe2057\cgrid\langnp2057\langfenp2057 {\rtlch\fcs1 \af0 \ltrch\fcs0 &#13;&#10;\cs15\v\f1\fs20\cf9\lang1024\langfe1024\noproof\insrsid3894482\charrsid1799708 &lt;/Amend&gt;}{\rtlch\fcs1 \af0 \ltrch\fcs0 \insrsid24658\charrsid16324206 {\*\bkmkend restart}&#13;&#10;\par }{\*\themedata 504b030414000600080000002100e9de0fbfff0000001c020000130000005b436f6e74656e745f54797065735d2e786d6cac91cb4ec3301045f748fc83e52d4a&#13;&#10;9cb2400825e982c78ec7a27cc0c8992416c9d8b2a755fbf74cd25442a820166c2cd933f79e3be372bd1f07b5c3989ca74aaff2422b24eb1b475da5df374fd9ad&#13;&#10;5689811a183c61a50f98f4babebc2837878049899a52a57be670674cb23d8e90721f90a4d2fa3802cb35762680fd800ecd7551dc18eb899138e3c943d7e503b6&#13;&#10;b01d583deee5f99824e290b4ba3f364eac4a430883b3c092d4eca8f946c916422ecab927f52ea42b89a1cd59c254f919b0e85e6535d135a8de20f20b8c12c3b0&#13;&#10;0c895fcf6720192de6bf3b9e89ecdbd6596cbcdd8eb28e7c365ecc4ec1ff1460f53fe813d3cc7f5b7f020000ffff0300504b030414000600080000002100a5d6&#13;&#10;a7e7c0000000360100000b0000005f72656c732f2e72656c73848fcf6ac3300c87ef85bd83d17d51d2c31825762fa590432fa37d00e1287f68221bdb1bebdb4f&#13;&#10;c7060abb0884a4eff7a93dfeae8bf9e194e720169aaa06c3e2433fcb68e1763dbf7f82c985a4a725085b787086a37bdbb55fbc50d1a33ccd311ba548b6309512&#13;&#10;0f88d94fbc52ae4264d1c910d24a45db3462247fa791715fd71f989e19e0364cd3f51652d73760ae8fa8c9ffb3c330cc9e4fc17faf2ce545046e37944c69e462&#13;&#10;a1a82fe353bd90a865aad41ed0b5b8f9d6fd010000ffff0300504b0304140006000800000021006b799616830000008a0000001c0000007468656d652f746865&#13;&#10;6d652f7468656d654d616e616765722e786d6c0ccc4d0ac3201040e17da17790d93763bb284562b2cbaebbf600439c1a41c7a0d29fdbd7e5e38337cedf14d59b&#13;&#10;4b0d592c9c070d8a65cd2e88b7f07c2ca71ba8da481cc52c6ce1c715e6e97818c9b48d13df49c873517d23d59085adb5dd20d6b52bd521ef2cdd5eb9246a3d8b&#13;&#10;4757e8d3f729e245eb2b260a0238fd010000ffff0300504b03041400060008000000210007b740aaca0600008f1a0000160000007468656d652f7468656d652f&#13;&#10;7468656d65312e786d6cec595b8bdb46147e2ff43f08bd3bbe49be2cf1065bb69336bb49889d943cceda636bb2238dd18c776342a0244f7d2914d2d28706fad6&#13;&#10;87521a68a0a12ffd310b1bdaf447f4cc489667ec71f6420aa1640d8b34face996fce39face48ba7aed51449d239c70c2e2965bbe52721d1c8fd898c4d3967b6f&#13;&#10;d82f345c870b148f1165316eb90bccdd6bbb9f7e7215ed881047d801fb98efa0961b0a31db2916f9088611bfc26638866b13964448c069322d8e13740c7e235a&#13;&#10;ac944ab5628448ec3a318ac0ededc9848cb033942edddda5f31e85d358703930a2c940bac68685c28e0fcb12c1173ca089738468cb8579c6ec78881f09d7a188&#13;&#10;0bb8d0724beacf2dee5e2da29dcc888a2db69a5d5ffd657699c1f8b0a2e64ca607f9a49ee77bb576ee5f01a8d8c4f5eabd5aaf96fb5300341ac14a532eba4fbf&#13;&#10;d3ec74fd0cab81d2438bef6ebd5b2d1b78cd7f758373db973f03af40a97f6f03dfef07104503af4029dedfc07b5ebd1278065e81527c6d035f2fb5bb5eddc02b&#13;&#10;5048497cb8812ef9b56ab05c6d0e99307ac30a6ffa5ebf5ec99caf50500d7975c929262c16db6a2d420f59d2078004522448ec88c50c4fd008aa3840941c24c4&#13;&#10;d923d3100a6f8662c661b85429f54b55f82f7f9e3a5211413b1869d6921730e11b43928fc34709998996fb39787535c8e9ebd7274f5f9d3cfdfde4d9b393a7bf&#13;&#10;66732b5786dd0d144f75bbb73f7df3cf8b2f9dbf7ffbf1edf36fd3a9d7f15cc7bff9e5ab377ffcf92ef7b0e255284ebf7bf9e6d5cbd3efbffeebe7e716efed04&#13;&#10;1de8f0218930776ee163e72e8b608116fef820b998c5304444b768c7538e622467b1f8ef89d040df5a208a2cb80e36e3783f01a9b101afcf1f1a8407613217c4&#13;&#10;e2f1661819c07dc6688725d628dc947369611ecee3a97df264aee3ee2274649b3b40b191e5de7c061a4b6c2e83101b34ef50140b34c531168ebcc60e31b6acee&#13;&#10;0121465cf7c928619c4d84f380381d44ac21199203a39a56463748047959d80842be8dd8ecdf773a8cda56ddc5472612ee0d442de487981a61bc8ee602453697&#13;&#10;4314513de07b48843692834532d2713d2e20d3534c99d31b63ce6d36b71358af96f49b2033f6b4efd345642213410e6d3ef710633ab2cb0e831045331b7640e2&#13;&#10;50c77ec60fa144917387091b7c9f9977883c873ca0786bbaef136ca4fb6c35b8070aab535a1588bc324f2cb9bc8e9951bf83059d20aca4061a80a1eb1189cf14&#13;&#10;f93579f7ff3b7907113dfde1856545ef47d2ed8e8d7c5c50ccdb09b1de4d37d6247c1b6e5db803968cc987afdb5d348fef60b855369bd747d9fe28dbeeff5eb6&#13;&#10;b7ddcfef5fac57fa0cd22db7ade9765d6ddea3ad7bf709a174201614ef71b57de7d095c67d189476eab915e7cf72b3100ee59d0c1318b86982948d9330f10511&#13;&#10;e1204433d8e3975de964ca33d753eecc1887adbf1ab6fa96783a8ff6d9387d642d97e5e3692a1e1c89d578c9cfc7e17143a4e85a7df51896bb576ca7ea717949&#13;&#10;40da5e8484369949a26a21515f0eca20a98773089a85845ad97b61d1b4b06848f7cb546db0006a795660dbe4c066abe5fa1e9880113c55218ac7324f69aa97d9&#13;&#10;55c97c9f99de164ca302600fb1ac8055a69b92ebd6e5c9d5a5a5768e4c1b24b4723349a8c8a81ec64334c65975cad1f3d0b868ae9bab941af46428d47c505a2b&#13;&#10;1af5c6bb585c36d760b7ae0d34d69582c6ce71cbad557d2899119ab5dc093cfac3613483dae172bb8be814de9f8d4492def097519659c24517f1300db8129d54&#13;&#10;0d222270e25012b55cb9fc3c0d34561aa2b8952b20081f2cb926c8ca87460e926e26194f267824f4b46b2332d2e929287caa15d6abcafcf26069c9e690ee4138&#13;&#10;3e760ee83cb98ba0c4fc7a5906704c38bc012aa7d11c1378a5990bd9aafed61a5326bbfa3b455543e938a2b310651d4517f314aea43ca7a3cef2186867d99a21&#13;&#10;a05a48b2467830950d560faad14df3ae9172d8da75cf369291d34473d5330d55915dd3ae62c60ccb36b016cbcb35798dd532c4a0697a874fa57b5d729b4bad5b&#13;&#10;db27e45d02029ec7cfd275cfd110346aabc90c6a92f1a60c4bcdce46cddeb15ce019d4ced32434d5af2dddaec52def11d6e960f0529d1fecd6ab168626cb7da5&#13;&#10;8ab4faf6a17f9e60070f413cbaf022784e0557a9848f0f09820dd140ed4952d9805be491c86e0d3872e60969b98f4b7edb0b2a7e502835fc5ec1ab7aa542c36f&#13;&#10;570b6ddfaf967b7eb9d4ed549e4063116154f6d3ef2e7d780d4517d9d71735bef105265abe69bb32625191a92f2c45455c7d812957b67f81710888cee35aa5df&#13;&#10;ac363bb542b3daee17bc6ea7516806b54ea15b0beadd7e37f01bcdfe13d7395260af5d0dbc5aaf51a89583a0e0d54a927ea359a87b954adbabb71b3daffd24db&#13;&#10;c6c0ca53f9c86201e155bc76ff050000ffff0300504b0304140006000800000021000dd1909fb60000001b010000270000007468656d652f7468656d652f5f72&#13;&#10;656c732f7468656d654d616e616765722e786d6c2e72656c73848f4d0ac2301484f78277086f6fd3ba109126dd88d0add40384e4350d363f2451eced0dae2c08&#13;&#10;2e8761be9969bb979dc9136332de3168aa1a083ae995719ac16db8ec8e4052164e89d93b64b060828e6f37ed1567914b284d262452282e3198720e274a939cd0&#13;&#10;8a54f980ae38a38f56e422a3a641c8bbd048f7757da0f19b017cc524bd62107bd5001996509affb3fd381a89672f1f165dfe514173d9850528a2c6cce0239baa&#13;&#10;4c04ca5bbabac4df000000ffff0300504b01022d0014000600080000002100e9de0fbfff0000001c0200001300000000000000000000000000000000005b436f&#13;&#10;6e74656e745f54797065735d2e786d6c504b01022d0014000600080000002100a5d6a7e7c0000000360100000b00000000000000000000000000300100005f72&#13;&#10;656c732f2e72656c73504b01022d00140006000800000021006b799616830000008a0000001c00000000000000000000000000190200007468656d652f746865&#13;&#10;6d652f7468656d654d616e616765722e786d6c504b01022d001400060008000000210007b740aaca0600008f1a00001600000000000000000000000000d60200&#13;&#10;007468656d652f7468656d652f7468656d65312e786d6c504b01022d00140006000800000021000dd1909fb60000001b01000027000000000000000000000000&#13;&#10;00d40900007468656d652f7468656d652f5f72656c732f7468656d654d616e616765722e786d6c2e72656c73504b050600000000050005005d010000cf0a00000000}&#13;&#10;{\*\colorschememapping 3c3f786d6c2076657273696f6e3d22312e302220656e636f64696e673d225554462d3822207374616e64616c6f6e653d22796573223f3e0d0a3c613a636c724d&#13;&#10;617020786d6c6e733a613d22687474703a2f2f736368656d61732e6f70656e786d6c666f726d6174732e6f72672f64726177696e676d6c2f323030362f6d6169&#13;&#10;6e22206267313d226c743122207478313d22646b3122206267323d226c743222207478323d22646b322220616363656e74313d22616363656e74312220616363&#13;&#10;656e74323d22616363656e74322220616363656e74333d22616363656e74332220616363656e74343d22616363656e74342220616363656e74353d22616363656e74352220616363656e74363d22616363656e74362220686c696e6b3d22686c696e6b2220666f6c486c696e6b3d22666f6c486c696e6b222f3e}&#13;&#10;{\*\latentstyles\lsdstimax371\lsdlockeddef0\lsdsemihiddendef0\lsdunhideuseddef0\lsdqformatdef0\lsdprioritydef0{\lsdlockedexcept \lsdqformat1 \lsdlocked0 Normal;\lsdqformat1 \lsdlocked0 heading 1;&#13;&#10;\lsdsemihidden1 \lsdunhideused1 \lsdqformat1 \lsdlocked0 heading 2;\lsdsemihidden1 \lsdunhideused1 \lsdqformat1 \lsdlocked0 heading 3;\lsdsemihidden1 \lsdunhideused1 \lsdqformat1 \lsdlocked0 heading 4;&#13;&#10;\lsdsemihidden1 \lsdunhideused1 \lsdqformat1 \lsdlocked0 heading 5;\lsdsemihidden1 \lsdunhideused1 \lsdqformat1 \lsdlocked0 heading 6;\lsdsemihidden1 \lsdunhideused1 \lsdqformat1 \lsdlocked0 heading 7;&#13;&#10;\lsdsemihidden1 \lsdunhideused1 \lsdqformat1 \lsdlocked0 heading 8;\lsdsemihidden1 \lsdunhideused1 \lsdqformat1 \lsdlocked0 heading 9;\lsdsemihidden1 \lsdunhideused1 \lsdqformat1 \lsdlocked0 caption;\lsdqformat1 \lsdlocked0 Title;&#13;&#10;\lsdqformat1 \lsdlocked0 Subtitle;\lsdqformat1 \lsdlocked0 Strong;\lsdqformat1 \lsdlocked0 Emphasis;\lsdsemihidden1 \lsdpriority99 \lsdlocked0 Placeholder Text;\lsdqformat1 \lsdpriority1 \lsdlocked0 No Spacing;\lsdpriority60 \lsdlocked0 Light Shading;&#13;&#10;\lsdpriority61 \lsdlocked0 Light List;\lsdpriority62 \lsdlocked0 Light Grid;\lsdpriority63 \lsdlocked0 Medium Shading 1;\lsdpriority64 \lsdlocked0 Medium Shading 2;\lsdpriority65 \lsdlocked0 Medium List 1;\lsdpriority66 \lsdlocked0 Medium List 2;&#13;&#10;\lsdpriority67 \lsdlocked0 Medium Grid 1;\lsdpriority68 \lsdlocked0 Medium Grid 2;\lsdpriority69 \lsdlocked0 Medium Grid 3;\lsdpriority70 \lsdlocked0 Dark List;\lsdpriority71 \lsdlocked0 Colorful Shading;\lsdpriority72 \lsdlocked0 Colorful List;&#13;&#10;\lsdpriority73 \lsdlocked0 Colorful Grid;\lsdpriority60 \lsdlocked0 Light Shading Accent 1;\lsdpriority61 \lsdlocked0 Light List Accent 1;\lsdpriority62 \lsdlocked0 Light Grid Accent 1;\lsdpriority63 \lsdlocked0 Medium Shading 1 Accent 1;&#13;&#10;\lsdpriority64 \lsdlocked0 Medium Shading 2 Accent 1;\lsdpriority65 \lsdlocked0 Medium List 1 Accent 1;\lsdsemihidden1 \lsdpriority99 \lsdlocked0 Revision;\lsdqformat1 \lsdpriority34 \lsdlocked0 List Paragraph;&#13;&#10;\lsdqformat1 \lsdpriority29 \lsdlocked0 Quote;\lsdqformat1 \lsdpriority30 \lsdlocked0 Intense Quote;\lsdpriority66 \lsdlocked0 Medium List 2 Accent 1;\lsdpriority67 \lsdlocked0 Medium Grid 1 Accent 1;\lsdpriority68 \lsdlocked0 Medium Grid 2 Accent 1;&#13;&#10;\lsdpriority69 \lsdlocked0 Medium Grid 3 Accent 1;\lsdpriority70 \lsdlocked0 Dark List Accent 1;\lsdpriority71 \lsdlocked0 Colorful Shading Accent 1;\lsdpriority72 \lsdlocked0 Colorful List Accent 1;\lsdpriority73 \lsdlocked0 Colorful Grid Accent 1;&#13;&#10;\lsdpriority60 \lsdlocked0 Light Shading Accent 2;\lsdpriority61 \lsdlocked0 Light List Accent 2;\lsdpriority62 \lsdlocked0 Light Grid Accent 2;\lsdpriority63 \lsdlocked0 Medium Shading 1 Accent 2;\lsdpriority64 \lsdlocked0 Medium Shading 2 Accent 2;&#13;&#10;\lsdpriority65 \lsdlocked0 Medium List 1 Accent 2;\lsdpriority66 \lsdlocked0 Medium List 2 Accent 2;\lsdpriority67 \lsdlocked0 Medium Grid 1 Accent 2;\lsdpriority68 \lsdlocked0 Medium Grid 2 Accent 2;\lsdpriority69 \lsdlocked0 Medium Grid 3 Accent 2;&#13;&#10;\lsdpriority70 \lsdlocked0 Dark List Accent 2;\lsdpriority71 \lsdlocked0 Colorful Shading Accent 2;\lsdpriority72 \lsdlocked0 Colorful List Accent 2;\lsdpriority73 \lsdlocked0 Colorful Grid Accent 2;\lsdpriority60 \lsdlocked0 Light Shading Accent 3;&#13;&#10;\lsdpriority61 \lsdlocked0 Light List Accent 3;\lsdpriority62 \lsdlocked0 Light Grid Accent 3;\lsdpriority63 \lsdlocked0 Medium Shading 1 Accent 3;\lsdpriority64 \lsdlocked0 Medium Shading 2 Accent 3;\lsdpriority65 \lsdlocked0 Medium List 1 Accent 3;&#13;&#10;\lsdpriority66 \lsdlocked0 Medium List 2 Accent 3;\lsdpriority67 \lsdlocked0 Medium Grid 1 Accent 3;\lsdpriority68 \lsdlocked0 Medium Grid 2 Accent 3;\lsdpriority69 \lsdlocked0 Medium Grid 3 Accent 3;\lsdpriority70 \lsdlocked0 Dark List Accent 3;&#13;&#10;\lsdpriority71 \lsdlocked0 Colorful Shading Accent 3;\lsdpriority72 \lsdlocked0 Colorful List Accent 3;\lsdpriority73 \lsdlocked0 Colorful Grid Accent 3;\lsdpriority60 \lsdlocked0 Light Shading Accent 4;\lsdpriority61 \lsdlocked0 Light List Accent 4;&#13;&#10;\lsdpriority62 \lsdlocked0 Light Grid Accent 4;\lsdpriority63 \lsdlocked0 Medium Shading 1 Accent 4;\lsdpriority64 \lsdlocked0 Medium Shading 2 Accent 4;\lsdpriority65 \lsdlocked0 Medium List 1 Accent 4;\lsdpriority66 \lsdlocked0 Medium List 2 Accent 4;&#13;&#10;\lsdpriority67 \lsdlocked0 Medium Grid 1 Accent 4;\lsdpriority68 \lsdlocked0 Medium Grid 2 Accent 4;\lsdpriority69 \lsdlocked0 Medium Grid 3 Accent 4;\lsdpriority70 \lsdlocked0 Dark List Accent 4;\lsdpriority71 \lsdlocked0 Colorful Shading Accent 4;&#13;&#10;\lsdpriority72 \lsdlocked0 Colorful List Accent 4;\lsdpriority73 \lsdlocked0 Colorful Grid Accent 4;\lsdpriority60 \lsdlocked0 Light Shading Accent 5;\lsdpriority61 \lsdlocked0 Light List Accent 5;\lsdpriority62 \lsdlocked0 Light Grid Accent 5;&#13;&#10;\lsdpriority63 \lsdlocked0 Medium Shading 1 Accent 5;\lsdpriority64 \lsdlocked0 Medium Shading 2 Accent 5;\lsdpriority65 \lsdlocked0 Medium List 1 Accent 5;\lsdpriority66 \lsdlocked0 Medium List 2 Accent 5;&#13;&#10;\lsdpriority67 \lsdlocked0 Medium Grid 1 Accent 5;\lsdpriority68 \lsdlocked0 Medium Grid 2 Accent 5;\lsdpriority69 \lsdlocked0 Medium Grid 3 Accent 5;\lsdpriority70 \lsdlocked0 Dark List Accent 5;\lsdpriority71 \lsdlocked0 Colorful Shading Accent 5;&#13;&#10;\lsdpriority72 \lsdlocked0 Colorful List Accent 5;\lsdpriority73 \lsdlocked0 Colorful Grid Accent 5;\lsdpriority60 \lsdlocked0 Light Shading Accent 6;\lsdpriority61 \lsdlocked0 Light List Accent 6;\lsdpriority62 \lsdlocked0 Light Grid Accent 6;&#13;&#10;\lsdpriority63 \lsdlocked0 Medium Shading 1 Accent 6;\lsdpriority64 \lsdlocked0 Medium Shading 2 Accent 6;\lsdpriority65 \lsdlocked0 Medium List 1 Accent 6;\lsdpriority66 \lsdlocked0 Medium List 2 Accent 6;&#13;&#10;\lsdpriority67 \lsdlocked0 Medium Grid 1 Accent 6;\lsdpriority68 \lsdlocked0 Medium Grid 2 Accent 6;\lsdpriority69 \lsdlocked0 Medium Grid 3 Accent 6;\lsdpriority70 \lsdlocked0 Dark List Accent 6;\lsdpriority71 \lsdlocked0 Colorful Shading Accent 6;&#13;&#10;\lsdpriority72 \lsdlocked0 Colorful List Accent 6;\lsdpriority73 \lsdlocked0 Colorful Grid Accent 6;\lsdqformat1 \lsdpriority19 \lsdlocked0 Subtle Emphasis;\lsdqformat1 \lsdpriority21 \lsdlocked0 Intense Emphasis;&#13;&#10;\lsdqformat1 \lsdpriority31 \lsdlocked0 Subtle Reference;\lsdqformat1 \lsdpriority32 \lsdlocked0 Intense Reference;\lsdqformat1 \lsdpriority33 \lsdlocked0 Book Title;\lsdsemihidden1 \lsdunhideused1 \lsdpriority37 \lsdlocked0 Bibliography;&#13;&#10;\lsdsemihidden1 \lsdunhideused1 \lsdqformat1 \lsdpriority39 \lsdlocked0 TOC Heading;\lsdpriority41 \lsdlocked0 Plain Table 1;\lsdpriority42 \lsdlocked0 Plain Table 2;\lsdpriority43 \lsdlocked0 Plain Table 3;\lsdpriority44 \lsdlocked0 Plain Table 4;&#13;&#10;\lsdpriority45 \lsdlocked0 Plain Table 5;\lsdpriority40 \lsdlocked0 Grid Table Light;\lsdpriority46 \lsdlocked0 Grid Table 1 Light;\lsdpriority47 \lsdlocked0 Grid Table 2;\lsdpriority48 \lsdlocked0 Grid Table 3;\lsdpriority49 \lsdlocked0 Grid Table 4;&#13;&#10;\lsdpriority50 \lsdlocked0 Grid Table 5 Dark;\lsdpriority51 \lsdlocked0 Grid Table 6 Colorful;\lsdpriority52 \lsdlocked0 Grid Table 7 Colorful;\lsdpriority46 \lsdlocked0 Grid Table 1 Light Accent 1;\lsdpriority47 \lsdlocked0 Grid Table 2 Accent 1;&#13;&#10;\lsdpriority48 \lsdlocked0 Grid Table 3 Accent 1;\lsdpriority49 \lsdlocked0 Grid Table 4 Accent 1;\lsdpriority50 \lsdlocked0 Grid Table 5 Dark Accent 1;\lsdpriority51 \lsdlocked0 Grid Table 6 Colorful Accent 1;&#13;&#10;\lsdpriority52 \lsdlocked0 Grid Table 7 Colorful Accent 1;\lsdpriority46 \lsdlocked0 Grid Table 1 Light Accent 2;\lsdpriority47 \lsdlocked0 Grid Table 2 Accent 2;\lsdpriority48 \lsdlocked0 Grid Table 3 Accent 2;&#13;&#10;\lsdpriority49 \lsdlocked0 Grid Table 4 Accent 2;\lsdpriority50 \lsdlocked0 Grid Table 5 Dark Accent 2;\lsdpriority51 \lsdlocked0 Grid Table 6 Colorful Accent 2;\lsdpriority52 \lsdlocked0 Grid Table 7 Colorful Accent 2;&#13;&#10;\lsdpriority46 \lsdlocked0 Grid Table 1 Light Accent 3;\lsdpriority47 \lsdlocked0 Grid Table 2 Accent 3;\lsdpriority48 \lsdlocked0 Grid Table 3 Accent 3;\lsdpriority49 \lsdlocked0 Grid Table 4 Accent 3;&#13;&#10;\lsdpriority50 \lsdlocked0 Grid Table 5 Dark Accent 3;\lsdpriority51 \lsdlocked0 Grid Table 6 Colorful Accent 3;\lsdpriority52 \lsdlocked0 Grid Table 7 Colorful Accent 3;\lsdpriority46 \lsdlocked0 Grid Table 1 Light Accent 4;&#13;&#10;\lsdpriority47 \lsdlocked0 Grid Table 2 Accent 4;\lsdpriority48 \lsdlocked0 Grid Table 3 Accent 4;\lsdpriority49 \lsdlocked0 Grid Table 4 Accent 4;\lsdpriority50 \lsdlocked0 Grid Table 5 Dark Accent 4;&#13;&#10;\lsdpriority51 \lsdlocked0 Grid Table 6 Colorful Accent 4;\lsdpriority52 \lsdlocked0 Grid Table 7 Colorful Accent 4;\lsdpriority46 \lsdlocked0 Grid Table 1 Light Accent 5;\lsdpriority47 \lsdlocked0 Grid Table 2 Accent 5;&#13;&#10;\lsdpriority48 \lsdlocked0 Grid Table 3 Accent 5;\lsdpriority49 \lsdlocked0 Grid Table 4 Accent 5;\lsdpriority50 \lsdlocked0 Grid Table 5 Dark Accent 5;\lsdpriority51 \lsdlocked0 Grid Table 6 Colorful Accent 5;&#13;&#10;\lsdpriority52 \lsdlocked0 Grid Table 7 Colorful Accent 5;\lsdpriority46 \lsdlocked0 Grid Table 1 Light Accent 6;\lsdpriority47 \lsdlocked0 Grid Table 2 Accent 6;\lsdpriority48 \lsdlocked0 Grid Table 3 Accent 6;&#13;&#10;\lsdpriority49 \lsdlocked0 Grid Table 4 Accent 6;\lsdpriority50 \lsdlocked0 Grid Table 5 Dark Accent 6;\lsdpriority51 \lsdlocked0 Grid Table 6 Colorful Accent 6;\lsdpriority52 \lsdlocked0 Grid Table 7 Colorful Accent 6;&#13;&#10;\lsdpriority46 \lsdlocked0 List Table 1 Light;\lsdpriority47 \lsdlocked0 List Table 2;\lsdpriority48 \lsdlocked0 List Table 3;\lsdpriority49 \lsdlocked0 List Table 4;\lsdpriority50 \lsdlocked0 List Table 5 Dark;&#13;&#10;\lsdpriority51 \lsdlocked0 List Table 6 Colorful;\lsdpriority52 \lsdlocked0 List Table 7 Colorful;\lsdpriority46 \lsdlocked0 List Table 1 Light Accent 1;\lsdpriority47 \lsdlocked0 List Table 2 Accent 1;\lsdpriority48 \lsdlocked0 List Table 3 Accent 1;&#13;&#10;\lsdpriority49 \lsdlocked0 List Table 4 Accent 1;\lsdpriority50 \lsdlocked0 List Table 5 Dark Accent 1;\lsdpriority51 \lsdlocked0 List Table 6 Colorful Accent 1;\lsdpriority52 \lsdlocked0 List Table 7 Colorful Accent 1;&#13;&#10;\lsdpriority46 \lsdlocked0 List Table 1 Light Accent 2;\lsdpriority47 \lsdlocked0 List Table 2 Accent 2;\lsdpriority48 \lsdlocked0 List Table 3 Accent 2;\lsdpriority49 \lsdlocked0 List Table 4 Accent 2;&#13;&#10;\lsdpriority50 \lsdlocked0 List Table 5 Dark Accent 2;\lsdpriority51 \lsdlocked0 List Table 6 Colorful Accent 2;\lsdpriority52 \lsdlocked0 List Table 7 Colorful Accent 2;\lsdpriority46 \lsdlocked0 List Table 1 Light Accent 3;&#13;&#10;\lsdpriority47 \lsdlocked0 List Table 2 Accent 3;\lsdpriority48 \lsdlocked0 List Table 3 Accent 3;\lsdpriority49 \lsdlocked0 List Table 4 Accent 3;\lsdpriority50 \lsdlocked0 List Table 5 Dark Accent 3;&#13;&#10;\lsdpriority51 \lsdlocked0 List Table 6 Colorful Accent 3;\lsdpriority52 \lsdlocked0 List Table 7 Colorful Accent 3;\lsdpriority46 \lsdlocked0 List Table 1 Light Accent 4;\lsdpriority47 \lsdlocked0 List Table 2 Accent 4;&#13;&#10;\lsdpriority48 \lsdlocked0 List Table 3 Accent 4;\lsdpriority49 \lsdlocked0 List Table 4 Accent 4;\lsdpriority50 \lsdlocked0 List Table 5 Dark Accent 4;\lsdpriority51 \lsdlocked0 List Table 6 Colorful Accent 4;&#13;&#10;\lsdpriority52 \lsdlocked0 List Table 7 Colorful Accent 4;\lsdpriority46 \lsdlocked0 List Table 1 Light Accent 5;\lsdpriority47 \lsdlocked0 List Table 2 Accent 5;\lsdpriority48 \lsdlocked0 List Table 3 Accent 5;&#13;&#10;\lsdpriority49 \lsdlocked0 List Table 4 Accent 5;\lsdpriority50 \lsdlocked0 List Table 5 Dark Accent 5;\lsdpriority51 \lsdlocked0 List Table 6 Colorful Accent 5;\lsdpriority52 \lsdlocked0 List Table 7 Colorful Accent 5;&#13;&#10;\lsdpriority46 \lsdlocked0 List Table 1 Light Accent 6;\lsdpriority47 \lsdlocked0 List Table 2 Accent 6;\lsdpriority48 \lsdlocked0 List Table 3 Accent 6;\lsdpriority49 \lsdlocked0 List Table 4 Accent 6;&#13;&#10;\lsdpriority50 \lsdlocked0 List Table 5 Dark Accent 6;\lsdpriority51 \lsdlocked0 List Table 6 Colorful Accent 6;\lsdpriority52 \lsdlocked0 List Table 7 Colorful Accent 6;}}{\*\datastore 010500000200000018000000&#13;&#10;4d73786d6c322e534158584d4c5265616465722e362e3000000000000000000000060000&#13;&#10;d0cf11e0a1b11ae1000000000000000000000000000000003e000300feff090006000000000000000000000001000000010000000000000000100000feffffff00000000feffffff0000000000000000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dfffffffeffffffffffffffffffffffffffffffffffffffffffffffffffffffffffffffffffffffffffffffffffffffffffffffffffffffffffffffffffffffffffffffffffffff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fffffffffffffffffffffffffffffffffffffffffffffffffffffffffffffffffffffffffffffffffffffffffffffffffffffffffffffffffffffffffffffffffffffffffffffffffffffffffffffffffffffffffffffffffffffffffffffffffffffffffffffffffffffffffffffffffffffffffff&#13;&#10;ffffffffffffffffffffffffffffffff52006f006f007400200045006e00740072007900000000000000000000000000000000000000000000000000000000000000000000000000000000000000000016000500ffffffffffffffffffffffff0c6ad98892f1d411a65f0040963251e5000000000000000000000000b08b&#13;&#10;de08f45ed301feffffff00000000000000000000000000000000000000000000000000000000000000000000000000000000000000000000000000000000000000000000000000000000000000000000000000000000ffffffffffffffffffffffff00000000000000000000000000000000000000000000000000000000&#13;&#10;00000000000000000000000000000000000000000000000000000000000000000000000000000000000000000000000000000000000000000000000000000000000000000000000000000000000000000000000000000000ffffffffffffffffffffffff0000000000000000000000000000000000000000000000000000&#13;&#10;000000000000000000000000000000000000000000000000000000000000000000000000000000000000000000000000000000000000000000000000000000000000000000000000000000000000000000000000000000000000ffffffffffffffffffffffff000000000000000000000000000000000000000000000000&#13;&#10;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D7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32B"/>
    <w:rPr>
      <w:rFonts w:ascii="Tahoma" w:hAnsi="Tahoma" w:cs="Tahoma"/>
      <w:sz w:val="16"/>
      <w:szCs w:val="16"/>
    </w:rPr>
  </w:style>
  <w:style w:type="character" w:customStyle="1" w:styleId="BalloonTextChar0">
    <w:name w:val="Balloon Text Char_0"/>
    <w:basedOn w:val="DefaultParagraphFont"/>
    <w:link w:val="BalloonText0"/>
    <w:rsid w:val="00D7732B"/>
    <w:rPr>
      <w:rFonts w:ascii="Tahoma" w:hAnsi="Tahoma" w:cs="Tahoma"/>
      <w:sz w:val="16"/>
      <w:szCs w:val="16"/>
    </w:rPr>
  </w:style>
  <w:style w:type="paragraph" w:customStyle="1" w:styleId="BalloonText0">
    <w:name w:val="Balloon Text_0"/>
    <w:basedOn w:val="Normal"/>
    <w:link w:val="BalloonTextChar0"/>
    <w:rsid w:val="00D7732B"/>
    <w:rPr>
      <w:rFonts w:ascii="Tahoma" w:hAnsi="Tahoma" w:cs="Tahoma"/>
      <w:sz w:val="16"/>
      <w:szCs w:val="16"/>
    </w:rPr>
  </w:style>
  <w:style w:type="character" w:customStyle="1" w:styleId="Bold">
    <w:name w:val="Bold"/>
    <w:uiPriority w:val="1"/>
    <w:qFormat/>
    <w:rsid w:val="001F3CAD"/>
    <w:rPr>
      <w:rFonts w:ascii="Times New Roman" w:hAnsi="Times New Roman"/>
      <w:b/>
      <w:sz w:val="24"/>
      <w:lang w:val="fr-FR"/>
    </w:rPr>
  </w:style>
  <w:style w:type="character" w:customStyle="1" w:styleId="BoldItalic">
    <w:name w:val="BoldItalic"/>
    <w:uiPriority w:val="1"/>
    <w:qFormat/>
    <w:rsid w:val="00BF36FD"/>
    <w:rPr>
      <w:rFonts w:ascii="Times New Roman" w:hAnsi="Times New Roman"/>
      <w:b/>
      <w:i/>
      <w:sz w:val="24"/>
    </w:rPr>
  </w:style>
  <w:style w:type="paragraph" w:customStyle="1" w:styleId="Center">
    <w:name w:val="Center"/>
    <w:pPr>
      <w:spacing w:after="120"/>
      <w:jc w:val="center"/>
    </w:pPr>
    <w:rPr>
      <w:color w:val="000000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  <w:color w:val="000000"/>
      <w:sz w:val="24"/>
      <w:szCs w:val="24"/>
    </w:rPr>
  </w:style>
  <w:style w:type="paragraph" w:customStyle="1" w:styleId="Cover24">
    <w:name w:val="Cover24"/>
    <w:pPr>
      <w:spacing w:after="480"/>
      <w:ind w:left="1418"/>
    </w:pPr>
    <w:rPr>
      <w:color w:val="000000"/>
      <w:sz w:val="24"/>
      <w:szCs w:val="24"/>
    </w:rPr>
  </w:style>
  <w:style w:type="paragraph" w:customStyle="1" w:styleId="CoverBold">
    <w:name w:val="CoverBold"/>
    <w:pPr>
      <w:ind w:left="1418"/>
    </w:pPr>
    <w:rPr>
      <w:b/>
      <w:color w:val="000000"/>
      <w:sz w:val="24"/>
      <w:szCs w:val="24"/>
    </w:rPr>
  </w:style>
  <w:style w:type="paragraph" w:customStyle="1" w:styleId="CoverNormal">
    <w:name w:val="CoverNormal"/>
    <w:basedOn w:val="Normal"/>
    <w:pPr>
      <w:ind w:left="1418"/>
    </w:pPr>
    <w:rPr>
      <w:color w:val="000000"/>
      <w:sz w:val="24"/>
      <w:szCs w:val="24"/>
    </w:rPr>
  </w:style>
  <w:style w:type="paragraph" w:customStyle="1" w:styleId="CrossRef">
    <w:name w:val="CrossRef"/>
    <w:pPr>
      <w:spacing w:before="240"/>
      <w:jc w:val="center"/>
    </w:pPr>
    <w:rPr>
      <w:i/>
      <w:color w:val="000000"/>
      <w:sz w:val="24"/>
    </w:rPr>
  </w:style>
  <w:style w:type="character" w:customStyle="1" w:styleId="DefaultParagraphFont0">
    <w:name w:val="Default Paragraph Font_0"/>
    <w:next w:val="DefaultParagraphFont"/>
    <w:uiPriority w:val="1"/>
    <w:semiHidden/>
    <w:unhideWhenUsed/>
  </w:style>
  <w:style w:type="paragraph" w:customStyle="1" w:styleId="EPLogo">
    <w:name w:val="EPLogo"/>
    <w:basedOn w:val="Normal"/>
    <w:qFormat/>
    <w:rsid w:val="00D7732B"/>
    <w:pPr>
      <w:widowControl w:val="0"/>
      <w:jc w:val="right"/>
    </w:pPr>
    <w:rPr>
      <w:sz w:val="24"/>
      <w:szCs w:val="20"/>
    </w:rPr>
  </w:style>
  <w:style w:type="paragraph" w:customStyle="1" w:styleId="EPName">
    <w:name w:val="EPName"/>
    <w:basedOn w:val="Normal"/>
    <w:rsid w:val="00D7732B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D7732B"/>
    <w:pPr>
      <w:widowControl w:val="0"/>
      <w:spacing w:after="80"/>
    </w:pPr>
    <w:rPr>
      <w:rFonts w:ascii="Arial" w:hAnsi="Arial" w:cs="Arial"/>
      <w:sz w:val="20"/>
      <w:szCs w:val="22"/>
      <w:lang w:val="fr-FR"/>
    </w:rPr>
  </w:style>
  <w:style w:type="character" w:customStyle="1" w:styleId="FootNoteMarker">
    <w:name w:val="FootNoteMarker"/>
    <w:rPr>
      <w:color w:val="000000"/>
      <w:vertAlign w:val="superscript"/>
    </w:rPr>
  </w:style>
  <w:style w:type="paragraph" w:styleId="Footer">
    <w:name w:val="footer"/>
    <w:rsid w:val="00EC60CE"/>
    <w:pPr>
      <w:tabs>
        <w:tab w:val="center" w:pos="4536"/>
        <w:tab w:val="right" w:pos="9072"/>
      </w:tabs>
      <w:spacing w:before="0" w:after="0"/>
    </w:pPr>
    <w:rPr>
      <w:color w:val="000000"/>
      <w:sz w:val="22"/>
      <w:szCs w:val="24"/>
    </w:rPr>
  </w:style>
  <w:style w:type="paragraph" w:customStyle="1" w:styleId="Footer1">
    <w:name w:val="Footer1"/>
    <w:pPr>
      <w:tabs>
        <w:tab w:val="center" w:pos="4536"/>
        <w:tab w:val="right" w:pos="9072"/>
      </w:tabs>
      <w:spacing w:before="240" w:after="240" w:line="220" w:lineRule="auto"/>
    </w:pPr>
    <w:rPr>
      <w:color w:val="000000"/>
      <w:sz w:val="22"/>
      <w:szCs w:val="24"/>
    </w:rPr>
  </w:style>
  <w:style w:type="paragraph" w:customStyle="1" w:styleId="Footer2">
    <w:name w:val="Footer2"/>
    <w:rsid w:val="00A801F5"/>
    <w:pPr>
      <w:tabs>
        <w:tab w:val="center" w:pos="4535"/>
        <w:tab w:val="right" w:pos="9923"/>
      </w:tabs>
      <w:spacing w:after="240"/>
      <w:ind w:left="-851"/>
    </w:pPr>
    <w:rPr>
      <w:rFonts w:ascii="Arial" w:eastAsia="Arial" w:hAnsi="Arial" w:cs="Arial"/>
      <w:b/>
      <w:color w:val="000000"/>
      <w:sz w:val="48"/>
      <w:szCs w:val="24"/>
    </w:rPr>
  </w:style>
  <w:style w:type="paragraph" w:customStyle="1" w:styleId="Footer2Landscape">
    <w:name w:val="Footer2Landscape"/>
    <w:qFormat/>
    <w:rsid w:val="00126EF9"/>
    <w:pPr>
      <w:tabs>
        <w:tab w:val="center" w:pos="4535"/>
        <w:tab w:val="center" w:pos="6804"/>
        <w:tab w:val="clear" w:pos="9923"/>
        <w:tab w:val="center" w:pos="13608"/>
      </w:tabs>
      <w:spacing w:after="240"/>
      <w:ind w:left="-851"/>
    </w:pPr>
    <w:rPr>
      <w:rFonts w:ascii="Arial" w:eastAsia="Arial" w:hAnsi="Arial" w:cs="Arial"/>
      <w:b/>
      <w:color w:val="000000"/>
      <w:sz w:val="48"/>
      <w:szCs w:val="24"/>
    </w:rPr>
  </w:style>
  <w:style w:type="character" w:customStyle="1" w:styleId="Footer2Middle">
    <w:name w:val="Footer2Middle"/>
    <w:rPr>
      <w:rFonts w:ascii="Arial" w:eastAsia="Arial" w:hAnsi="Arial" w:cs="Arial"/>
      <w:b w:val="0"/>
      <w:i/>
      <w:color w:val="C0C0C0"/>
      <w:sz w:val="22"/>
    </w:rPr>
  </w:style>
  <w:style w:type="paragraph" w:customStyle="1" w:styleId="FooterLandscape">
    <w:name w:val="FooterLandscape"/>
    <w:qFormat/>
    <w:rsid w:val="00C75EBA"/>
    <w:pPr>
      <w:tabs>
        <w:tab w:val="clear" w:pos="4536"/>
        <w:tab w:val="center" w:pos="6804"/>
        <w:tab w:val="clear" w:pos="9072"/>
        <w:tab w:val="center" w:pos="13608"/>
      </w:tabs>
      <w:spacing w:before="0" w:after="0"/>
    </w:pPr>
    <w:rPr>
      <w:color w:val="000000"/>
      <w:sz w:val="22"/>
      <w:szCs w:val="24"/>
    </w:rPr>
  </w:style>
  <w:style w:type="character" w:customStyle="1" w:styleId="HideTWBExt">
    <w:name w:val="HideTWBExt"/>
    <w:basedOn w:val="DefaultParagraphFont"/>
    <w:rPr>
      <w:rFonts w:ascii="Arial" w:eastAsia="Arial" w:hAnsi="Arial" w:cs="Arial"/>
      <w:b w:val="0"/>
      <w:i w:val="0"/>
      <w:caps w:val="0"/>
      <w:vanish/>
      <w:color w:val="000080"/>
      <w:sz w:val="20"/>
    </w:rPr>
  </w:style>
  <w:style w:type="character" w:customStyle="1" w:styleId="HideTWBInt">
    <w:name w:val="HideTWBInt"/>
    <w:basedOn w:val="DefaultParagraphFont"/>
    <w:rPr>
      <w:b w:val="0"/>
      <w:caps w:val="0"/>
      <w:vanish/>
      <w:color w:val="808080"/>
      <w:sz w:val="24"/>
    </w:rPr>
  </w:style>
  <w:style w:type="character" w:customStyle="1" w:styleId="Italic">
    <w:name w:val="Italic"/>
    <w:uiPriority w:val="1"/>
    <w:qFormat/>
    <w:rsid w:val="004576CA"/>
    <w:rPr>
      <w:rFonts w:ascii="Times New Roman" w:hAnsi="Times New Roman"/>
      <w:i/>
      <w:sz w:val="24"/>
    </w:rPr>
  </w:style>
  <w:style w:type="paragraph" w:customStyle="1" w:styleId="JustificationTitle">
    <w:name w:val="JustificationTitle"/>
    <w:pPr>
      <w:keepNext/>
      <w:spacing w:before="240" w:after="240"/>
      <w:jc w:val="center"/>
    </w:pPr>
    <w:rPr>
      <w:i/>
      <w:color w:val="000000"/>
      <w:sz w:val="24"/>
      <w:szCs w:val="24"/>
    </w:rPr>
  </w:style>
  <w:style w:type="paragraph" w:customStyle="1" w:styleId="LineBottom">
    <w:name w:val="LineBottom"/>
    <w:basedOn w:val="Normal"/>
    <w:next w:val="Normal"/>
    <w:pPr>
      <w:pBdr>
        <w:bottom w:val="single" w:sz="4" w:space="0" w:color="auto"/>
      </w:pBdr>
      <w:spacing w:after="960"/>
      <w:jc w:val="center"/>
    </w:pPr>
    <w:rPr>
      <w:rFonts w:ascii="Arial" w:eastAsia="Arial" w:hAnsi="Arial" w:cs="Arial"/>
      <w:color w:val="000000"/>
      <w:sz w:val="16"/>
      <w:szCs w:val="24"/>
    </w:rPr>
  </w:style>
  <w:style w:type="paragraph" w:customStyle="1" w:styleId="LineTop">
    <w:name w:val="LineTop"/>
    <w:basedOn w:val="Normal"/>
    <w:pPr>
      <w:pBdr>
        <w:top w:val="single" w:sz="4" w:space="0" w:color="auto"/>
      </w:pBdr>
      <w:jc w:val="center"/>
    </w:pPr>
    <w:rPr>
      <w:rFonts w:ascii="Arial" w:eastAsia="Arial" w:hAnsi="Arial" w:cs="Arial"/>
      <w:color w:val="000000"/>
      <w:sz w:val="16"/>
      <w:szCs w:val="24"/>
    </w:rPr>
  </w:style>
  <w:style w:type="paragraph" w:customStyle="1" w:styleId="NRAMS">
    <w:name w:val="NRAMS"/>
    <w:pPr>
      <w:spacing w:after="480" w:line="460" w:lineRule="auto"/>
      <w:ind w:left="1418"/>
    </w:pPr>
    <w:rPr>
      <w:rFonts w:ascii="Arial" w:eastAsia="Arial" w:hAnsi="Arial" w:cs="Arial"/>
      <w:b/>
      <w:color w:val="000000"/>
      <w:sz w:val="46"/>
      <w:szCs w:val="24"/>
    </w:rPr>
  </w:style>
  <w:style w:type="numbering" w:customStyle="1" w:styleId="NoList0">
    <w:name w:val="No List_0"/>
    <w:next w:val="NoList"/>
    <w:uiPriority w:val="99"/>
    <w:semiHidden/>
    <w:unhideWhenUsed/>
  </w:style>
  <w:style w:type="paragraph" w:customStyle="1" w:styleId="Normal0">
    <w:name w:val="Normal_0"/>
    <w:next w:val="Normal"/>
    <w:qFormat/>
    <w:rsid w:val="00EC60CE"/>
    <w:rPr>
      <w:sz w:val="24"/>
      <w:szCs w:val="24"/>
    </w:rPr>
  </w:style>
  <w:style w:type="paragraph" w:customStyle="1" w:styleId="Normal12">
    <w:name w:val="Normal12"/>
    <w:basedOn w:val="Normal"/>
    <w:pPr>
      <w:spacing w:after="240"/>
    </w:pPr>
    <w:rPr>
      <w:color w:val="000000"/>
      <w:sz w:val="24"/>
      <w:szCs w:val="24"/>
    </w:rPr>
  </w:style>
  <w:style w:type="paragraph" w:customStyle="1" w:styleId="Normal12Italic">
    <w:name w:val="Normal12Italic"/>
    <w:pPr>
      <w:spacing w:after="240"/>
    </w:pPr>
    <w:rPr>
      <w:i/>
      <w:color w:val="000000"/>
      <w:sz w:val="24"/>
      <w:szCs w:val="24"/>
    </w:rPr>
  </w:style>
  <w:style w:type="paragraph" w:customStyle="1" w:styleId="Normal12a12b">
    <w:name w:val="Normal12a12b"/>
    <w:basedOn w:val="Normal"/>
    <w:pPr>
      <w:spacing w:before="240" w:after="240"/>
    </w:pPr>
    <w:rPr>
      <w:color w:val="000000"/>
      <w:sz w:val="24"/>
      <w:szCs w:val="24"/>
    </w:rPr>
  </w:style>
  <w:style w:type="paragraph" w:customStyle="1" w:styleId="Normal24">
    <w:name w:val="Normal24"/>
    <w:basedOn w:val="Normal"/>
    <w:pPr>
      <w:spacing w:after="480"/>
    </w:pPr>
    <w:rPr>
      <w:color w:val="000000"/>
      <w:sz w:val="24"/>
      <w:szCs w:val="24"/>
    </w:rPr>
  </w:style>
  <w:style w:type="paragraph" w:customStyle="1" w:styleId="Normal6">
    <w:name w:val="Normal6"/>
    <w:basedOn w:val="Normal"/>
    <w:pPr>
      <w:spacing w:after="120"/>
    </w:pPr>
    <w:rPr>
      <w:color w:val="000000"/>
      <w:sz w:val="24"/>
      <w:szCs w:val="24"/>
    </w:rPr>
  </w:style>
  <w:style w:type="paragraph" w:customStyle="1" w:styleId="Normal6BoldItalic">
    <w:name w:val="Normal6 + Bold Italic"/>
    <w:pPr>
      <w:spacing w:after="120"/>
    </w:pPr>
    <w:rPr>
      <w:b/>
      <w:i/>
      <w:color w:val="000000"/>
      <w:sz w:val="24"/>
      <w:szCs w:val="24"/>
    </w:rPr>
  </w:style>
  <w:style w:type="paragraph" w:customStyle="1" w:styleId="Normal6Center">
    <w:name w:val="Normal6 + Center"/>
    <w:qFormat/>
    <w:rsid w:val="00276AA4"/>
    <w:pPr>
      <w:spacing w:after="120"/>
      <w:jc w:val="center"/>
    </w:pPr>
    <w:rPr>
      <w:b/>
      <w:i/>
      <w:color w:val="000000"/>
      <w:sz w:val="24"/>
      <w:szCs w:val="24"/>
    </w:rPr>
  </w:style>
  <w:style w:type="paragraph" w:customStyle="1" w:styleId="Normal6Italic">
    <w:name w:val="Normal6Italic"/>
    <w:basedOn w:val="Normal"/>
    <w:pPr>
      <w:spacing w:after="120"/>
    </w:pPr>
    <w:rPr>
      <w:i/>
      <w:color w:val="000000"/>
      <w:sz w:val="24"/>
      <w:szCs w:val="24"/>
    </w:rPr>
  </w:style>
  <w:style w:type="character" w:customStyle="1" w:styleId="Normal6RomanBI">
    <w:name w:val="Normal6RomanBI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NormalBold">
    <w:name w:val="NormalBold"/>
    <w:basedOn w:val="Normal"/>
    <w:rPr>
      <w:b/>
      <w:color w:val="000000"/>
      <w:sz w:val="24"/>
      <w:szCs w:val="24"/>
    </w:rPr>
  </w:style>
  <w:style w:type="paragraph" w:customStyle="1" w:styleId="NormalBold12b">
    <w:name w:val="NormalBold12b"/>
    <w:basedOn w:val="Normal"/>
    <w:pPr>
      <w:spacing w:before="240"/>
    </w:pPr>
    <w:rPr>
      <w:b/>
      <w:color w:val="000000"/>
      <w:sz w:val="24"/>
      <w:szCs w:val="24"/>
    </w:rPr>
  </w:style>
  <w:style w:type="paragraph" w:customStyle="1" w:styleId="Olang">
    <w:name w:val="Olang"/>
    <w:pPr>
      <w:spacing w:before="240" w:after="240"/>
      <w:jc w:val="right"/>
    </w:pPr>
    <w:rPr>
      <w:color w:val="000000"/>
      <w:sz w:val="24"/>
      <w:szCs w:val="24"/>
    </w:rPr>
  </w:style>
  <w:style w:type="paragraph" w:customStyle="1" w:styleId="RefPE">
    <w:name w:val="RefPE"/>
    <w:basedOn w:val="Normal"/>
    <w:rsid w:val="00A92086"/>
    <w:pPr>
      <w:spacing w:after="240"/>
      <w:jc w:val="right"/>
    </w:pPr>
    <w:rPr>
      <w:rFonts w:ascii="Arial" w:hAnsi="Arial"/>
      <w:b/>
      <w:sz w:val="24"/>
      <w:szCs w:val="24"/>
    </w:rPr>
  </w:style>
  <w:style w:type="paragraph" w:customStyle="1" w:styleId="RefProc">
    <w:name w:val="RefProc"/>
    <w:basedOn w:val="Normal"/>
    <w:rsid w:val="00905F0C"/>
    <w:pPr>
      <w:spacing w:after="240"/>
      <w:jc w:val="right"/>
    </w:pPr>
    <w:rPr>
      <w:rFonts w:ascii="Arial Bold" w:eastAsia="Arial" w:hAnsi="Arial Bold" w:cs="Arial"/>
      <w:b/>
      <w:color w:val="000000"/>
      <w:sz w:val="22"/>
      <w:szCs w:val="24"/>
    </w:rPr>
  </w:style>
  <w:style w:type="paragraph" w:customStyle="1" w:styleId="StyleNormalBoldNotBold">
    <w:name w:val="Style NormalBold + Not Bold"/>
    <w:rPr>
      <w:b w:val="0"/>
      <w:color w:val="000000"/>
      <w:sz w:val="24"/>
      <w:szCs w:val="24"/>
    </w:rPr>
  </w:style>
  <w:style w:type="character" w:customStyle="1" w:styleId="Sub">
    <w:name w:val="Sub"/>
    <w:rPr>
      <w:color w:val="000000"/>
      <w:vertAlign w:val="subscript"/>
    </w:rPr>
  </w:style>
  <w:style w:type="character" w:customStyle="1" w:styleId="SubBold">
    <w:name w:val="SubBold"/>
    <w:rPr>
      <w:b/>
      <w:color w:val="000000"/>
      <w:vertAlign w:val="subscript"/>
    </w:rPr>
  </w:style>
  <w:style w:type="character" w:customStyle="1" w:styleId="SubBoldItalic">
    <w:name w:val="SubBoldItalic"/>
    <w:rPr>
      <w:b/>
      <w:i/>
      <w:color w:val="000000"/>
      <w:vertAlign w:val="subscript"/>
    </w:rPr>
  </w:style>
  <w:style w:type="character" w:customStyle="1" w:styleId="SubItalic">
    <w:name w:val="SubItalic"/>
    <w:rPr>
      <w:i/>
      <w:color w:val="000000"/>
      <w:vertAlign w:val="subscript"/>
    </w:rPr>
  </w:style>
  <w:style w:type="character" w:customStyle="1" w:styleId="Sup">
    <w:name w:val="Sup"/>
    <w:rPr>
      <w:color w:val="000000"/>
      <w:vertAlign w:val="superscript"/>
    </w:rPr>
  </w:style>
  <w:style w:type="character" w:customStyle="1" w:styleId="SupBold">
    <w:name w:val="SupBold"/>
    <w:rPr>
      <w:b/>
      <w:color w:val="000000"/>
      <w:vertAlign w:val="superscript"/>
    </w:rPr>
  </w:style>
  <w:style w:type="character" w:customStyle="1" w:styleId="SupBoldItalic">
    <w:name w:val="SupBoldItalic"/>
    <w:rPr>
      <w:b/>
      <w:i/>
      <w:color w:val="000000"/>
      <w:vertAlign w:val="superscript"/>
    </w:rPr>
  </w:style>
  <w:style w:type="character" w:customStyle="1" w:styleId="SupItalic">
    <w:name w:val="SupItalic"/>
    <w:rPr>
      <w:i/>
      <w:color w:val="000000"/>
      <w:vertAlign w:val="superscript"/>
    </w:rPr>
  </w:style>
  <w:style w:type="table" w:customStyle="1" w:styleId="TableNormal0">
    <w:name w:val="Table Normal_0"/>
    <w:next w:val="Table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peDocAM">
    <w:name w:val="TypeDocAM"/>
    <w:basedOn w:val="Normal"/>
    <w:pPr>
      <w:ind w:left="1418"/>
    </w:pPr>
    <w:rPr>
      <w:rFonts w:ascii="Arial" w:eastAsia="Arial" w:hAnsi="Arial" w:cs="Arial"/>
      <w:b/>
      <w:color w:val="000000"/>
      <w:sz w:val="48"/>
      <w:szCs w:val="24"/>
    </w:rPr>
  </w:style>
  <w:style w:type="character" w:customStyle="1" w:styleId="Underline">
    <w:name w:val="Underline"/>
    <w:uiPriority w:val="1"/>
    <w:qFormat/>
    <w:rsid w:val="001F3CAD"/>
    <w:rPr>
      <w:rFonts w:ascii="Times New Roman" w:hAnsi="Times New Roman"/>
      <w:sz w:val="24"/>
      <w:u w:val="single"/>
    </w:rPr>
  </w:style>
  <w:style w:type="paragraph" w:customStyle="1" w:styleId="ZCommittee">
    <w:name w:val="ZCommittee"/>
    <w:basedOn w:val="Normal"/>
    <w:next w:val="Normal"/>
    <w:pPr>
      <w:spacing w:line="220" w:lineRule="auto"/>
      <w:jc w:val="center"/>
    </w:pPr>
    <w:rPr>
      <w:rFonts w:ascii="Arial" w:eastAsia="Arial" w:hAnsi="Arial" w:cs="Arial"/>
      <w:i/>
      <w:color w:val="000000"/>
      <w:sz w:val="22"/>
      <w:szCs w:val="24"/>
    </w:rPr>
  </w:style>
  <w:style w:type="paragraph" w:customStyle="1" w:styleId="ZDate">
    <w:name w:val="ZDate"/>
    <w:basedOn w:val="Normal"/>
    <w:pPr>
      <w:spacing w:after="168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1171300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UID">
    <vt:lpwstr>20190108-120036-198563-425399</vt:lpwstr>
  </property>
  <property fmtid="{D5CDD505-2E9C-101B-9397-08002B2CF9AE}" pid="7" name="FooterPath">
    <vt:lpwstr>AM\1171300CS.docx</vt:lpwstr>
  </property>
  <property fmtid="{D5CDD505-2E9C-101B-9397-08002B2CF9AE}" pid="8" name="PE Number">
    <vt:lpwstr>631.900</vt:lpwstr>
  </property>
  <property fmtid="{D5CDD505-2E9C-101B-9397-08002B2CF9AE}" pid="9" name="UID">
    <vt:lpwstr>eu.europa.europarl-DIN1-2018-0000147752_01.01-cs-01.00_text-xml</vt:lpwstr>
  </property>
</Properties>
</file>