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2024/2080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{08/11/2024}</w:t>
      </w:r>
      <w:r>
        <w:t>8.11.2024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88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David McAllister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(PE765.084v01-00)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Provádění společné zahraniční a bezpečnostní politiky – výroční zpráva za rok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(2024/2080(INI))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David McAllister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4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politické směry předsedkyně Komise na období 2024–2029,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4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prohlášení ze summitu EU-CELAC 2023 přijaté dne 18. července 2023,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5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usnesení ze dne 26. listopadu 2020 o rostoucím napětí ve Varoši po nezákonných a otřesných aktivitách Turecka a o naléhavé potřebě je účinně řešit,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5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své usnesení ze dne 15. dubna 2015 o stém výročí genocidy Arménů,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5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společný postoj Rady 2008/944/SZBP o vývozu zbraní, které mohou být použity k vnitřní represi a agresi vůči třetím zemím,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6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zprávu o konečných závěrech Konference o budoucnosti Evropy ze dne 9. května 2022,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své usnesení ze dne 24. října 2024 o situaci v Ázerbájdžánu, porušování lidských práv a mezinárodního práva a vztazích s Arménií a na své usnesení ze dne 5. října 2023 o situaci v Náhorním Karabachu po útoku Ázerbájdžánu a přetrvávajících hrozbách vůči Arménii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rozhodnutí Rady (SZBP) 2019/797 ze dne 17. května 2019, o omezujících opatřeních proti kybernetickým útokům ohrožujícím Unii nebo její členské státy,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Úř. věst. L 129I, 17.5.2019, s.</w:t>
            </w:r>
            <w:r>
              <w:t xml:space="preserve"> </w:t>
            </w:r>
            <w:r>
              <w:rPr>
                <w:b/>
                <w:i/>
              </w:rPr>
              <w:t>13–19, ELI:</w:t>
            </w:r>
            <w:r>
              <w:t xml:space="preserve"> </w:t>
            </w:r>
            <w:r>
              <w:rPr>
                <w:b/>
                <w:i/>
              </w:rPr>
              <w:t>http://data.europa.eu/eli/dec/2019/797/oj.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Vasile Dîncu, Marco Tarquinio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své usnesení ze dne 9. října 2024 o posílení odolnosti Moldavska vůči ruskému vměšování před nadcházejícími prezidentskými volbami a ústavním referendem o vstupu do EU,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své usnesení ze dne 24. října 2024 o nesprávné interpretaci rezoluce OSN 2758 ze strany Čínské lidové republiky a pokračujících vojenských provokacích Číny v okolí Tchaj-wanu,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akční plán EU pro rovnost žen a mužů a posílení postavení žen v rámci vnější činnosti EU na období 2021–2025 (GAP III),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Bielan, Mariusz Kamiński, Michał Dworczyk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za skupinu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strategickou koncepci NATO z roku 2022 přijatou dne 29. června 2022,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svá usnesení o historické paměti, včetně usnesení ze dne 2. dubna 2009 o svědomí Evropy a totalitě, ze dne 19. září 2019 o významu evropské paměti pro budoucnost Evropy (2019/2819(RSP)) a ze dne 15. prosince 2022 o 90. výročí hladomoru na Ukrajině:</w:t>
            </w:r>
            <w:r>
              <w:t xml:space="preserve"> </w:t>
            </w:r>
            <w:r>
              <w:rPr>
                <w:b/>
                <w:i/>
              </w:rPr>
              <w:t>uznání masového zabíjení hladem za genocidu (2022/3001(RSP))[MBS1] [MBS1] z usnesení o účelovém využívání dějin,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rezoluci OSN č. 70/1 nazvanou „Přeměna našeho světa: Agenda pro udržitelný rozvoj 2030“ (Agenda 2030), která byla přijata na summitu OSN o udržitelném rozvoji dne 25. září 2015 v New Yorku a která stanovuje cíle udržitelného rozvoje,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své usnesení ze dne 17. ledna 2024 o bezpečnostních a obranných důsledcích vlivu Číny na kritickou infrastrukturu v Evropské unii (2023/2072(INI)),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obecné zásady EU týkající se ochránců lidských práv,</w:t>
            </w:r>
            <w:r>
              <w:t xml:space="preserve"> </w:t>
            </w:r>
            <w:r>
              <w:rPr>
                <w:b/>
                <w:i/>
              </w:rPr>
              <w:t>jež byly přijaty v roce 2004, aktualizovány v roce 2008 a dále upřesněny poznámkou k provádění pokynů z roku 2020,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společné sdělení Evropskému parlamentu a Radě JOIN 2020/18 (final) nazvané „Strategie kybernetické bezpečnosti EU pro digitální dekádu“,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sdělení Komise ze dne 30. října 2024 nazvané „Sdělení o politice rozšíření EU pro rok 2024“ (COM(2024) 690 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zprávu Sauliho Niinista ze dne 30. října 2024 nazvanou „Posílení civilní a vojenské připravenosti Evropy“,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doporučení Komise ze dne 3. října 2023 o technologických oblastech s kritickým významem pro hospodářskou bezpečnost EU za účelem dalšího posouzení rizik s členskými státy,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zprávy o rozšíření za rok 2024, které Komise předložila dne 30. října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e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nařízení Evropského parlamentu a Rady (EU) 2024/1449 ze dne 14. května 2024 o zřízení nástroje pro reformy a růst pro země západního Balkánu,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e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sdělení Komise ze dne 20. června 2023 o Strategii evropské hospodářské bezpečnosti (JOIN(2023) 20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f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své usnesení ze dne 1. června 2023 o zahraničním vměšování do všech demokratických procesů v Evropské unii, včetně dezinformací (2022/2075(INI)),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 f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svá usnesení o porušování lidských práv, demokracie a právního státu přijatá v souladu s článkem 144 jednacího řádu,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čl. 4 odst. 2 Smlouvy o Evropské unii, který zajišťuje, aby Unie respektovala základní funkce státu, včetně ochrany národní bezpečnosti, která zůstává výhradní odpovědností každého členského státu,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dohodu o přidružení mezi EU a Izraelem ze dne 21. června 2000,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čl. 42 odst. 2 této smlouvy, který stanoví, že společná bezpečnostní a obranná politika EU dodržuje závazky vyplývající ze závazků NATO a nenahrazuje národní obranu</w:t>
            </w:r>
            <w:r>
              <w:t xml:space="preserve"> </w:t>
            </w:r>
            <w:r>
              <w:rPr>
                <w:b/>
                <w:i/>
              </w:rPr>
              <w:t>a že rozhodnutí účastnit se obranných a bezpečnostních operací je dobrovolné, čímž je zachována autonomie členských států,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poradní stanovisko Mezinárodního soudního dvora obsažené v jeho usnesení A/RES/77/247 o izraelských praktikách ovlivňujících lidská práva palestinského lidu na okupovaném palestinském území, včetně východního Jeruzaléma,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čl. 24 odst. 1 této smlouvy, v němž se uvádí, že vnější činnost EU, včetně bezpečnostní politiky, musí respektovat zásadu „rovnosti mezi členskými státy“, což znamená, že nelze zavést povinnou společnou obrannou politiku,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prohlášení žalobce Mezinárodního trestního soudu Karima Asada Ahmada</w:t>
            </w:r>
            <w:r>
              <w:t xml:space="preserve"> </w:t>
            </w:r>
            <w:r>
              <w:rPr>
                <w:b/>
                <w:i/>
              </w:rPr>
              <w:t>Khana,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článek 51 Charty Organizace spojených národů, který stanoví právo na individuální nebo kolektivní sebeobranu členských států OSN v případě ozbrojeného útoku, dokud Rada bezpečnosti nepřijme opatření k zachování mezinárodního míru a bezpečnosti,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Římský statut Mezinárodního trestního soudu,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e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čl. 2 odst. 4 a 7 této smlouvy, které brání OSN zasahovat do záležitostí spadajících do vnitrostátní jurisdikce členských států, čímž je respektována jejich národní svrchovanost,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e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dohodu mezi EU a Mezinárodním trestním soudem (ICC),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f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Helsinský závěrečný akt OBSE (1975) a jeho zásadu VI o nezasahování do vnitřních záležitostí a zásadu VII, která podporuje právo každého státu určovat svou vlastní obrannou a bezpečnostní politiku,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f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příkaz Mezinárodního soudního dvora ve věci žádosti Jihoafrické republiky o určení prozatímních opatření,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g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Evropskou úmluvu o lidských právech (EÚLP) a Radu Evropy, které kladou důraz na respektování svrchovanosti států tím, že zajišťují, aby každá země mohla interně rozhodovat o svých bezpečnostních záležitostech,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g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Úmluvu OSN o zabránění a trestání zločinu genocidia z roku 1948 a na rezoluci Rady OSN pro lidská práva č. 43/29 ze dne 22. června 2020 o předcházení genocidě,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h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rezoluci Valného shromáždění OSN č. 302 (IV) (1949),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i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rezoluci Rady bezpečnosti OSN č. 1701 (2006),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j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zprávu o Akčním plánu EU pro rovnost žen a mužů a posílení postavení žen v rámci vnější činnosti EU na období 2021–2025,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k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Úmluvu Rady Evropy o prevenci a potírání násilí na ženách a domácího násilí („Istanbulská úmluva“), která v EU vstoupila v platnost dne 1. října 2023,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l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rezoluci Organizace spojených národů č. 242 (1967),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</w:t>
            </w:r>
            <w:r>
              <w:rPr>
                <w:b/>
                <w:i/>
              </w:rPr>
              <w:t>dramatickému tempu geopolitických změn, kdy autokratičtí aktéři</w:t>
            </w:r>
            <w:r>
              <w:t xml:space="preserve"> jednotlivě i koordinovaně </w:t>
            </w:r>
            <w:r>
              <w:rPr>
                <w:b/>
                <w:i/>
              </w:rPr>
              <w:t>usilují o oslabení mezinárodního řádu založeného</w:t>
            </w:r>
            <w:r>
              <w:t xml:space="preserve"> na pravidlech a jeho </w:t>
            </w:r>
            <w:r>
              <w:rPr>
                <w:b/>
                <w:i/>
              </w:rPr>
              <w:t>mnohostranných organizací;</w:t>
            </w:r>
            <w:r>
              <w:t xml:space="preserve"> </w:t>
            </w:r>
            <w:r>
              <w:rPr>
                <w:b/>
                <w:i/>
              </w:rPr>
              <w:t>vzhledem k tomu, že konflikty se rozšiřují a státy i nestátní aktéři stále častěji</w:t>
            </w:r>
            <w:r>
              <w:t xml:space="preserve"> využívají </w:t>
            </w:r>
            <w:r>
              <w:rPr>
                <w:b/>
                <w:i/>
              </w:rPr>
              <w:t>sílu jako prostředek k dosahování politických cílů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</w:t>
            </w:r>
            <w:r>
              <w:rPr>
                <w:b/>
                <w:i/>
              </w:rPr>
              <w:t>tomu, že svět čelí rychlým geopolitickým změnám, kdy autokratické mocnosti</w:t>
            </w:r>
            <w:r>
              <w:t xml:space="preserve"> jednotlivě i koordinovaně </w:t>
            </w:r>
            <w:r>
              <w:rPr>
                <w:b/>
                <w:i/>
              </w:rPr>
              <w:t>aktivně zpochybňují mezinárodní řád založený</w:t>
            </w:r>
            <w:r>
              <w:t xml:space="preserve"> na pravidlech a jeho </w:t>
            </w:r>
            <w:r>
              <w:rPr>
                <w:b/>
                <w:i/>
              </w:rPr>
              <w:t>mnohostranné instituce;</w:t>
            </w:r>
            <w:r>
              <w:t xml:space="preserve"> </w:t>
            </w:r>
            <w:r>
              <w:rPr>
                <w:b/>
                <w:i/>
              </w:rPr>
              <w:t>a protože je konfliktů čím dál více, je použití síly stále častěji považováno za standardní nástroj pro sledování politických cílů, který</w:t>
            </w:r>
            <w:r>
              <w:t xml:space="preserve"> využívají </w:t>
            </w:r>
            <w:r>
              <w:rPr>
                <w:b/>
                <w:i/>
              </w:rPr>
              <w:t>nejen státy, ale i rostoucí počet nestátních subjektů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dramatickému tempu geopolitických změn, kdy autokratičtí aktéři jednotlivě i koordinovaně usilují o oslabení mezinárodního řádu založeného na pravidlech </w:t>
            </w:r>
            <w:r>
              <w:rPr>
                <w:b/>
                <w:i/>
              </w:rPr>
              <w:t>a</w:t>
            </w:r>
            <w:r>
              <w:t xml:space="preserve"> jeho mnohostranných organizací; vzhledem k tomu, že konflikty se rozšiřují a státy i nestátní aktéři stále častěji využívají sílu jako prostředek k dosahování politických cílů;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dramatickému tempu geopolitických změn, kdy autokratičtí aktéři jednotlivě i koordinovaně usilují o oslabení mezinárodního řádu založeného na pravidlech</w:t>
            </w:r>
            <w:r>
              <w:rPr>
                <w:b/>
                <w:i/>
              </w:rPr>
              <w:t>,</w:t>
            </w:r>
            <w:r>
              <w:t xml:space="preserve"> jeho mnohostranných organizací </w:t>
            </w:r>
            <w:r>
              <w:rPr>
                <w:b/>
                <w:i/>
              </w:rPr>
              <w:t>a celosvětové bezpečnosti</w:t>
            </w:r>
            <w:r>
              <w:t xml:space="preserve">; vzhledem k tomu, že konflikty se rozšiřují a státy i nestátní aktéři stále častěji využívají sílu jako prostředek k dosahování politických cílů; </w:t>
            </w:r>
            <w:r>
              <w:rPr>
                <w:b/>
                <w:i/>
              </w:rPr>
              <w:t>vzhledem k tomu, že je nutné, aby Evropská unie posílila transatlantické vztahy a budovala konstruktivní partnerství s podobně smýšlejícími partnery na globálním Jihu;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dramatickému tempu geopolitických změn, kdy autokratičtí aktéři jednotlivě i koordinovaně usilují o oslabení mezinárodního řádu založeného na pravidlech a jeho mnohostranných organizací; vzhledem k tomu, že konflikty se rozšiřují a státy i nestátní aktéři stále častěji využívají sílu jako prostředek k dosahování politických cílů;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dramatickému tempu geopolitických změn, kdy </w:t>
            </w:r>
            <w:r>
              <w:rPr>
                <w:b/>
                <w:i/>
              </w:rPr>
              <w:t>komunističtí, diktátorští a</w:t>
            </w:r>
            <w:r>
              <w:t xml:space="preserve"> autokratičtí aktéři</w:t>
            </w:r>
            <w:r>
              <w:rPr>
                <w:b/>
                <w:i/>
              </w:rPr>
              <w:t>, jako je Rusko, Čína, Írán, Kuba, Venezuela a Severní Korea,</w:t>
            </w:r>
            <w:r>
              <w:t xml:space="preserve"> jednotlivě i koordinovaně usilují o oslabení mezinárodního řádu založeného na pravidlech a jeho mnohostranných organizací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vzhledem k tomu, že tito aktéři nyní ještě více porušují lidská práva</w:t>
            </w:r>
            <w:r>
              <w:t>; vzhledem k tomu, že konflikty se rozšiřují a státy i nestátní aktéři stále častěji využívají sílu jako prostředek k dosahování politických cílů;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dramatickému tempu geopolitických změn, kdy autokratičtí aktéři jednotlivě i koordinovaně usilují o oslabení mezinárodního řádu založeného na pravidlech </w:t>
            </w:r>
            <w:r>
              <w:rPr>
                <w:b/>
                <w:i/>
              </w:rPr>
              <w:t>a jeho mnohostranných organizací</w:t>
            </w:r>
            <w:r>
              <w:t>; vzhledem k tomu, že konflikty se rozšiřují a státy i nestátní aktéři stále častěji využívají sílu jako prostředek k dosahování politických cílů;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dramatickému tempu geopolitických změn, kdy autokratičtí aktéři jednotlivě i koordinovaně usilují o oslabení mezinárodního řádu založeného na pravidlech</w:t>
            </w:r>
            <w:r>
              <w:rPr>
                <w:b/>
                <w:i/>
              </w:rPr>
              <w:t>, mnohostranných organizací, mezinárodního práva, demokratických institucí a společností, jakož i našich spojenectví</w:t>
            </w:r>
            <w:r>
              <w:t>; vzhledem k tomu, že konflikty se rozšiřují a státy i nestátní aktéři stále častěji využívají sílu jako prostředek k dosahování politických cílů;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dramatickému tempu geopolitických změn, </w:t>
            </w:r>
            <w:r>
              <w:rPr>
                <w:b/>
                <w:i/>
              </w:rPr>
              <w:t>kdy autokratičtí aktéři jednotlivě i koordinovaně usilují o oslabení mezinárodního řádu založeného na pravidlech a jeho mnohostranných organizací</w:t>
            </w:r>
            <w:r>
              <w:t xml:space="preserve">; vzhledem k tomu, že konflikty se rozšiřují a státy i nestátní aktéři </w:t>
            </w:r>
            <w:r>
              <w:rPr>
                <w:b/>
                <w:i/>
              </w:rPr>
              <w:t>stále častěji</w:t>
            </w:r>
            <w:r>
              <w:t xml:space="preserve"> využívají sílu jako prostředek k dosahování politických cílů;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dramatickému tempu geopolitických změn, </w:t>
            </w:r>
            <w:r>
              <w:rPr>
                <w:b/>
                <w:i/>
              </w:rPr>
              <w:t>které ohrožuje mír na evropském kontinentu i na celém světě</w:t>
            </w:r>
            <w:r>
              <w:t xml:space="preserve">; vzhledem k tomu, že konflikty se rozšiřují a státy i nestátní aktéři využívají sílu jako </w:t>
            </w:r>
            <w:r>
              <w:rPr>
                <w:b/>
                <w:i/>
              </w:rPr>
              <w:t>standardní</w:t>
            </w:r>
            <w:r>
              <w:t xml:space="preserve"> prostředek k dosahování politických cílů;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dramatickému tempu geopolitických změn, kdy </w:t>
            </w:r>
            <w:r>
              <w:rPr>
                <w:b/>
                <w:i/>
              </w:rPr>
              <w:t>autokratičtí</w:t>
            </w:r>
            <w:r>
              <w:t xml:space="preserve"> aktéři jednotlivě i koordinovaně usilují o oslabení mezinárodního řádu </w:t>
            </w:r>
            <w:r>
              <w:rPr>
                <w:b/>
                <w:i/>
              </w:rPr>
              <w:t>založeného na pravidlech</w:t>
            </w:r>
            <w:r>
              <w:t xml:space="preserve"> a jeho mnohostranných organizací; vzhledem k tomu, že konflikty se rozšiřují a státy i nestátní aktéři stále častěji využívají sílu jako prostředek k dosahování politických cílů;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dramatickému tempu geopolitických změn, kdy </w:t>
            </w:r>
            <w:r>
              <w:rPr>
                <w:b/>
                <w:i/>
              </w:rPr>
              <w:t>významní</w:t>
            </w:r>
            <w:r>
              <w:t xml:space="preserve"> aktéři jednotlivě i koordinovaně usilují o oslabení </w:t>
            </w:r>
            <w:r>
              <w:rPr>
                <w:b/>
                <w:i/>
              </w:rPr>
              <w:t>stávajícího</w:t>
            </w:r>
            <w:r>
              <w:t xml:space="preserve"> mezinárodního řádu a jeho mnohostranných organizací; vzhledem k tomu, že konflikty se rozšiřují a státy i nestátní aktéři stále častěji využívají sílu jako prostředek k dosahování politických cílů;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vzhledem k tomu, že EU čelí rychlému nárůstu nových hrozeb na svých hranicích i na svém území, které destabilizují její fungování, zejména cíleným dezinformacím, kybernetickým a hybridním útokům a účelovému využívání migračních toků, jakož i mezinárodnímu islamistickému terorismu a náboženskému radikalismu;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</w:t>
            </w:r>
            <w:r>
              <w:rPr>
                <w:b/>
                <w:i/>
              </w:rPr>
              <w:t>vyžaduje 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EU;</w:t>
            </w:r>
            <w:r>
              <w:t xml:space="preserve"> </w:t>
            </w:r>
            <w:r>
              <w:rPr>
                <w:b/>
                <w:i/>
              </w:rPr>
              <w:t>vzhledem k tomu, že by se EU ve své vnější činnosti měla řídit</w:t>
            </w:r>
            <w:r>
              <w:t xml:space="preserve"> hodnotami a zásadami zakotvenými v </w:t>
            </w:r>
            <w:r>
              <w:rPr>
                <w:b/>
                <w:i/>
              </w:rPr>
              <w:t>článku 2, čl. 3</w:t>
            </w:r>
            <w:r>
              <w:t xml:space="preserve"> odst. </w:t>
            </w:r>
            <w:r>
              <w:rPr>
                <w:b/>
                <w:i/>
              </w:rPr>
              <w:t>5 a článku 21</w:t>
            </w:r>
            <w:r>
              <w:t xml:space="preserve"> SEU, které inspirovaly </w:t>
            </w:r>
            <w:r>
              <w:rPr>
                <w:b/>
                <w:i/>
              </w:rPr>
              <w:t>vlastní</w:t>
            </w:r>
            <w:r>
              <w:t xml:space="preserve"> vznik</w:t>
            </w:r>
            <w:r>
              <w:rPr>
                <w:b/>
                <w:i/>
              </w:rPr>
              <w:t>, rozvoj a rozšiřování EU;</w:t>
            </w:r>
            <w:r>
              <w:t xml:space="preserve"> </w:t>
            </w:r>
            <w:r>
              <w:rPr>
                <w:b/>
                <w:i/>
              </w:rPr>
              <w:t>vzhledem k tomu, že by EU měla po celém světě odpovídajícím způsobem hájit svobodu a demokratické normy, jakož i univerzálnost lidských práv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</w:t>
            </w:r>
            <w:r>
              <w:rPr>
                <w:b/>
                <w:i/>
              </w:rPr>
              <w:t>zvýšil potřebu koordinovanější přítomnosti EU založené na různých aliancích, nikoli na pevných blocích, a to v souladu s</w:t>
            </w:r>
            <w:r>
              <w:t xml:space="preserve"> hodnotami a zásadami zakotvenými v </w:t>
            </w:r>
            <w:r>
              <w:rPr>
                <w:b/>
                <w:i/>
              </w:rPr>
              <w:t>čl. 4</w:t>
            </w:r>
            <w:r>
              <w:t xml:space="preserve"> odst. </w:t>
            </w:r>
            <w:r>
              <w:rPr>
                <w:b/>
                <w:i/>
              </w:rPr>
              <w:t>2 a čl. 42 odst. 2</w:t>
            </w:r>
            <w:r>
              <w:t xml:space="preserve"> SEU, které inspirovaly </w:t>
            </w:r>
            <w:r>
              <w:rPr>
                <w:b/>
                <w:i/>
              </w:rPr>
              <w:t>její</w:t>
            </w:r>
            <w:r>
              <w:t xml:space="preserve"> vznik;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</w:t>
            </w:r>
            <w:r>
              <w:rPr>
                <w:b/>
                <w:i/>
              </w:rPr>
              <w:t>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EU;</w:t>
            </w:r>
            <w:r>
              <w:t xml:space="preserve"> </w:t>
            </w:r>
            <w:r>
              <w:rPr>
                <w:b/>
                <w:i/>
              </w:rPr>
              <w:t>vzhledem k tomu, že by se EU ve své vnější činnosti měla řídit hodnotami a zásadami zakotvenými v článku 2, čl. 3 odst. 5 a článku 21 SEU, které inspirovaly vlastní vznik, rozvoj a rozšiřování EU;</w:t>
            </w:r>
            <w:r>
              <w:t xml:space="preserve"> </w:t>
            </w:r>
            <w:r>
              <w:rPr>
                <w:b/>
                <w:i/>
              </w:rPr>
              <w:t>vzhledem k tomu, že by EU měla po celém světě odpovídajícím způsobem hájit svobodu a demokratické normy, jakož i univerzálnost lidských práv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geopolitický kontext, v němž EU funguje, vyžaduje</w:t>
            </w:r>
            <w:r>
              <w:rPr>
                <w:b/>
                <w:i/>
              </w:rPr>
              <w:t>, aby se EU zapojila do nových politik a opatření, díky nimž dojde ke změně směru od škodlivého a kontraproduktivního militarismu k situaci, kdy EU a její členské státy společně a jednotně posilují svůj závazek k multilateralismu a diplomacii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jednotnějších opatření EU na světové scéně, a </w:t>
            </w:r>
            <w:r>
              <w:rPr>
                <w:b/>
                <w:i/>
              </w:rPr>
              <w:t>že je tudíž nezbytné, aby členské státy prokázaly požadovanou politickou vůli přeměnit společnou zahraniční a bezpečnostní politiku (SZBP) na plnohodnotnou politiku</w:t>
            </w:r>
            <w:r>
              <w:t xml:space="preserve"> EU; vzhledem k tomu, že by se EU ve své vnější činnosti měla řídit hodnotami a zásadami zakotvenými v článku 2, čl. 3 odst. 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jednotnějších opatření EU na světové scéně, a </w:t>
            </w:r>
            <w:r>
              <w:rPr>
                <w:b/>
                <w:i/>
              </w:rPr>
              <w:t>to i s ohledem na skutečnost, že jednomyslnost rozhodování v oblasti SZBP je zakotvena ve Smlouvách a je klíčovým prvkem zajišťujícím národní svrchovanost v zahraniční politice EU;</w:t>
            </w:r>
            <w:r>
              <w:t xml:space="preserve"> </w:t>
            </w:r>
            <w:r>
              <w:rPr>
                <w:b/>
                <w:i/>
              </w:rPr>
              <w:t>vzhledem k tomu, že zachování jednomyslnosti rozhodnutí v oblasti zahraniční politiky má zásadní význam, neboť jakýkoli jiný přístup by mohl nutit země, aby se připojily k postojům, s nimiž nemusí plně souhlasit, a k rozhodnutím, která jsou nepřiměřeně ovlivněna většími nebo silnějšími členy</w:t>
            </w:r>
            <w:r>
              <w:t xml:space="preserve"> EU; vzhledem k tomu, že by se EU ve své vnější činnosti měla řídit hodnotami a zásadami zakotvenými v článku 2, čl. 3 odst. 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</w:t>
            </w:r>
            <w:r>
              <w:rPr>
                <w:b/>
                <w:i/>
              </w:rPr>
              <w:t>ambicióznějších, věrohodnějších a jednotnějších</w:t>
            </w:r>
            <w:r>
              <w:t xml:space="preserve"> opatření EU na světové scéně</w:t>
            </w:r>
            <w:r>
              <w:rPr>
                <w:b/>
                <w:i/>
              </w:rPr>
              <w:t>, a že je tudíž nezbytné, aby členské státy prokázaly požadovanou politickou vůli přeměnit společnou zahraniční a bezpečnostní politiku (SZBP) na plnohodnotnou politiku EU</w:t>
            </w:r>
            <w:r>
              <w:t>; vzhledem k tomu, že by se EU ve své vnější činnosti měla řídit hodnotami a zásadami zakotvenými v článku 2, čl. 3 odst. 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</w:t>
            </w:r>
            <w:r>
              <w:rPr>
                <w:b/>
                <w:i/>
              </w:rPr>
              <w:t>věrohodných</w:t>
            </w:r>
            <w:r>
              <w:t xml:space="preserve"> opatření EU na světové scéně; vzhledem k tomu, že by se EU ve své vnější činnosti měla řídit hodnotami a zásadami zakotvenými v článku 2, čl. 3 odst. 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EU; vzhledem k tomu, že by se EU ve své vnější činnosti měla řídit hodnotami a zásadami zakotvenými v článku 2, čl. 3 odst. 5 a článku 21 SEU, které inspirovaly vlastní vznik, rozvoj a rozšiřování EU; vzhledem k tomu, že </w:t>
            </w:r>
            <w:r>
              <w:rPr>
                <w:b/>
                <w:i/>
              </w:rPr>
              <w:t>by EU měla</w:t>
            </w:r>
            <w:r>
              <w:t xml:space="preserve"> po celém světě odpovídajícím způsobem </w:t>
            </w:r>
            <w:r>
              <w:rPr>
                <w:b/>
                <w:i/>
              </w:rPr>
              <w:t>hájit</w:t>
            </w:r>
            <w:r>
              <w:t xml:space="preserve"> svobodu a demokratické normy, jakož i univerzálnost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geopolitický kontext, v němž EU funguje, vyžaduje 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</w:t>
            </w:r>
            <w:r>
              <w:rPr>
                <w:b/>
                <w:i/>
              </w:rPr>
              <w:t>, jejímž prostřednictvím bude Unie moci řešit klíčové geopolitické výzvy;</w:t>
            </w:r>
            <w:r>
              <w:t xml:space="preserve"> </w:t>
            </w:r>
            <w:r>
              <w:rPr>
                <w:b/>
                <w:i/>
              </w:rPr>
              <w:t>vyjadřuje politování nad rozporem mezi slovy a opatřeními EU na globální scéně</w:t>
            </w:r>
            <w:r>
              <w:t xml:space="preserve">; vzhledem k tomu, že by se EU ve své vnější činnosti měla řídit hodnotami a zásadami zakotvenými v článku 2, čl. 3 odst. 5 a článku 21 SEU, které inspirovaly vlastní vznik, rozvoj a rozšiřování EU; vzhledem k tomu, že </w:t>
            </w:r>
            <w:r>
              <w:rPr>
                <w:b/>
                <w:i/>
              </w:rPr>
              <w:t>je v zájmu EU, aby</w:t>
            </w:r>
            <w:r>
              <w:t xml:space="preserve"> po celém světě odpovídajícím způsobem </w:t>
            </w:r>
            <w:r>
              <w:rPr>
                <w:b/>
                <w:i/>
              </w:rPr>
              <w:t>hájila</w:t>
            </w:r>
            <w:r>
              <w:t xml:space="preserve"> svobodu a demokratické normy, jakož i univerzálnost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geopolitický kontext, v němž EU funguje, vyžaduje 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EU; vzhledem k tomu, že by se EU ve své vnější činnosti měla řídit hodnotami a zásadami zakotvenými v článku 2, čl. 3 odst. 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geopolitický kontext, v němž EU funguje, vyžaduje 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</w:t>
            </w:r>
            <w:r>
              <w:rPr>
                <w:b/>
                <w:i/>
              </w:rPr>
              <w:t>, kterou budou členské státy coby primární aktéři v oblasti zahraniční politiky podporovat</w:t>
            </w:r>
            <w:r>
              <w:t>; vzhledem k tomu, že by se EU ve své vnější činnosti měla řídit hodnotami a zásadami zakotvenými v článku 2, čl. 3 odst. 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geopolitický kontext, v němž EU funguje, vyžaduje 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EU; vzhledem k tomu, že by se EU ve své vnější činnosti měla řídit hodnotami a zásadami zakotvenými v článku 2, čl. 3 odst. 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geopolitický kontext, v němž EU funguje, vyžaduje přijímání ambicióznějších, věrohodnějších</w:t>
            </w:r>
            <w:r>
              <w:rPr>
                <w:b/>
                <w:i/>
              </w:rPr>
              <w:t>, rozhodnějších</w:t>
            </w:r>
            <w:r>
              <w:t xml:space="preserve"> a jednotnějších opatření EU </w:t>
            </w:r>
            <w:r>
              <w:rPr>
                <w:b/>
                <w:i/>
              </w:rPr>
              <w:t>a plnohodnotnou evropskou zahraniční politiku</w:t>
            </w:r>
            <w:r>
              <w:t xml:space="preserve"> na světové scéně, a že je tudíž nezbytné, aby členské státy prokázaly požadovanou politickou vůli přeměnit společnou zahraniční a bezpečnostní politiku (SZBP) na plnohodnotnou politiku EU; vzhledem k tomu, že by se EU ve své vnější činnosti měla řídit hodnotami a zásadami zakotvenými v článku 2, čl. 3 odst. 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Adam Bielan, Michał Dworczyk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za skupinu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jednotnějších opatření EU na světové scéně, a že je tudíž nezbytné, aby členské státy prokázaly požadovanou politickou vůli </w:t>
            </w:r>
            <w:r>
              <w:rPr>
                <w:b/>
                <w:i/>
              </w:rPr>
              <w:t>přeměnit společnou zahraniční a bezpečnostní politiku (SZBP) na plnohodnotnou politiku EU</w:t>
            </w:r>
            <w:r>
              <w:t>; vzhledem k tomu, že by se EU ve své vnější činnosti měla řídit hodnotami a zásadami zakotvenými v článku 2, čl. 3 odst. 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jednotnějších opatření EU na světové scéně, a že je tudíž nezbytné, aby členské státy prokázaly požadovanou politickou vůli </w:t>
            </w:r>
            <w:r>
              <w:rPr>
                <w:b/>
                <w:i/>
              </w:rPr>
              <w:t>k obnově svých obranných schopností a zároveň posílily transatlantické vazby a partnerství EU s podobně smýšlejícími zeměmi</w:t>
            </w:r>
            <w:r>
              <w:t>; vzhledem k tomu, že by se EU ve své vnější činnosti měla řídit hodnotami a zásadami zakotvenými v článku 2, čl. 3 odst. 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EU; vzhledem k tomu, že by se EU ve své vnější činnosti měla řídit hodnotami a zásadami zakotvenými v článku 2, čl. 3 odst. 5 a článku 21 SEU, které inspirovaly vlastní vznik, rozvoj a rozšiřování EU; vzhledem k tomu, že by </w:t>
            </w:r>
            <w:r>
              <w:rPr>
                <w:b/>
                <w:i/>
              </w:rPr>
              <w:t>EU</w:t>
            </w:r>
            <w:r>
              <w:t xml:space="preserve"> měla po celém světě odpovídajícím způsobem hájit </w:t>
            </w:r>
            <w:r>
              <w:rPr>
                <w:b/>
                <w:i/>
              </w:rPr>
              <w:t>svobodu</w:t>
            </w:r>
            <w:r>
              <w:t xml:space="preserve"> a demokratické normy, jakož i </w:t>
            </w:r>
            <w:r>
              <w:rPr>
                <w:b/>
                <w:i/>
              </w:rPr>
              <w:t>univerzálnost lidských práv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EU; vzhledem k tomu, že by se EU ve své vnější činnosti měla řídit hodnotami a zásadami zakotvenými v článku 2, čl. 3 odst. 5 a článku 21 SEU, které inspirovaly vlastní vznik, rozvoj a rozšiřování EU; vzhledem k tomu, že by </w:t>
            </w:r>
            <w:r>
              <w:rPr>
                <w:b/>
                <w:i/>
              </w:rPr>
              <w:t>Evropská unie</w:t>
            </w:r>
            <w:r>
              <w:t xml:space="preserve"> měla po celém světě odpovídajícím způsobem hájit </w:t>
            </w:r>
            <w:r>
              <w:rPr>
                <w:b/>
                <w:i/>
              </w:rPr>
              <w:t>univerzální hodnoty, normy a zásady, jako je svoboda</w:t>
            </w:r>
            <w:r>
              <w:t xml:space="preserve"> a demokratické normy, jakož i </w:t>
            </w:r>
            <w:r>
              <w:rPr>
                <w:b/>
                <w:i/>
              </w:rPr>
              <w:t>lidská práva a právní stát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</w:t>
            </w:r>
            <w:r>
              <w:rPr>
                <w:b/>
                <w:i/>
              </w:rPr>
              <w:t>jednotnějších</w:t>
            </w:r>
            <w:r>
              <w:t xml:space="preserve"> opatření EU na světové scéně, a že je tudíž nezbytné, aby členské státy </w:t>
            </w:r>
            <w:r>
              <w:rPr>
                <w:b/>
                <w:i/>
              </w:rPr>
              <w:t>prokázaly požadovanou politickou vůli přeměnit</w:t>
            </w:r>
            <w:r>
              <w:t xml:space="preserve"> společnou zahraniční a bezpečnostní politiku (SZBP) </w:t>
            </w:r>
            <w:r>
              <w:rPr>
                <w:b/>
                <w:i/>
              </w:rPr>
              <w:t>na plnohodnotnou politiku EU</w:t>
            </w:r>
            <w:r>
              <w:t>; vzhledem k tomu, že by se EU ve své vnější činnosti měla řídit hodnotami a zásadami zakotvenými v článku 2, čl. 3 odst. 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</w:t>
            </w:r>
            <w:r>
              <w:rPr>
                <w:b/>
                <w:i/>
              </w:rPr>
              <w:t>koordinovanějších</w:t>
            </w:r>
            <w:r>
              <w:t xml:space="preserve"> opatření EU na světové scéně, a že je tudíž nezbytné, aby členské státy </w:t>
            </w:r>
            <w:r>
              <w:rPr>
                <w:b/>
                <w:i/>
              </w:rPr>
              <w:t>aktualizovaly</w:t>
            </w:r>
            <w:r>
              <w:t xml:space="preserve"> společnou zahraniční a bezpečnostní politiku (SZBP); vzhledem k tomu, že by se EU ve své vnější činnosti měla řídit hodnotami a zásadami zakotvenými v článku 2, čl. 3 odst. 5 a článku 21 SEU, které inspirovaly vlastní vznik, rozvoj a rozšiřování EU; vzhledem k tomu, že by EU měla po celém světě odpovídajícím způsobem hájit svobodu a demokratické normy, jakož i univerzálnost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EU; vzhledem k tomu, že by se EU ve své vnější činnosti měla řídit hodnotami a zásadami zakotvenými v článku 2, čl. 3 odst. 5 a článku 21 SEU, které inspirovaly vlastní vznik, rozvoj a rozšiřování EU; vzhledem k tomu, že by EU měla </w:t>
            </w:r>
            <w:r>
              <w:rPr>
                <w:b/>
                <w:i/>
              </w:rPr>
              <w:t>po celém světě</w:t>
            </w:r>
            <w:r>
              <w:t xml:space="preserve"> odpovídajícím způsobem hájit svobodu a demokratické normy, jakož i univerzálnost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geopolitický kontext, v němž EU funguje, vyžaduje přijímání ambicióznějších, věrohodnějších a jednotnějších opatření EU na světové scéně, a že je tudíž nezbytné, aby členské státy prokázaly požadovanou politickou vůli přeměnit společnou zahraniční a bezpečnostní politiku (SZBP) na plnohodnotnou politiku EU; vzhledem k tomu, že by se EU ve své vnější činnosti měla řídit hodnotami a zásadami zakotvenými v článku 2, čl. 3 odst. 5 a článku 21 SEU, které inspirovaly vlastní vznik, rozvoj a rozšiřování EU; vzhledem k tomu, že by EU měla </w:t>
            </w:r>
            <w:r>
              <w:rPr>
                <w:b/>
                <w:i/>
              </w:rPr>
              <w:t>na svém území</w:t>
            </w:r>
            <w:r>
              <w:t xml:space="preserve"> odpovídajícím způsobem hájit svobodu a demokratické normy, jakož i univerzálnost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Carlo Fidanza, Alberico Gambino, 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strategická partnerství a dohody mezi EU a zeměmi původu a tranzitu, např. mezi EU a Tuniskem, Egyptem a Mauritánií, se osvědčily jako úspěšný model pro předcházení nelegální migraci a boj proti převaděčům migrantů;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ruská útočná válka znovu potvrdila úlohu NATO jako základu evropské bezpečnosti a podpořila vedoucí úlohu USA a důležitost Spojeného království v oblasti evropské bezpečnosti a nezbytnost silných transatlantických vazeb;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výsledky prezidentských voleb a voleb do Kongresu ve Spojených státech by mohly naznačovat menší ochotu k zapojování do globálních záležitostí, zejména na území Evropy a s evropskými zeměmi;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tato zpráva nejprve zkoumá výroční zprávu místopředsedy Komise, vysokého představitele o SZBP a následně ji doplňuje o postoje Parlamentu k cílům SZBP pro rok 2025; vzhledem k tomu, že se zpráva podrobně zaměřuje zejména na 1) globální důsledky ruské útočné války proti Ukrajině, 2) konflikt a mír na Blízkém východě, 3) spolupráci s obdobně smýšlejícími partnery a 4) obecnou viditelnost činnosti EU v zahraničí; vzhledem k tomu, že postoj Parlamentu k SZBP zaměřený na budoucnost</w:t>
            </w:r>
            <w:r>
              <w:rPr>
                <w:b/>
                <w:i/>
              </w:rPr>
              <w:t xml:space="preserve">  </w:t>
            </w:r>
            <w:r>
              <w:t>je v konečném důsledku utvářen zejména klíčovými požadavky týkajícími se příštího víceletého finančního rámce (VFR) a parlamentního dohledu nad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tato zpráva nejprve zkoumá výroční zprávu místopředsedy Komise, vysokého představitele o SZBP a následně ji doplňuje o postoje Parlamentu k cílům SZBP pro rok 2025; vzhledem k tomu, že se zpráva podrobně zaměřuje zejména na 1) globální důsledky ruské útočné války proti Ukrajině, 2) konflikt a mír na Blízkém východě, 3) spolupráci s obdobně smýšlejícími partnery a 4) obecnou viditelnost činnosti EU v zahraničí; vzhledem k tomu, že postoj Parlamentu k SZBP zaměřený na budoucnost je v konečném důsledku utvářen zejména klíčovými požadavky týkajícími se příštího víceletého finančního rámce (VFR) a parlamentního dohledu nad VFR; </w:t>
            </w:r>
            <w:r>
              <w:rPr>
                <w:b/>
                <w:i/>
              </w:rPr>
              <w:t>vzhledem k tomu, že je třeba bránit a posilovat mezinárodní řád založený na pravidlech, univerzální normy a hodnoty a zásady Charty OSN, jako jsou lidská práva a mezinárodní spravedlnost, multilateralismus a Helsinský závěrečný akt, zejména pokud jde o neporušování mezinárodních hranic;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Afroditi Latinopoulou, Fernand Kartheiser, Charlie Weimers, Nikolaos Anadiotis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tato zpráva nejprve zkoumá výroční zprávu místopředsedy Komise, vysokého představitele o SZBP a následně ji doplňuje o postoje Parlamentu k cílům SZBP pro rok 2025; vzhledem k tomu, že se zpráva podrobně zaměřuje zejména na 1) globální důsledky ruské útočné války proti Ukrajině, 2) konflikt a mír na Blízkém východě, 3) spolupráci s obdobně smýšlejícími partnery a</w:t>
            </w:r>
            <w:r>
              <w:rPr>
                <w:b/>
                <w:i/>
              </w:rPr>
              <w:t xml:space="preserve"> 4)</w:t>
            </w:r>
            <w:r>
              <w:t xml:space="preserve"> obecnou viditelnost činnosti EU v zahraničí; vzhledem k tomu, že postoj Parlamentu k SZBP zaměřený na budoucnost</w:t>
            </w:r>
            <w:r>
              <w:rPr>
                <w:b/>
                <w:i/>
              </w:rPr>
              <w:t xml:space="preserve">  </w:t>
            </w:r>
            <w:r>
              <w:t>je v konečném důsledku utvářen zejména klíčovými požadavky týkajícími se příštího víceletého finančního rámce (VFR) a parlamentního dohledu nad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tato zpráva nejprve zkoumá výroční zprávu místopředsedy Komise, vysokého představitele o SZBP a následně ji doplňuje o postoje Parlamentu k cílům SZBP pro rok 2025; vzhledem k tomu, že se zpráva podrobně zaměřuje zejména na 1) globální důsledky ruské útočné války proti Ukrajině, 2) konflikt a mír na Blízkém východě, 3) </w:t>
            </w:r>
            <w:r>
              <w:rPr>
                <w:b/>
                <w:i/>
              </w:rPr>
              <w:t>revizionistický postoj Turecka ve východním Středomoří a jeho nerespektování státní svrchovanosti Řecka a Kypru, 4)</w:t>
            </w:r>
            <w:r>
              <w:t xml:space="preserve"> spolupráci s obdobně smýšlejícími partnery a</w:t>
            </w:r>
            <w:r>
              <w:rPr>
                <w:b/>
                <w:i/>
              </w:rPr>
              <w:t xml:space="preserve"> 5)</w:t>
            </w:r>
            <w:r>
              <w:t xml:space="preserve"> obecnou viditelnost činnosti EU v zahraničí; vzhledem k tomu, že postoj Parlamentu k SZBP zaměřený na budoucnost je v konečném důsledku utvářen zejména klíčovými požadavky týkajícími se příštího víceletého finančního rámce (VFR) a parlamentního dohledu nad VFR;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tato zpráva nejprve zkoumá výroční zprávu místopředsedy Komise, vysokého představitele o SZBP a následně ji doplňuje o postoje Parlamentu k cílům SZBP pro rok 2025; vzhledem k tomu, že se zpráva podrobně zaměřuje </w:t>
            </w:r>
            <w:r>
              <w:rPr>
                <w:b/>
                <w:i/>
              </w:rPr>
              <w:t>zejména</w:t>
            </w:r>
            <w:r>
              <w:t xml:space="preserve"> na 1) </w:t>
            </w:r>
            <w:r>
              <w:rPr>
                <w:b/>
                <w:i/>
              </w:rPr>
              <w:t>globální důsledky ruské útočné války proti</w:t>
            </w:r>
            <w:r>
              <w:t xml:space="preserve"> Ukrajině, 2) </w:t>
            </w:r>
            <w:r>
              <w:rPr>
                <w:b/>
                <w:i/>
              </w:rPr>
              <w:t>konflikt a</w:t>
            </w:r>
            <w:r>
              <w:t xml:space="preserve"> mír na Blízkém východě, 3) </w:t>
            </w:r>
            <w:r>
              <w:rPr>
                <w:b/>
                <w:i/>
              </w:rPr>
              <w:t>spolupráci s obdobně smýšlejícími partnery a 4) obecnou viditelnost činnosti EU v zahraničí</w:t>
            </w:r>
            <w:r>
              <w:t>; vzhledem k tomu, že postoj Parlamentu k SZBP zaměřený na budoucnost</w:t>
            </w:r>
            <w:r>
              <w:rPr>
                <w:b/>
                <w:i/>
              </w:rPr>
              <w:t xml:space="preserve">  je v konečném důsledku</w:t>
            </w:r>
            <w:r>
              <w:t xml:space="preserve"> utvářen </w:t>
            </w:r>
            <w:r>
              <w:rPr>
                <w:b/>
                <w:i/>
              </w:rPr>
              <w:t>zejména klíčovými</w:t>
            </w:r>
            <w:r>
              <w:t xml:space="preserve"> požadavky týkajícími se příštího víceletého finančního rámce (VFR) a parlamentního dohledu nad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tato zpráva nejprve zkoumá výroční zprávu místopředsedy Komise, vysokého představitele o SZBP a následně ji doplňuje o postoje Parlamentu k cílům SZBP pro rok 2025; vzhledem k tomu, že se zpráva podrobně zaměřuje na 1) </w:t>
            </w:r>
            <w:r>
              <w:rPr>
                <w:b/>
                <w:i/>
              </w:rPr>
              <w:t>úsilí o dosažení spravedlivého a trvalého míru na</w:t>
            </w:r>
            <w:r>
              <w:t xml:space="preserve"> Ukrajině, 2) </w:t>
            </w:r>
            <w:r>
              <w:rPr>
                <w:b/>
                <w:i/>
              </w:rPr>
              <w:t>úsilí o spravedlivý a trvalý</w:t>
            </w:r>
            <w:r>
              <w:t xml:space="preserve"> mír na Blízkém východě, 3) </w:t>
            </w:r>
            <w:r>
              <w:rPr>
                <w:b/>
                <w:i/>
              </w:rPr>
              <w:t>mezinárodní spolupráci</w:t>
            </w:r>
            <w:r>
              <w:t xml:space="preserve">; vzhledem k tomu, že postoj Parlamentu k SZBP zaměřený na budoucnost </w:t>
            </w:r>
            <w:r>
              <w:rPr>
                <w:b/>
                <w:i/>
              </w:rPr>
              <w:t>je</w:t>
            </w:r>
            <w:r>
              <w:t xml:space="preserve"> utvářen požadavky týkajícími se příštího víceletého finančního rámce (VFR) a parlamentního dohledu nad VFR;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tato zpráva nejprve zkoumá výroční zprávu místopředsedy Komise, vysokého představitele o SZBP a následně ji doplňuje o postoje Parlamentu k cílům SZBP pro rok 2025; vzhledem k tomu, že se zpráva podrobně zaměřuje zejména na 1) globální důsledky ruské útočné války proti Ukrajině, 2) konflikt a mír na Blízkém východě, 3) spolupráci s obdobně smýšlejícími partnery a 4) obecnou viditelnost činnosti EU v zahraničí; vzhledem k tomu, že postoj Parlamentu k SZBP zaměřený na budoucnost</w:t>
            </w:r>
            <w:r>
              <w:rPr>
                <w:b/>
                <w:i/>
              </w:rPr>
              <w:t xml:space="preserve">  </w:t>
            </w:r>
            <w:r>
              <w:t>je v konečném důsledku utvářen zejména klíčovými požadavky týkajícími se příštího víceletého finančního rámce (VFR) a parlamentního dohledu nad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tato zpráva nejprve zkoumá výroční zprávu místopředsedy Komise, vysokého představitele o SZBP a následně ji doplňuje o postoje Parlamentu k cílům SZBP pro rok 2025; vzhledem k tomu, že se zpráva podrobně zaměřuje zejména na 1) globální důsledky ruské útočné války proti Ukrajině, 2) konflikt a mír na Blízkém východě, 3) spolupráci s obdobně smýšlejícími partnery a 4) obecnou viditelnost </w:t>
            </w:r>
            <w:r>
              <w:rPr>
                <w:b/>
                <w:i/>
              </w:rPr>
              <w:t>a vliv</w:t>
            </w:r>
            <w:r>
              <w:t xml:space="preserve"> činnosti EU v zahraničí; vzhledem k tomu, že postoj Parlamentu k SZBP zaměřený na budoucnost je v konečném důsledku utvářen zejména klíčovými požadavky týkajícími se příštího víceletého finančního rámce (VFR) a parlamentního dohledu nad VFR;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tato zpráva nejprve zkoumá výroční zprávu místopředsedy Komise, vysokého představitele o SZBP a následně ji doplňuje o postoje Parlamentu k cílům SZBP pro rok 2025; vzhledem k tomu, že se zpráva podrobně zaměřuje zejména na 1) globální důsledky </w:t>
            </w:r>
            <w:r>
              <w:rPr>
                <w:b/>
                <w:i/>
              </w:rPr>
              <w:t>ruské útočné války proti</w:t>
            </w:r>
            <w:r>
              <w:t xml:space="preserve"> Ukrajině, 2) konflikt a mír na Blízkém východě, 3) spolupráci s obdobně smýšlejícími partnery a 4) obecnou viditelnost činnosti EU v zahraničí; vzhledem k tomu, že postoj Parlamentu k SZBP zaměřený na budoucnost</w:t>
            </w:r>
            <w:r>
              <w:rPr>
                <w:b/>
                <w:i/>
              </w:rPr>
              <w:t xml:space="preserve">  </w:t>
            </w:r>
            <w:r>
              <w:t>je v konečném důsledku utvářen zejména klíčovými požadavky týkajícími se příštího víceletého finančního rámce (VFR) a parlamentního dohledu nad VFR;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tato zpráva nejprve zkoumá výroční zprávu místopředsedy Komise, vysokého představitele o SZBP a následně ji doplňuje o postoje Parlamentu k cílům SZBP pro rok 2025; vzhledem k tomu, že se zpráva podrobně zaměřuje zejména na 1) globální důsledky </w:t>
            </w:r>
            <w:r>
              <w:rPr>
                <w:b/>
                <w:i/>
              </w:rPr>
              <w:t>konfliktu na</w:t>
            </w:r>
            <w:r>
              <w:t xml:space="preserve"> Ukrajině, 2) konflikt a mír na Blízkém východě, 3) spolupráci s obdobně smýšlejícími partnery a 4) obecnou viditelnost činnosti EU v zahraničí; vzhledem k tomu, že postoj Parlamentu k SZBP zaměřený na budoucnost je v konečném důsledku utvářen zejména klíčovými požadavky týkajícími se příštího víceletého finančního rámce (VFR) a parlamentního dohledu nad VFR;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v oblasti SZBP vykonává Evropský parlament úlohu v oblasti politické kontroly a konzultací; vzhledem k tomu, že rozpočtovou funkci pro tuto oblast politiky vykonává společně s Radou, s výjimkou případů, kdy Rada jednomyslně rozhodne, že jsou výdaje hrazeny členskými státy; vzhledem k tomu, že Evropský parlament musí všechny své pravomoci </w:t>
            </w:r>
            <w:r>
              <w:rPr>
                <w:b/>
                <w:i/>
              </w:rPr>
              <w:t>vykonávat v plném rozsahu, aby zvýšil demokratickou legitimitu SZBP</w:t>
            </w:r>
            <w:r>
              <w:t>; vzhledem k tomu, že ostatní orgány musí svou spolupráci s Evropským parlamentem odpovídajícím způsobem upravit;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v oblasti SZBP vykonává Evropský parlament úlohu v oblasti politické kontroly a konzultací; vzhledem k tomu, že rozpočtovou funkci pro tuto oblast politiky vykonává společně s Radou, s výjimkou případů, kdy Rada jednomyslně rozhodne, že jsou výdaje hrazeny členskými státy; vzhledem k tomu, že Evropský parlament musí </w:t>
            </w:r>
            <w:r>
              <w:rPr>
                <w:b/>
                <w:i/>
              </w:rPr>
              <w:t>plně vykonávat</w:t>
            </w:r>
            <w:r>
              <w:t xml:space="preserve"> všechny své pravomoci </w:t>
            </w:r>
            <w:r>
              <w:rPr>
                <w:b/>
                <w:i/>
              </w:rPr>
              <w:t>v oblasti dohledu nad akcemi SZBP, tak aby se tyto akce striktně držely svých mandátů a plně respektovaly nadřazenost svrchovaných pravomocí v oblasti zahraniční, bezpečnostní a obranné politiky</w:t>
            </w:r>
            <w:r>
              <w:t>; vzhledem k tomu, že ostatní orgány musí svou spolupráci s Evropským parlamentem odpovídajícím způsobem upravit;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v oblasti SZBP vykonává Evropský parlament úlohu v oblasti </w:t>
            </w:r>
            <w:r>
              <w:rPr>
                <w:b/>
                <w:i/>
              </w:rPr>
              <w:t>politické kontroly a</w:t>
            </w:r>
            <w:r>
              <w:t xml:space="preserve"> konzultací; vzhledem k tomu, že rozpočtovou funkci pro tuto oblast politiky vykonává společně s Radou, s výjimkou případů, kdy Rada jednomyslně rozhodne, že jsou výdaje hrazeny členskými státy; vzhledem k tomu, že </w:t>
            </w:r>
            <w:r>
              <w:rPr>
                <w:b/>
                <w:i/>
              </w:rPr>
              <w:t>Evropský parlament musí všechny své pravomoci vykonávat v plném rozsahu, aby zvýšil demokratickou legitimitu SZBP;</w:t>
            </w:r>
            <w:r>
              <w:t xml:space="preserve"> </w:t>
            </w:r>
            <w:r>
              <w:rPr>
                <w:b/>
                <w:i/>
              </w:rPr>
              <w:t>vzhledem k tomu, že ostatní orgány musí svou spolupráci s Evropským parlamentem odpovídajícím způsobem upravit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v oblasti SZBP vykonává Evropský parlament úlohu v oblasti </w:t>
            </w:r>
            <w:r>
              <w:rPr>
                <w:b/>
                <w:i/>
              </w:rPr>
              <w:t>politických</w:t>
            </w:r>
            <w:r>
              <w:t xml:space="preserve"> konzultací; vzhledem k tomu, že rozpočtovou funkci pro tuto oblast politiky vykonává společně s Radou, s výjimkou případů, kdy Rada jednomyslně rozhodne, že jsou výdaje hrazeny členskými státy; vzhledem k tomu, že </w:t>
            </w:r>
            <w:r>
              <w:rPr>
                <w:b/>
                <w:i/>
              </w:rPr>
              <w:t>čl. 24 odst. 1 Smlouvy o Evropské unii doplněný prohlášeními 13 a 14 z mezivládní konference v roce 2007 stanoví, že ustanovení týkající se společné zahraniční a bezpečnostní politiky neudělují Komisi nové pravomoci iniciovat rozhodnutí ani nezvyšují úlohu Evropského parlamentu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Rusko neuznalo svou roli při zahájení druhé světové války a nepřijalo odpovědnost za brutální činy spáchané na územích okupovaných Sovětským svazem;</w:t>
            </w:r>
            <w:r>
              <w:t xml:space="preserve"> </w:t>
            </w:r>
            <w:r>
              <w:rPr>
                <w:b/>
                <w:i/>
              </w:rPr>
              <w:t>vzhledem k tomu, že na rozdíl od zločinů spáchaných nacistickým režimem se zločinům spáchaným komunistickými diktaturami v Evropě ve 20. století nedostalo úplného mezinárodního právního a politického posouzení a odsouzení, což přispělo k účelovému využívání dějin během Putinovy vlády v Rusku;</w:t>
            </w:r>
            <w:r>
              <w:t xml:space="preserve"> </w:t>
            </w:r>
            <w:r>
              <w:rPr>
                <w:b/>
                <w:i/>
              </w:rPr>
              <w:t>vzhledem k tomu, že Kreml používá překroucený výklad dějin jako casus belli, systematicky očišťuje sovětské zločiny a šíří historické dezinformace k ospravedlnění ruské agrese proti sousedním státům;</w:t>
            </w:r>
            <w:r>
              <w:t xml:space="preserve"> </w:t>
            </w:r>
            <w:r>
              <w:rPr>
                <w:b/>
                <w:i/>
              </w:rPr>
              <w:t>vzhledem k tomu, že Putinův režim zneužívá dějiny ve snaze zajistit si loajalitu obyvatelstva vytvářením nostalgie po údajné velikosti sovětské říše, falšuje historii Ruska a Ukrajiny, odmítá Chruščovovu politiku uznání a odsouzení stalinistických zločinů, odvrací se od postoje Gorbačeva, který vzal na vědomí pakt Ribbentrop-Molotov a odsoudil jej, a prohlašuje zhroucení Sovětského svazu za největší tragédii minulého století;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obránci lidských práv jsou našimi hlavními spojenci, pokud jde o obranu a prosazování lidských práv v zahraničí;</w:t>
            </w:r>
            <w:r>
              <w:t xml:space="preserve"> </w:t>
            </w:r>
            <w:r>
              <w:rPr>
                <w:b/>
                <w:i/>
              </w:rPr>
              <w:t>vzhledem k tomu, že obránci lidských práv jsou stále více ohroženi útoky a hrozbami ze strany státních i nestátních subjektů;</w:t>
            </w:r>
            <w:r>
              <w:t xml:space="preserve"> </w:t>
            </w:r>
            <w:r>
              <w:rPr>
                <w:b/>
                <w:i/>
              </w:rPr>
              <w:t>vzhledem k tomu, že Parlament soustavně vyzývá k řádnému a koordinovanému provádění obecných zásad EU týkajících se ochránců lidských práv (2008);</w:t>
            </w:r>
            <w:r>
              <w:t xml:space="preserve"> </w:t>
            </w:r>
            <w:r>
              <w:rPr>
                <w:b/>
                <w:i/>
              </w:rPr>
              <w:t>vzhledem k tomu, že členské státy spolu s orgány EU by měly provádět tyto obecné zásady, které obsahují řadu konkrétních závazků, jako je pravidelné podávání zpráv, koordinace a opatření na podporu obránců lidských práv;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roste geopolitická konfrontace mezi demokraciemi, včetně EU a USA, a autoritářskými a diktátorskými režimy, jako jsou režimy Putina, Si Ťin-pchinga a Kim Čong-una;</w:t>
            </w:r>
            <w:r>
              <w:t xml:space="preserve"> </w:t>
            </w:r>
            <w:r>
              <w:rPr>
                <w:b/>
                <w:i/>
              </w:rPr>
              <w:t>vzhledem k rostoucí spolupráci mezi zeměmi BRICS, která může představovat hrozbu pro hospodářské zájmy Unie a jejích partnerů;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strategická autonomie vyžaduje, aby Evropská unie jednala na světové scéně nezávisle, zejména v zahraniční a bezpečnostní politice;</w:t>
            </w:r>
            <w:r>
              <w:t xml:space="preserve"> </w:t>
            </w:r>
            <w:r>
              <w:rPr>
                <w:b/>
                <w:i/>
              </w:rPr>
              <w:t>vzhledem k tomu, že EU uznala potřebu snížit závislost na vnějších aktérech, zejména na Spojených státech, a to prostřednictvím ochrany svých zájmů v nepředvídatelném a multipolárním světě;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Amor, Sven Mikser, Alessandra Moretti, Yannis Maniatis, Marco Tarquinio, 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EU se musí i nadále posouvat směrem k vlastní a autonomní evropské diplomacii ve všech oblastech, mimo jiné včetně veřejné a kulturní, hospodářské, klimatické, digitální a kybernetické diplomacie, kterou povedou diplomatické služby EU a která bude z pohledu EU určována společnou diplomatickou kulturou;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všechny agentury OSN ztělesňují mezinárodní řád založený na pravidlech, neboť prosazují a provádějí jak literu, tak duch Charty OSN, kterou musí všechny členské státy OSN dodržovat;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Amor, Sven Mikser, Alessandra Moretti, Yannis Maniatis, Marco Tarquinio, 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vzhledem k tomu, že důvěryhodnost a soudržnost EU jsou zásadním požadavkem pro správné provádění její vnější činnosti, neboť posilují důvěru jednotlivých aktérů a třetích zemí vůči EU;</w:t>
            </w:r>
            <w:r>
              <w:t xml:space="preserve"> </w:t>
            </w:r>
            <w:r>
              <w:rPr>
                <w:b/>
                <w:i/>
              </w:rPr>
              <w:t>vzhledem k tomu, že účinnost opatření EU na celém světě je podmíněna zajištěním nejvyšší úrovně koordinace a soudržnosti v rámci vnější činnosti EU;</w:t>
            </w:r>
            <w:r>
              <w:t xml:space="preserve"> </w:t>
            </w:r>
            <w:r>
              <w:rPr>
                <w:b/>
                <w:i/>
              </w:rPr>
              <w:t>vzhledem k tomu, že by měla být posílena koordinace mezi Komisí a ESVČ, zejména kvůli nedostatku provozního rozpočtu ESVČ;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vzhledem k tomu, že kybernetické útoky představují hrozbu pro EU a mise a operace prováděné v rámci její společné bezpečnostní a obranné politiky (SBOP) a obdobně i pro členské státy EU, fungování jejich institucí, volební procesy, jejich hospodářskou a civilní infrastrukturu, vnitřní bezpečnost, vnější vztahy a diplomatické mise;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vzhledem k tomu, že generální tajemník OSN navštívil fórum BRICS v Kazanu;</w:t>
            </w:r>
            <w:r>
              <w:t xml:space="preserve"> </w:t>
            </w:r>
            <w:r>
              <w:rPr>
                <w:b/>
                <w:i/>
              </w:rPr>
              <w:t>vzhledem k tomu, že OSN neplní úlohu, kterou by plnit mělo, konkrétně chránit mír a bezpečnost na základě zásad rovných práv a sebeurčení národů;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vzhledem k tomu, že budoucnost Balkánu a zemí východního sousedství je v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Amor, Sven Mikser, Alessandra Moretti, Yannis Maniatis, Vasile Dîncu, Marco Tarquinio, 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vzhledem k tomu, že globální geopolitická a humanitární krize ukazují, že je zapotřebí, aby si EU zajistila důvěryhodné a přímé informace o existujících a možných vnějších hrozbách, jimž čelí, aby tak byla schopna rychle a účinně reagovat a lépe chránit své zájmy v zahraničí;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vzhledem k tomu, že iniciativa „Pás a cesta“, která je v Číně známá jako „Jeden pás, jedna cesta“, ohrožuje zájmy EU a podkopává SZBP;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vzhledem k tomu, že Kosovu a dialogu pod záštitou EU mezi Bělehradem a Prištinou hrozí destabilizace;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Dd.</w:t>
            </w:r>
            <w:r>
              <w:tab/>
            </w:r>
            <w:r>
              <w:rPr>
                <w:b/>
                <w:i/>
              </w:rPr>
              <w:t>vzhledem k tomu, že zpráva „Společně bezpečnější – posílení civilní a vojenské pohotovosti a připravenosti Evropy“, kterou předložil zvláštní poradce Evropské komise Sauli Niinistö, obsahuje strategická doporučení pro posílení civilní a vojenské připravenosti Evropy s ohledem na eskalující a složité bezpečnostní hrozby;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Dd.</w:t>
            </w:r>
            <w:r>
              <w:tab/>
            </w:r>
            <w:r>
              <w:rPr>
                <w:b/>
                <w:i/>
              </w:rPr>
              <w:t>vzhledem k tomu, že konflikty na Blízkém východě a v Africe způsobují silnější migrační toky do Evropy, což zvyšuje tlak na bezpečnostní systémy;</w:t>
            </w:r>
            <w:r>
              <w:t xml:space="preserve"> </w:t>
            </w:r>
            <w:r>
              <w:rPr>
                <w:b/>
                <w:i/>
              </w:rPr>
              <w:t>vzhledem k tomu, že nelegální migrace je zbraní v arzenálu třetích zemí s cílem destabilizovat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De.</w:t>
            </w:r>
            <w:r>
              <w:tab/>
            </w:r>
            <w:r>
              <w:rPr>
                <w:b/>
                <w:i/>
              </w:rPr>
              <w:t>vzhledem k tomu, že důsledky změny klimatu budou mít stále větší dopad na oblasti lidského života, včetně geopolitického uspořádání a stability světa;</w:t>
            </w:r>
            <w:r>
              <w:t xml:space="preserve"> </w:t>
            </w:r>
            <w:r>
              <w:rPr>
                <w:b/>
                <w:i/>
              </w:rPr>
              <w:t>vzhledem k tomu, že je nesmírně důležité, aby se boj proti změně klimatu, nutnost přijmout opatření v této oblasti a pomoc těm, kteří jsou jejími důsledky nejvíce postiženi, staly základem evropské zahraniční politiky;</w:t>
            </w:r>
            <w:r>
              <w:t xml:space="preserve"> </w:t>
            </w:r>
            <w:r>
              <w:rPr>
                <w:b/>
                <w:i/>
              </w:rPr>
              <w:t>zdůrazňuje zásadní roli, kterou musí Komise a členské státy společným postupem sehrát při prosazování diplomacie v oblasti klimatu na celosvětové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765.258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42</w:t>
    </w:r>
    <w:r>
      <w:fldChar w:fldCharType="end"/>
    </w:r>
    <w:r>
      <w:tab/>
    </w:r>
    <w:r>
      <w:rPr>
        <w:rStyle w:val="HideTWBExt"/>
      </w:rPr>
      <w:t>&lt;PathFdR&gt;</w:t>
    </w:r>
    <w:r>
      <w:t>AM\1309577CS.docx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AM\1309577CS.docx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765.258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AM\1309577CS.docx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765.258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42</Pages>
  <Words>8182</Words>
  <Characters>46574</Characters>
  <Application>Microsoft Office Word</Application>
  <DocSecurity>0</DocSecurity>
  <Lines>1</Lines>
  <Paragraphs>749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1309577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96291</vt:lpwstr>
  </property>
  <property fmtid="{D5CDD505-2E9C-101B-9397-08002B2CF9AE}" pid="7" name="dmxml.render.traceId">
    <vt:lpwstr>67501c3c09d2767feb28c798846845db</vt:lpwstr>
  </property>
  <property fmtid="{D5CDD505-2E9C-101B-9397-08002B2CF9AE}" pid="8" name="FooterPath">
    <vt:lpwstr>AM\1309577CS.docx</vt:lpwstr>
  </property>
  <property fmtid="{D5CDD505-2E9C-101B-9397-08002B2CF9AE}" pid="9" name="PE Number">
    <vt:lpwstr>765.258</vt:lpwstr>
  </property>
  <property fmtid="{D5CDD505-2E9C-101B-9397-08002B2CF9AE}" pid="10" name="UID">
    <vt:lpwstr>eu.europa.europarl-DIN1-2024-0000051285_01.00-cs-01.00_text-xml</vt:lpwstr>
  </property>
</Properties>
</file>