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Udenrigsudvalget</w:t>
      </w:r>
      <w:r>
        <w:rPr>
          <w:rStyle w:val="HideTWBExt"/>
        </w:rPr>
        <w:t>&lt;/Commission&gt;</w:t>
      </w:r>
    </w:p>
    <w:p>
      <w:pPr>
        <w:pStyle w:val="LineBottom"/>
      </w:pPr>
      <w:r>
        <w:t xml:space="preserve"> </w:t>
      </w:r>
    </w:p>
    <w:p>
      <w:pPr>
        <w:pStyle w:val="CoverReference"/>
      </w:pPr>
      <w:r>
        <w:rPr>
          <w:rStyle w:val="HideTWBExt"/>
        </w:rPr>
        <w:t>&lt;RefProc&gt;</w:t>
      </w:r>
      <w:r>
        <w:t>2024/2080</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{08/11/2024}</w:t>
      </w:r>
      <w:r>
        <w:t>8.11.2024</w:t>
      </w:r>
      <w:r>
        <w:rPr>
          <w:rStyle w:val="HideTWBExt"/>
        </w:rPr>
        <w:t>&lt;/Date&gt;</w:t>
      </w:r>
    </w:p>
    <w:p>
      <w:pPr>
        <w:pStyle w:val="CoverDocType"/>
      </w:pPr>
      <w:r>
        <w:rPr>
          <w:rStyle w:val="HideTWBExt"/>
        </w:rPr>
        <w:t>&lt;TypeAM&gt;</w:t>
      </w:r>
      <w:r>
        <w:t>ÆNDRINGSFORSLAG</w:t>
      </w:r>
      <w:r>
        <w:rPr>
          <w:rStyle w:val="HideTWBExt"/>
        </w:rPr>
        <w:t>&lt;/TypeAM&gt;</w:t>
      </w:r>
    </w:p>
    <w:p>
      <w:pPr>
        <w:pStyle w:val="CoverDocType24a"/>
      </w:pPr>
      <w:r>
        <w:rPr>
          <w:rStyle w:val="HideTWBExt"/>
        </w:rPr>
        <w:t>&lt;RangeAM&gt;</w:t>
      </w:r>
      <w:r>
        <w:t>1</w:t>
      </w:r>
      <w:r>
        <w:t xml:space="preserve"> - </w:t>
      </w:r>
      <w:r>
        <w:t>88</w:t>
      </w:r>
      <w:r>
        <w:rPr>
          <w:rStyle w:val="HideTWBExt"/>
        </w:rPr>
        <w:t>&lt;/RangeAM&gt;</w:t>
      </w:r>
    </w:p>
    <w:p>
      <w:pPr>
        <w:pStyle w:val="CoverBold"/>
      </w:pPr>
      <w:r>
        <w:rPr>
          <w:rStyle w:val="HideTWBExt"/>
        </w:rPr>
        <w:t>&lt;TitreType&gt;</w:t>
      </w:r>
      <w:r>
        <w:t>Udkast til betænkning</w:t>
      </w:r>
      <w:r>
        <w:rPr>
          <w:rStyle w:val="HideTWBExt"/>
        </w:rPr>
        <w:t>&lt;/TitreType&gt;</w:t>
      </w:r>
    </w:p>
    <w:p>
      <w:pPr>
        <w:pStyle w:val="CoverBold"/>
      </w:pPr>
      <w:r>
        <w:rPr>
          <w:rStyle w:val="HideTWBExt"/>
        </w:rPr>
        <w:t>&lt;Rapporteur&gt;</w:t>
      </w:r>
      <w:r>
        <w:t>David McAllister</w:t>
      </w:r>
      <w:r>
        <w:rPr>
          <w:rStyle w:val="HideTWBExt"/>
        </w:rPr>
        <w:t>&lt;/Rapporteur&gt;</w:t>
      </w:r>
    </w:p>
    <w:p>
      <w:pPr>
        <w:pStyle w:val="CoverNormal24a"/>
      </w:pPr>
      <w:r>
        <w:rPr>
          <w:rStyle w:val="HideTWBExt"/>
        </w:rPr>
        <w:t>&lt;DocRefPE&gt;</w:t>
      </w:r>
      <w:r>
        <w:t>(PE765.084v01-00)</w:t>
      </w:r>
      <w:r>
        <w:rPr>
          <w:rStyle w:val="HideTWBExt"/>
        </w:rPr>
        <w:t>&lt;/DocRefPE&gt;</w:t>
      </w:r>
    </w:p>
    <w:p>
      <w:pPr>
        <w:pStyle w:val="CoverNormal"/>
      </w:pPr>
      <w:r>
        <w:rPr>
          <w:rStyle w:val="HideTWBExt"/>
        </w:rPr>
        <w:t>&lt;Titre&gt;</w:t>
      </w:r>
      <w:r>
        <w:t>Gennemførelse af den fælles udenrigs- og sikkerhedspolitik – årlig betænkning 2024</w:t>
      </w:r>
      <w:r>
        <w:rPr>
          <w:rStyle w:val="HideTWBExt"/>
        </w:rPr>
        <w:t>&lt;/Titre&gt;</w:t>
      </w:r>
    </w:p>
    <w:p>
      <w:pPr>
        <w:pStyle w:val="CoverNormal24a"/>
      </w:pPr>
      <w:r>
        <w:rPr>
          <w:rStyle w:val="HideTWBExt"/>
        </w:rPr>
        <w:t>&lt;DocRef&gt;</w:t>
      </w:r>
      <w:r>
        <w:t>(2024/2080(INI))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Ændringsforslag</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David McAllister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4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kommissionsformandens politiske retningslinjer for 2024-2029,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4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erklæringen fra topmødet mellem EU og CELAC 2023, der blev vedtaget den 18. juli 2023,</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Emmanouil Fragkos, Galato Alexandraki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5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beslutningen af 26. november 2020 om optrapning af spændingerne i Varosha efter Tyrkiets ulovlige og forfærdelige handlinger og det presserende behov for at tackle dem effektivt,</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5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15. april 2015 om hundredåret for det armenske folkedrab,</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Emmanouil Fragkos, Galato Alexandraki, 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5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Rådets fælles holdning 2008/944/FUSP om eksport af våben, der kan anvendes til intern undertrykkelse og aggression mod tredjelande,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Marco Tarquinio, 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6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rapporten af 9. maj 2022 om det endelige resultat af konferencen om Europas fremtid,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sine beslutninger af 24. oktober 2024 om situationen i Aserbajdsjan, krænkelse af menneskerettighederne og folkeretten og forbindelserne med Armenien og til sin beslutning af 5. oktober 2023 om situationen i Nagorno-Karabakh efter Aserbajdsjans angreb og de fortsatte trusler mod Armenien,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Rådets afgørelse (FUSP) 2019/797 af 17. maj 2019 om restriktive foranstaltninger til bekæmpelse af cyberangreb, der truer Unionen og dens medlemsstater,</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EUT L 129I af 17.5.2019, s.</w:t>
            </w:r>
            <w:r>
              <w:t xml:space="preserve"> </w:t>
            </w:r>
            <w:r>
              <w:rPr>
                <w:b/>
                <w:i/>
              </w:rPr>
              <w:t>13, ELI:</w:t>
            </w:r>
            <w:r>
              <w:t xml:space="preserve"> </w:t>
            </w:r>
            <w:r>
              <w:rPr>
                <w:b/>
                <w:i/>
              </w:rPr>
              <w:t>http://data.europa.eu/eli/dec/2019/797/oj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Vasile Dîncu, Marco Tarquinio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9.oktober 2024 om styrkelse af Moldovas modstandskraft mod russisk indblanding forud for det kommende præsidentvalg og en forfatningsmæssig folkeafstemning om EU-integration,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beslutning af 24. oktober 2024 om Folkerepublikken Kinas fejlagtige fortolkning af FN-resolution 2758 og landets fortsatte militære provokationer omkring Taiwan,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Hannah Neumann</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EU's handlingsplan om ligestilling mellem kønnene og styrkelse af kvinders indflydelse og status i eksterne forbindelser 2021‑2025 (EU's kønshandlingsplan III),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Adam Bielan, Mariusz Kamiński, Michał Dworczyk</w:t>
      </w:r>
      <w:r>
        <w:rPr>
          <w:rStyle w:val="HideTWBExt"/>
          <w:b w:val="0"/>
        </w:rPr>
        <w:t>&lt;/Members&gt;</w:t>
      </w:r>
    </w:p>
    <w:p>
      <w:r>
        <w:rPr>
          <w:rStyle w:val="HideTWBExt"/>
          <w:b w:val="0"/>
        </w:rPr>
        <w:t>&lt;AuNomDe&gt;</w:t>
      </w:r>
      <w:r>
        <w:rPr>
          <w:rStyle w:val="HideTWBInt"/>
        </w:rPr>
        <w:t>{ECR}</w:t>
      </w:r>
      <w:r>
        <w:t>for ECR-Gruppen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NATO's strategiske koncept fra 2022, som blev vedtaget den 29. juni 2022,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Andrey Kovatchev, Rasa Juknevičienė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sine beslutninger om historiebevidsthed, herunder sine beslutning af 2. april 2009 om europæisk samvittighed og totalitarisme, af 19. september 2019 om betydningen af europæisk historiebevidsthed for Europas fremtid (2019/2819 (RSP)) og af 15. december 2022 om 90 år efter Holodomor:</w:t>
            </w:r>
            <w:r>
              <w:t xml:space="preserve"> </w:t>
            </w:r>
            <w:r>
              <w:rPr>
                <w:b/>
                <w:i/>
              </w:rPr>
              <w:t>anerkendelse af massedrabene som følge af hungersnød som folkedrab (2022/3001 (RSP)) [MBS1] [MBS1] fra beslutningen om instrumentalisering af historien,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Marco Tarquinio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FN's resolution 70/1 med titlen "Ændring af vores samfund: 2030-dagsordenen for bæredygtig udvikling "(2030-dagsordenen), som blev vedtaget på FN-topmødet om bæredygtig udvikling den 25. september 2015 i New York og fastsætter verdensmålene for bæredygtig udvikling,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beslutning af 17. januar 2024 om sikkerheds- og forsvarsmæssige konsekvenser af Kinas indflydelse på kritisk infrastruktur i Den Europæiske Union (2023/2072(INI)),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Hannah Neumann</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EU's retningslinjer vedrørende menneskerettighedsforkæmpere;</w:t>
            </w:r>
            <w:r>
              <w:t xml:space="preserve"> </w:t>
            </w:r>
            <w:r>
              <w:rPr>
                <w:b/>
                <w:i/>
              </w:rPr>
              <w:t>vedtaget i 2004, ajourført i 2008 og yderligere præciseret med en vejledning fra 2020 om retningslinjernes gennemførelse,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den fælles meddelelse til Europa-Parlamentets og Rådets JOIN 2020/18 (final) EU's strategi for cybersikkerhed for det digitale årti,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Kommissionens meddelelse af 30. oktober 2024 med titlen "EU's udvidelsespolitik 2024" (COM(2024)0690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Sauli Niinistös rapport af 30. oktober 2024 "Styrkelse af Europas civile og militære beredskab og parathed",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Kommissionens henstilling af 3. oktober 2023 om teknologiområder af kritisk betydning for EU's økonomiske sikkerhed med henblik på yderligere risikovurdering sammen med medlemsstaterne,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 udvidelsesrapporter for 2024, som Kommissionen fremlagde den 30. oktober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Europa-Parlamentets og Rådets forordning (EU) 2024/1449 af 14. maj 2024 om oprettelse af reform- og vækstfaciliteten for Vestbalkan,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Kommissionens meddelelse af 20. juni 2023 om en europæisk økonomisk sikkerhedsstrategi JOIN(2023)20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 beslutning af 1. juni 2023 om udenlandsk indblanding, herunder spredning af desinformation, i alle demokratiske processer i Den Europæiske Union (2022/2075(INI)),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7 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sine beslutninger om tilfælde af krænkelser af menneskerettighederne, demokratiet og retsstatsprincippet vedtaget i henhold til forretningsordenens artikel 144,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artikel 4, stk. 2, i traktaten om Den Europæiske Union, som sikrer, at Unionen respekterer staternes væsentlige funktioner, herunder beskyttelse af den nationale sikkerhed, som forbliver den enkelte medlemsstats eneansvar,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associeringsaftalen mellem EU og Israel af 21. juni 2000,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aftalens artikel 42, stk. 2, hvori det hedder, at EU's fælles sikkerheds- og forsvarspolitik skal overholde de forpligtelser, der følger af NATO-tilsagn, og ikke må erstatte det nationale forsvar,</w:t>
            </w:r>
            <w:r>
              <w:t xml:space="preserve"> </w:t>
            </w:r>
            <w:r>
              <w:rPr>
                <w:b/>
                <w:i/>
              </w:rPr>
              <w:t>og at beslutningen om at deltage i forsvars- og sikkerhedsoperationer er frivillig, idet medlemsstaternes autonomi bevares,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den rådgivende udtalelse fra Den Internationale Domstol i dens resolution A/RES/77/247 om "israelsk praksis, der påvirker det palæstinensiske folks menneskerettigheder i de besatte palæstinensiske områder, herunder Østjerusalem",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artikel 24, stk. 1, heri, hvori det fastslås, at EU's optræden udadtil, herunder sikkerhedspolitikken, skal respektere princippet om "lighed mellem medlemsstaterne", hvilket indebærer, at der ikke kan pålægges en obligatorisk fælles forsvarspolitik,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meddelelse fra anklageren ved Den Internationale Straffedomstol, Karim A.A.</w:t>
            </w:r>
            <w:r>
              <w:t xml:space="preserve"> </w:t>
            </w:r>
            <w:r>
              <w:rPr>
                <w:b/>
                <w:i/>
              </w:rPr>
              <w:t>Khan KC,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artikel 51 i De Forenede Nationers pagt, som fastsætter retten til individuelt eller kollektivt selvforsvar for FN's medlemsstater i tilfælde af væbnede angreb, indtil Sikkerhedsrådet har truffet foranstaltninger til at opretholde international fred og sikkerhed,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Romstatutten for Den Internationale Straffedomstol,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artikel 2, stk. 4, og artikel 2, stk. 7, heri, som forhindrer FN i at gribe ind i spørgsmål, der henhører under medlemsstaternes nationale jurisdiktion, under hensyntagen til national suverænitet,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aftalen mellem EU og Den Internationale Straffedomstol (ICC),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OSCE's Helsingforsslutakt (1975) i princip VI om ikke-indgriben i interne anliggender og princip VII, som støtter hver enkelt stats ret til at fastlægge sin egen forsvars- og sikkerhedspolitik,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f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Den Internationale Domstols kendelse vedrørende Sydafrikas anmodning om angivelse af midlertidige foranstaltninger,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António Tânger Corrêa, Jordan Bardella, Matthieu Valet, Pierre-Romain Thionnet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den europæiske menneskerettighedskonvention (EMRK) og Europarådet, som understreger respekten for staternes suverænitet ved at sikre, at hvert land internt kan træffe afgørelse om sikkerhedsspørgsmål,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 g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 Forenede Nationers konvention om forebyggelse af og straf for folkedrab fra 1948 og FN's Menneskerettighedsråds resolution 43/29 af 22. juni 2020 om forebyggelse af folkedrab,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9h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FN's Generalforsamlings resolution 302 (IV) (1949),</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9i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sikkerhedsrådsresolution 1701 (2006),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9j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EU's betænkning om en handlingsplan om ligestilling mellem kønnene og styrkelse af kvinders indflydelse og status i EU's optræden udadtil 2021-2025,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9k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Europarådets konvention til forebyggelse og bekæmpelse af vold mod kvinder og vold i hjemmet (Istanbulkonventionen), der trådte i kraft i EU den 1. oktober 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9l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FN's resolution fra 242 (1967),</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der henviser til, at </w:t>
            </w:r>
            <w:r>
              <w:rPr>
                <w:b/>
                <w:i/>
              </w:rPr>
              <w:t>tempoet i de</w:t>
            </w:r>
            <w:r>
              <w:t xml:space="preserve"> geopolitiske forandringer </w:t>
            </w:r>
            <w:r>
              <w:rPr>
                <w:b/>
                <w:i/>
              </w:rPr>
              <w:t>er dramatisk, idet</w:t>
            </w:r>
            <w:r>
              <w:t xml:space="preserve"> autokratiske </w:t>
            </w:r>
            <w:r>
              <w:rPr>
                <w:b/>
                <w:i/>
              </w:rPr>
              <w:t>aktører arbejder</w:t>
            </w:r>
            <w:r>
              <w:t xml:space="preserve"> individuelt og </w:t>
            </w:r>
            <w:r>
              <w:rPr>
                <w:b/>
                <w:i/>
              </w:rPr>
              <w:t>gennem samordnet handling for at undergrave den</w:t>
            </w:r>
            <w:r>
              <w:t xml:space="preserve"> regelbaserede </w:t>
            </w:r>
            <w:r>
              <w:rPr>
                <w:b/>
                <w:i/>
              </w:rPr>
              <w:t>internationale</w:t>
            </w:r>
            <w:r>
              <w:t xml:space="preserve"> orden og dens multilaterale </w:t>
            </w:r>
            <w:r>
              <w:rPr>
                <w:b/>
                <w:i/>
              </w:rPr>
              <w:t>organisationer;</w:t>
            </w:r>
            <w:r>
              <w:t xml:space="preserve"> </w:t>
            </w:r>
            <w:r>
              <w:rPr>
                <w:b/>
                <w:i/>
              </w:rPr>
              <w:t>der henviser til, at konflikter udbredes, og at</w:t>
            </w:r>
            <w:r>
              <w:t xml:space="preserve"> magtanvendelsen i stigende grad </w:t>
            </w:r>
            <w:r>
              <w:rPr>
                <w:b/>
                <w:i/>
              </w:rPr>
              <w:t>normaliseres</w:t>
            </w:r>
            <w:r>
              <w:t xml:space="preserve"> som et </w:t>
            </w:r>
            <w:r>
              <w:rPr>
                <w:b/>
                <w:i/>
              </w:rPr>
              <w:t>middel</w:t>
            </w:r>
            <w:r>
              <w:t xml:space="preserve"> til at forfølge politiske mål </w:t>
            </w:r>
            <w:r>
              <w:rPr>
                <w:b/>
                <w:i/>
              </w:rPr>
              <w:t>af både stater og</w:t>
            </w:r>
            <w:r>
              <w:t xml:space="preserve"> ikkestatslige aktører;</w:t>
            </w:r>
          </w:p>
        </w:tc>
        <w:tc>
          <w:tcPr>
            <w:tcW w:w="4876" w:type="dxa"/>
            <w:tcBorders>
              <w:top w:val="nil"/>
              <w:left w:val="nil"/>
              <w:bottom w:val="nil"/>
              <w:right w:val="nil"/>
            </w:tcBorders>
          </w:tcPr>
          <w:p>
            <w:pPr>
              <w:pStyle w:val="Normal6a"/>
            </w:pPr>
            <w:r>
              <w:t>A.</w:t>
            </w:r>
            <w:r>
              <w:tab/>
            </w:r>
            <w:r>
              <w:t xml:space="preserve">der henviser til, at </w:t>
            </w:r>
            <w:r>
              <w:rPr>
                <w:b/>
                <w:i/>
              </w:rPr>
              <w:t>verden står over for hurtige</w:t>
            </w:r>
            <w:r>
              <w:t xml:space="preserve"> geopolitiske forandringer </w:t>
            </w:r>
            <w:r>
              <w:rPr>
                <w:b/>
                <w:i/>
              </w:rPr>
              <w:t>med</w:t>
            </w:r>
            <w:r>
              <w:t xml:space="preserve"> autokratiske </w:t>
            </w:r>
            <w:r>
              <w:rPr>
                <w:b/>
                <w:i/>
              </w:rPr>
              <w:t>magter, både</w:t>
            </w:r>
            <w:r>
              <w:t xml:space="preserve"> individuelt og </w:t>
            </w:r>
            <w:r>
              <w:rPr>
                <w:b/>
                <w:i/>
              </w:rPr>
              <w:t>i en koordineret indsats, der aktivt udfordrer den internationale</w:t>
            </w:r>
            <w:r>
              <w:t xml:space="preserve"> regelbaserede orden og dens multilaterale </w:t>
            </w:r>
            <w:r>
              <w:rPr>
                <w:b/>
                <w:i/>
              </w:rPr>
              <w:t>institutioner;</w:t>
            </w:r>
            <w:r>
              <w:t xml:space="preserve"> </w:t>
            </w:r>
            <w:r>
              <w:rPr>
                <w:b/>
                <w:i/>
              </w:rPr>
              <w:t>og efterhånden som konflikterne vokser, behandles</w:t>
            </w:r>
            <w:r>
              <w:t xml:space="preserve"> magtanvendelsen i stigende grad som et </w:t>
            </w:r>
            <w:r>
              <w:rPr>
                <w:b/>
                <w:i/>
              </w:rPr>
              <w:t>standardredskab</w:t>
            </w:r>
            <w:r>
              <w:t xml:space="preserve"> til at forfølge politiske mål</w:t>
            </w:r>
            <w:r>
              <w:rPr>
                <w:b/>
                <w:i/>
              </w:rPr>
              <w:t>, der ikke kun udvides af stater, men også af en bredere vifte af</w:t>
            </w:r>
            <w:r>
              <w:t xml:space="preserve"> ikkestatslige aktører;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der henviser til, at tempoet i de geopolitiske forandringer er dramatisk, idet autokratiske aktører arbejder individuelt og gennem samordnet handling for at undergrave den regelbaserede internationale orden </w:t>
            </w:r>
            <w:r>
              <w:rPr>
                <w:b/>
                <w:i/>
              </w:rPr>
              <w:t>og</w:t>
            </w:r>
            <w:r>
              <w:t xml:space="preserve"> dens multilaterale organisationer; der henviser til, at konflikter udbredes, og at magtanvendelsen i stigende grad normaliseres som et middel til at forfølge politiske mål af både stater og ikkestatslige aktører;</w:t>
            </w:r>
          </w:p>
        </w:tc>
        <w:tc>
          <w:tcPr>
            <w:tcW w:w="4876" w:type="dxa"/>
            <w:tcBorders>
              <w:top w:val="nil"/>
              <w:left w:val="nil"/>
              <w:bottom w:val="nil"/>
              <w:right w:val="nil"/>
            </w:tcBorders>
          </w:tcPr>
          <w:p>
            <w:pPr>
              <w:pStyle w:val="Normal6a"/>
            </w:pPr>
            <w:r>
              <w:t>A.</w:t>
            </w:r>
            <w:r>
              <w:tab/>
            </w:r>
            <w:r>
              <w:t>der henviser til, at tempoet i de geopolitiske forandringer er dramatisk, idet autokratiske aktører arbejder individuelt og gennem samordnet handling for at undergrave den regelbaserede internationale orden</w:t>
            </w:r>
            <w:r>
              <w:rPr>
                <w:b/>
                <w:i/>
              </w:rPr>
              <w:t>,</w:t>
            </w:r>
            <w:r>
              <w:t xml:space="preserve"> dens multilaterale organisationer </w:t>
            </w:r>
            <w:r>
              <w:rPr>
                <w:b/>
                <w:i/>
              </w:rPr>
              <w:t>og den globale sikkerhed</w:t>
            </w:r>
            <w:r>
              <w:t xml:space="preserve">; der henviser til, at konflikter udbredes, og at magtanvendelsen i stigende grad normaliseres som et middel til at forfølge politiske mål af både stater og ikkestatslige aktører; </w:t>
            </w:r>
            <w:r>
              <w:rPr>
                <w:b/>
                <w:i/>
              </w:rPr>
              <w:t>der henviser til, at Den Europæiske Union er nødt til at styrke de transatlantiske forbindelser og opbygge konstruktive partnerskaber med ligesindede partnere i det globale syd;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der henviser til, at tempoet i de geopolitiske forandringer er dramatisk, idet autokratiske aktører arbejder individuelt og </w:t>
            </w:r>
            <w:r>
              <w:rPr>
                <w:b/>
                <w:i/>
              </w:rPr>
              <w:t>gennem samordnet handling</w:t>
            </w:r>
            <w:r>
              <w:t xml:space="preserve"> for at undergrave den regelbaserede internationale orden og </w:t>
            </w:r>
            <w:r>
              <w:rPr>
                <w:b/>
                <w:i/>
              </w:rPr>
              <w:t>dens</w:t>
            </w:r>
            <w:r>
              <w:t xml:space="preserve"> multilaterale organisationer; der henviser til, at konflikter udbredes, og at magtanvendelsen i stigende grad normaliseres som et middel til at forfølge politiske mål af både stater og ikkestatslige aktører;</w:t>
            </w:r>
          </w:p>
        </w:tc>
        <w:tc>
          <w:tcPr>
            <w:tcW w:w="4876" w:type="dxa"/>
            <w:tcBorders>
              <w:top w:val="nil"/>
              <w:left w:val="nil"/>
              <w:bottom w:val="nil"/>
              <w:right w:val="nil"/>
            </w:tcBorders>
          </w:tcPr>
          <w:p>
            <w:pPr>
              <w:pStyle w:val="Normal6a"/>
            </w:pPr>
            <w:r>
              <w:t>A.</w:t>
            </w:r>
            <w:r>
              <w:tab/>
            </w:r>
            <w:r>
              <w:t xml:space="preserve">der henviser til, at tempoet i de geopolitiske forandringer er dramatisk, idet </w:t>
            </w:r>
            <w:r>
              <w:rPr>
                <w:b/>
                <w:i/>
              </w:rPr>
              <w:t>kommunistiske, diktatoriske og</w:t>
            </w:r>
            <w:r>
              <w:t xml:space="preserve"> autokratiske aktører </w:t>
            </w:r>
            <w:r>
              <w:rPr>
                <w:b/>
                <w:i/>
              </w:rPr>
              <w:t>såsom Rusland, Kina, Iran, Cuba, Venezuela og Nordkorea</w:t>
            </w:r>
            <w:r>
              <w:t xml:space="preserve"> arbejder individuelt og </w:t>
            </w:r>
            <w:r>
              <w:rPr>
                <w:b/>
                <w:i/>
              </w:rPr>
              <w:t>i fællesskab</w:t>
            </w:r>
            <w:r>
              <w:t xml:space="preserve"> for at undergrave den regelbaserede internationale orden og </w:t>
            </w:r>
            <w:r>
              <w:rPr>
                <w:b/>
                <w:i/>
              </w:rPr>
              <w:t>dets</w:t>
            </w:r>
            <w:r>
              <w:t xml:space="preserve"> multilaterale organisationer</w:t>
            </w:r>
            <w:r>
              <w:rPr>
                <w:b/>
                <w:i/>
              </w:rPr>
              <w:t>;</w:t>
            </w:r>
            <w:r>
              <w:t xml:space="preserve"> </w:t>
            </w:r>
            <w:r>
              <w:rPr>
                <w:b/>
                <w:i/>
              </w:rPr>
              <w:t>der henviser til, at disse aktørers krænkelser af menneskerettighederne er blevet intensiveret</w:t>
            </w:r>
            <w:r>
              <w:t>; der henviser til, at konflikter udbredes, og at magtanvendelsen i stigende grad normaliseres som et middel til at forfølge politiske mål af både stater og ikkestatslige aktører;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der henviser til, at tempoet i de geopolitiske forandringer er dramatisk, idet autokratiske aktører arbejder individuelt og gennem samordnet handling for at undergrave den regelbaserede internationale orden </w:t>
            </w:r>
            <w:r>
              <w:rPr>
                <w:b/>
                <w:i/>
              </w:rPr>
              <w:t>og dens multilaterale organisationer</w:t>
            </w:r>
            <w:r>
              <w:t>; der henviser til, at konflikter udbredes, og at magtanvendelsen i stigende grad normaliseres som et middel til at forfølge politiske mål af både stater og ikkestatslige aktører;</w:t>
            </w:r>
          </w:p>
        </w:tc>
        <w:tc>
          <w:tcPr>
            <w:tcW w:w="4876" w:type="dxa"/>
            <w:tcBorders>
              <w:top w:val="nil"/>
              <w:left w:val="nil"/>
              <w:bottom w:val="nil"/>
              <w:right w:val="nil"/>
            </w:tcBorders>
          </w:tcPr>
          <w:p>
            <w:pPr>
              <w:pStyle w:val="Normal6a"/>
            </w:pPr>
            <w:r>
              <w:t>A.</w:t>
            </w:r>
            <w:r>
              <w:tab/>
            </w:r>
            <w:r>
              <w:t>der henviser til, at tempoet i de geopolitiske forandringer er dramatisk, idet autokratiske aktører arbejder individuelt og gennem samordnet handling for at undergrave den regelbaserede internationale orden</w:t>
            </w:r>
            <w:r>
              <w:rPr>
                <w:b/>
                <w:i/>
              </w:rPr>
              <w:t>, multilaterale organisationer, folkeretten, demokratiske institutioner og samfund samt vores alliancer</w:t>
            </w:r>
            <w:r>
              <w:t>; der henviser til, at konflikter udbredes, og at magtanvendelsen i stigende grad normaliseres som et middel til at forfølge politiske mål af både stater og ikkestatslige aktører;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Michael von der Schulenburg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der henviser til, at tempoet i de geopolitiske forandringer er dramatisk</w:t>
            </w:r>
            <w:r>
              <w:rPr>
                <w:b/>
                <w:i/>
              </w:rPr>
              <w:t>, idet autokratiske aktører arbejder individuelt og gennem samordnet handling for at undergrave den regelbaserede internationale orden og dens multilaterale organisationer</w:t>
            </w:r>
            <w:r>
              <w:t xml:space="preserve">; der henviser til, at konflikter udbredes, og at </w:t>
            </w:r>
            <w:r>
              <w:rPr>
                <w:b/>
                <w:i/>
              </w:rPr>
              <w:t>magtanvendelsen i stigende grad</w:t>
            </w:r>
            <w:r>
              <w:t xml:space="preserve"> normaliseres som et middel til at forfølge politiske mål af både stater og ikkestatslige aktører;</w:t>
            </w:r>
          </w:p>
        </w:tc>
        <w:tc>
          <w:tcPr>
            <w:tcW w:w="4876" w:type="dxa"/>
            <w:tcBorders>
              <w:top w:val="nil"/>
              <w:left w:val="nil"/>
              <w:bottom w:val="nil"/>
              <w:right w:val="nil"/>
            </w:tcBorders>
          </w:tcPr>
          <w:p>
            <w:pPr>
              <w:pStyle w:val="Normal6a"/>
            </w:pPr>
            <w:r>
              <w:t>A.</w:t>
            </w:r>
            <w:r>
              <w:tab/>
            </w:r>
            <w:r>
              <w:t xml:space="preserve">der henviser til, at tempoet i de geopolitiske forandringer er dramatisk </w:t>
            </w:r>
            <w:r>
              <w:rPr>
                <w:b/>
                <w:i/>
              </w:rPr>
              <w:t>og udgør trusler mod freden på det europæiske kontinent og globalt</w:t>
            </w:r>
            <w:r>
              <w:t xml:space="preserve">; der henviser til, at konflikter udbredes, og at </w:t>
            </w:r>
            <w:r>
              <w:rPr>
                <w:b/>
                <w:i/>
              </w:rPr>
              <w:t>magtanvendelse</w:t>
            </w:r>
            <w:r>
              <w:t xml:space="preserve"> normaliseres som et middel til at forfølge politiske mål af både stater og ikkestatslige aktører;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der henviser til, at tempoet i de geopolitiske forandringer er dramatisk, idet </w:t>
            </w:r>
            <w:r>
              <w:rPr>
                <w:b/>
                <w:i/>
              </w:rPr>
              <w:t>autokratiske</w:t>
            </w:r>
            <w:r>
              <w:t xml:space="preserve"> aktører arbejder individuelt og gennem samordnet handling for at undergrave den </w:t>
            </w:r>
            <w:r>
              <w:rPr>
                <w:b/>
                <w:i/>
              </w:rPr>
              <w:t>regelbaserede</w:t>
            </w:r>
            <w:r>
              <w:t xml:space="preserve"> internationale orden og dens multilaterale organisationer; der henviser til, at konflikter udbredes, og at magtanvendelsen i stigende grad normaliseres som et middel til at forfølge politiske mål af både stater og ikkestatslige aktører;</w:t>
            </w:r>
          </w:p>
        </w:tc>
        <w:tc>
          <w:tcPr>
            <w:tcW w:w="4876" w:type="dxa"/>
            <w:tcBorders>
              <w:top w:val="nil"/>
              <w:left w:val="nil"/>
              <w:bottom w:val="nil"/>
              <w:right w:val="nil"/>
            </w:tcBorders>
          </w:tcPr>
          <w:p>
            <w:pPr>
              <w:pStyle w:val="Normal6a"/>
            </w:pPr>
            <w:r>
              <w:t>A.</w:t>
            </w:r>
            <w:r>
              <w:tab/>
            </w:r>
            <w:r>
              <w:t xml:space="preserve">der henviser til, at tempoet i de geopolitiske forandringer er dramatisk, idet </w:t>
            </w:r>
            <w:r>
              <w:rPr>
                <w:b/>
                <w:i/>
              </w:rPr>
              <w:t>betydelige</w:t>
            </w:r>
            <w:r>
              <w:t xml:space="preserve"> aktører arbejder individuelt og gennem samordnet handling for at undergrave den </w:t>
            </w:r>
            <w:r>
              <w:rPr>
                <w:b/>
                <w:i/>
              </w:rPr>
              <w:t>nuværende</w:t>
            </w:r>
            <w:r>
              <w:t xml:space="preserve"> internationale orden og dens multilaterale organisationer; der henviser til, at konflikter udbredes, og at magtanvendelsen i stigende grad normaliseres som et middel til at forfølge politiske mål af både stater og ikkestatslige aktører;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der henviser til, at EU står over for en hastig stigning i antallet af nye trusler ved sine grænser og på sit område, der destabiliserer dets funktion, navnlig målrettet desinformation, cyberangreb og hybride angreb, instrumentalisering af migrationsstrømme ud over international islamisk terrorisme og religiøs radikalisme;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den geopolitiske kontekst, </w:t>
            </w:r>
            <w:r>
              <w:rPr>
                <w:b/>
                <w:i/>
              </w:rPr>
              <w:t>hvori</w:t>
            </w:r>
            <w:r>
              <w:t xml:space="preserve"> EU opererer</w:t>
            </w:r>
            <w:r>
              <w:rPr>
                <w:b/>
                <w:i/>
              </w:rPr>
              <w:t>, har fremhævet</w:t>
            </w:r>
            <w:r>
              <w:t xml:space="preserve"> behovet for en mere </w:t>
            </w:r>
            <w:r>
              <w:rPr>
                <w:b/>
                <w:i/>
              </w:rPr>
              <w:t>ambitiøs, troværdig og forenet EU-handlingsplan på verdensscenen og understreget nødvendigheden af, at medlemsstaterne demonstrerer den påkrævede politiske vilje til at omdefinere den fælles udenrigs- og sikkerhedspolitik (FUSP) til en fuldt udbygget EU-politik;</w:t>
            </w:r>
            <w:r>
              <w:t xml:space="preserve"> </w:t>
            </w:r>
            <w:r>
              <w:rPr>
                <w:b/>
                <w:i/>
              </w:rPr>
              <w:t>der henviser til, at EU bør ledsages i sin optræden udadtil af</w:t>
            </w:r>
            <w:r>
              <w:t xml:space="preserve"> de værdier og principper, der er </w:t>
            </w:r>
            <w:r>
              <w:rPr>
                <w:b/>
                <w:i/>
              </w:rPr>
              <w:t>forankret</w:t>
            </w:r>
            <w:r>
              <w:t xml:space="preserve"> i artikel </w:t>
            </w:r>
            <w:r>
              <w:rPr>
                <w:b/>
                <w:i/>
              </w:rPr>
              <w:t>2, artikel 3, stk. 5</w:t>
            </w:r>
            <w:r>
              <w:t xml:space="preserve">, og artikel </w:t>
            </w:r>
            <w:r>
              <w:rPr>
                <w:b/>
                <w:i/>
              </w:rPr>
              <w:t>21 i traktaten om Den Europæiske Union, der har inspireret EU's egen skabelse, udvikling og udvidelse;</w:t>
            </w:r>
            <w:r>
              <w:t xml:space="preserve"> </w:t>
            </w:r>
            <w:r>
              <w:rPr>
                <w:b/>
                <w:i/>
              </w:rPr>
              <w:t>der henviser til, at EU tilsvarende bør forsvare frihed og demokratiske standarder i hele verden samt menneskerettighedernes universalitet</w:t>
            </w:r>
            <w:r>
              <w:t>;</w:t>
            </w:r>
          </w:p>
        </w:tc>
        <w:tc>
          <w:tcPr>
            <w:tcW w:w="4876" w:type="dxa"/>
            <w:tcBorders>
              <w:top w:val="nil"/>
              <w:left w:val="nil"/>
              <w:bottom w:val="nil"/>
              <w:right w:val="nil"/>
            </w:tcBorders>
          </w:tcPr>
          <w:p>
            <w:pPr>
              <w:pStyle w:val="Normal6a"/>
            </w:pPr>
            <w:r>
              <w:t>B.</w:t>
            </w:r>
            <w:r>
              <w:tab/>
            </w:r>
            <w:r>
              <w:t xml:space="preserve">der henviser til, at den geopolitiske kontekst, </w:t>
            </w:r>
            <w:r>
              <w:rPr>
                <w:b/>
                <w:i/>
              </w:rPr>
              <w:t>som</w:t>
            </w:r>
            <w:r>
              <w:t xml:space="preserve"> EU opererer </w:t>
            </w:r>
            <w:r>
              <w:rPr>
                <w:b/>
                <w:i/>
              </w:rPr>
              <w:t>i, har øget</w:t>
            </w:r>
            <w:r>
              <w:t xml:space="preserve"> behovet for en mere </w:t>
            </w:r>
            <w:r>
              <w:rPr>
                <w:b/>
                <w:i/>
              </w:rPr>
              <w:t>koordineret EU-tilstedeværelse baseret på flere alliancer snarere end rigide blokke i overensstemmelse med</w:t>
            </w:r>
            <w:r>
              <w:t xml:space="preserve"> de værdier og principper, der er </w:t>
            </w:r>
            <w:r>
              <w:rPr>
                <w:b/>
                <w:i/>
              </w:rPr>
              <w:t>nedfældet</w:t>
            </w:r>
            <w:r>
              <w:t xml:space="preserve"> i artikel </w:t>
            </w:r>
            <w:r>
              <w:rPr>
                <w:b/>
                <w:i/>
              </w:rPr>
              <w:t>4, stk. 2</w:t>
            </w:r>
            <w:r>
              <w:t xml:space="preserve">, og artikel </w:t>
            </w:r>
            <w:r>
              <w:rPr>
                <w:b/>
                <w:i/>
              </w:rPr>
              <w:t>42, stk. 2, i TEU, som ligger til grund for dets oprettelse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Michael von der Schulenburg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den geopolitiske kontekst, </w:t>
            </w:r>
            <w:r>
              <w:rPr>
                <w:b/>
                <w:i/>
              </w:rPr>
              <w:t>hvori</w:t>
            </w:r>
            <w:r>
              <w:t xml:space="preserve"> EU opererer</w:t>
            </w:r>
            <w:r>
              <w:rPr>
                <w:b/>
                <w:i/>
              </w:rPr>
              <w:t>, har fremhævet</w:t>
            </w:r>
            <w:r>
              <w:t xml:space="preserve"> behovet for </w:t>
            </w:r>
            <w:r>
              <w:rPr>
                <w:b/>
                <w:i/>
              </w:rPr>
              <w:t>en mere ambitiøs, troværdig og forenet EU-handlingsplan på verdensscenen og understreget nødvendigheden af, at medlemsstaterne demonstrerer den påkrævede politiske vilje til at omdefinere den fælles udenrigs- og sikkerhedspolitik (FUSP)</w:t>
            </w:r>
            <w:r>
              <w:t xml:space="preserve"> til en </w:t>
            </w:r>
            <w:r>
              <w:rPr>
                <w:b/>
                <w:i/>
              </w:rPr>
              <w:t>fuldt udbygget EU-politik;</w:t>
            </w:r>
            <w:r>
              <w:t xml:space="preserve"> </w:t>
            </w:r>
            <w:r>
              <w:rPr>
                <w:b/>
                <w:i/>
              </w:rPr>
              <w:t>der henviser til, at EU bør ledsages i sin optræden udadtil af de værdier og principper, der er forankret i artikel 2, artikel 3, stk. 5, og artikel 21 i traktaten om Den Europæiske Union, der har inspireret EU's egen skabelse, udvikling og udvidelse;</w:t>
            </w:r>
            <w:r>
              <w:t xml:space="preserve"> </w:t>
            </w:r>
            <w:r>
              <w:rPr>
                <w:b/>
                <w:i/>
              </w:rPr>
              <w:t>der henviser til, at EU tilsvarende bør forsvare frihed og demokratiske standarder i hele verden samt menneskerettighedernes universalitet</w:t>
            </w:r>
            <w:r>
              <w:t>;</w:t>
            </w:r>
          </w:p>
        </w:tc>
        <w:tc>
          <w:tcPr>
            <w:tcW w:w="4876" w:type="dxa"/>
            <w:tcBorders>
              <w:top w:val="nil"/>
              <w:left w:val="nil"/>
              <w:bottom w:val="nil"/>
              <w:right w:val="nil"/>
            </w:tcBorders>
          </w:tcPr>
          <w:p>
            <w:pPr>
              <w:pStyle w:val="Normal6a"/>
            </w:pPr>
            <w:r>
              <w:t>B.</w:t>
            </w:r>
            <w:r>
              <w:tab/>
            </w:r>
            <w:r>
              <w:t xml:space="preserve">der henviser til, at den geopolitiske kontekst, </w:t>
            </w:r>
            <w:r>
              <w:rPr>
                <w:b/>
                <w:i/>
              </w:rPr>
              <w:t>som</w:t>
            </w:r>
            <w:r>
              <w:t xml:space="preserve"> EU opererer </w:t>
            </w:r>
            <w:r>
              <w:rPr>
                <w:b/>
                <w:i/>
              </w:rPr>
              <w:t>i, har forstærket</w:t>
            </w:r>
            <w:r>
              <w:t xml:space="preserve"> behovet for</w:t>
            </w:r>
            <w:r>
              <w:rPr>
                <w:b/>
                <w:i/>
              </w:rPr>
              <w:t>, at EU engagerer sig i nye politikker og tiltag, der ændrer kurs fra skadelig og kontraproduktiv militarisme</w:t>
            </w:r>
            <w:r>
              <w:t xml:space="preserve"> til en</w:t>
            </w:r>
            <w:r>
              <w:rPr>
                <w:b/>
                <w:i/>
              </w:rPr>
              <w:t>, hvor EU og dets medlemsstater i fællesskab og konsekvent styrker deres engagement i multilateralisme og diplomati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Kinga Gál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den geopolitiske kontekst, </w:t>
            </w:r>
            <w:r>
              <w:rPr>
                <w:b/>
                <w:i/>
              </w:rPr>
              <w:t>hvori</w:t>
            </w:r>
            <w:r>
              <w:t xml:space="preserve"> EU opererer</w:t>
            </w:r>
            <w:r>
              <w:rPr>
                <w:b/>
                <w:i/>
              </w:rPr>
              <w:t>, har fremhævet</w:t>
            </w:r>
            <w:r>
              <w:t xml:space="preserve"> behovet for en mere ambitiøs, troværdig og </w:t>
            </w:r>
            <w:r>
              <w:rPr>
                <w:b/>
                <w:i/>
              </w:rPr>
              <w:t>forenet EU-handlingsplan på verdensscenen og understreget nødvendigheden af, at medlemsstaterne demonstrerer den påkrævede politiske vilje</w:t>
            </w:r>
            <w:r>
              <w:t xml:space="preserve"> til at </w:t>
            </w:r>
            <w:r>
              <w:rPr>
                <w:b/>
                <w:i/>
              </w:rPr>
              <w:t>omdefinere den fælles udenrigs- og sikkerhedspolitik (FUSP) til en</w:t>
            </w:r>
            <w:r>
              <w:t xml:space="preserve"> fuldt </w:t>
            </w:r>
            <w:r>
              <w:rPr>
                <w:b/>
                <w:i/>
              </w:rPr>
              <w:t>udbygget EU-politik</w:t>
            </w:r>
            <w:r>
              <w:t xml:space="preserve">; der henviser til, at EU bør ledsages i sin optræden udadtil af de værdier og principper, der er forankret i artikel 2, artikel 3, stk. 5, og artikel 21 i </w:t>
            </w:r>
            <w:r>
              <w:rPr>
                <w:b/>
                <w:i/>
              </w:rPr>
              <w:t>traktaten om Den Europæiske Union</w:t>
            </w:r>
            <w:r>
              <w:t>, der har inspireret EU's egen skabelse, udvikling og udvidelse; der henviser til, at EU tilsvarende bør forsvare frihed og demokratiske standarder i hele verden samt menneskerettighedernes universalitet;</w:t>
            </w:r>
          </w:p>
        </w:tc>
        <w:tc>
          <w:tcPr>
            <w:tcW w:w="4876" w:type="dxa"/>
            <w:tcBorders>
              <w:top w:val="nil"/>
              <w:left w:val="nil"/>
              <w:bottom w:val="nil"/>
              <w:right w:val="nil"/>
            </w:tcBorders>
          </w:tcPr>
          <w:p>
            <w:pPr>
              <w:pStyle w:val="Normal6a"/>
            </w:pPr>
            <w:r>
              <w:t>B.</w:t>
            </w:r>
            <w:r>
              <w:tab/>
            </w:r>
            <w:r>
              <w:t xml:space="preserve">der henviser til, at den geopolitiske kontekst, </w:t>
            </w:r>
            <w:r>
              <w:rPr>
                <w:b/>
                <w:i/>
              </w:rPr>
              <w:t>som</w:t>
            </w:r>
            <w:r>
              <w:t xml:space="preserve"> EU opererer </w:t>
            </w:r>
            <w:r>
              <w:rPr>
                <w:b/>
                <w:i/>
              </w:rPr>
              <w:t>i, har understreget</w:t>
            </w:r>
            <w:r>
              <w:t xml:space="preserve"> behovet for en mere ambitiøs, troværdig og </w:t>
            </w:r>
            <w:r>
              <w:rPr>
                <w:b/>
                <w:i/>
              </w:rPr>
              <w:t>samlet EU-indsats på den internationale scene, idet der også tages hensyn til, at enstemmighed på FUSP-området er fastsat i traktaterne og tjener som et væsentligt element</w:t>
            </w:r>
            <w:r>
              <w:t xml:space="preserve"> til at </w:t>
            </w:r>
            <w:r>
              <w:rPr>
                <w:b/>
                <w:i/>
              </w:rPr>
              <w:t>sikre national suverænitet inden for EU's udenrigspolitiske rammer;</w:t>
            </w:r>
            <w:r>
              <w:t xml:space="preserve"> </w:t>
            </w:r>
            <w:r>
              <w:rPr>
                <w:b/>
                <w:i/>
              </w:rPr>
              <w:t>der henviser til, at opretholdelse af enstemmighed for udenrigspolitiske beslutninger er afgørende, da enhver anden tilgang kan tvinge landene til at tilpasse sig holdninger, de måske ikke</w:t>
            </w:r>
            <w:r>
              <w:t xml:space="preserve"> fuldt </w:t>
            </w:r>
            <w:r>
              <w:rPr>
                <w:b/>
                <w:i/>
              </w:rPr>
              <w:t>ud støtter, og med beslutninger, der i uforholdsmæssig høj grad påvirkes af større eller mere magtfulde EU-medlemmer</w:t>
            </w:r>
            <w:r>
              <w:t xml:space="preserve">; der henviser til, at EU bør ledsages i sin optræden udadtil af de værdier og principper, der er forankret i artikel 2, artikel 3, stk. 5, og artikel 21 i </w:t>
            </w:r>
            <w:r>
              <w:rPr>
                <w:b/>
                <w:i/>
              </w:rPr>
              <w:t>TEU</w:t>
            </w:r>
            <w:r>
              <w:t>, der har inspireret EU's egen skabelse, udvikling og udvidelse; der henviser til, at EU tilsvarende bør forsvare frihed og demokratiske standarder i hele verden samt menneskerettighedernes universalitet;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Sebastiaan Stöteler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den geopolitiske kontekst, </w:t>
            </w:r>
            <w:r>
              <w:rPr>
                <w:b/>
                <w:i/>
              </w:rPr>
              <w:t>hvori</w:t>
            </w:r>
            <w:r>
              <w:t xml:space="preserve"> EU opererer</w:t>
            </w:r>
            <w:r>
              <w:rPr>
                <w:b/>
                <w:i/>
              </w:rPr>
              <w:t>, har fremhævet</w:t>
            </w:r>
            <w:r>
              <w:t xml:space="preserve"> behovet for en </w:t>
            </w:r>
            <w:r>
              <w:rPr>
                <w:b/>
                <w:i/>
              </w:rPr>
              <w:t>mere ambitiøs,</w:t>
            </w:r>
            <w:r>
              <w:t xml:space="preserve"> troværdig </w:t>
            </w:r>
            <w:r>
              <w:rPr>
                <w:b/>
                <w:i/>
              </w:rPr>
              <w:t>og forenet EU-handlingsplan</w:t>
            </w:r>
            <w:r>
              <w:t xml:space="preserve"> på verdensscenen </w:t>
            </w:r>
            <w:r>
              <w:rPr>
                <w:b/>
                <w:i/>
              </w:rPr>
              <w:t>og understreget nødvendigheden af, at medlemsstaterne demonstrerer den påkrævede politiske vilje til at omdefinere den fælles udenrigs- og sikkerhedspolitik (FUSP) til en fuldt udbygget EU-politik</w:t>
            </w:r>
            <w:r>
              <w:t xml:space="preserve">; der henviser til, at EU bør ledsages i sin optræden udadtil af de værdier og principper, der er forankret i artikel 2, artikel 3, stk. 5, og artikel 21 i </w:t>
            </w:r>
            <w:r>
              <w:rPr>
                <w:b/>
                <w:i/>
              </w:rPr>
              <w:t>traktaten om Den Europæiske Union</w:t>
            </w:r>
            <w:r>
              <w:t>, der har inspireret EU's egen skabelse, udvikling og udvidelse; der henviser til, at EU tilsvarende bør forsvare frihed og demokratiske standarder i hele verden samt menneskerettighedernes universalitet;</w:t>
            </w:r>
          </w:p>
        </w:tc>
        <w:tc>
          <w:tcPr>
            <w:tcW w:w="4876" w:type="dxa"/>
            <w:tcBorders>
              <w:top w:val="nil"/>
              <w:left w:val="nil"/>
              <w:bottom w:val="nil"/>
              <w:right w:val="nil"/>
            </w:tcBorders>
          </w:tcPr>
          <w:p>
            <w:pPr>
              <w:pStyle w:val="Normal6a"/>
            </w:pPr>
            <w:r>
              <w:t>B.</w:t>
            </w:r>
            <w:r>
              <w:tab/>
            </w:r>
            <w:r>
              <w:t xml:space="preserve">der henviser til, at den geopolitiske kontekst, </w:t>
            </w:r>
            <w:r>
              <w:rPr>
                <w:b/>
                <w:i/>
              </w:rPr>
              <w:t>som</w:t>
            </w:r>
            <w:r>
              <w:t xml:space="preserve"> EU opererer </w:t>
            </w:r>
            <w:r>
              <w:rPr>
                <w:b/>
                <w:i/>
              </w:rPr>
              <w:t>i, har forstærket</w:t>
            </w:r>
            <w:r>
              <w:t xml:space="preserve"> behovet for en troværdig </w:t>
            </w:r>
            <w:r>
              <w:rPr>
                <w:b/>
                <w:i/>
              </w:rPr>
              <w:t>EU-indsats</w:t>
            </w:r>
            <w:r>
              <w:t xml:space="preserve"> på verdensscenen; der henviser til, at EU bør ledsages i sin optræden udadtil af de værdier og principper, der er forankret i artikel 2, artikel 3, stk. 5, og artikel 21 i </w:t>
            </w:r>
            <w:r>
              <w:rPr>
                <w:b/>
                <w:i/>
              </w:rPr>
              <w:t>TEU</w:t>
            </w:r>
            <w:r>
              <w:t>, der har inspireret EU's egen skabelse, udvikling og udvidelse; der henviser til, at EU tilsvarende bør forsvare frihed og demokratiske standarder i hele verden samt menneskerettighedernes universalitet;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Miriam Lexmann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den geopolitiske kontekst, hvori EU opererer, har fremhævet behovet for en mere ambitiøs, troværdig og forenet EU-handlingsplan på verdensscenen og understreget nødvendigheden af, at medlemsstaterne demonstrerer den påkrævede politiske vilje til at omdefinere den fælles udenrigs- og sikkerhedspolitik (FUSP) til en fuldt udbygget EU-politik; der henviser til, at EU bør ledsages i sin optræden udadtil af de værdier og principper, der er forankret i artikel 2, artikel 3, stk. 5, og artikel 21 i </w:t>
            </w:r>
            <w:r>
              <w:rPr>
                <w:b/>
                <w:i/>
              </w:rPr>
              <w:t>traktaten om Den Europæiske Union</w:t>
            </w:r>
            <w:r>
              <w:t xml:space="preserve">, der har inspireret EU's egen skabelse, udvikling og udvidelse; der henviser til, at </w:t>
            </w:r>
            <w:r>
              <w:rPr>
                <w:b/>
                <w:i/>
              </w:rPr>
              <w:t>EU tilsvarende bør</w:t>
            </w:r>
            <w:r>
              <w:t xml:space="preserve"> forsvare frihed og demokratiske standarder i hele verden samt menneskerettighedernes universalitet;</w:t>
            </w:r>
          </w:p>
        </w:tc>
        <w:tc>
          <w:tcPr>
            <w:tcW w:w="4876" w:type="dxa"/>
            <w:tcBorders>
              <w:top w:val="nil"/>
              <w:left w:val="nil"/>
              <w:bottom w:val="nil"/>
              <w:right w:val="nil"/>
            </w:tcBorders>
          </w:tcPr>
          <w:p>
            <w:pPr>
              <w:pStyle w:val="Normal6a"/>
            </w:pPr>
            <w:r>
              <w:t>B.</w:t>
            </w:r>
            <w:r>
              <w:tab/>
            </w:r>
            <w:r>
              <w:t>der henviser til, at den geopolitiske kontekst, hvori EU opererer, har fremhævet behovet for en mere ambitiøs, troværdig og forenet EU-handlingsplan på verdensscenen og understreget nødvendigheden af, at medlemsstaterne demonstrerer den påkrævede politiske vilje til at omdefinere den fælles udenrigs- og sikkerhedspolitik (FUSP) til en fuldt udbygget EU-politik</w:t>
            </w:r>
            <w:r>
              <w:rPr>
                <w:b/>
                <w:i/>
              </w:rPr>
              <w:t>, hvorigennem EU kan tackle de centrale geopolitiske udfordringer;</w:t>
            </w:r>
            <w:r>
              <w:t xml:space="preserve"> </w:t>
            </w:r>
            <w:r>
              <w:rPr>
                <w:b/>
                <w:i/>
              </w:rPr>
              <w:t>beklager uoverensstemmelserne mellem EU's ord og handlinger på verdensscenen</w:t>
            </w:r>
            <w:r>
              <w:t xml:space="preserve">; der henviser til, at EU bør ledsages i sin optræden udadtil af de værdier og principper, der er forankret i artikel 2, artikel 3, stk. 5, og artikel 21 i </w:t>
            </w:r>
            <w:r>
              <w:rPr>
                <w:b/>
                <w:i/>
              </w:rPr>
              <w:t>TEU</w:t>
            </w:r>
            <w:r>
              <w:t xml:space="preserve">, der har inspireret EU's egen skabelse, udvikling og udvidelse; der henviser til, at </w:t>
            </w:r>
            <w:r>
              <w:rPr>
                <w:b/>
                <w:i/>
              </w:rPr>
              <w:t>det er i EU's interesse at</w:t>
            </w:r>
            <w:r>
              <w:t xml:space="preserve"> forsvare frihed og demokratiske standarder i hele verden samt menneskerettighedernes universalitet;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der henviser til, at den geopolitiske kontekst, hvori EU opererer, har fremhævet behovet for en mere ambitiøs, troværdig og forenet EU-handlingsplan på verdensscenen og understreget nødvendigheden af, at medlemsstaterne demonstrerer den påkrævede politiske vilje til at omdefinere den fælles udenrigs- og sikkerhedspolitik (FUSP) til en fuldt udbygget EU-politik</w:t>
            </w:r>
            <w:r>
              <w:rPr>
                <w:b/>
                <w:i/>
              </w:rPr>
              <w:t>;</w:t>
            </w:r>
            <w:r>
              <w:t xml:space="preserve"> der henviser til, at EU bør ledsages i sin optræden udadtil af de værdier og principper, der er forankret i artikel 2, artikel 3, stk. 5, og artikel 21 i </w:t>
            </w:r>
            <w:r>
              <w:rPr>
                <w:b/>
                <w:i/>
              </w:rPr>
              <w:t>traktaten om Den Europæiske Union</w:t>
            </w:r>
            <w:r>
              <w:t>, der har inspireret EU's egen skabelse, udvikling og udvidelse; der henviser til, at EU tilsvarende bør forsvare frihed og demokratiske standarder i hele verden samt menneskerettighedernes universalitet;</w:t>
            </w:r>
          </w:p>
        </w:tc>
        <w:tc>
          <w:tcPr>
            <w:tcW w:w="4876" w:type="dxa"/>
            <w:tcBorders>
              <w:top w:val="nil"/>
              <w:left w:val="nil"/>
              <w:bottom w:val="nil"/>
              <w:right w:val="nil"/>
            </w:tcBorders>
          </w:tcPr>
          <w:p>
            <w:pPr>
              <w:pStyle w:val="Normal6a"/>
            </w:pPr>
            <w:r>
              <w:t>B.</w:t>
            </w:r>
            <w:r>
              <w:tab/>
            </w:r>
            <w:r>
              <w:t>der henviser til, at den geopolitiske kontekst, hvori EU opererer, har fremhævet behovet for en mere ambitiøs, troværdig og forenet EU-handlingsplan på verdensscenen og understreget nødvendigheden af, at medlemsstaterne demonstrerer den påkrævede politiske vilje til at omdefinere den fælles udenrigs- og sikkerhedspolitik (FUSP) til en fuldt udbygget EU-politik</w:t>
            </w:r>
            <w:r>
              <w:rPr>
                <w:b/>
                <w:i/>
              </w:rPr>
              <w:t>, der er godkendt af medlemsstaterne som de primære aktører i udenrigspolitikken</w:t>
            </w:r>
            <w:r>
              <w:t xml:space="preserve"> der henviser til, at EU bør ledsages i sin optræden udadtil af de værdier og principper, der er forankret i artikel 2, artikel 3, stk. 5, og artikel 21 i </w:t>
            </w:r>
            <w:r>
              <w:rPr>
                <w:b/>
                <w:i/>
              </w:rPr>
              <w:t>TEU</w:t>
            </w:r>
            <w:r>
              <w:t>, der har inspireret EU's egen skabelse, udvikling og udvidelse; der henviser til, at EU tilsvarende bør forsvare frihed og demokratiske standarder i hele verden samt menneskerettighedernes universalitet;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Marco Tarquinio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den geopolitiske kontekst, hvori EU opererer, har fremhævet behovet for en mere ambitiøs, troværdig og forenet EU-handlingsplan på verdensscenen og understreget nødvendigheden af, at medlemsstaterne demonstrerer den påkrævede politiske vilje til at omdefinere den fælles udenrigs- og sikkerhedspolitik (FUSP) til en fuldt udbygget EU-politik; der henviser til, at EU bør ledsages i sin optræden udadtil af de værdier og principper, der er forankret i artikel 2, artikel 3, stk. 5, og artikel 21 i </w:t>
            </w:r>
            <w:r>
              <w:rPr>
                <w:b/>
                <w:i/>
              </w:rPr>
              <w:t>traktaten om Den Europæiske Union</w:t>
            </w:r>
            <w:r>
              <w:t>, der har inspireret EU's egen skabelse, udvikling og udvidelse; der henviser til, at EU tilsvarende bør forsvare frihed og demokratiske standarder i hele verden samt menneskerettighedernes universalitet;</w:t>
            </w:r>
          </w:p>
        </w:tc>
        <w:tc>
          <w:tcPr>
            <w:tcW w:w="4876" w:type="dxa"/>
            <w:tcBorders>
              <w:top w:val="nil"/>
              <w:left w:val="nil"/>
              <w:bottom w:val="nil"/>
              <w:right w:val="nil"/>
            </w:tcBorders>
          </w:tcPr>
          <w:p>
            <w:pPr>
              <w:pStyle w:val="Normal6a"/>
            </w:pPr>
            <w:r>
              <w:t>B.</w:t>
            </w:r>
            <w:r>
              <w:tab/>
            </w:r>
            <w:r>
              <w:t>der henviser til, at den geopolitiske kontekst, hvori EU opererer, har fremhævet behovet for en mere ambitiøs, troværdig</w:t>
            </w:r>
            <w:r>
              <w:rPr>
                <w:b/>
                <w:i/>
              </w:rPr>
              <w:t>, beslutsom</w:t>
            </w:r>
            <w:r>
              <w:t xml:space="preserve"> og forenet EU-handlingsplan </w:t>
            </w:r>
            <w:r>
              <w:rPr>
                <w:b/>
                <w:i/>
              </w:rPr>
              <w:t>samt en fuldstændig EU-udenrigspolitik</w:t>
            </w:r>
            <w:r>
              <w:t xml:space="preserve"> på verdensscenen og understreget nødvendigheden af, at medlemsstaterne demonstrerer den påkrævede politiske vilje til at omdefinere den fælles udenrigs- og sikkerhedspolitik (FUSP) til en fuldt udbygget EU-politik; der henviser til, at EU bør ledsages i sin optræden udadtil af de værdier og principper, der er forankret i artikel 2, artikel 3, stk. 5, og artikel 21 i </w:t>
            </w:r>
            <w:r>
              <w:rPr>
                <w:b/>
                <w:i/>
              </w:rPr>
              <w:t>TEU</w:t>
            </w:r>
            <w:r>
              <w:t>, der har inspireret EU's egen skabelse, udvikling og udvidelse; der henviser til, at EU tilsvarende bør forsvare frihed og demokratiske standarder i hele verden samt menneskerettighedernes universalitet;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Mariusz Kamiński, Adam Bielan, Michał Dworczyk</w:t>
      </w:r>
      <w:r>
        <w:rPr>
          <w:rStyle w:val="HideTWBExt"/>
          <w:b w:val="0"/>
        </w:rPr>
        <w:t>&lt;/Members&gt;</w:t>
      </w:r>
    </w:p>
    <w:p>
      <w:r>
        <w:rPr>
          <w:rStyle w:val="HideTWBExt"/>
          <w:b w:val="0"/>
        </w:rPr>
        <w:t>&lt;AuNomDe&gt;</w:t>
      </w:r>
      <w:r>
        <w:rPr>
          <w:rStyle w:val="HideTWBInt"/>
        </w:rPr>
        <w:t>{ECR}</w:t>
      </w:r>
      <w:r>
        <w:t>for ECR-Gruppen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den geopolitiske kontekst, hvori EU opererer, har fremhævet behovet for en mere ambitiøs, troværdig og forenet EU-handlingsplan på verdensscenen og understreget nødvendigheden af, at medlemsstaterne demonstrerer den påkrævede politiske vilje til at </w:t>
            </w:r>
            <w:r>
              <w:rPr>
                <w:b/>
                <w:i/>
              </w:rPr>
              <w:t>omdefinere den fælles udenrigs- og sikkerhedspolitik (FUSP) til en fuldt udbygget EU-politik</w:t>
            </w:r>
            <w:r>
              <w:t xml:space="preserve">; der henviser til, at EU bør ledsages i sin optræden udadtil af de værdier og principper, der er forankret i artikel 2, artikel 3, stk. 5, og artikel 21 i </w:t>
            </w:r>
            <w:r>
              <w:rPr>
                <w:b/>
                <w:i/>
              </w:rPr>
              <w:t>traktaten om Den Europæiske Union</w:t>
            </w:r>
            <w:r>
              <w:t>, der har inspireret EU's egen skabelse, udvikling og udvidelse; der henviser til, at EU tilsvarende bør forsvare frihed og demokratiske standarder i hele verden samt menneskerettighedernes universalitet;</w:t>
            </w:r>
          </w:p>
        </w:tc>
        <w:tc>
          <w:tcPr>
            <w:tcW w:w="4876" w:type="dxa"/>
            <w:tcBorders>
              <w:top w:val="nil"/>
              <w:left w:val="nil"/>
              <w:bottom w:val="nil"/>
              <w:right w:val="nil"/>
            </w:tcBorders>
          </w:tcPr>
          <w:p>
            <w:pPr>
              <w:pStyle w:val="Normal6a"/>
            </w:pPr>
            <w:r>
              <w:t>B.</w:t>
            </w:r>
            <w:r>
              <w:tab/>
            </w:r>
            <w:r>
              <w:t xml:space="preserve">der henviser til, at den geopolitiske kontekst, hvori EU opererer, har fremhævet behovet for en mere ambitiøs, troværdig og forenet EU-handlingsplan på verdensscenen og understreget nødvendigheden af, at medlemsstaterne demonstrerer den påkrævede politiske vilje til at </w:t>
            </w:r>
            <w:r>
              <w:rPr>
                <w:b/>
                <w:i/>
              </w:rPr>
              <w:t>genopbygge deres forsvarskapacitet og samtidig styrker EU's transatlantiske forbindelser og partnerskab med ligesindede lande</w:t>
            </w:r>
            <w:r>
              <w:t xml:space="preserve">; der henviser til, at EU bør ledsages i sin optræden udadtil af de værdier og principper, der er forankret i artikel 2, artikel 3, stk. 5, og artikel 21 i </w:t>
            </w:r>
            <w:r>
              <w:rPr>
                <w:b/>
                <w:i/>
              </w:rPr>
              <w:t>TEU</w:t>
            </w:r>
            <w:r>
              <w:t>, der har inspireret EU's egen skabelse, udvikling og udvidelse; der henviser til, at EU tilsvarende bør forsvare frihed og demokratiske standarder i hele verden samt menneskerettighedernes universalitet;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Hannah Neumann</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den geopolitiske kontekst, hvori EU opererer, har fremhævet behovet for en mere ambitiøs, troværdig og forenet EU-handlingsplan på verdensscenen og understreget nødvendigheden af, at medlemsstaterne demonstrerer den påkrævede politiske vilje til at omdefinere den fælles udenrigs- og sikkerhedspolitik (FUSP) til en fuldt udbygget EU-politik; der henviser til, at EU bør ledsages i sin optræden udadtil af de værdier og principper, der er forankret i artikel 2, artikel 3, stk. 5, og artikel 21 i </w:t>
            </w:r>
            <w:r>
              <w:rPr>
                <w:b/>
                <w:i/>
              </w:rPr>
              <w:t>traktaten om Den Europæiske Union</w:t>
            </w:r>
            <w:r>
              <w:t xml:space="preserve">, der har inspireret EU's egen skabelse, udvikling og udvidelse; der henviser til, at </w:t>
            </w:r>
            <w:r>
              <w:rPr>
                <w:b/>
                <w:i/>
              </w:rPr>
              <w:t>EU</w:t>
            </w:r>
            <w:r>
              <w:t xml:space="preserve"> tilsvarende bør forsvare frihed og demokratiske standarder </w:t>
            </w:r>
            <w:r>
              <w:rPr>
                <w:b/>
                <w:i/>
              </w:rPr>
              <w:t>i hele verden samt menneskerettighedernes universalitet</w:t>
            </w:r>
            <w:r>
              <w:t>;</w:t>
            </w:r>
          </w:p>
        </w:tc>
        <w:tc>
          <w:tcPr>
            <w:tcW w:w="4876" w:type="dxa"/>
            <w:tcBorders>
              <w:top w:val="nil"/>
              <w:left w:val="nil"/>
              <w:bottom w:val="nil"/>
              <w:right w:val="nil"/>
            </w:tcBorders>
          </w:tcPr>
          <w:p>
            <w:pPr>
              <w:pStyle w:val="Normal6a"/>
            </w:pPr>
            <w:r>
              <w:t>B.</w:t>
            </w:r>
            <w:r>
              <w:tab/>
            </w:r>
            <w:r>
              <w:t xml:space="preserve">der henviser til, at den geopolitiske kontekst, hvori EU opererer, har fremhævet behovet for en mere ambitiøs, troværdig og forenet EU-handlingsplan på verdensscenen og understreget nødvendigheden af, at medlemsstaterne demonstrerer den påkrævede politiske vilje til at omdefinere den fælles udenrigs- og sikkerhedspolitik (FUSP) til en fuldt udbygget EU-politik; der henviser til, at EU bør ledsages i sin optræden udadtil af de værdier og principper, der er forankret i artikel 2, artikel 3, stk. 5, og artikel 21 i </w:t>
            </w:r>
            <w:r>
              <w:rPr>
                <w:b/>
                <w:i/>
              </w:rPr>
              <w:t>TEU</w:t>
            </w:r>
            <w:r>
              <w:t xml:space="preserve">, der har inspireret EU's egen skabelse, udvikling og udvidelse; der henviser til, at </w:t>
            </w:r>
            <w:r>
              <w:rPr>
                <w:b/>
                <w:i/>
              </w:rPr>
              <w:t>Den Europæiske Union</w:t>
            </w:r>
            <w:r>
              <w:t xml:space="preserve"> tilsvarende bør forsvare </w:t>
            </w:r>
            <w:r>
              <w:rPr>
                <w:b/>
                <w:i/>
              </w:rPr>
              <w:t>de universelle værdier, normer og principper såsom</w:t>
            </w:r>
            <w:r>
              <w:t xml:space="preserve"> frihed og demokratiske standarder </w:t>
            </w:r>
            <w:r>
              <w:rPr>
                <w:b/>
                <w:i/>
              </w:rPr>
              <w:t>samt menneskerettigheder og retsstatsprincippet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den geopolitiske kontekst, hvori EU opererer, har fremhævet behovet for en mere ambitiøs, troværdig og </w:t>
            </w:r>
            <w:r>
              <w:rPr>
                <w:b/>
                <w:i/>
              </w:rPr>
              <w:t>forenet</w:t>
            </w:r>
            <w:r>
              <w:t xml:space="preserve"> EU-handlingsplan på verdensscenen og understreget nødvendigheden af, at medlemsstaterne </w:t>
            </w:r>
            <w:r>
              <w:rPr>
                <w:b/>
                <w:i/>
              </w:rPr>
              <w:t>demonstrerer den påkrævede politiske vilje til at omdefinere</w:t>
            </w:r>
            <w:r>
              <w:t xml:space="preserve"> den fælles udenrigs- og sikkerhedspolitik (FUSP) </w:t>
            </w:r>
            <w:r>
              <w:rPr>
                <w:b/>
                <w:i/>
              </w:rPr>
              <w:t>til en fuldt udbygget EU-politik</w:t>
            </w:r>
            <w:r>
              <w:t xml:space="preserve">; der henviser til, at EU bør ledsages i sin optræden udadtil af de værdier og principper, der er forankret i artikel 2, artikel 3, stk. 5, og artikel 21 i </w:t>
            </w:r>
            <w:r>
              <w:rPr>
                <w:b/>
                <w:i/>
              </w:rPr>
              <w:t>traktaten om Den Europæiske Union</w:t>
            </w:r>
            <w:r>
              <w:t>, der har inspireret EU's egen skabelse, udvikling og udvidelse; der henviser til, at EU tilsvarende bør forsvare frihed og demokratiske standarder i hele verden samt menneskerettighedernes universalitet;</w:t>
            </w:r>
          </w:p>
        </w:tc>
        <w:tc>
          <w:tcPr>
            <w:tcW w:w="4876" w:type="dxa"/>
            <w:tcBorders>
              <w:top w:val="nil"/>
              <w:left w:val="nil"/>
              <w:bottom w:val="nil"/>
              <w:right w:val="nil"/>
            </w:tcBorders>
          </w:tcPr>
          <w:p>
            <w:pPr>
              <w:pStyle w:val="Normal6a"/>
            </w:pPr>
            <w:r>
              <w:t>B.</w:t>
            </w:r>
            <w:r>
              <w:tab/>
            </w:r>
            <w:r>
              <w:t xml:space="preserve">der henviser til, at den geopolitiske kontekst, hvori EU opererer, har fremhævet behovet for en mere ambitiøs, troværdig og </w:t>
            </w:r>
            <w:r>
              <w:rPr>
                <w:b/>
                <w:i/>
              </w:rPr>
              <w:t>koordineret</w:t>
            </w:r>
            <w:r>
              <w:t xml:space="preserve"> EU-handlingsplan på verdensscenen og understreget nødvendigheden af, at medlemsstaterne </w:t>
            </w:r>
            <w:r>
              <w:rPr>
                <w:b/>
                <w:i/>
              </w:rPr>
              <w:t>ajourfører</w:t>
            </w:r>
            <w:r>
              <w:t xml:space="preserve"> den fælles udenrigs- og sikkerhedspolitik (FUSP); der henviser til, at EU bør ledsages i sin optræden udadtil af de værdier og principper, der er forankret i artikel 2, artikel 3, stk. 5, og artikel 21 i </w:t>
            </w:r>
            <w:r>
              <w:rPr>
                <w:b/>
                <w:i/>
              </w:rPr>
              <w:t>TEU</w:t>
            </w:r>
            <w:r>
              <w:t>, der har inspireret EU's egen skabelse, udvikling og udvidelse; der henviser til, at EU tilsvarende bør forsvare frihed og demokratiske standarder i hele verden samt menneskerettighedernes universalitet;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der henviser til, at den geopolitiske kontekst, hvori EU opererer, har fremhævet behovet for en mere ambitiøs, troværdig og forenet EU-handlingsplan på verdensscenen og understreget nødvendigheden af, at medlemsstaterne demonstrerer den påkrævede politiske vilje til at omdefinere den fælles udenrigs- og sikkerhedspolitik (FUSP) til en fuldt udbygget EU-politik; der henviser til, at EU bør ledsages i sin optræden udadtil af de værdier og principper, der er forankret i artikel 2, artikel 3, stk. 5, og artikel 21 i </w:t>
            </w:r>
            <w:r>
              <w:rPr>
                <w:b/>
                <w:i/>
              </w:rPr>
              <w:t>traktaten om Den Europæiske Union</w:t>
            </w:r>
            <w:r>
              <w:t xml:space="preserve">, der har inspireret EU's egen skabelse, udvikling og udvidelse; der henviser til, at EU tilsvarende bør forsvare frihed og demokratiske standarder </w:t>
            </w:r>
            <w:r>
              <w:rPr>
                <w:b/>
                <w:i/>
              </w:rPr>
              <w:t>i hele verden</w:t>
            </w:r>
            <w:r>
              <w:t xml:space="preserve"> samt menneskerettighedernes universalitet;</w:t>
            </w:r>
          </w:p>
        </w:tc>
        <w:tc>
          <w:tcPr>
            <w:tcW w:w="4876" w:type="dxa"/>
            <w:tcBorders>
              <w:top w:val="nil"/>
              <w:left w:val="nil"/>
              <w:bottom w:val="nil"/>
              <w:right w:val="nil"/>
            </w:tcBorders>
          </w:tcPr>
          <w:p>
            <w:pPr>
              <w:pStyle w:val="Normal6a"/>
            </w:pPr>
            <w:r>
              <w:t>B.</w:t>
            </w:r>
            <w:r>
              <w:tab/>
            </w:r>
            <w:r>
              <w:t xml:space="preserve">der henviser til, at den geopolitiske kontekst, hvori EU opererer, har fremhævet behovet for en mere ambitiøs, troværdig og forenet EU-handlingsplan på verdensscenen og understreget nødvendigheden af, at medlemsstaterne demonstrerer den påkrævede politiske vilje til at omdefinere den fælles udenrigs- og sikkerhedspolitik (FUSP) til en fuldt udbygget EU-politik; der henviser til, at EU bør ledsages i sin optræden udadtil af de værdier og principper, der er forankret i artikel 2, artikel 3, stk. 5, og artikel 21 i </w:t>
            </w:r>
            <w:r>
              <w:rPr>
                <w:b/>
                <w:i/>
              </w:rPr>
              <w:t>TEU</w:t>
            </w:r>
            <w:r>
              <w:t xml:space="preserve">, der har inspireret EU's egen skabelse, udvikling og udvidelse; der henviser til, at EU tilsvarende bør forsvare frihed og demokratiske standarder </w:t>
            </w:r>
            <w:r>
              <w:rPr>
                <w:b/>
                <w:i/>
              </w:rPr>
              <w:t>på sit område</w:t>
            </w:r>
            <w:r>
              <w:t xml:space="preserve"> samt menneskerettighedernes universalitet;</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Carlo Fidanza, Alberico Gambino, 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der henviser til, at strategiske partnerskaber og aftaler mellem EU og oprindelses- og transitlande, såsom dem mellem EU og Tunesien, Egypten og Mauretanien, har vist sig at være en vellykket model for forebyggelse af irregulær migration og bekæmpelse af migrantsmuglere;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der henviser til, at Ruslands angrebskrig bekræftede NATO's rolle som fundamentet for europæisk sikkerhed og stadfæstede USA's lederskab og Det Forenede Kongeriges rolle for den europæiske sikkerhed, og at et stærkt transatlantisk bånd er uundværligt;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Nathalie Loiseau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understreger, at resultaterne af præsident- og kongresvalgene i USA kan signalere viljen til mindre engagement i globale anliggender, navnlig i og med Europa;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Hannah Neumann</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der henviser til, at denne betænkning først gennemgår HR/NF's årlige FUSP-rapport og efterfølgende supplerer den med Parlamentets holdninger til FUSP-målene i 2025; der henviser til, at betænkningen i den forbindelse navnlig udvider (1) de globale konsekvenser af Ruslands angrebskrig mod Ukraine, (2) konflikter og fred i Mellemøsten, (3) samarbejde med ligesindede partnere og (4) den generelle synlighed af EU's indsats i udlandet; der henviser til, at Parlamentets fremadrettede FUSP-holdning i sidste ende understreges af centrale krav vedrørende den næste flerårige finansielle ramme (FFR) og det parlamentariske tilsyn med FFR;</w:t>
            </w:r>
          </w:p>
        </w:tc>
        <w:tc>
          <w:tcPr>
            <w:tcW w:w="4876" w:type="dxa"/>
            <w:tcBorders>
              <w:top w:val="nil"/>
              <w:left w:val="nil"/>
              <w:bottom w:val="nil"/>
              <w:right w:val="nil"/>
            </w:tcBorders>
          </w:tcPr>
          <w:p>
            <w:pPr>
              <w:pStyle w:val="Normal6a"/>
            </w:pPr>
            <w:r>
              <w:t>C.</w:t>
            </w:r>
            <w:r>
              <w:tab/>
            </w:r>
            <w:r>
              <w:t xml:space="preserve">der henviser til, at denne betænkning først gennemgår HR/NF's årlige FUSP-rapport og efterfølgende supplerer den med Parlamentets holdninger til FUSP-målene i 2025; der henviser til, at betænkningen i den forbindelse navnlig udvider (1) de globale konsekvenser af Ruslands angrebskrig mod Ukraine, (2) konflikter og fred i Mellemøsten, (3) samarbejde med ligesindede partnere og (4) den generelle synlighed af EU's indsats i udlandet; der henviser til, at Parlamentets fremadrettede FUSP-holdning i sidste ende understreges af centrale krav vedrørende den næste flerårige finansielle ramme (FFR) og det parlamentariske tilsyn med FFR; </w:t>
            </w:r>
            <w:r>
              <w:rPr>
                <w:b/>
                <w:i/>
              </w:rPr>
              <w:t>der henviser til, at der er behov for at forsvare og styrke den regelbaserede internationale orden, de universelle normer, værdier og principper i FN-pagten såsom menneskerettigheder og international retfærdighed, multilateralisme og Helsingforsslutakten, navnlig for så vidt angår ikke-krænkelse af internationale grænser;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Geadis Geadi, Emmanouil Fragkos, Afroditi Latinopoulou, Fernand Kartheiser, Charlie Weimers, Nikolaos Anadiotis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Γ</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der henviser til, at denne betænkning først gennemgår HR/NF's årlige FUSP-rapport og efterfølgende supplerer den med Parlamentets holdninger til FUSP-målene i 2025; der henviser til, at </w:t>
            </w:r>
            <w:r>
              <w:rPr>
                <w:b/>
                <w:i/>
              </w:rPr>
              <w:t>betænkningen</w:t>
            </w:r>
            <w:r>
              <w:t xml:space="preserve"> i den forbindelse navnlig udvider (1) de globale konsekvenser af Ruslands angrebskrig mod Ukraine, (2) </w:t>
            </w:r>
            <w:r>
              <w:rPr>
                <w:b/>
                <w:i/>
              </w:rPr>
              <w:t>konflikter og fred</w:t>
            </w:r>
            <w:r>
              <w:t xml:space="preserve"> i Mellemøsten, (3) samarbejde med ligesindede partnere og </w:t>
            </w:r>
            <w:r>
              <w:rPr>
                <w:b/>
                <w:i/>
              </w:rPr>
              <w:t>(4)</w:t>
            </w:r>
            <w:r>
              <w:t xml:space="preserve"> den generelle synlighed af EU's indsats i udlandet; der henviser til, at Parlamentets fremadrettede FUSP-holdning i sidste ende understreges af centrale krav vedrørende den næste flerårige finansielle ramme (FFR) og det parlamentariske tilsyn med FFR;</w:t>
            </w:r>
          </w:p>
        </w:tc>
        <w:tc>
          <w:tcPr>
            <w:tcW w:w="4876" w:type="dxa"/>
            <w:tcBorders>
              <w:top w:val="nil"/>
              <w:left w:val="nil"/>
              <w:bottom w:val="nil"/>
              <w:right w:val="nil"/>
            </w:tcBorders>
          </w:tcPr>
          <w:p>
            <w:pPr>
              <w:pStyle w:val="Normal6a"/>
            </w:pPr>
            <w:r>
              <w:t>C.</w:t>
            </w:r>
            <w:r>
              <w:tab/>
            </w:r>
            <w:r>
              <w:t xml:space="preserve">der henviser til, at denne betænkning først gennemgår HR/NF's årlige FUSP-rapport og efterfølgende supplerer den med Parlamentets holdninger til FUSP-målene i 2025; der henviser til, at </w:t>
            </w:r>
            <w:r>
              <w:rPr>
                <w:b/>
                <w:i/>
              </w:rPr>
              <w:t>rapporten</w:t>
            </w:r>
            <w:r>
              <w:t xml:space="preserve"> i den forbindelse navnlig udvider (1) de globale konsekvenser af Ruslands angrebskrig mod Ukraine, (2) </w:t>
            </w:r>
            <w:r>
              <w:rPr>
                <w:b/>
                <w:i/>
              </w:rPr>
              <w:t>konflikten og freden</w:t>
            </w:r>
            <w:r>
              <w:t xml:space="preserve"> i Mellemøsten, (3) </w:t>
            </w:r>
            <w:r>
              <w:rPr>
                <w:b/>
                <w:i/>
              </w:rPr>
              <w:t>Tyrkiets revisionistiske fremfærd i det østlige Middelhavsområde og dets manglende respekt for Grækenlands og Cyperns suverænitet, (4)</w:t>
            </w:r>
            <w:r>
              <w:t xml:space="preserve"> samarbejde med ligesindede partnere og </w:t>
            </w:r>
            <w:r>
              <w:rPr>
                <w:b/>
                <w:i/>
              </w:rPr>
              <w:t>(5)</w:t>
            </w:r>
            <w:r>
              <w:t xml:space="preserve"> den generelle synlighed af EU's indsats i udlandet; der henviser til, at Parlamentets fremadrettede FUSP-holdning i sidste ende understreges af centrale krav vedrørende den næste flerårige finansielle ramme (FFR) og det parlamentariske tilsyn med FFR;</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Michael von der Schulenburg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der henviser til, at denne betænkning først gennemgår HR/NF's årlige FUSP-rapport og efterfølgende supplerer den med Parlamentets holdninger til FUSP-målene i 2025; der henviser til, at </w:t>
            </w:r>
            <w:r>
              <w:rPr>
                <w:b/>
                <w:i/>
              </w:rPr>
              <w:t>betænkningen</w:t>
            </w:r>
            <w:r>
              <w:t xml:space="preserve"> i den forbindelse </w:t>
            </w:r>
            <w:r>
              <w:rPr>
                <w:b/>
                <w:i/>
              </w:rPr>
              <w:t>navnlig</w:t>
            </w:r>
            <w:r>
              <w:t xml:space="preserve"> udvider (1) </w:t>
            </w:r>
            <w:r>
              <w:rPr>
                <w:b/>
                <w:i/>
              </w:rPr>
              <w:t>de globale konsekvenser af Ruslands angrebskrig mod Ukraine, (2) konflikter og</w:t>
            </w:r>
            <w:r>
              <w:t xml:space="preserve"> fred i </w:t>
            </w:r>
            <w:r>
              <w:rPr>
                <w:b/>
                <w:i/>
              </w:rPr>
              <w:t>Mellemøsten, (3) samarbejde med ligesindede partnere og (4) den generelle synlighed af EU's indsats i udlandet</w:t>
            </w:r>
            <w:r>
              <w:t xml:space="preserve">; der henviser til, at Parlamentets fremadrettede FUSP-holdning </w:t>
            </w:r>
            <w:r>
              <w:rPr>
                <w:b/>
                <w:i/>
              </w:rPr>
              <w:t>i sidste ende</w:t>
            </w:r>
            <w:r>
              <w:t xml:space="preserve"> understreges af </w:t>
            </w:r>
            <w:r>
              <w:rPr>
                <w:b/>
                <w:i/>
              </w:rPr>
              <w:t>centrale</w:t>
            </w:r>
            <w:r>
              <w:t xml:space="preserve"> krav vedrørende den næste flerårige finansielle ramme (FFR) og det parlamentariske tilsyn med FFR;</w:t>
            </w:r>
          </w:p>
        </w:tc>
        <w:tc>
          <w:tcPr>
            <w:tcW w:w="4876" w:type="dxa"/>
            <w:tcBorders>
              <w:top w:val="nil"/>
              <w:left w:val="nil"/>
              <w:bottom w:val="nil"/>
              <w:right w:val="nil"/>
            </w:tcBorders>
          </w:tcPr>
          <w:p>
            <w:pPr>
              <w:pStyle w:val="Normal6a"/>
            </w:pPr>
            <w:r>
              <w:t>C.</w:t>
            </w:r>
            <w:r>
              <w:tab/>
            </w:r>
            <w:r>
              <w:t xml:space="preserve">der henviser til, at denne betænkning først gennemgår HR/NF's årlige FUSP-rapport og efterfølgende supplerer den med Parlamentets holdninger til FUSP-målene i 2025; der henviser til, at </w:t>
            </w:r>
            <w:r>
              <w:rPr>
                <w:b/>
                <w:i/>
              </w:rPr>
              <w:t>rapporten</w:t>
            </w:r>
            <w:r>
              <w:t xml:space="preserve"> i den forbindelse udvider (1) </w:t>
            </w:r>
            <w:r>
              <w:rPr>
                <w:b/>
                <w:i/>
              </w:rPr>
              <w:t>arbejdet hen imod en retfærdig og varig</w:t>
            </w:r>
            <w:r>
              <w:t xml:space="preserve"> fred i </w:t>
            </w:r>
            <w:r>
              <w:rPr>
                <w:b/>
                <w:i/>
              </w:rPr>
              <w:t>Ukraine, (2) arbejder hen imod en retfærdig og varig fred i Mellemøsten (3), internationalt samarbejde</w:t>
            </w:r>
            <w:r>
              <w:t>; der henviser til, at Parlamentets fremadrettede FUSP-holdning understreges af krav vedrørende den næste flerårige finansielle ramme (FFR) og det parlamentariske tilsyn med FFR;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der henviser til, at denne betænkning først gennemgår HR/NF's årlige FUSP-rapport og efterfølgende supplerer den med Parlamentets holdninger til FUSP-målene i 2025; der henviser til, at betænkningen i den forbindelse navnlig udvider (1) de globale konsekvenser af Ruslands angrebskrig mod Ukraine, (2) konflikter og fred i Mellemøsten, (3) samarbejde med ligesindede partnere og (4) den generelle synlighed af EU's indsats i udlandet; der henviser til, at Parlamentets fremadrettede FUSP-holdning i sidste ende understreges af centrale krav vedrørende den næste flerårige finansielle ramme (FFR) og det parlamentariske tilsyn med FFR;</w:t>
            </w:r>
          </w:p>
        </w:tc>
        <w:tc>
          <w:tcPr>
            <w:tcW w:w="4876" w:type="dxa"/>
            <w:tcBorders>
              <w:top w:val="nil"/>
              <w:left w:val="nil"/>
              <w:bottom w:val="nil"/>
              <w:right w:val="nil"/>
            </w:tcBorders>
          </w:tcPr>
          <w:p>
            <w:pPr>
              <w:pStyle w:val="Normal6a"/>
            </w:pPr>
            <w:r>
              <w:t>C.</w:t>
            </w:r>
            <w:r>
              <w:tab/>
            </w:r>
            <w:r>
              <w:t xml:space="preserve">der henviser til, at denne betænkning først gennemgår HR/NF's årlige FUSP-rapport og efterfølgende supplerer den med Parlamentets holdninger til FUSP-målene i 2025; der henviser til, at betænkningen i den forbindelse navnlig udvider (1) de globale konsekvenser af Ruslands angrebskrig mod Ukraine, (2) konflikter og fred i Mellemøsten, (3) samarbejde med ligesindede partnere og (4) den generelle synlighed </w:t>
            </w:r>
            <w:r>
              <w:rPr>
                <w:b/>
                <w:i/>
              </w:rPr>
              <w:t>og indvirkning</w:t>
            </w:r>
            <w:r>
              <w:t xml:space="preserve"> af EU's indsats i udlandet; der henviser til, at Parlamentets fremadrettede FUSP-holdning i sidste ende understreges af centrale krav vedrørende den næste flerårige finansielle ramme (FFR) og det parlamentariske tilsyn med FFR;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Hans Neuhoff</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der henviser til, at denne betænkning først gennemgår HR/NF's årlige FUSP-rapport og efterfølgende supplerer den med Parlamentets holdninger til FUSP-målene i 2025; der henviser til, at betænkningen i den forbindelse navnlig udvider (1) de globale konsekvenser af </w:t>
            </w:r>
            <w:r>
              <w:rPr>
                <w:b/>
                <w:i/>
              </w:rPr>
              <w:t>Ruslands angrebskrig mod Ukraine</w:t>
            </w:r>
            <w:r>
              <w:t>, (2) konflikter og fred i Mellemøsten, (3) samarbejde med ligesindede partnere og (4) den generelle synlighed af EU's indsats i udlandet; der henviser til, at Parlamentets fremadrettede FUSP-holdning i sidste ende understreges af centrale krav vedrørende den næste flerårige finansielle ramme (FFR) og det parlamentariske tilsyn med FFR;</w:t>
            </w:r>
          </w:p>
        </w:tc>
        <w:tc>
          <w:tcPr>
            <w:tcW w:w="4876" w:type="dxa"/>
            <w:tcBorders>
              <w:top w:val="nil"/>
              <w:left w:val="nil"/>
              <w:bottom w:val="nil"/>
              <w:right w:val="nil"/>
            </w:tcBorders>
          </w:tcPr>
          <w:p>
            <w:pPr>
              <w:pStyle w:val="Normal6a"/>
            </w:pPr>
            <w:r>
              <w:t>C.</w:t>
            </w:r>
            <w:r>
              <w:tab/>
            </w:r>
            <w:r>
              <w:t xml:space="preserve">der henviser til, at denne betænkning først gennemgår HR/NF's årlige FUSP-rapport og efterfølgende supplerer den med Parlamentets holdninger til FUSP-målene i 2025; der henviser til, at betænkningen i den forbindelse navnlig udvider (1) de globale konsekvenser af </w:t>
            </w:r>
            <w:r>
              <w:rPr>
                <w:b/>
                <w:i/>
              </w:rPr>
              <w:t>Ukraine-konflikten</w:t>
            </w:r>
            <w:r>
              <w:t>, (2) konflikter og fred i Mellemøsten, (3) samarbejde med ligesindede partnere og (4) den generelle synlighed af EU's indsats i udlandet; der henviser til, at Parlamentets fremadrettede FUSP-holdning i sidste ende understreges af centrale krav vedrørende den næste flerårige finansielle ramme (FFR) og det parlamentariske tilsyn med FFR;</w:t>
            </w:r>
          </w:p>
        </w:tc>
      </w:tr>
    </w:tbl>
    <w:p>
      <w:pPr>
        <w:pStyle w:val="AmOrLang"/>
      </w:pPr>
      <w:r>
        <w:t xml:space="preserve">Or. </w:t>
      </w:r>
      <w:r>
        <w:rPr>
          <w:rStyle w:val="HideTWBExt"/>
        </w:rPr>
        <w:t>&lt;Original&gt;</w:t>
      </w:r>
      <w:r>
        <w:rPr>
          <w:rStyle w:val="HideTWBInt"/>
        </w:rPr>
        <w:t>{DE}</w:t>
      </w:r>
      <w:r>
        <w:t>de</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der henviser til, at Europa-Parlamentet på FUSP-området udøver den politiske kontrol og foretager høringer; der henviser til, at det udøver budgetfunktionen for dette politikområde sammen med Rådet, undtagen i tilfælde, hvor Rådet med enstemmighed beslutter, at udgifterne skal afholdes af medlemsstaterne; der henviser til, at Europa-Parlamentet er nødt til at udøve alle sine beføjelser </w:t>
            </w:r>
            <w:r>
              <w:rPr>
                <w:b/>
                <w:i/>
              </w:rPr>
              <w:t>fuldt ud for at øge FUSP's demokratiske legitimitet</w:t>
            </w:r>
            <w:r>
              <w:t>; der henviser til, at de øvrige institutioner er nødt til at tilpasse deres samarbejde med Europa-Parlamentet i overensstemmelse hermed;</w:t>
            </w:r>
          </w:p>
        </w:tc>
        <w:tc>
          <w:tcPr>
            <w:tcW w:w="4876" w:type="dxa"/>
            <w:tcBorders>
              <w:top w:val="nil"/>
              <w:left w:val="nil"/>
              <w:bottom w:val="nil"/>
              <w:right w:val="nil"/>
            </w:tcBorders>
          </w:tcPr>
          <w:p>
            <w:pPr>
              <w:pStyle w:val="Normal6a"/>
            </w:pPr>
            <w:r>
              <w:t>D.</w:t>
            </w:r>
            <w:r>
              <w:tab/>
            </w:r>
            <w:r>
              <w:t xml:space="preserve">der henviser til, at Europa-Parlamentet på FUSP-området udøver den politiske kontrol og foretager høringer; der henviser til, at det udøver budgetfunktionen for dette politikområde sammen med Rådet, undtagen i tilfælde, hvor Rådet med enstemmighed beslutter, at udgifterne skal afholdes af medlemsstaterne; der henviser til, at Europa-Parlamentet er nødt til </w:t>
            </w:r>
            <w:r>
              <w:rPr>
                <w:b/>
                <w:i/>
              </w:rPr>
              <w:t>fuldt ud</w:t>
            </w:r>
            <w:r>
              <w:t xml:space="preserve"> at udøve alle sine beføjelser </w:t>
            </w:r>
            <w:r>
              <w:rPr>
                <w:b/>
                <w:i/>
              </w:rPr>
              <w:t>til at føre tilsyn med FUSP-aktioner og holde dem inden for deres mandater og i fuld respekt for statsmagtens forrang i udenrigs-, sikkerheds- og forsvarspolitiske spørgsmål</w:t>
            </w:r>
            <w:r>
              <w:t>; der henviser til, at de øvrige institutioner er nødt til at tilpasse deres samarbejde med Europa-Parlamentet i overensstemmelse hermed;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Sebastiaan Stöteler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der henviser til, at Europa-Parlamentet på FUSP-området udøver </w:t>
            </w:r>
            <w:r>
              <w:rPr>
                <w:b/>
                <w:i/>
              </w:rPr>
              <w:t>den</w:t>
            </w:r>
            <w:r>
              <w:t xml:space="preserve"> politiske </w:t>
            </w:r>
            <w:r>
              <w:rPr>
                <w:b/>
                <w:i/>
              </w:rPr>
              <w:t>kontrol og foretager høringer</w:t>
            </w:r>
            <w:r>
              <w:t xml:space="preserve">; der henviser til, at det udøver budgetfunktionen for dette politikområde sammen med Rådet, undtagen i tilfælde, hvor Rådet med enstemmighed beslutter, at udgifterne skal afholdes af medlemsstaterne; der henviser til, at </w:t>
            </w:r>
            <w:r>
              <w:rPr>
                <w:b/>
                <w:i/>
              </w:rPr>
              <w:t>Europa-Parlamentet er nødt til at udøve alle sine beføjelser fuldt ud for at øge FUSP's demokratiske legitimitet;</w:t>
            </w:r>
            <w:r>
              <w:t xml:space="preserve"> </w:t>
            </w:r>
            <w:r>
              <w:rPr>
                <w:b/>
                <w:i/>
              </w:rPr>
              <w:t>der henviser til, at de øvrige institutioner er nødt</w:t>
            </w:r>
            <w:r>
              <w:t xml:space="preserve"> til at </w:t>
            </w:r>
            <w:r>
              <w:rPr>
                <w:b/>
                <w:i/>
              </w:rPr>
              <w:t>tilpasse deres samarbejde med Europa-Parlamentet i overensstemmelse hermed</w:t>
            </w:r>
            <w:r>
              <w:t>;</w:t>
            </w:r>
          </w:p>
        </w:tc>
        <w:tc>
          <w:tcPr>
            <w:tcW w:w="4876" w:type="dxa"/>
            <w:tcBorders>
              <w:top w:val="nil"/>
              <w:left w:val="nil"/>
              <w:bottom w:val="nil"/>
              <w:right w:val="nil"/>
            </w:tcBorders>
          </w:tcPr>
          <w:p>
            <w:pPr>
              <w:pStyle w:val="Normal6a"/>
            </w:pPr>
            <w:r>
              <w:t>D.</w:t>
            </w:r>
            <w:r>
              <w:tab/>
            </w:r>
            <w:r>
              <w:t xml:space="preserve">der henviser til, at Europa-Parlamentet på FUSP-området udøver politiske </w:t>
            </w:r>
            <w:r>
              <w:rPr>
                <w:b/>
                <w:i/>
              </w:rPr>
              <w:t>kontrolfunktioner</w:t>
            </w:r>
            <w:r>
              <w:t xml:space="preserve">; der henviser til, at det udøver budgetfunktionen for dette politikområde sammen med Rådet, undtagen i tilfælde, hvor Rådet med enstemmighed beslutter, at udgifterne skal afholdes af medlemsstaterne; der henviser til, at </w:t>
            </w:r>
            <w:r>
              <w:rPr>
                <w:b/>
                <w:i/>
              </w:rPr>
              <w:t>artikel 24, stk. 1, i traktaten om Den Europæiske Union, som suppleret af erklæring 13 og 14 fra regeringskonferencen i 2007, fastsætter, at bestemmelserne vedrørende den fælles udenrigs- og sikkerhedspolitik ikke giver Kommissionen nye beføjelser</w:t>
            </w:r>
            <w:r>
              <w:t xml:space="preserve"> til at </w:t>
            </w:r>
            <w:r>
              <w:rPr>
                <w:b/>
                <w:i/>
              </w:rPr>
              <w:t>træffe afgørelser og heller ikke styrker Europa-Parlamentets rolle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Andrey Kovatchev, Rasa Juknevičienė</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Rusland ikke har anerkendt sin rolle i indledningen af Anden Verdenskrig og ikke har påtaget sig sit ansvar for grusomheder begået i områder, der var besat af Sovjetunionen;</w:t>
            </w:r>
            <w:r>
              <w:t xml:space="preserve"> </w:t>
            </w:r>
            <w:r>
              <w:rPr>
                <w:b/>
                <w:i/>
              </w:rPr>
              <w:t>der henviser til, at de forbrydelser, der blev begået af kommunistiske diktaturer i Europa i det 20. århundrede, i modsætning til de forbrydelser, der blev begået af det nazistiske regime, ikke har modtaget en fuldstændig international juridisk og politisk vurdering og fordømmelse, og at dette har bidraget til instrumentaliseringen af historien under Putins styre i Rusland;</w:t>
            </w:r>
            <w:r>
              <w:t xml:space="preserve"> </w:t>
            </w:r>
            <w:r>
              <w:rPr>
                <w:b/>
                <w:i/>
              </w:rPr>
              <w:t>der henviser til, at Kreml har brugt historie, som forfalskes, som "casus belli", systematisk hvidvasket sovjetiske forbrydelser og spredt historisk desinformation for at retfærdiggøre Ruslands aggression mod nabolande;</w:t>
            </w:r>
            <w:r>
              <w:t xml:space="preserve"> </w:t>
            </w:r>
            <w:r>
              <w:rPr>
                <w:b/>
                <w:i/>
              </w:rPr>
              <w:t>der henviser til, at Putins regime har instrumentaliseret historien i forsøget på at sikre befolkningens loyalitet ved at skabe nostalgi om det sovjetiske emperiums antagede storhed, forfalske Ruslands og Ukraines historie, afvise Khrushchevs politik om at anerkende og fordømme Stalinistiske forbrydelser, gentage Gorbachevs anerkendelse og fordømmelse af Molotov-Ribbentrop-pagten og erklære Sovjetunionens kollaps som den største tragedie i det foregående århundrede;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Hannah Neumann</w:t>
      </w:r>
      <w:r>
        <w:rPr>
          <w:rStyle w:val="HideTWBExt"/>
          <w:b w:val="0"/>
        </w:rPr>
        <w:t>&lt;/Members&gt;</w:t>
      </w:r>
    </w:p>
    <w:p>
      <w:r>
        <w:rPr>
          <w:rStyle w:val="HideTWBExt"/>
          <w:b w:val="0"/>
        </w:rPr>
        <w:t>&lt;AuNomDe&gt;</w:t>
      </w:r>
      <w:r>
        <w:rPr>
          <w:rStyle w:val="HideTWBInt"/>
        </w:rPr>
        <w:t>{Greens/EFA}</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menneskerettighedsforkæmpere er vores vigtigste allierede, når det drejer sig om at forsvare og fremme menneskerettighederne i udlandet;</w:t>
            </w:r>
            <w:r>
              <w:t xml:space="preserve"> </w:t>
            </w:r>
            <w:r>
              <w:rPr>
                <w:b/>
                <w:i/>
              </w:rPr>
              <w:t>der henviser til, at menneskerettighedsforkæmpere i stigende grad risikerer angreb og trusler fra statslige og ikkestatslige aktører;</w:t>
            </w:r>
            <w:r>
              <w:t xml:space="preserve"> </w:t>
            </w:r>
            <w:r>
              <w:rPr>
                <w:b/>
                <w:i/>
              </w:rPr>
              <w:t>der henviser til, at Parlamentet konsekvent har opfordret til en korrekt og koordineret gennemførelse af EU's retningslinjer vedrørende menneskerettighedsforkæmpere (2008);</w:t>
            </w:r>
            <w:r>
              <w:t xml:space="preserve"> </w:t>
            </w:r>
            <w:r>
              <w:rPr>
                <w:b/>
                <w:i/>
              </w:rPr>
              <w:t>der henviser til, at medlemsstaterne, sammen med EU's institutioner, bør gennemføre retningslinjerne, der omfatter en række særlige forpligtelser såsom regelmæssig rapportering, koordinering og tiltag til støtte for menneskerettighedsforkæmperne;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den geopolitiske konfrontation mellem demokratier, herunder EU og USA, og autoritære og diktatoriske regimer som Putin, Xi Jinping og Kim Jong Un er voksende;</w:t>
            </w:r>
            <w:r>
              <w:t xml:space="preserve"> </w:t>
            </w:r>
            <w:r>
              <w:rPr>
                <w:b/>
                <w:i/>
              </w:rPr>
              <w:t>i betragtning af det voksende samarbejde inden for BRIKS-landene, som kan udgøre en trussel mod Unionens og dens partneres økonomiske interesser,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strategisk autonomi kræver, at Den Europæiske Union handler uafhængigt på den globale scene, navnlig inden for udenrigs- og sikkerhedspolitik;</w:t>
            </w:r>
            <w:r>
              <w:t xml:space="preserve"> </w:t>
            </w:r>
            <w:r>
              <w:rPr>
                <w:b/>
                <w:i/>
              </w:rPr>
              <w:t>der henviser til, at EU har anerkendt behovet for at mindske afhængigheden af eksterne aktører, navnlig USA, ved at beskytte sine interesser i en uforudsigelig og multipolær verden;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Nacho Sánchez Amor, Sven Mikser, Alessandra Moretti, Yannis Maniatis, Marco Tarquinio, 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EU fortsat bør arbejde hen imod sit eget selvstændige europæiske diplomati på alle områder, herunder bl.a. på det offentlige og kulturelle, økonomiske, klimarelaterede, digitale og cyberrelaterede diplomatiske område, under ledelse af en diplomatisk EU-tjeneste, som fastlægges ved hjælp af en fælles diplomatisk kultur ud fra et EU-perspektiv;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Marco Tarquinio, 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alle FN-agenturer er en del af den regelbaserede internationale orden, da de opretholder og gennemfører både ordlyden og ånden i FN-pagten, som alle FN's medlemsstater skal overholde;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Nacho Sánchez Amor, Sven Mikser, Alessandra Moretti, Yannis Maniatis, Marco Tarquinio, 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der henviser til, at EU's troværdighed og sammenhæng en altafgørende forudsætning for en korrekt gennemførelse af dets optræden udadtil, da den styrker tilliden til EU blandt forskellige aktører og tredjelande;</w:t>
            </w:r>
            <w:r>
              <w:t xml:space="preserve"> </w:t>
            </w:r>
            <w:r>
              <w:rPr>
                <w:b/>
                <w:i/>
              </w:rPr>
              <w:t>der henviser til, at effektiviteten af EU's foranstaltninger på verdensplan er betinget af, at der sikres den højeste grad af koordinering og sammenhæng i EU's optræden udadtil;</w:t>
            </w:r>
            <w:r>
              <w:t xml:space="preserve"> </w:t>
            </w:r>
            <w:r>
              <w:rPr>
                <w:b/>
                <w:i/>
              </w:rPr>
              <w:t>der henviser til, at koordineringen mellem Kommissionen og EU-Udenrigstjenesten bør styrkes, navnlig på grund af EU-Udenrigstjenestens manglende driftsbudget;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der henviser til, at cyberangreb udgør en trussel mod EU, dets missioner og operationer under den fælles sikkerheds- og forsvarspolitik (FSFP) og tilsvarende mod dets medlemsstater, deres institutioners funktion, valgprocesser, deres økonomiske og civile infrastruktur, indre sikkerhed, eksterne forbindelser og diplomatiske missioner;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der henviser til, at FN's generalsekretær besøgte BRIKS-forummet i Kazan;</w:t>
            </w:r>
            <w:r>
              <w:t xml:space="preserve"> </w:t>
            </w:r>
            <w:r>
              <w:rPr>
                <w:b/>
                <w:i/>
              </w:rPr>
              <w:t>der henviser til, at FN ikke opfylder den rolle, det bør have, nemlig at beskytte fred og sikkerhed, baseret på principperne om lige rettigheder og selvbestemmelse for befolkningerne;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der henviser til, at fremtiden for landene på Balkan og de østlige nabolande er i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Nacho Sánchez Amor, Sven Mikser, Alessandra Moretti, Yannis Maniatis, Vasile Dîncu, Marco Tarquinio, 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Dc.</w:t>
            </w:r>
            <w:r>
              <w:tab/>
            </w:r>
            <w:r>
              <w:rPr>
                <w:b/>
                <w:i/>
              </w:rPr>
              <w:t>der henviser til, at geopolitiske og humanitære globale kriser understreger behovet for, at EU sørger for at få troværdig information og førstehåndsoplysninger om eksisterende og eventuelle eksterne trusler mod EU for at være i stand til at reagere hurtigt og effektivt samt for at beskytte sine interesser i udlandet bedre;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Dc.</w:t>
            </w:r>
            <w:r>
              <w:tab/>
            </w:r>
            <w:r>
              <w:rPr>
                <w:b/>
                <w:i/>
              </w:rPr>
              <w:t>der henviser til, at "ét bælte, én vej"-initiativet, der i Kina er kendt som One Belt One Road, er en trussel mod EU's interesser og undergraver FUSP;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Dc.</w:t>
            </w:r>
            <w:r>
              <w:tab/>
            </w:r>
            <w:r>
              <w:rPr>
                <w:b/>
                <w:i/>
              </w:rPr>
              <w:t>der henviser til, at Kosovo og den EU-faciliterede dialog mellem Beograd og Pristina er truet af destabilisering;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Dd.</w:t>
            </w:r>
            <w:r>
              <w:tab/>
            </w:r>
            <w:r>
              <w:rPr>
                <w:b/>
                <w:i/>
              </w:rPr>
              <w:t>der henviser til, at rapporten om styrkelse af Europas civile og militære beredskab og beredskab ("Safer Together – Strengthening Europe’s Civilian and Military Preparedness and Readiness"), som blev fremlagt af Sauli Niinistö, særlig rådgiver for Kommissionen, indeholder strategiske anbefalinger til styrkelse af Europas civile og militære beredskab i lyset af eskalerende og komplekse sikkerhedstrusler;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Ivaylo Valchev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Dd.</w:t>
            </w:r>
            <w:r>
              <w:tab/>
            </w:r>
            <w:r>
              <w:rPr>
                <w:b/>
                <w:i/>
              </w:rPr>
              <w:t>der henviser til, at konflikter i Mellemøsten og Afrika forårsager øgede migrationsstrømme til Europa og lægger et øget pres på sikkerhedssystemerne;</w:t>
            </w:r>
            <w:r>
              <w:t xml:space="preserve"> </w:t>
            </w:r>
            <w:r>
              <w:rPr>
                <w:b/>
                <w:i/>
              </w:rPr>
              <w:t>der henviser til, at ulovlig migration er et våben i tredjelandes arsenal til at destabilisere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Sven Mikser, Lucia Annunziata, Nicola Zingaretti, Thijs Reuten, Alessandra Moretti, Giorgio Gori, Tobias Cremer, Yannis Maniatis, Marco Tarquinio, Vasile Dîncu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e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De.</w:t>
            </w:r>
            <w:r>
              <w:tab/>
            </w:r>
            <w:r>
              <w:rPr>
                <w:b/>
                <w:i/>
              </w:rPr>
              <w:t>der henviser til, at konsekvenserne af klimaforandringerne vil få en stadigt voksende virkning på menneskelivet i dets forskellige afskygninger, herunder den geopolitiske orden og stabiliteten i verden;</w:t>
            </w:r>
            <w:r>
              <w:t xml:space="preserve"> </w:t>
            </w:r>
            <w:r>
              <w:rPr>
                <w:b/>
                <w:i/>
              </w:rPr>
              <w:t>der henviser til, at det er af afgørende betydning, at bekæmpelse af klimaforandringer, hvilket nødvendiggør klimahandling, og hjælp til de mennesker, der rammes hårdest af klimaforandringernes følger, bliver en hjørnesten i den europæiske udenrigspolitik;</w:t>
            </w:r>
            <w:r>
              <w:t xml:space="preserve"> </w:t>
            </w:r>
            <w:r>
              <w:rPr>
                <w:b/>
                <w:i/>
              </w:rPr>
              <w:t>der henviser til og understreger den afgørende rolle, som Kommissionen og medlemsstaterne i en fælles tilgang må spille globalt med hensyn til fremme af klimadiplomati;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765.258</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42</w:t>
    </w:r>
    <w:r>
      <w:fldChar w:fldCharType="end"/>
    </w:r>
    <w:r>
      <w:t>/</w:t>
    </w:r>
    <w:r>
      <w:fldChar w:fldCharType="begin"/>
    </w:r>
    <w:r>
      <w:instrText xml:space="preserve"> NUMPAGES </w:instrText>
    </w:r>
    <w:r>
      <w:fldChar w:fldCharType="separate"/>
    </w:r>
    <w:r>
      <w:t>43</w:t>
    </w:r>
    <w:r>
      <w:fldChar w:fldCharType="end"/>
    </w:r>
    <w:r>
      <w:tab/>
    </w:r>
    <w:r>
      <w:rPr>
        <w:rStyle w:val="HideTWBExt"/>
      </w:rPr>
      <w:t>&lt;PathFdR&gt;</w:t>
    </w:r>
    <w:r>
      <w:t>AM\1309577DA.docx</w:t>
    </w:r>
    <w:r>
      <w:rPr>
        <w:rStyle w:val="HideTWBExt"/>
      </w:rPr>
      <w:t>&lt;/PathFdR&gt;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AM\1309577DA.docx</w:t>
    </w:r>
    <w:r>
      <w:rPr>
        <w:rStyle w:val="HideTWBExt"/>
      </w:rPr>
      <w:t>&lt;/PathFdR&gt;</w:t>
    </w:r>
    <w:r>
      <w:tab/>
    </w:r>
    <w:r>
      <w:fldChar w:fldCharType="begin"/>
    </w:r>
    <w:r>
      <w:instrText xml:space="preserve"> PAGE </w:instrText>
    </w:r>
    <w:r>
      <w:fldChar w:fldCharType="separate"/>
    </w:r>
    <w:r>
      <w:t>43</w:t>
    </w:r>
    <w:r>
      <w:fldChar w:fldCharType="end"/>
    </w:r>
    <w:r>
      <w:t>/</w:t>
    </w:r>
    <w:r>
      <w:fldChar w:fldCharType="begin"/>
    </w:r>
    <w:r>
      <w:instrText xml:space="preserve"> NUMPAGES </w:instrText>
    </w:r>
    <w:r>
      <w:fldChar w:fldCharType="separate"/>
    </w:r>
    <w:r>
      <w:t>43</w:t>
    </w:r>
    <w:r>
      <w:fldChar w:fldCharType="end"/>
    </w:r>
    <w:r>
      <w:tab/>
    </w:r>
    <w:r>
      <w:t>PE</w:t>
    </w:r>
    <w:r>
      <w:rPr>
        <w:rStyle w:val="HideTWBExt"/>
      </w:rPr>
      <w:t>&lt;NoPE&gt;</w:t>
    </w:r>
    <w:r>
      <w:t>765.258</w:t>
    </w:r>
    <w:r>
      <w:rPr>
        <w:rStyle w:val="HideTWBExt"/>
      </w:rPr>
      <w:t>&lt;/NoPE&gt;</w:t>
    </w:r>
    <w:r>
      <w:rPr>
        <w:rStyle w:val="HideTWBExt"/>
      </w:rPr>
      <w:t>&lt;Version&gt;</w:t>
    </w:r>
    <w:r>
      <w:t>v01-00</w:t>
    </w:r>
    <w:r>
      <w:rPr>
        <w:rStyle w:val="HideTWBExt"/>
      </w:rPr>
      <w:t>&lt;/Version&gt;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AM\1309577DA.docx</w:t>
    </w:r>
    <w:r>
      <w:rPr>
        <w:rStyle w:val="HideTWBExt"/>
      </w:rPr>
      <w:t>&lt;/PathFdR&gt;</w:t>
    </w:r>
    <w:r>
      <w:tab/>
    </w:r>
    <w:r>
      <w:tab/>
    </w:r>
    <w:r>
      <w:t>PE</w:t>
    </w:r>
    <w:r>
      <w:rPr>
        <w:rStyle w:val="HideTWBExt"/>
      </w:rPr>
      <w:t>&lt;NoPE&gt;</w:t>
    </w:r>
    <w:r>
      <w:t>765.258</w:t>
    </w:r>
    <w:r>
      <w:rPr>
        <w:rStyle w:val="HideTWBExt"/>
      </w:rPr>
      <w:t>&lt;/NoPE&gt;</w:t>
    </w:r>
    <w:r>
      <w:rPr>
        <w:rStyle w:val="HideTWBExt"/>
      </w:rPr>
      <w:t>&lt;Version&gt;</w:t>
    </w:r>
    <w:r>
      <w:t>v01-00</w:t>
    </w:r>
    <w:r>
      <w:rPr>
        <w:rStyle w:val="HideTWBExt"/>
      </w:rPr>
      <w:t>&lt;/Version&gt;</w:t>
    </w:r>
  </w:p>
  <w:p>
    <w:pPr>
      <w:pStyle w:val="EPFooter2"/>
    </w:pPr>
    <w:r>
      <w:t>DA</w:t>
    </w:r>
    <w:r>
      <w:tab/>
    </w:r>
    <w:r>
      <w:rPr>
        <w:rStyle w:val="EPFooter2Motto"/>
      </w:rPr>
      <w:t>Forenet i mangfoldighed</w:t>
    </w:r>
    <w:r>
      <w:tab/>
    </w:r>
    <w:r>
      <w:t>DA</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43</Pages>
  <Words>8274</Words>
  <Characters>50912</Characters>
  <Application>Microsoft Office Word</Application>
  <DocSecurity>0</DocSecurity>
  <Lines>1</Lines>
  <Paragraphs>749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1309577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95805</vt:lpwstr>
  </property>
  <property fmtid="{D5CDD505-2E9C-101B-9397-08002B2CF9AE}" pid="7" name="dmxml.render.traceId">
    <vt:lpwstr>674ee965bd4eac435ef6eb2f17d9c218</vt:lpwstr>
  </property>
  <property fmtid="{D5CDD505-2E9C-101B-9397-08002B2CF9AE}" pid="8" name="FooterPath">
    <vt:lpwstr>AM\1309577DA.docx</vt:lpwstr>
  </property>
  <property fmtid="{D5CDD505-2E9C-101B-9397-08002B2CF9AE}" pid="9" name="PE Number">
    <vt:lpwstr>765.258</vt:lpwstr>
  </property>
  <property fmtid="{D5CDD505-2E9C-101B-9397-08002B2CF9AE}" pid="10" name="UID">
    <vt:lpwstr>eu.europa.europarl-DIN1-2024-0000051285_01.00-da-01.00_text-xml</vt:lpwstr>
  </property>
</Properties>
</file>