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Europski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0.11pt">
                  <v:imagedata r:id="rId4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{AFET}</w:t>
      </w:r>
      <w:r>
        <w:t>Odbor za vanjske poslove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2024/2080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{08/11/2024}</w:t>
      </w:r>
      <w:r>
        <w:t>8.11.2024</w:t>
      </w:r>
      <w:r>
        <w:rPr>
          <w:rStyle w:val="HideTWBExt"/>
        </w:rPr>
        <w:t>&lt;/Date&gt;</w:t>
      </w:r>
    </w:p>
    <w:p>
      <w:pPr>
        <w:pStyle w:val="CoverDocType"/>
      </w:pPr>
      <w:r>
        <w:rPr>
          <w:rStyle w:val="HideTWBExt"/>
        </w:rPr>
        <w:t>&lt;TypeAM&gt;</w:t>
      </w:r>
      <w:r>
        <w:t>AMANDMANI</w:t>
      </w:r>
      <w:r>
        <w:rPr>
          <w:rStyle w:val="HideTWBExt"/>
        </w:rPr>
        <w:t>&lt;/TypeAM&gt;</w:t>
      </w:r>
    </w:p>
    <w:p>
      <w:pPr>
        <w:pStyle w:val="CoverDocType24a"/>
      </w:pPr>
      <w:r>
        <w:rPr>
          <w:rStyle w:val="HideTWBExt"/>
        </w:rPr>
        <w:t>&lt;RangeAM&gt;</w:t>
      </w:r>
      <w:r>
        <w:t>1</w:t>
      </w:r>
      <w:r>
        <w:t xml:space="preserve"> - </w:t>
      </w:r>
      <w:r>
        <w:t>88</w:t>
      </w:r>
      <w:r>
        <w:rPr>
          <w:rStyle w:val="HideTWBExt"/>
        </w:rPr>
        <w:t>&lt;/RangeAM&gt;</w:t>
      </w:r>
    </w:p>
    <w:p>
      <w:pPr>
        <w:pStyle w:val="CoverBold"/>
      </w:pPr>
      <w:r>
        <w:rPr>
          <w:rStyle w:val="HideTWBExt"/>
        </w:rPr>
        <w:t>&lt;TitreType&gt;</w:t>
      </w:r>
      <w:r>
        <w:t>Nacrt izvješća</w:t>
      </w:r>
      <w:r>
        <w:rPr>
          <w:rStyle w:val="HideTWBExt"/>
        </w:rPr>
        <w:t>&lt;/TitreType&gt;</w:t>
      </w:r>
    </w:p>
    <w:p>
      <w:pPr>
        <w:pStyle w:val="CoverBold"/>
      </w:pPr>
      <w:r>
        <w:rPr>
          <w:rStyle w:val="HideTWBExt"/>
        </w:rPr>
        <w:t>&lt;Rapporteur&gt;</w:t>
      </w:r>
      <w:r>
        <w:t>David McAllister</w:t>
      </w:r>
      <w:r>
        <w:rPr>
          <w:rStyle w:val="HideTWBExt"/>
        </w:rPr>
        <w:t>&lt;/Rapporteur&gt;</w:t>
      </w:r>
    </w:p>
    <w:p>
      <w:pPr>
        <w:pStyle w:val="CoverNormal24a"/>
      </w:pPr>
      <w:r>
        <w:rPr>
          <w:rStyle w:val="HideTWBExt"/>
        </w:rPr>
        <w:t>&lt;DocRefPE&gt;</w:t>
      </w:r>
      <w:r>
        <w:t>(PE765.084v01-00)</w:t>
      </w:r>
      <w:r>
        <w:rPr>
          <w:rStyle w:val="HideTWBExt"/>
        </w:rPr>
        <w:t>&lt;/DocRefPE&gt;</w:t>
      </w:r>
    </w:p>
    <w:p>
      <w:pPr>
        <w:pStyle w:val="CoverNormal"/>
      </w:pPr>
      <w:r>
        <w:rPr>
          <w:rStyle w:val="HideTWBExt"/>
        </w:rPr>
        <w:t>&lt;Titre&gt;</w:t>
      </w:r>
      <w:r>
        <w:t>Provedba zajedničke vanjske i sigurnosne politike – godišnje izvješće za 2024.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(2024/2080(INI))</w:t>
      </w:r>
      <w:r>
        <w:rPr>
          <w:rStyle w:val="HideTWBExt"/>
        </w:rPr>
        <w:t>&lt;/DocRef&gt;</w:t>
      </w:r>
    </w:p>
    <w:p>
      <w:r>
        <w:br w:type="page"/>
      </w:r>
      <w:r>
        <w:t>AM_Com_NonLegReport</w:t>
      </w:r>
    </w:p>
    <w:p>
      <w:pPr>
        <w:pStyle w:val="AmNumberTabs"/>
      </w:pPr>
      <w:r>
        <w:br w:type="page"/>
      </w:r>
      <w:r>
        <w:rPr>
          <w:rStyle w:val="HideTWBExt"/>
        </w:rPr>
        <w:t>&lt;RepeatBlock-Amend&gt;</w:t>
      </w: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David McAllister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4.a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političke smjernice predsjednice Komisije za razdoblje 2024. - 2029.,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Francisco José Millán Mon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4.a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zajedničku izjavu donesenu na sastanku na vrhu EU-a i CELAC-a održanom 18. srpnja 2023.,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{ES}</w:t>
      </w:r>
      <w:r>
        <w:t>es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5.a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Rezoluciju od 26. studenoga 2020. o eskalirajućim napetostima u Varoshi nakon nezakonitih i strašnih mjera Turske i hitne potrebe da se na njih efektivno odgovori;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5.b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svoju Rezoluciju od 15. travnja 2015. o stotoj obljetnici genocida nad Armencima,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Emmanouil Fragkos, Galato Alexandraki, Geadis Geadi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5.c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Zajedničko stajalište Vijeća 2008/944/ZVSP o izvozu oružja koje se može upotrijebiti za unutarnju represiju i agresiju protiv trećih zemalja,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6.a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izvješće od 9. svibnja 2022. o konačnom ishodu Konferencije o budućnosti Europe,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svoje rezolucije od 24. listopada 2024. o stanju u Azerbajdžanu, kršenju ljudskih prava i međunarodnog prava te odnosima s Armenijom i svoju Rezoluciju od 5. listopada 2023. o stanju u Gorskom Karabahu nakon napada Azerbajdžana i stalnim prijetnjama Armeniji,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Odluku Vijeća (ZVSP) 2019/797 od 17. svibnja 2019. o mjerama ograničavanja protiv kibernetičkih napada koji predstavljaju prijetnju Uniji i njezinim državama članicama,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3.</w:t>
            </w:r>
            <w:r>
              <w:t xml:space="preserve"> </w:t>
            </w:r>
            <w:r>
              <w:rPr>
                <w:b/>
                <w:i/>
              </w:rPr>
              <w:t>SL L 129I, 17.5.2019., str.</w:t>
            </w:r>
            <w:r>
              <w:t xml:space="preserve"> </w:t>
            </w:r>
            <w:r>
              <w:rPr>
                <w:b/>
                <w:i/>
              </w:rPr>
              <w:t>13–19., ELI:</w:t>
            </w:r>
            <w:r>
              <w:t xml:space="preserve"> </w:t>
            </w:r>
            <w:r>
              <w:rPr>
                <w:b/>
                <w:i/>
              </w:rPr>
              <w:t>http://data.europa.eu/eli/dec/2019/797/oj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Vasile Dîncu, Marco Tarquinio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svoju Rezoluciju od 9. listopada 2024. o jačanju otpornosti Moldove na ruska upletanja uoči predstojećih predsjedničkih izbora i ustavnog referenduma o integraciji u EU,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svoju Rezoluciju od 24. listopada 2024. o pogrešnom tumačenju Rezolucije UN-a br. 2758 od strane Narodne Republike Kine i njezinoj stalnoj vojnoj provokaciji oko Tajvana,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Akcijski plan EU-a o rodnoj ravnopravnosti i osnaživanju žena u vanjskim odnosima za razdoblje 2021. 2025. (GAP III),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Bielan, Mariusz Kamiński, Michał Dworczyk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u ime Kluba zastupnika ECR-a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strateški koncept NATO-a za 2022. donesen 29. lipnja 2022.,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svoje rezolucije o povijesnom sjećanju, uključujući rezolucije od 2. travnja 2009. o europskoj savjesti i totalitarizmu, od 19. rujna 2019. o važnosti europskog sjećanja za budućnost Europe (2019/2819(RSP)) i od 15. prosinca 2022. o 90 godina nakon gladomora:</w:t>
            </w:r>
            <w:r>
              <w:t xml:space="preserve"> </w:t>
            </w:r>
            <w:r>
              <w:rPr>
                <w:b/>
                <w:i/>
              </w:rPr>
              <w:t>priznanje masovnog ubojstva izgladnjivanjem kao genocida (2022/3001(RSP))[MBS1] [MBS1] iz rezolucije o instrumentalizaciji povijesti,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Rezoluciju UN-a br. 70/1 naslovljenu „Promijeniti svijet: program održivog razvoja do 2030.” (Program do 2030.), usvojenu na sastanku na vrhu UN-a o održivom razvoju održanom u New Yorku 25. rujna 2015., kojom su utvrđeni ciljevi održivog razvoja,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svoju Rezoluciju od 17. siječnja 2024. o sigurnosnim i obrambenim implikacijama utjecaja Kine na kritične infrastrukture u Europskoj uniji (2023/2072(INI)),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smjernice EU-a o borcima za ljudska prava,</w:t>
            </w:r>
            <w:r>
              <w:t xml:space="preserve"> </w:t>
            </w:r>
            <w:r>
              <w:rPr>
                <w:b/>
                <w:i/>
              </w:rPr>
              <w:t>donesene 2004., ažurirane 2008. i dodatno razrađene smjernicama o provedbi tih smjernica iz 2020.,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Zajedničku komunikaciju Europskom parlamentu i Vijeću JOIN 2020/18 (final) Strategija EU-a za kibersigurnost za digitalno desetljeće,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komunikaciju Komisije od 30. listopada 2024. naslovljenu „Komunikacija o politici proširenja EU-a za 2024.” (COM(2024)0690 final),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19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izvješće Saulija Niinistöa od 30. listopada 2024. o jačanju europske civilne i vojne pripravnosti i spremnosti,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7.d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Preporuku Komisije od 3. listopada 2023. o područjima tehnologija kritičnih za gospodarsku sigurnost EU-a za daljnju procjenu rizika s državama članicama,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7.d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izvješća o proširenju za 2024. koja je Komisija predstavila 30. listopada 2024.,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7.e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Uredbu (EU) 2024/1449 Europskog parlamenta i Vijeća od 14 svibnja 2024. o uspostavi Instrumenta za reforme i rast za zapadni Balkan,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7.e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Komunikaciju Komisije od 20. lipnja 2023. o europskoj strategiji gospodarske sigurnosti JOIN(2023)20 final,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7.f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Rezoluciju od 1. lipnja 2023. o vanjskom upletanju u sve demokratske procese u Europskoj uniji, uključujući dezinformiranje (2022/2075(INI)),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7.f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svoje rezolucije o kršenju ljudskih prava, demokracije i vladavine prava donesene u skladu s člankom 144. Poslovnika,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članak 4. stavak 2. Ugovora o Europskoj uniji kojim se osigurava da Unija poštuje temeljne funkcije država, uključujući zaštitu nacionalne sigurnosti, koja ostaje u isključivoj nadležnosti svake države članice,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9.a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Sporazum o pridruživanju između EU-a i Izraela od 21. lipnja 2000.,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njegov članak 42. stavak 2., u kojem se navodi da zajednička sigurnosna i obrambena politika EU-a poštuje obveze koje proizlaze iz obveza NATO-a i ne zamjenjuje nacionalnu obranu;</w:t>
            </w:r>
            <w:r>
              <w:t xml:space="preserve"> </w:t>
            </w:r>
            <w:r>
              <w:rPr>
                <w:b/>
                <w:i/>
              </w:rPr>
              <w:t>te da je odluka o sudjelovanju u obrambenim i sigurnosnim operacijama dobrovoljna, čime se zadržava autonomija država članica,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29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9.b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savjetodavno mišljenje Međunarodnog suda u njegovoj Rezoluciji A/RES/77/247 o izraelskim postupcima koji utječu na ljudska prava palestinskog naroda na okupiranom palestinskom području, uključujući Istočni Jeruzalem,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njegov članak 24. stavak 1., u kojem se navodi da vanjsko djelovanje EU-a, uključujući sigurnosnu politiku, mora poštovati načelo „jednakosti među državama članicama”, što znači da se ne može nametnuti obvezna zajednička obrambena politika,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9.c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izjavu tužitelja Međunarodnog kaznenog suda Karima A. A.</w:t>
            </w:r>
            <w:r>
              <w:t xml:space="preserve"> </w:t>
            </w:r>
            <w:r>
              <w:rPr>
                <w:b/>
                <w:i/>
              </w:rPr>
              <w:t>Khana,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9.d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članak 51. Povelje Ujedinjenih naroda kojim se utvrđuje pravo na pojedinačnu ili kolektivnu samoobranu država članica UN-a u slučaju oružanog napada dok Vijeće sigurnosti ne poduzme mjere za održavanje međunarodnog mira i sigurnosti,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9.d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Rimski statut Međunarodnog kaznenog suda,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9.e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njegov članak 2. stavak 4. i članak 2. stavak 7., kojima se UN sprečava da intervenira u pitanjima koja su u nacionalnoj nadležnosti država članica, poštujući nacionalni suverenitet,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9.e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Sporazum između Europske unije i Međunarodnog kaznenog suda (MKS),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9.f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Helsinški završni akt OESS-a (1975.) u njegovu načelu VI. o nemiješanju u unutarnje poslove i načelu VII., kojim se podupire pravo svake države da odredi vlastitu obrambenu i sigurnosnu politiku,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9.f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rješenje Međunarodnog suda o zahtjevu Južne Afrike za određivanje privremenih mjera,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Corrêa, Jordan Bardella, Matthieu Valet, Pierre-Romain Thionnet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9.g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Europsku konvenciju o ljudskim pravima (EKLJP) i Vijeće Europe, u kojima se naglašava poštovanje suvereniteta država osiguravanjem da svaka zemlja ima pravo sama odlučivati o sigurnosnim pitanjima,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39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9.g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Konvenciju Ujedinjenih naroda o sprečavanju i kažnjavanju zločina genocida iz 1948. i Rezoluciju 43/29 Vijeća Ujedinjenih naroda za ljudska prava od 22. lipnja 2020. o sprečavanju genocida,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9.h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Rezoluciju Opće skupštine UN-a br. 302 (IV) (1949),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9.i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rezoluciju Vijeća sigurnosti br. 1701 (2006),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9.j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novi Akcijski plan EU-a o rodnoj ravnopravnosti i osnaživanju žena u vanjskim odnosima za razdoblje 2020. - 2025.,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9.k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Konvenciju Vijeća Europe o sprečavanju i borbi protiv nasilja nad ženama i nasilja u obitelji „Istanbulska konvencija”, koja je u EU-u stupila na snagu 1. listopada 2023.,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Pozivanje 9.l (novo)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–</w:t>
            </w:r>
            <w:r>
              <w:tab/>
            </w:r>
            <w:r>
              <w:rPr>
                <w:b/>
                <w:i/>
              </w:rPr>
              <w:t>uzimajući u obzir Rezoluciju Ujedinjenih naroda br. 242 (1967.),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</w:t>
            </w:r>
            <w:r>
              <w:rPr>
                <w:b/>
                <w:i/>
              </w:rPr>
              <w:t>je tempo geopolitičkih promjena dramatičan i da autokratski akteri djeluju</w:t>
            </w:r>
            <w:r>
              <w:t xml:space="preserve"> pojedinačno i </w:t>
            </w:r>
            <w:r>
              <w:rPr>
                <w:b/>
                <w:i/>
              </w:rPr>
              <w:t>usklađeno kako bi ugrozili</w:t>
            </w:r>
            <w:r>
              <w:t xml:space="preserve"> međunarodni poredak utemeljen na pravilima i njegove multilateralne </w:t>
            </w:r>
            <w:r>
              <w:rPr>
                <w:b/>
                <w:i/>
              </w:rPr>
              <w:t>organizacije;</w:t>
            </w:r>
            <w:r>
              <w:t xml:space="preserve"> </w:t>
            </w:r>
            <w:r>
              <w:rPr>
                <w:b/>
                <w:i/>
              </w:rPr>
              <w:t>budući</w:t>
            </w:r>
            <w:r>
              <w:t xml:space="preserve"> da su sukobi sve češći </w:t>
            </w:r>
            <w:r>
              <w:rPr>
                <w:b/>
                <w:i/>
              </w:rPr>
              <w:t>i da se</w:t>
            </w:r>
            <w:r>
              <w:t xml:space="preserve"> uporaba sile sve </w:t>
            </w:r>
            <w:r>
              <w:rPr>
                <w:b/>
                <w:i/>
              </w:rPr>
              <w:t>više normalizira kao sredstvo</w:t>
            </w:r>
            <w:r>
              <w:t xml:space="preserve"> za ostvarivanje političkih ciljeva </w:t>
            </w:r>
            <w:r>
              <w:rPr>
                <w:b/>
                <w:i/>
              </w:rPr>
              <w:t>i</w:t>
            </w:r>
            <w:r>
              <w:t xml:space="preserve"> od strane država i od strane nedržavnih aktera;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</w:t>
            </w:r>
            <w:r>
              <w:rPr>
                <w:b/>
                <w:i/>
              </w:rPr>
              <w:t>se svijet suočava s brzim geopolitičkim promjenama i da autokratske sile, i</w:t>
            </w:r>
            <w:r>
              <w:t xml:space="preserve"> pojedinačno i </w:t>
            </w:r>
            <w:r>
              <w:rPr>
                <w:b/>
                <w:i/>
              </w:rPr>
              <w:t>u koordiniranim naporima, aktivno dovode u pitanje</w:t>
            </w:r>
            <w:r>
              <w:t xml:space="preserve"> međunarodni poredak utemeljen na pravilima i njegove multilateralne </w:t>
            </w:r>
            <w:r>
              <w:rPr>
                <w:b/>
                <w:i/>
              </w:rPr>
              <w:t>institucije;</w:t>
            </w:r>
            <w:r>
              <w:t xml:space="preserve"> </w:t>
            </w:r>
            <w:r>
              <w:rPr>
                <w:b/>
                <w:i/>
              </w:rPr>
              <w:t>te</w:t>
            </w:r>
            <w:r>
              <w:t xml:space="preserve"> da su sukobi sve češći</w:t>
            </w:r>
            <w:r>
              <w:rPr>
                <w:b/>
                <w:i/>
              </w:rPr>
              <w:t>, a</w:t>
            </w:r>
            <w:r>
              <w:t xml:space="preserve"> uporaba sile sve </w:t>
            </w:r>
            <w:r>
              <w:rPr>
                <w:b/>
                <w:i/>
              </w:rPr>
              <w:t>se više tretira kao standardni alat</w:t>
            </w:r>
            <w:r>
              <w:t xml:space="preserve"> za ostvarivanje političkih ciljeva</w:t>
            </w:r>
            <w:r>
              <w:rPr>
                <w:b/>
                <w:i/>
              </w:rPr>
              <w:t>, ne samo</w:t>
            </w:r>
            <w:r>
              <w:t xml:space="preserve"> od strane država </w:t>
            </w:r>
            <w:r>
              <w:rPr>
                <w:b/>
                <w:i/>
              </w:rPr>
              <w:t>nego</w:t>
            </w:r>
            <w:r>
              <w:t xml:space="preserve"> i od strane </w:t>
            </w:r>
            <w:r>
              <w:rPr>
                <w:b/>
                <w:i/>
              </w:rPr>
              <w:t>sve većeg broja</w:t>
            </w:r>
            <w:r>
              <w:t xml:space="preserve"> nedržavnih aktera;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je tempo geopolitičkih promjena dramatičan i da autokratski akteri djeluju pojedinačno i usklađeno kako bi ugrozili međunarodni poredak utemeljen na pravilima </w:t>
            </w:r>
            <w:r>
              <w:rPr>
                <w:b/>
                <w:i/>
              </w:rPr>
              <w:t>i</w:t>
            </w:r>
            <w:r>
              <w:t xml:space="preserve"> njegove multilateralne organizacije; budući da su sukobi sve češći i da se uporaba sile sve više normalizira kao sredstvo za ostvarivanje političkih ciljeva i od strane država i od strane nedržavnih aktera;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budući da je tempo geopolitičkih promjena dramatičan i da autokratski akteri djeluju pojedinačno i usklađeno kako bi ugrozili međunarodni poredak utemeljen na pravilima</w:t>
            </w:r>
            <w:r>
              <w:rPr>
                <w:b/>
                <w:i/>
              </w:rPr>
              <w:t>,</w:t>
            </w:r>
            <w:r>
              <w:t xml:space="preserve"> njegove multilateralne organizacije </w:t>
            </w:r>
            <w:r>
              <w:rPr>
                <w:b/>
                <w:i/>
              </w:rPr>
              <w:t>i globalnu sigurnost</w:t>
            </w:r>
            <w:r>
              <w:t xml:space="preserve">; budući da su sukobi sve češći i da se uporaba sile sve više normalizira kao sredstvo za ostvarivanje političkih ciljeva i od strane država i od strane nedržavnih aktera; </w:t>
            </w:r>
            <w:r>
              <w:rPr>
                <w:b/>
                <w:i/>
              </w:rPr>
              <w:t>budući da Europska unija treba ojačati transatlantske odnose i izgraditi konstruktivna partnerstva s partnerima istomišljenicima na globalnom jugu;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budući da je tempo geopolitičkih promjena dramatičan i da autokratski akteri djeluju pojedinačno i usklađeno kako bi ugrozili međunarodni poredak utemeljen na pravilima i njegove multilateralne organizacije; budući da su sukobi sve češći i da se uporaba sile sve više normalizira kao sredstvo za ostvarivanje političkih ciljeva i od strane država i od strane nedržavnih aktera;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je tempo geopolitičkih promjena dramatičan i da </w:t>
            </w:r>
            <w:r>
              <w:rPr>
                <w:b/>
                <w:i/>
              </w:rPr>
              <w:t>komunistički, diktatorski i</w:t>
            </w:r>
            <w:r>
              <w:t xml:space="preserve"> autokratski akteri</w:t>
            </w:r>
            <w:r>
              <w:rPr>
                <w:b/>
                <w:i/>
              </w:rPr>
              <w:t>, kao što su Rusija, Kina, Iran, Kuba, Venezuela i Sjeverna Koreja,</w:t>
            </w:r>
            <w:r>
              <w:t xml:space="preserve"> djeluju pojedinačno i usklađeno kako bi ugrozili međunarodni poredak utemeljen na pravilima i njegove multilateralne organizacije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budući da je došlo do povećanja kršenja ljudskih prava od strane tih aktera</w:t>
            </w:r>
            <w:r>
              <w:t>; budući da su sukobi sve češći i da se uporaba sile sve više normalizira kao sredstvo za ostvarivanje političkih ciljeva i od strane država i od strane nedržavnih aktera;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je tempo geopolitičkih promjena dramatičan i da autokratski akteri djeluju pojedinačno i usklađeno kako bi ugrozili međunarodni poredak utemeljen na pravilima </w:t>
            </w:r>
            <w:r>
              <w:rPr>
                <w:b/>
                <w:i/>
              </w:rPr>
              <w:t>i njegove multilateralne organizacije</w:t>
            </w:r>
            <w:r>
              <w:t>; budući da su sukobi sve češći i da se uporaba sile sve više normalizira kao sredstvo za ostvarivanje političkih ciljeva i od strane država i od strane nedržavnih aktera;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>budući da je tempo geopolitičkih promjena dramatičan i da autokratski akteri djeluju pojedinačno i usklađeno kako bi ugrozili međunarodni poredak utemeljen na pravilima</w:t>
            </w:r>
            <w:r>
              <w:rPr>
                <w:b/>
                <w:i/>
              </w:rPr>
              <w:t>, multilateralne organizacije, međunarodno pravo, demokratske institucije i društva te naše saveznike</w:t>
            </w:r>
            <w:r>
              <w:t>; budući da su sukobi sve češći i da se uporaba sile sve više normalizira kao sredstvo za ostvarivanje političkih ciljeva i od strane država i od strane nedržavnih aktera;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49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je tempo geopolitičkih promjena dramatičan i da </w:t>
            </w:r>
            <w:r>
              <w:rPr>
                <w:b/>
                <w:i/>
              </w:rPr>
              <w:t>autokratski akteri djeluju pojedinačno i usklađeno kako bi ugrozili međunarodni poredak utemeljen na pravilima i njegove multilateralne organizacije</w:t>
            </w:r>
            <w:r>
              <w:t xml:space="preserve">; budući da su sukobi sve češći i da se uporaba sile </w:t>
            </w:r>
            <w:r>
              <w:rPr>
                <w:b/>
                <w:i/>
              </w:rPr>
              <w:t>sve više</w:t>
            </w:r>
            <w:r>
              <w:t xml:space="preserve"> normalizira kao sredstvo za ostvarivanje političkih ciljeva i od strane država i od strane nedržavnih aktera;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je tempo geopolitičkih promjena dramatičan i da </w:t>
            </w:r>
            <w:r>
              <w:rPr>
                <w:b/>
                <w:i/>
              </w:rPr>
              <w:t>predstavlja prijetnju miru na europskom kontinentu i na globalnoj razini</w:t>
            </w:r>
            <w:r>
              <w:t>; budući da su sukobi sve češći i da se uporaba sile normalizira kao sredstvo za ostvarivanje političkih ciljeva i od strane država i od strane nedržavnih aktera;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je tempo geopolitičkih promjena dramatičan i da </w:t>
            </w:r>
            <w:r>
              <w:rPr>
                <w:b/>
                <w:i/>
              </w:rPr>
              <w:t>autokratski</w:t>
            </w:r>
            <w:r>
              <w:t xml:space="preserve"> akteri djeluju pojedinačno i usklađeno kako bi ugrozili međunarodni poredak </w:t>
            </w:r>
            <w:r>
              <w:rPr>
                <w:b/>
                <w:i/>
              </w:rPr>
              <w:t>utemeljen na pravilima</w:t>
            </w:r>
            <w:r>
              <w:t xml:space="preserve"> i njegove multilateralne organizacije; budući da su sukobi sve češći i da se uporaba sile sve više normalizira kao sredstvo za ostvarivanje političkih ciljeva i od strane država i od strane nedržavnih aktera;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A.</w:t>
            </w:r>
            <w:r>
              <w:tab/>
            </w:r>
            <w:r>
              <w:t xml:space="preserve">budući da je tempo geopolitičkih promjena dramatičan i da </w:t>
            </w:r>
            <w:r>
              <w:rPr>
                <w:b/>
                <w:i/>
              </w:rPr>
              <w:t>značajni</w:t>
            </w:r>
            <w:r>
              <w:t xml:space="preserve"> akteri djeluju pojedinačno i usklađeno kako bi ugrozili </w:t>
            </w:r>
            <w:r>
              <w:rPr>
                <w:b/>
                <w:i/>
              </w:rPr>
              <w:t>trenutačni</w:t>
            </w:r>
            <w:r>
              <w:t xml:space="preserve"> međunarodni poredak i njegove multilateralne organizacije; budući da su sukobi sve češći i da se uporaba sile sve više normalizira kao sredstvo za ostvarivanje političkih ciljeva i od strane država i od strane nedržavnih aktera;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Christophe Gomart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Aa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Aa.</w:t>
            </w:r>
            <w:r>
              <w:tab/>
            </w:r>
            <w:r>
              <w:rPr>
                <w:b/>
                <w:i/>
              </w:rPr>
              <w:t>budući da je EU suočen s brzim porastom novih prijetnji na svojim granicama i na svojem teritoriju, posebno ciljanim dezinformacijama, kibernetičkim i hibridnim napadima, instrumentalizacijom migracijskih tokova, uz međunarodni islamski terorizam i vjerski radikalizam, koje destabiliziraju njegovo funkcioniranje;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</w:t>
            </w:r>
            <w:r>
              <w:rPr>
                <w:b/>
                <w:i/>
              </w:rPr>
              <w:t>naglasio</w:t>
            </w:r>
            <w:r>
              <w:t xml:space="preserve"> potrebu za </w:t>
            </w:r>
            <w:r>
              <w:rPr>
                <w:b/>
                <w:i/>
              </w:rPr>
              <w:t>ambicioznijim, vjerodostojnijim i ujedinjenijim djelovanjem EU-a na svjetskoj sceni i istaknuo potrebu da države članice pokažu potrebnu razinu političke volje za redefiniranje zajedničke vanjske i sigurnosne politike (ZVSP) u punopravnu europsku politiku;</w:t>
            </w:r>
            <w:r>
              <w:t xml:space="preserve"> </w:t>
            </w:r>
            <w:r>
              <w:rPr>
                <w:b/>
                <w:i/>
              </w:rPr>
              <w:t>budući da bi se EU u svojem vanjskom djelovanju trebao voditi</w:t>
            </w:r>
            <w:r>
              <w:t xml:space="preserve"> vrijednostima i načelima sadržanima u članku </w:t>
            </w:r>
            <w:r>
              <w:rPr>
                <w:b/>
                <w:i/>
              </w:rPr>
              <w:t>2., članku 3</w:t>
            </w:r>
            <w:r>
              <w:t xml:space="preserve">. stavku </w:t>
            </w:r>
            <w:r>
              <w:rPr>
                <w:b/>
                <w:i/>
              </w:rPr>
              <w:t>5</w:t>
            </w:r>
            <w:r>
              <w:t xml:space="preserve">. i članku </w:t>
            </w:r>
            <w:r>
              <w:rPr>
                <w:b/>
                <w:i/>
              </w:rPr>
              <w:t>21</w:t>
            </w:r>
            <w:r>
              <w:t>. UEU-a, koji su nadahnuli stvaranje</w:t>
            </w:r>
            <w:r>
              <w:rPr>
                <w:b/>
                <w:i/>
              </w:rPr>
              <w:t>, razvoj i proširenje EU-a;</w:t>
            </w:r>
            <w:r>
              <w:t xml:space="preserve"> </w:t>
            </w:r>
            <w:r>
              <w:rPr>
                <w:b/>
                <w:i/>
              </w:rPr>
              <w:t>budući da bi se EU u skladu s time trebao zalagati za slobodu i demokratske standarde diljem svijeta, kao i univerzalnost ljudskih prava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</w:t>
            </w:r>
            <w:r>
              <w:rPr>
                <w:b/>
                <w:i/>
              </w:rPr>
              <w:t>pojačao</w:t>
            </w:r>
            <w:r>
              <w:t xml:space="preserve"> potrebu za </w:t>
            </w:r>
            <w:r>
              <w:rPr>
                <w:b/>
                <w:i/>
              </w:rPr>
              <w:t>usklađenijom prisutnošću EU-a, koja se temelji na višestrukim savezima, a ne na krutim blokovima, u skladu s</w:t>
            </w:r>
            <w:r>
              <w:t xml:space="preserve"> vrijednostima i načelima sadržanima u članku </w:t>
            </w:r>
            <w:r>
              <w:rPr>
                <w:b/>
                <w:i/>
              </w:rPr>
              <w:t>4</w:t>
            </w:r>
            <w:r>
              <w:t xml:space="preserve">. stavku </w:t>
            </w:r>
            <w:r>
              <w:rPr>
                <w:b/>
                <w:i/>
              </w:rPr>
              <w:t>2</w:t>
            </w:r>
            <w:r>
              <w:t xml:space="preserve">. i članku </w:t>
            </w:r>
            <w:r>
              <w:rPr>
                <w:b/>
                <w:i/>
              </w:rPr>
              <w:t>42. stavku 2</w:t>
            </w:r>
            <w:r>
              <w:t xml:space="preserve">. UEU-a, koji su nadahnuli </w:t>
            </w:r>
            <w:r>
              <w:rPr>
                <w:b/>
                <w:i/>
              </w:rPr>
              <w:t>njegovo</w:t>
            </w:r>
            <w:r>
              <w:t xml:space="preserve"> stvaranje;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</w:t>
            </w:r>
            <w:r>
              <w:rPr>
                <w:b/>
                <w:i/>
              </w:rPr>
              <w:t>za ambicioznijim, vjerodostojnijim i ujedinjenijim djelovanjem EU-a na svjetskoj sceni i istaknuo potrebu da države članice pokažu potrebnu razinu političke volje za redefiniranje zajedničke vanjske i sigurnosne politike (ZVSP) u punopravnu europsku politiku;</w:t>
            </w:r>
            <w:r>
              <w:t xml:space="preserve"> </w:t>
            </w:r>
            <w:r>
              <w:rPr>
                <w:b/>
                <w:i/>
              </w:rPr>
              <w:t>budući da bi</w:t>
            </w:r>
            <w:r>
              <w:t xml:space="preserve"> se EU </w:t>
            </w:r>
            <w:r>
              <w:rPr>
                <w:b/>
                <w:i/>
              </w:rPr>
              <w:t>u svojem vanjskom djelovanju trebao voditi vrijednostima i načelima sadržanima u članku 2., članku 3. stavku 5. i članku 21.</w:t>
            </w:r>
            <w:r>
              <w:t xml:space="preserve"> </w:t>
            </w:r>
            <w:r>
              <w:rPr>
                <w:b/>
                <w:i/>
              </w:rPr>
              <w:t>UEU-a, koji su nadahnuli stvaranje, razvoj i proširenje EU-a;</w:t>
            </w:r>
            <w:r>
              <w:t xml:space="preserve"> </w:t>
            </w:r>
            <w:r>
              <w:rPr>
                <w:b/>
                <w:i/>
              </w:rPr>
              <w:t>budući da bi se EU u skladu s time trebao zalagati za slobodu i demokratske standarde diljem svijeta, kao i univerzalnost ljudskih prava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</w:t>
            </w:r>
            <w:r>
              <w:rPr>
                <w:b/>
                <w:i/>
              </w:rPr>
              <w:t>da</w:t>
            </w:r>
            <w:r>
              <w:t xml:space="preserve"> se EU </w:t>
            </w:r>
            <w:r>
              <w:rPr>
                <w:b/>
                <w:i/>
              </w:rPr>
              <w:t>uključi u nove politike i djelovanja kojima se njegov smjer mijenja iz štetnog i kontraproduktivnog militarizma u onaj u kojem EU i njegove države članice zajednički i dosljedno jačaju svoju predanost multilateralizmu i diplomaciji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Kinga Gál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za ambicioznijim, vjerodostojnijim i ujedinjenijim djelovanjem EU-a na svjetskoj sceni </w:t>
            </w:r>
            <w:r>
              <w:rPr>
                <w:b/>
                <w:i/>
              </w:rPr>
              <w:t>i istaknuo potrebu da države članice pokažu potrebnu razinu političke volje za redefiniranje zajedničke vanjske i sigurnosne</w:t>
            </w:r>
            <w:r>
              <w:t xml:space="preserve"> politike </w:t>
            </w:r>
            <w:r>
              <w:rPr>
                <w:b/>
                <w:i/>
              </w:rPr>
              <w:t>(ZVSP) u punopravnu europsku politiku</w:t>
            </w:r>
            <w:r>
              <w:t>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diljem svijeta, kao i univerzalnost ljudskih prava;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je geopolitički kontekst u kojem EU djeluje naglasio potrebu za ambicioznijim, vjerodostojnijim i ujedinjenijim djelovanjem EU-a na svjetskoj sceni</w:t>
            </w:r>
            <w:r>
              <w:rPr>
                <w:b/>
                <w:i/>
              </w:rPr>
              <w:t>, također uzimajući u obzir da je jednoglasnost u području donošenja odluka u području ZVSP-a utvrđena Ugovorima i da služi kao ključan element za osiguravanje nacionalnog suvereniteta u okviru vanjske</w:t>
            </w:r>
            <w:r>
              <w:t xml:space="preserve"> politike </w:t>
            </w:r>
            <w:r>
              <w:rPr>
                <w:b/>
                <w:i/>
              </w:rPr>
              <w:t>EU-a;</w:t>
            </w:r>
            <w:r>
              <w:t xml:space="preserve"> </w:t>
            </w:r>
            <w:r>
              <w:rPr>
                <w:b/>
                <w:i/>
              </w:rPr>
              <w:t>budući da je zadržavanje jednoglasnosti u vanjskopolitičkim odlukama ključno jer bi bilo koji drugi pristup mogao prisiliti zemlje da se usklade sa stajalištima koja možda ne podupiru u potpunosti i s odlukama na koje nerazmjerno utječu veće ili snažnije članice EU-a</w:t>
            </w:r>
            <w:r>
              <w:t>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diljem svijeta, kao i univerzalnost ljudskih prava;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za </w:t>
            </w:r>
            <w:r>
              <w:rPr>
                <w:b/>
                <w:i/>
              </w:rPr>
              <w:t>ambicioznijim, vjerodostojnijim i ujedinjenijim</w:t>
            </w:r>
            <w:r>
              <w:t xml:space="preserve"> djelovanjem EU-a na svjetskoj sceni </w:t>
            </w:r>
            <w:r>
              <w:rPr>
                <w:b/>
                <w:i/>
              </w:rPr>
              <w:t>i istaknuo potrebu da države članice pokažu potrebnu razinu političke volje za redefiniranje zajedničke vanjske i sigurnosne politike (ZVSP) u punopravnu europsku politiku</w:t>
            </w:r>
            <w:r>
              <w:t>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diljem svijeta, kao i univerzalnost ljudskih prava;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za </w:t>
            </w:r>
            <w:r>
              <w:rPr>
                <w:b/>
                <w:i/>
              </w:rPr>
              <w:t>vjerodostojnim</w:t>
            </w:r>
            <w:r>
              <w:t xml:space="preserve"> djelovanjem EU-a na svjetskoj sceni;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diljem svijeta, kao i univerzalnost ljudskih prava;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Miriam Lexmann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je geopolitički kontekst u kojem EU djeluje naglasio potrebu za ambicioznijim, vjerodostojnijim i ujedinjenijim djelovanjem EU-a na svjetskoj sceni i istaknuo potrebu da države članice pokažu potrebnu razinu političke volje za redefiniranje zajedničke vanjske i sigurnosne politike (ZVSP) u punopravnu europsku politiku</w:t>
            </w:r>
            <w:r>
              <w:rPr>
                <w:b/>
                <w:i/>
              </w:rPr>
              <w:t>;</w:t>
            </w:r>
            <w:r>
              <w:t xml:space="preserve"> </w:t>
            </w:r>
            <w:r>
              <w:rPr>
                <w:b/>
                <w:i/>
              </w:rPr>
              <w:t>budući</w:t>
            </w:r>
            <w:r>
              <w:t xml:space="preserve"> da bi se EU u svojem vanjskom djelovanju trebao voditi vrijednostima i načelima sadržanima u članku 2., članku 3. stavku 5. i članku 21. UEU-a, koji su nadahnuli stvaranje, razvoj i proširenje EU-a; budući da </w:t>
            </w:r>
            <w:r>
              <w:rPr>
                <w:b/>
                <w:i/>
              </w:rPr>
              <w:t>bi se EU</w:t>
            </w:r>
            <w:r>
              <w:t xml:space="preserve"> u skladu s time </w:t>
            </w:r>
            <w:r>
              <w:rPr>
                <w:b/>
                <w:i/>
              </w:rPr>
              <w:t>trebao zalagati</w:t>
            </w:r>
            <w:r>
              <w:t xml:space="preserve"> za slobodu i demokratske standarde diljem svijeta, kao i univerzalnost ljudskih prava;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je geopolitički kontekst u kojem EU djeluje naglasio potrebu za ambicioznijim, vjerodostojnijim i ujedinjenijim djelovanjem EU-a na svjetskoj sceni i istaknuo potrebu da države članice pokažu potrebnu razinu političke volje za redefiniranje zajedničke vanjske i sigurnosne politike (ZVSP) u punopravnu europsku politiku</w:t>
            </w:r>
            <w:r>
              <w:rPr>
                <w:b/>
                <w:i/>
              </w:rPr>
              <w:t>, kroz koju Unija može odgovoriti na ključne geopolitičke izazove;</w:t>
            </w:r>
            <w:r>
              <w:t xml:space="preserve"> </w:t>
            </w:r>
            <w:r>
              <w:rPr>
                <w:b/>
                <w:i/>
              </w:rPr>
              <w:t>žali zbog raskoraka između riječi i djela EU-a na svjetskoj sceni; podsjeća</w:t>
            </w:r>
            <w:r>
              <w:t xml:space="preserve"> da bi se EU u svojem vanjskom djelovanju trebao voditi vrijednostima i načelima sadržanima u članku 2., članku 3. stavku 5. i članku 21. UEU-a, koji su nadahnuli stvaranje, razvoj i proširenje EU-a; budući da </w:t>
            </w:r>
            <w:r>
              <w:rPr>
                <w:b/>
                <w:i/>
              </w:rPr>
              <w:t>je u interesu EU-a da se</w:t>
            </w:r>
            <w:r>
              <w:t xml:space="preserve"> u skladu s time </w:t>
            </w:r>
            <w:r>
              <w:rPr>
                <w:b/>
                <w:i/>
              </w:rPr>
              <w:t>zalaže</w:t>
            </w:r>
            <w:r>
              <w:t xml:space="preserve"> za slobodu i demokratske standarde diljem svijeta, kao i univerzalnost ljudskih prava;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je geopolitički kontekst u kojem EU djeluje naglasio potrebu za ambicioznijim, vjerodostojnijim i ujedinjenijim djelovanjem EU-a na svjetskoj sceni i istaknuo potrebu da države članice pokažu potrebnu razinu političke volje za redefiniranje zajedničke vanjske i sigurnosne politike (ZVSP) u punopravnu europsku politiku;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diljem svijeta, kao i univerzalnost ljudskih prava;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je geopolitički kontekst u kojem EU djeluje naglasio potrebu za ambicioznijim, vjerodostojnijim i ujedinjenijim djelovanjem EU-a na svjetskoj sceni i istaknuo potrebu da države članice pokažu potrebnu razinu političke volje za redefiniranje zajedničke vanjske i sigurnosne politike (ZVSP) u punopravnu europsku politiku</w:t>
            </w:r>
            <w:r>
              <w:rPr>
                <w:b/>
                <w:i/>
              </w:rPr>
              <w:t>, koju donose države članice kao glavni akteri vanjske politike</w:t>
            </w:r>
            <w:r>
              <w:t>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diljem svijeta, kao i univerzalnost ljudskih prava;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je geopolitički kontekst u kojem EU djeluje naglasio potrebu za ambicioznijim, vjerodostojnijim i ujedinjenijim djelovanjem EU-a na svjetskoj sceni i istaknuo potrebu da države članice pokažu potrebnu razinu političke volje za redefiniranje zajedničke vanjske i sigurnosne politike (ZVSP) u punopravnu europsku politiku;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diljem svijeta, kao i univerzalnost ljudskih prava;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>budući da je geopolitički kontekst u kojem EU djeluje naglasio potrebu za ambicioznijim, vjerodostojnijim</w:t>
            </w:r>
            <w:r>
              <w:rPr>
                <w:b/>
                <w:i/>
              </w:rPr>
              <w:t>, odlučnijim</w:t>
            </w:r>
            <w:r>
              <w:t xml:space="preserve"> i ujedinjenijim djelovanjem EU-a </w:t>
            </w:r>
            <w:r>
              <w:rPr>
                <w:b/>
                <w:i/>
              </w:rPr>
              <w:t>i punopravnom europskom vanjskom politikom</w:t>
            </w:r>
            <w:r>
              <w:t xml:space="preserve"> na svjetskoj sceni i istaknuo potrebu da države članice pokažu potrebnu razinu političke volje za redefiniranje zajedničke vanjske i sigurnosne politike (ZVSP) u punopravnu europsku politiku;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diljem svijeta, kao i univerzalnost ljudskih prava;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59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Mariusz Kamiński, Adam Bielan, Michał Dworczyk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{ECR}</w:t>
      </w:r>
      <w:r>
        <w:t>u ime Kluba zastupnika ECR-a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za ambicioznijim, vjerodostojnijim i ujedinjenijim djelovanjem EU-a na svjetskoj sceni i istaknuo potrebu da države članice pokažu potrebnu razinu političke volje za </w:t>
            </w:r>
            <w:r>
              <w:rPr>
                <w:b/>
                <w:i/>
              </w:rPr>
              <w:t>redefiniranje zajedničke vanjske i sigurnosne politike (ZVSP) u punopravnu europsku politiku</w:t>
            </w:r>
            <w:r>
              <w:t>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diljem svijeta, kao i univerzalnost ljudskih prava;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za ambicioznijim, vjerodostojnijim i ujedinjenijim djelovanjem EU-a na svjetskoj sceni i istaknuo potrebu da države članice pokažu potrebnu razinu političke volje za </w:t>
            </w:r>
            <w:r>
              <w:rPr>
                <w:b/>
                <w:i/>
              </w:rPr>
              <w:t>obnovu svojih obrambenih sposobnosti, istovremeno jačajući transatlantske veze EU-a i partnerstva sa zemljama istomišljenicama</w:t>
            </w:r>
            <w:r>
              <w:t>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diljem svijeta, kao i univerzalnost ljudskih prava;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za ambicioznijim, vjerodostojnijim i ujedinjenijim djelovanjem EU-a na svjetskoj sceni i istaknuo potrebu da države članice pokažu potrebnu razinu političke volje za redefiniranje zajedničke vanjske i sigurnosne politike (ZVSP) u punopravnu europsku politiku; budući da bi se EU u svojem vanjskom djelovanju trebao voditi vrijednostima i načelima sadržanima u članku 2., članku 3. stavku 5. i članku 21. UEU-a, koji su nadahnuli stvaranje, razvoj i proširenje EU-a; budući da bi se </w:t>
            </w:r>
            <w:r>
              <w:rPr>
                <w:b/>
                <w:i/>
              </w:rPr>
              <w:t>EU u skladu s time trebao</w:t>
            </w:r>
            <w:r>
              <w:t xml:space="preserve"> zalagati za </w:t>
            </w:r>
            <w:r>
              <w:rPr>
                <w:b/>
                <w:i/>
              </w:rPr>
              <w:t>slobodu i demokratske standarde diljem svijeta</w:t>
            </w:r>
            <w:r>
              <w:t xml:space="preserve">, kao i </w:t>
            </w:r>
            <w:r>
              <w:rPr>
                <w:b/>
                <w:i/>
              </w:rPr>
              <w:t>univerzalnost ljudskih</w:t>
            </w:r>
            <w:r>
              <w:t xml:space="preserve"> prava;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za ambicioznijim, vjerodostojnijim i ujedinjenijim djelovanjem EU-a na svjetskoj sceni i istaknuo potrebu da države članice pokažu potrebnu razinu političke volje za redefiniranje zajedničke vanjske i sigurnosne politike (ZVSP) u punopravnu europsku politiku; budući da bi se EU u svojem vanjskom djelovanju trebao voditi vrijednostima i načelima sadržanima u članku 2., članku 3. stavku 5. i članku 21. UEU-a, koji su nadahnuli stvaranje, razvoj i proširenje EU-a; budući da bi se </w:t>
            </w:r>
            <w:r>
              <w:rPr>
                <w:b/>
                <w:i/>
              </w:rPr>
              <w:t>Europska unija na odgovarajući način trebala</w:t>
            </w:r>
            <w:r>
              <w:t xml:space="preserve"> zalagati za </w:t>
            </w:r>
            <w:r>
              <w:rPr>
                <w:b/>
                <w:i/>
              </w:rPr>
              <w:t>univerzalne vrijednosti, norme i načela kao što su sloboda i demokratski standardi</w:t>
            </w:r>
            <w:r>
              <w:t xml:space="preserve">, kao i </w:t>
            </w:r>
            <w:r>
              <w:rPr>
                <w:b/>
                <w:i/>
              </w:rPr>
              <w:t>za ljudska prava i vladavinu</w:t>
            </w:r>
            <w:r>
              <w:t> prava;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Hermann Tertsch, Jorge Martín Frías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za ambicioznijim, vjerodostojnijim i </w:t>
            </w:r>
            <w:r>
              <w:rPr>
                <w:b/>
                <w:i/>
              </w:rPr>
              <w:t>ujedinjenijim</w:t>
            </w:r>
            <w:r>
              <w:t xml:space="preserve"> djelovanjem EU-a na svjetskoj sceni i istaknuo potrebu da države članice </w:t>
            </w:r>
            <w:r>
              <w:rPr>
                <w:b/>
                <w:i/>
              </w:rPr>
              <w:t>pokažu potrebnu razinu političke volje za redefiniranje zajedničke vanjske i sigurnosne politike (ZVSP) u punopravnu europsku politiku</w:t>
            </w:r>
            <w:r>
              <w:t>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diljem svijeta, kao i univerzalnost ljudskih prava;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za ambicioznijim, vjerodostojnijim i </w:t>
            </w:r>
            <w:r>
              <w:rPr>
                <w:b/>
                <w:i/>
              </w:rPr>
              <w:t>usklađenijim</w:t>
            </w:r>
            <w:r>
              <w:t xml:space="preserve"> djelovanjem EU-a na svjetskoj sceni i istaknuo potrebu da države članice </w:t>
            </w:r>
            <w:r>
              <w:rPr>
                <w:b/>
                <w:i/>
              </w:rPr>
              <w:t>ažuriraju zajedničku vanjsku i sigurnosnu politiku (ZVSP)</w:t>
            </w:r>
            <w:r>
              <w:t>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diljem svijeta, kao i univerzalnost ljudskih prava;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za ambicioznijim, vjerodostojnijim i ujedinjenijim djelovanjem EU-a na svjetskoj sceni i istaknuo potrebu da države članice pokažu potrebnu razinu političke volje za redefiniranje zajedničke vanjske i sigurnosne politike (ZVSP) u punopravnu europsku politiku;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</w:t>
            </w:r>
            <w:r>
              <w:rPr>
                <w:b/>
                <w:i/>
              </w:rPr>
              <w:t>diljem svijeta</w:t>
            </w:r>
            <w:r>
              <w:t>, kao i univerzalnost ljudskih prava;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B.</w:t>
            </w:r>
            <w:r>
              <w:tab/>
            </w:r>
            <w:r>
              <w:t xml:space="preserve">budući da je geopolitički kontekst u kojem EU djeluje naglasio potrebu za ambicioznijim, vjerodostojnijim i ujedinjenijim djelovanjem EU-a na svjetskoj sceni i istaknuo potrebu da države članice pokažu potrebnu razinu političke volje za redefiniranje zajedničke vanjske i sigurnosne politike (ZVSP) u punopravnu europsku politiku; budući da bi se EU u svojem vanjskom djelovanju trebao voditi vrijednostima i načelima sadržanima u članku 2., članku 3. stavku 5. i članku 21. UEU-a, koji su nadahnuli stvaranje, razvoj i proširenje EU-a; budući da bi se EU u skladu s time trebao zalagati za slobodu i demokratske standarde </w:t>
            </w:r>
            <w:r>
              <w:rPr>
                <w:b/>
                <w:i/>
              </w:rPr>
              <w:t>na svojem području</w:t>
            </w:r>
            <w:r>
              <w:t>, kao i univerzalnost ljudskih prava;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Carlo Fidanza, Alberico Gambino, 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budući da su se strateška partnerstva i sporazumi između EU-a i zemalja podrijetla i tranzitnih zemalja, kao što su sporazumi između EU-a i Tunisa, Egipta i Mauritanije, pokazali uspješnim modelom za sprečavanje nezakonitih migracija i borbu protiv krijumčara migranata;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Adam Bielan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budući da je ruska ratna agresija ponovno potvrdila ulogu NATO-a kao temelja europske sigurnosti, čime je podržana vodeća uloga SAD-a i uloga Ujedinjene Kraljevine u europskoj sigurnosti i nužnost snažne transatlantske veze;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Nathalie Loiseau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Ba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Ba.</w:t>
            </w:r>
            <w:r>
              <w:tab/>
            </w:r>
            <w:r>
              <w:rPr>
                <w:b/>
                <w:i/>
              </w:rPr>
              <w:t>budući da bi rezultati predsjedničkih i kongresnih izbora u Sjedinjenim Američkim Državama mogli pokazati spremnost na manju uključenost u globalna pitanja, posebno u Europi i s Europom;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budući da se u izvješću najprije preispituje godišnje izvješće o ZVSP-u potpredsjednika Komisije / Visokog predstavnika Unije za vanjske poslove i sigurnosnu politiku te se ono zatim dopunjuje stajalištima Parlamenta o ciljevima ZVSP-a za 2025.; budući da se time izvješće posebno proširuje na globalne posljedice ruske ratne agresije na Ukrajinu, sukob i mir na Bliskom istoku, suradnju s partnerima istomišljenicima i opću vidljivost djelovanja EU-a u inozemstvu; budući da je stav Parlamenta o ZVSP-u usmjeren prema budućnosti naposljetku istaknut ključnim zahtjevima u vezi sa sljedećim višegodišnjim financijskim okvirom i parlamentarnim nadzorom nad njim;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se u izvješću najprije preispituje godišnje izvješće o ZVSP-u potpredsjednika Komisije / Visokog predstavnika Unije za vanjske poslove i sigurnosnu politiku te se ono zatim dopunjuje stajalištima Parlamenta o ciljevima ZVSP-a za 2025.; budući da se time izvješće posebno proširuje na globalne posljedice ruske ratne agresije na Ukrajinu, sukob i mir na Bliskom istoku, suradnju s partnerima istomišljenicima i opću vidljivost djelovanja EU-a u inozemstvu; budući da je stav Parlamenta o ZVSP-u usmjeren prema budućnosti naposljetku istaknut ključnim zahtjevima u vezi sa sljedećim višegodišnjim financijskim okvirom i parlamentarnim nadzorom nad njim; </w:t>
            </w:r>
            <w:r>
              <w:rPr>
                <w:b/>
                <w:i/>
              </w:rPr>
              <w:t>budući da postoji potreba za obranom i jačanjem međunarodnog poretka utemeljenog na pravilima, univerzalnih normi, vrijednosti i načela Povelje UN-a kao što su ljudska prava i međunarodna pravda, multilateralizam i Helsinški završni akt, posebno u pogledu nekršenja međunarodnih granica;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Geadis Geadi, Emmanouil Fragkos, Afroditi Latinopoulou, Fernand Kartheiser, Charlie Weimers, Nikolaos Anadiotis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budući da se u izvješću najprije preispituje godišnje izvješće o ZVSP-u potpredsjednika Komisije / Visokog predstavnika Unije za vanjske poslove i sigurnosnu politiku te se ono zatim dopunjuje stajalištima Parlamenta o ciljevima ZVSP-a za 2025.; budući da se time izvješće posebno proširuje na globalne posljedice ruske ratne agresije na Ukrajinu, sukob i mir na Bliskom istoku, suradnju s partnerima istomišljenicima i opću vidljivost djelovanja EU-a u inozemstvu; budući da je stav Parlamenta o ZVSP-u usmjeren prema budućnosti naposljetku istaknut ključnim zahtjevima u vezi sa sljedećim višegodišnjim financijskim okvirom i parlamentarnim nadzorom nad njim;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se u izvješću najprije preispituje godišnje izvješće o ZVSP-u potpredsjednika Komisije / Visokog predstavnika Unije za vanjske poslove i sigurnosnu politiku te se ono zatim dopunjuje stajalištima Parlamenta o ciljevima ZVSP-a za 2025.; budući da se time izvješće posebno proširuje na globalne posljedice ruske ratne agresije na Ukrajinu, sukob i mir na Bliskom istoku, </w:t>
            </w:r>
            <w:r>
              <w:rPr>
                <w:b/>
                <w:i/>
              </w:rPr>
              <w:t>revizionistički stav Turske u istočnom Sredozemlju te njezino nepoštivanje državnog suvereniteta Grčke i Cipra,</w:t>
            </w:r>
            <w:r>
              <w:t xml:space="preserve"> suradnju s partnerima istomišljenicima i opću vidljivost djelovanja EU-a u inozemstvu; budući da je stav Parlamenta o ZVSP-u usmjeren prema budućnosti naposljetku istaknut ključnim zahtjevima u vezi sa sljedećim višegodišnjim financijskim okvirom i parlamentarnim nadzorom nad njim;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{EL}</w:t>
      </w:r>
      <w:r>
        <w:t>el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Michael von der Schulenburg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se u izvješću najprije preispituje godišnje izvješće o ZVSP-u potpredsjednika Komisije / Visokog predstavnika Unije za vanjske poslove i sigurnosnu politiku te se ono zatim dopunjuje stajalištima Parlamenta o ciljevima ZVSP-a za 2025.; budući da se time izvješće </w:t>
            </w:r>
            <w:r>
              <w:rPr>
                <w:b/>
                <w:i/>
              </w:rPr>
              <w:t>posebno</w:t>
            </w:r>
            <w:r>
              <w:t xml:space="preserve"> proširuje na </w:t>
            </w:r>
            <w:r>
              <w:rPr>
                <w:b/>
                <w:i/>
              </w:rPr>
              <w:t>globalne posljedice ruske ratne agresije na Ukrajinu, sukob i mir</w:t>
            </w:r>
            <w:r>
              <w:t xml:space="preserve"> na Bliskom istoku</w:t>
            </w:r>
            <w:r>
              <w:rPr>
                <w:b/>
                <w:i/>
              </w:rPr>
              <w:t>, suradnju s partnerima istomišljenicima i opću vidljivost djelovanja EU-a u inozemstvu</w:t>
            </w:r>
            <w:r>
              <w:t xml:space="preserve">; budući da je stav Parlamenta o ZVSP-u usmjeren prema budućnosti </w:t>
            </w:r>
            <w:r>
              <w:rPr>
                <w:b/>
                <w:i/>
              </w:rPr>
              <w:t>naposljetku</w:t>
            </w:r>
            <w:r>
              <w:t xml:space="preserve"> istaknut </w:t>
            </w:r>
            <w:r>
              <w:rPr>
                <w:b/>
                <w:i/>
              </w:rPr>
              <w:t>ključnim</w:t>
            </w:r>
            <w:r>
              <w:t xml:space="preserve"> zahtjevima u vezi sa sljedećim višegodišnjim financijskim okvirom i parlamentarnim nadzorom nad njim;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se u izvješću najprije preispituje godišnje izvješće o ZVSP-u potpredsjednika Komisije / Visokog predstavnika Unije za vanjske poslove i sigurnosnu politiku te se ono zatim dopunjuje stajalištima Parlamenta o ciljevima ZVSP-a za 2025.; budući da se time izvješće proširuje na </w:t>
            </w:r>
            <w:r>
              <w:rPr>
                <w:b/>
                <w:i/>
              </w:rPr>
              <w:t>rad na pravednom i trajnom miru u Ukrajini, rad na pravednom i trajnom miru</w:t>
            </w:r>
            <w:r>
              <w:t xml:space="preserve"> na Bliskom istoku </w:t>
            </w:r>
            <w:r>
              <w:rPr>
                <w:b/>
                <w:i/>
              </w:rPr>
              <w:t>i na međunarodnu suradnju</w:t>
            </w:r>
            <w:r>
              <w:t>; budući da je stav Parlamenta o ZVSP-u usmjeren prema budućnosti istaknut zahtjevima u vezi sa sljedećim višegodišnjim financijskim okvirom i parlamentarnim nadzorom nad njim;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69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Željana Zovko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>budući da se u izvješću najprije preispituje godišnje izvješće o ZVSP-u potpredsjednika Komisije / Visokog predstavnika Unije za vanjske poslove i sigurnosnu politiku te se ono zatim dopunjuje stajalištima Parlamenta o ciljevima ZVSP-a za 2025.; budući da se time izvješće posebno proširuje na globalne posljedice ruske ratne agresije na Ukrajinu, sukob i mir na Bliskom istoku, suradnju s partnerima istomišljenicima i opću vidljivost djelovanja EU-a u inozemstvu; budući da je stav Parlamenta o ZVSP-u usmjeren prema budućnosti naposljetku istaknut ključnim zahtjevima u vezi sa sljedećim višegodišnjim financijskim okvirom i parlamentarnim nadzorom nad njim;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se u izvješću najprije preispituje godišnje izvješće o ZVSP-u potpredsjednika Komisije / Visokog predstavnika Unije za vanjske poslove i sigurnosnu politiku te se ono zatim dopunjuje stajalištima Parlamenta o ciljevima ZVSP-a za 2025.; budući da se time izvješće posebno proširuje na globalne posljedice ruske ratne agresije na Ukrajinu, sukob i mir na Bliskom istoku, suradnju s partnerima istomišljenicima i opću vidljivost </w:t>
            </w:r>
            <w:r>
              <w:rPr>
                <w:b/>
                <w:i/>
              </w:rPr>
              <w:t>i utjecaj</w:t>
            </w:r>
            <w:r>
              <w:t xml:space="preserve"> djelovanja EU-a u inozemstvu; budući da je stav Parlamenta o ZVSP-u usmjeren prema budućnosti naposljetku istaknut ključnim zahtjevima u vezi sa sljedećim višegodišnjim financijskim okvirom i parlamentarnim nadzorom nad njim;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Hans Neuhoff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C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se u izvješću najprije preispituje godišnje izvješće o ZVSP-u potpredsjednika Komisije / Visokog predstavnika Unije za vanjske poslove i sigurnosnu politiku te se ono zatim dopunjuje stajalištima Parlamenta o ciljevima ZVSP-a za 2025.; budući da se time izvješće posebno proširuje na globalne posljedice </w:t>
            </w:r>
            <w:r>
              <w:rPr>
                <w:b/>
                <w:i/>
              </w:rPr>
              <w:t>ruske ratne agresije na Ukrajinu</w:t>
            </w:r>
            <w:r>
              <w:t>, sukob i mir na Bliskom istoku, suradnju s partnerima istomišljenicima i opću vidljivost djelovanja EU-a u inozemstvu; budući da je stav Parlamenta o ZVSP-u usmjeren prema budućnosti naposljetku istaknut ključnim zahtjevima u vezi sa sljedećim višegodišnjim financijskim okvirom i parlamentarnim nadzorom nad njim;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C.</w:t>
            </w:r>
            <w:r>
              <w:tab/>
            </w:r>
            <w:r>
              <w:t xml:space="preserve">budući da se u izvješću najprije preispituje godišnje izvješće o ZVSP-u potpredsjednika Komisije / Visokog predstavnika Unije za vanjske poslove i sigurnosnu politiku te se ono zatim dopunjuje stajalištima Parlamenta o ciljevima ZVSP-a za 2025.; budući da se time izvješće posebno proširuje na globalne posljedice </w:t>
            </w:r>
            <w:r>
              <w:rPr>
                <w:b/>
                <w:i/>
              </w:rPr>
              <w:t>sukoba u Ukrajini</w:t>
            </w:r>
            <w:r>
              <w:t>, sukob i mir na Bliskom istoku, suradnju s partnerima istomišljenicima i opću vidljivost djelovanja EU-a u inozemstvu; budući da je stav Parlamenta o ZVSP-u usmjeren prema budućnosti naposljetku istaknut ključnim zahtjevima u vezi sa sljedećim višegodišnjim financijskim okvirom i parlamentarnim nadzorom nad njim;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{DE}</w:t>
      </w:r>
      <w:r>
        <w:t>de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António Tânger Corrêa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budući da u području ZVSP-a Europski parlament izvršava funkcije političkog nadzora i savjetovanja; budući da Europski parlament izvršava proračunsku funkciju za to područje politike zajedno s Vijećem, osim u slučajevima kada Vijeće jednoglasno odluči da rashode snose države članice; budući da Europski parlament mora u potpunosti izvršavati sve svoje nadležnosti </w:t>
            </w:r>
            <w:r>
              <w:rPr>
                <w:b/>
                <w:i/>
              </w:rPr>
              <w:t>kako bi povećao demokratski legitimitet ZVSP-a</w:t>
            </w:r>
            <w:r>
              <w:t>; budući da druge institucije moraju na odgovarajući način prilagoditi svoju suradnju s Europskim parlamentom;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budući da u području ZVSP-a Europski parlament izvršava funkcije političkog nadzora i savjetovanja; budući da Europski parlament izvršava proračunsku funkciju za to područje politike zajedno s Vijećem, osim u slučajevima kada Vijeće jednoglasno odluči da rashode snose države članice; budući da Europski parlament mora u potpunosti izvršavati sve svoje nadležnosti </w:t>
            </w:r>
            <w:r>
              <w:rPr>
                <w:b/>
                <w:i/>
              </w:rPr>
              <w:t>za nadzor djelovanja ZVSP-a, da ostanu strogo u okviru svojih mandata i potpuno poštuju prednost koju suverenost ima u pitanjima vanjske, sigurnosne i obrambene politike</w:t>
            </w:r>
            <w:r>
              <w:t>; budući da druge institucije moraju na odgovarajući način prilagoditi svoju suradnju s Europskim parlamentom;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Sebastiaan Stöteler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budući da u području ZVSP-a Europski parlament izvršava funkcije političkog </w:t>
            </w:r>
            <w:r>
              <w:rPr>
                <w:b/>
                <w:i/>
              </w:rPr>
              <w:t>nadzora i</w:t>
            </w:r>
            <w:r>
              <w:t xml:space="preserve"> savjetovanja; budući da Europski parlament izvršava proračunsku funkciju za to područje politike zajedno s Vijećem, osim u slučajevima kada Vijeće jednoglasno odluči da rashode snose države članice; budući da </w:t>
            </w:r>
            <w:r>
              <w:rPr>
                <w:b/>
                <w:i/>
              </w:rPr>
              <w:t>Europski parlament mora u potpunosti izvršavati sve svoje nadležnosti kako bi povećao demokratski legitimitet ZVSP-a;</w:t>
            </w:r>
            <w:r>
              <w:t xml:space="preserve"> </w:t>
            </w:r>
            <w:r>
              <w:rPr>
                <w:b/>
                <w:i/>
              </w:rPr>
              <w:t>budući da druge institucije moraju na odgovarajući način prilagoditi svoju suradnju s Europskim parlamentom</w:t>
            </w:r>
            <w:r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t>D.</w:t>
            </w:r>
            <w:r>
              <w:tab/>
            </w:r>
            <w:r>
              <w:t xml:space="preserve">budući da u području ZVSP-a Europski parlament izvršava funkcije političkog savjetovanja; budući da Europski parlament izvršava proračunsku funkciju za to područje politike zajedno s Vijećem, osim u slučajevima kada Vijeće jednoglasno odluči da rashode snose države članice; budući da </w:t>
            </w:r>
            <w:r>
              <w:rPr>
                <w:b/>
                <w:i/>
              </w:rPr>
              <w:t>se posebnim pravilima i postupcima navedenima u članku 24. stavku 1. Ugovora o Europskoj uniji, kako su dopunjeni relevantnim izjavama Međuvladine konferencije iz 2007., naglašava da se odredbama o zajedničkoj vanjskoj i sigurnosnoj politici Komisiji ne dodjeljuju nove ovlasti za donošenje odluka niti se povećava uloga Europskog parlamenta</w:t>
            </w:r>
            <w:r>
              <w:t>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Andrey Kovatchev, Rasa Juknevičienė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budući da Rusija nije priznala svoju ulogu u započinjanju Drugog svjetskog rata i nije preuzela odgovornost za zločine počinjene na područjima pod okupacijom Sovjetskog Saveza;</w:t>
            </w:r>
            <w:r>
              <w:t xml:space="preserve"> </w:t>
            </w:r>
            <w:r>
              <w:rPr>
                <w:b/>
                <w:i/>
              </w:rPr>
              <w:t>budući da, suprotno zločinima nacističkog režima, zločini koje su počinile komunističke diktature u Europi u 20. stoljeću nisu dobili potpunu međunarodnu pravnu i političku procjenu i osudu, što je doprinijelo instrumentalizaciji povijesti pod Putinovom vladavinom u Rusiji;</w:t>
            </w:r>
            <w:r>
              <w:t xml:space="preserve"> </w:t>
            </w:r>
            <w:r>
              <w:rPr>
                <w:b/>
                <w:i/>
              </w:rPr>
              <w:t>budući da Kremlj koristi krivotvorenu povijest kao casus belli, sustavno prikrivajući sovjetske zločine i šireći povijesne dezinformacije kako bi opravdao rusku agresiju na susjedne države;</w:t>
            </w:r>
            <w:r>
              <w:t xml:space="preserve"> </w:t>
            </w:r>
            <w:r>
              <w:rPr>
                <w:b/>
                <w:i/>
              </w:rPr>
              <w:t>budući da je Putinov režim instrumentalizirao povijest kako bi osigurao odanost stanovništva stvaranjem nostalgije za navodno velikim sovjetskim carstvom, krivotvorenjem povijesti Rusije i Ukrajine, odbacivanjem Hruščovljeve politike priznavanja i osude staljinističkih zločina, odricanjem od Gorbačovljeva priznanja i osudom pakta Molotov-Ribbentrop, te proglašenjem raspada Sovjetskog Saveza najvećom tragedijom u prošlom stoljeću;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Hannah Neumann</w:t>
      </w:r>
      <w:r>
        <w:rPr>
          <w:rStyle w:val="HideTWBExt"/>
          <w:b w:val="0"/>
        </w:rPr>
        <w:t>&lt;/Members&gt;</w:t>
      </w:r>
    </w:p>
    <w:p>
      <w:r>
        <w:rPr>
          <w:rStyle w:val="HideTWBExt"/>
          <w:b w:val="0"/>
        </w:rPr>
        <w:t>&lt;AuNomDe&gt;</w:t>
      </w:r>
      <w:r>
        <w:rPr>
          <w:rStyle w:val="HideTWBInt"/>
        </w:rPr>
        <w:t>{Greens/EFA}</w:t>
      </w:r>
      <w:r>
        <w:t>u ime Kluba zastupnika Verts/ALE-a</w:t>
      </w:r>
      <w:r>
        <w:rPr>
          <w:rStyle w:val="HideTWBExt"/>
          <w:b w:val="0"/>
        </w:rPr>
        <w:t>&lt;/AuNomDe&gt;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budući da su borci za ljudska prava naši glavni saveznici kad je riječ o obrani i promicanju ljudskih prava u inozemstvu;</w:t>
            </w:r>
            <w:r>
              <w:t xml:space="preserve"> </w:t>
            </w:r>
            <w:r>
              <w:rPr>
                <w:b/>
                <w:i/>
              </w:rPr>
              <w:t>budući da su borci za ljudska prava sve izloženiji napadima i prijetnjama državnih i nedržavnih aktera;</w:t>
            </w:r>
            <w:r>
              <w:t xml:space="preserve"> </w:t>
            </w:r>
            <w:r>
              <w:rPr>
                <w:b/>
                <w:i/>
              </w:rPr>
              <w:t>budući da je Parlament dosljedno pozivao na pravilnu i koordiniranu provedbu smjernica EU-a o borcima za ljudska prava (2008.);</w:t>
            </w:r>
            <w:r>
              <w:t xml:space="preserve"> </w:t>
            </w:r>
            <w:r>
              <w:rPr>
                <w:b/>
                <w:i/>
              </w:rPr>
              <w:t>budući da bi države članice, kao i institucije EU-a, trebale provoditi Smjernice, koje uključuju niz posebnih obveza kao što su redovito izvješćivanje, koordinacija i djelovanje kojima se pruža potpora borcima za ljudska prava;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budući da su sve češći geopolitički sukobi između demokracija, uključujući EU i SAD, te autoritarnih i diktatorskih režima poput Putina, Xi Jinpinga i Kim Jong Una;</w:t>
            </w:r>
            <w:r>
              <w:t xml:space="preserve"> </w:t>
            </w:r>
            <w:r>
              <w:rPr>
                <w:b/>
                <w:i/>
              </w:rPr>
              <w:t>imajući na umu sve veću suradnju u okviru BRICS-a, koja može predstavljati prijetnju gospodarskim interesima Unije i njezinih partnera;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budući da strateška autonomija zahtijeva od Europske unije da djeluje neovisno na globalnoj razini, posebno u vanjskoj i sigurnosnoj politici;</w:t>
            </w:r>
            <w:r>
              <w:t xml:space="preserve"> </w:t>
            </w:r>
            <w:r>
              <w:rPr>
                <w:b/>
                <w:i/>
              </w:rPr>
              <w:t>budući da je EU prepoznao potrebu za smanjenjem ovisnosti o vanjskim akterima, posebno Sjedinjenim Američkim Državama, zaštitom svojih interesa u nepredvidivom i multipolarnom svijetu;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Amor, Sven Mikser, Alessandra Moretti, Yannis Maniatis, Marco Tarquinio, 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budući da EU treba nastaviti napredovati prema vlastitoj i autonomnoj europskoj diplomaciji u svim područjima, uključujući, među ostalim, javnu i kulturnu, gospodarsku, klimatsku, digitalnu i kiberdiplomaciju, predvođenu diplomatskom službom EU-a koja je određena zajedničkom diplomatskom kulturom iz perspektive EU-a;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Da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Da.</w:t>
            </w:r>
            <w:r>
              <w:tab/>
            </w:r>
            <w:r>
              <w:rPr>
                <w:b/>
                <w:i/>
              </w:rPr>
              <w:t>budući da sve agencije UN-a utjelovljuju međunarodni poredak utemeljen na pravilima jer poštuju i provode slovo i duh Povelje UN-a, koju sve države članice UN-a moraju poštovati;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79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Amor, Sven Mikser, Alessandra Moretti, Yannis Maniatis, Marco Tarquinio, 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budući da je vjerodostojnost i koherentnost EU-a ključan uvjet za ispravnu provedbu njegovog vanjskog djelovanja jer jača povjerenje u EU među različitim akterima i trećim zemljama;</w:t>
            </w:r>
            <w:r>
              <w:t xml:space="preserve"> </w:t>
            </w:r>
            <w:r>
              <w:rPr>
                <w:b/>
                <w:i/>
              </w:rPr>
              <w:t>budući da učinkovitost djelovanja EU-a diljem svijeta ovisi o osiguravanju najviše razine koordinacije i dosljednosti u vanjskom djelovanju EU-a;</w:t>
            </w:r>
            <w:r>
              <w:t xml:space="preserve"> </w:t>
            </w:r>
            <w:r>
              <w:rPr>
                <w:b/>
                <w:i/>
              </w:rPr>
              <w:t>budući da bi trebalo ojačati koordinaciju između Komisije i ESVD-a, posebno zbog nedostatka operativnog proračuna ESVD-a;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80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budući da kibernetički napadi predstavljaju prijetnju EU-u, njegovim misijama i operacijama zajedničke sigurnosne i obrambene politike (ZSOP), kao i njegovim državama članicama, funkcioniranju njihovih institucija, izbornim procesima, njihovoj gospodarskoj i civilnoj infrastrukturi, unutarnjoj sigurnosti, vanjskim odnosima i diplomatskim misijama;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81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budući da je glavni tajnik UN-a posjetio forum BRICS-a u Kazanu;</w:t>
            </w:r>
            <w:r>
              <w:t xml:space="preserve"> </w:t>
            </w:r>
            <w:r>
              <w:rPr>
                <w:b/>
                <w:i/>
              </w:rPr>
              <w:t>budući da UN ne ispunjava svoju ulogu, a to je zaštita mira i sigurnosti na temelju načela jednakih prava i samoodređenja naroda;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82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Db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Db.</w:t>
            </w:r>
            <w:r>
              <w:tab/>
            </w:r>
            <w:r>
              <w:rPr>
                <w:b/>
                <w:i/>
              </w:rPr>
              <w:t>budući da budućnost Balkana i zemalja istočnog susjedstva leži u EU-u;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83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Nacho Sánchez Amor, Sven Mikser, Alessandra Moretti, Yannis Maniatis, Vasile Dîncu, Marco Tarquinio, Hana Jalloul Muro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Dc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budući da su geopolitička i humanitarna globalna kriza pokazale da je potrebno da EU raspolaže vjerodostojnim informacijama iz prve ruke o postojećim i mogućim vanjskim prijetnjama EU-u kako bi mogao brzo i učinkovito reagirati te bolje zaštititi svoje interese u inozemstvu;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84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Dc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budući da inicijativa poznata u Kini kao „Jedan pojas, jedan put” predstavlja prijetnju interesima EU-a i ugrožava ZVSP;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85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Dc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Dc.</w:t>
            </w:r>
            <w:r>
              <w:tab/>
            </w:r>
            <w:r>
              <w:rPr>
                <w:b/>
                <w:i/>
              </w:rPr>
              <w:t>budući da Kosovu te dijalogu Beograda i Prištine uz posredovanje EU-a prijeti destabilizacija;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86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Dd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Dd.</w:t>
            </w:r>
            <w:r>
              <w:tab/>
            </w:r>
            <w:r>
              <w:rPr>
                <w:b/>
                <w:i/>
              </w:rPr>
              <w:t>budući da se u izvješću naslovljenom „Sigurniji zajedno – jačanje europske civilne i vojne pripravnosti i spremnosti”, koje je predstavio Sauli Niinistö, posebni savjetnik Europske komisije, daju strateške preporuke za jačanje europske civilne i vojne pripravnosti u svjetlu sve većih i složenih sigurnosnih prijetnji;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87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Ivaylo Valchev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Dd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Dd.</w:t>
            </w:r>
            <w:r>
              <w:tab/>
            </w:r>
            <w:r>
              <w:rPr>
                <w:b/>
                <w:i/>
              </w:rPr>
              <w:t>budući da sukobi na Bliskom istoku i u Africi uzrokuju povećane migracijske tokove u Europu, zbog čega su sigurnosni sustavi pod povećanim pritiskom;</w:t>
            </w:r>
            <w:r>
              <w:t xml:space="preserve"> </w:t>
            </w:r>
            <w:r>
              <w:rPr>
                <w:b/>
                <w:i/>
              </w:rPr>
              <w:t>budući da je nezakonita migracija oružje u arsenalu trećih zemalja za destabilizaciju EU-a;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pPr>
        <w:pStyle w:val="AmNumberTabs"/>
      </w:pPr>
      <w:r>
        <w:rPr>
          <w:rStyle w:val="HideTWBExt"/>
        </w:rPr>
        <w:t>&lt;Amend&gt;</w:t>
      </w:r>
      <w:r>
        <w:t>Amandman</w:t>
      </w:r>
      <w:r>
        <w:tab/>
      </w:r>
      <w:r>
        <w:tab/>
      </w:r>
      <w:r>
        <w:rPr>
          <w:rStyle w:val="HideTWBExt"/>
        </w:rPr>
        <w:t>&lt;NumAm&gt;</w:t>
      </w:r>
      <w:r>
        <w:t>88</w:t>
      </w:r>
      <w:r>
        <w:rPr>
          <w:rStyle w:val="HideTWBExt"/>
        </w:rPr>
        <w:t>&lt;/NumAm&gt;</w:t>
      </w:r>
    </w:p>
    <w:p>
      <w:pPr>
        <w:pStyle w:val="NormalBold"/>
      </w:pPr>
      <w:r>
        <w:rPr>
          <w:rStyle w:val="HideTWBExt"/>
          <w:b w:val="0"/>
        </w:rPr>
        <w:t>&lt;RepeatBlock-By&gt;</w:t>
      </w:r>
      <w:r>
        <w:rPr>
          <w:rStyle w:val="HideTWBExt"/>
          <w:b w:val="0"/>
        </w:rPr>
        <w:t>&lt;Members&gt;</w:t>
      </w:r>
      <w:r>
        <w:t>Sven Mikser, Lucia Annunziata, Nicola Zingaretti, Thijs Reuten, Alessandra Moretti, Giorgio Gori, Tobias Cremer, Yannis Maniatis, Marco Tarquinio, Vasile Dîncu</w:t>
      </w:r>
      <w:r>
        <w:rPr>
          <w:rStyle w:val="HideTWBExt"/>
          <w:b w:val="0"/>
        </w:rPr>
        <w:t>&lt;/Members&gt;</w:t>
      </w:r>
    </w:p>
    <w:p>
      <w:pPr>
        <w:pStyle w:val="NormalBold"/>
      </w:pPr>
      <w:r>
        <w:rPr>
          <w:rStyle w:val="HideTWBExt"/>
          <w:b w:val="0"/>
        </w:rPr>
        <w:t>&lt;/RepeatBlock-By&gt;</w:t>
      </w:r>
    </w:p>
    <w:p>
      <w:pPr>
        <w:pStyle w:val="NormalBold"/>
      </w:pPr>
      <w:r>
        <w:rPr>
          <w:rStyle w:val="HideTWBExt"/>
        </w:rPr>
        <w:t>&lt;DocAmend&gt;</w:t>
      </w:r>
      <w:r>
        <w:t>Prijedlog rezolucije</w:t>
      </w:r>
      <w:r>
        <w:rPr>
          <w:rStyle w:val="HideTWBExt"/>
        </w:rPr>
        <w:t>&lt;/DocAmend&gt;</w:t>
      </w:r>
    </w:p>
    <w:p>
      <w:pPr>
        <w:pStyle w:val="NormalBold"/>
      </w:pPr>
      <w:r>
        <w:rPr>
          <w:rStyle w:val="HideTWBExt"/>
        </w:rPr>
        <w:t>&lt;Article&gt;</w:t>
      </w:r>
      <w:r>
        <w:t>Uvodna izjava De (nova)</w:t>
      </w:r>
      <w:r>
        <w:rPr>
          <w:rStyle w:val="HideTWBExt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</w:tblPr>
      <w:tblGrid>
        <w:gridCol w:w="4876"/>
        <w:gridCol w:w="4876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left w:w="340" w:type="dxa"/>
            <w:right w:w="340" w:type="dxa"/>
          </w:tblCellMar>
        </w:tblPrEx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top"/>
          </w:tcPr>
          <w:p/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Prijedlog rezolucije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AmColumnHeading"/>
            </w:pPr>
            <w:r>
              <w:t>Izmjena</w:t>
            </w:r>
          </w:p>
        </w:tc>
      </w:tr>
      <w:tr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</w:tblPrEx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6a"/>
            </w:pPr>
            <w:r>
              <w:rPr>
                <w:b/>
                <w:i/>
              </w:rPr>
              <w:t>De.</w:t>
            </w:r>
            <w:r>
              <w:tab/>
            </w:r>
            <w:r>
              <w:rPr>
                <w:b/>
                <w:i/>
              </w:rPr>
              <w:t>budući da će posljedice klimatskih promjena imati sve veći učinak na sfere ljudskog života, uključujući geopolitički poredak i globalnu stabilnost;</w:t>
            </w:r>
            <w:r>
              <w:t xml:space="preserve"> </w:t>
            </w:r>
            <w:r>
              <w:rPr>
                <w:b/>
                <w:i/>
              </w:rPr>
              <w:t>budući da je od ključne važnosti da borba protiv klimatskih promjena, koja zahtijeva djelovanje u području klime, i pružanje pomoći onima koji su najteže pogođeni posljedicama klimatskih promjena, postane temelj te europske vanjske politike;</w:t>
            </w:r>
            <w:r>
              <w:t xml:space="preserve"> </w:t>
            </w:r>
            <w:r>
              <w:rPr>
                <w:b/>
                <w:i/>
              </w:rPr>
              <w:t>ističe temeljnu ulogu zajedničkog pristupa Komisije i država članica u unapređenju klimatske diplomacije na globalnoj razini;</w:t>
            </w:r>
          </w:p>
        </w:tc>
      </w:tr>
    </w:tbl>
    <w:p>
      <w:pPr>
        <w:pStyle w:val="AmOrLang"/>
      </w:pPr>
      <w:r>
        <w:t xml:space="preserve">Or. </w:t>
      </w:r>
      <w:r>
        <w:rPr>
          <w:rStyle w:val="HideTWBExt"/>
        </w:rPr>
        <w:t>&lt;Original&gt;</w:t>
      </w:r>
      <w:r>
        <w:rPr>
          <w:rStyle w:val="HideTWBInt"/>
        </w:rPr>
        <w:t>{EN}</w:t>
      </w:r>
      <w:r>
        <w:t>en</w:t>
      </w:r>
      <w:r>
        <w:rPr>
          <w:rStyle w:val="HideTWBExt"/>
        </w:rPr>
        <w:t>&lt;/Original&gt;</w:t>
      </w:r>
    </w:p>
    <w:p>
      <w:r>
        <w:rPr>
          <w:rStyle w:val="HideTWBExt"/>
        </w:rPr>
        <w:t>&lt;/Amend&gt;</w:t>
      </w:r>
    </w:p>
    <w:p>
      <w:r>
        <w:rPr>
          <w:rStyle w:val="HideTWBExt"/>
        </w:rPr>
        <w:t>&lt;/RepeatBlock-Amend&gt;</w:t>
      </w:r>
    </w:p>
    <w:sectPr>
      <w:footerReference w:type="even" r:id="rId5"/>
      <w:footerReference w:type="default" r:id="rId6"/>
      <w:footerReference w:type="first" r:id="rId7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765.258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42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42</w:t>
    </w:r>
    <w:r>
      <w:fldChar w:fldCharType="end"/>
    </w:r>
    <w:r>
      <w:tab/>
    </w:r>
    <w:r>
      <w:rPr>
        <w:rStyle w:val="HideTWBExt"/>
      </w:rPr>
      <w:t>&lt;PathFdR&gt;</w:t>
    </w:r>
    <w:r>
      <w:t>AM\1309577HR.docx</w:t>
    </w:r>
    <w:r>
      <w:rPr>
        <w:rStyle w:val="HideTWBExt"/>
      </w:rPr>
      <w:t>&lt;/PathFdR&gt;</w:t>
    </w:r>
  </w:p>
  <w:p>
    <w:pPr>
      <w:pStyle w:val="EPFooter2"/>
    </w:pPr>
    <w:r>
      <w:t>HR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AM\1309577HR.docx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41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42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765.258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HR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AM\1309577HR.docx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765.258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HR</w:t>
    </w:r>
    <w:r>
      <w:tab/>
    </w:r>
    <w:r>
      <w:rPr>
        <w:rStyle w:val="EPFooter2Motto"/>
      </w:rPr>
      <w:t>Ujedinjena u raznolikosti</w:t>
    </w:r>
    <w:r>
      <w:tab/>
    </w:r>
    <w:r>
      <w:t>HR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docVars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140430 HideTWBExt;}{\s16\qr \li0\ri0\sb240\sa240\nowidctlpar\wrapdefault\aspalpha\aspnum\faauto\adjustright\rin0\lin0\itap0 \rtlch\fcs1 \af0\afs20\alang1025 \ltrch\fcs0 &#13;_x000a_\fs24\lang2057\langfe2057\cgrid\langnp2057\langfenp2057 \sbasedon0 \snext16 \spriority0 \styrsid1140430 AmOrLang;}{\s17\ql \li0\ri0\sa120\nowidctlpar\wrapdefault\aspalpha\aspnum\faauto\adjustright\rin0\lin0\itap0 \rtlch\fcs1 \af0\afs20\alang1025 &#13;_x000a_\ltrch\fcs0 \fs24\lang2057\langfe2057\cgrid\langnp2057\langfenp2057 \sbasedon0 \snext17 \spriority0 \styrsid1140430 Normal6a;}{\s18\ql \li0\ri0\nowidctlpar\wrapdefault\aspalpha\aspnum\faauto\adjustright\rin0\lin0\itap0 \rtlch\fcs1 \af0\afs20\alang1025 &#13;_x000a_\ltrch\fcs0 \b\fs24\lang2057\langfe2057\cgrid\langnp2057\langfenp2057 \sbasedon0 \snext18 \spriority0 \styrsid1140430 NormalBold;}{\s19\qc \li0\ri0\sa240\nowidctlpar\wrapdefault\aspalpha\aspnum\faauto\adjustright\rin0\lin0\itap0 \rtlch\fcs1 &#13;_x000a_\af0\afs20\alang1025 \ltrch\fcs0 \i\fs24\lang2057\langfe2057\cgrid\langnp2057\langfenp2057 \sbasedon0 \snext19 \spriority0 \styrsid1140430 AmColumnHeading;}{\s20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0 \spriority0 \styrsid1140430 AmNumberTabs;}}{\*\rsidtbl \rsid24658\rsid358857\rsid735077\rsid787282\rsid1140430\rsid2892074\rsid3622648\rsid4666813\rsid5708216&#13;_x000a_\rsid6641733\rsid7553164\rsid8465581\rsid8681905\rsid8724649\rsid9636012\rsid9862312\rsid11215221\rsid11370291\rsid11434737\rsid11607138\rsid11824949\rsid12154954\rsid12213393\rsid14424199\rsid15204470\rsid15285974\rsid15535219\rsid15950462\rsid16324206&#13;_x000a_\rsid16662270}{\mmathPr\mmathFont34\mbrkBin0\mbrkBinSub0\msmallFrac0\mdispDef1\mlMargin0\mrMargin0\mdefJc1\mwrapIndent1440\mintLim0\mnaryLim1}{\info{\author FELIX Karina}{\operator FELIX Karina}{\creatim\yr2019\mo7\dy3\hr17\min21}&#13;_x000a_{\revtim\yr2019\mo7\dy3\hr17\min21}{\version1}{\edmins0}{\nofpages1}{\nofwords25}{\nofchars291}{\*\company European Parliament}{\nofcharsws294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140430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22133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22133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20\ql \li0\ri0\sb240\keepn\nowidctlpar\tx879\tx936\tx1021\tx1077\tx1134\tx1191\tx1247\tx1304\tx1361\tx1418\tx1474\tx1531\tx1588\tx1644\tx1701\tx1758\tx1814\tx1871\tx2070\tx2126\tx3374\tx3430\wrapdefault\aspalpha\aspnum\faauto\adjustright\rin0&#13;_x000a_\lin0\itap0\pararsid1140430 \rtlch\fcs1 \af0\afs20\alang1025 \ltrch\fcs0 \b\fs24\lang2057\langfe2057\cgrid\langnp2057\langfenp2057 {\rtlch\fcs1 \af0 \ltrch\fcs0 \cs15\b0\v\f1\fs20\cf9\lang1024\langfe1024\noproof\insrsid1140430\charrsid4417459 &#13;_x000a_{\*\bkmkstart restart}&lt;Amend&gt;}{\rtlch\fcs1 \af0 \ltrch\fcs0 \insrsid1140430\charrsid1799708 [ZAMENDMENT]}{\rtlch\fcs1 \af0 \ltrch\fcs0 \insrsid1140430 \tab \tab }{\rtlch\fcs1 \af0 \ltrch\fcs0 &#13;_x000a_\cs15\b0\v\f1\fs20\cf9\lang1024\langfe1024\noproof\insrsid1140430\charrsid4417459 &lt;NumAm&gt;}{\rtlch\fcs1 \af0 \ltrch\fcs0 \insrsid1140430\charrsid1799708 [ZNRAM]}{\rtlch\fcs1 \af0 \ltrch\fcs0 &#13;_x000a_\cs15\b0\v\f1\fs20\cf9\lang1024\langfe1024\noproof\insrsid1140430\charrsid4417459 &lt;/NumAm&gt;}{\rtlch\fcs1 \af0 \ltrch\fcs0 \insrsid1140430\charrsid4080556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14699840 &lt;RepeatBlock-By&gt;}{\rtlch\fcs1 \af0 \ltrch\fcs0 \lang1024\langfe1024\noproof\insrsid1140430\charrsid14699840 [RepeatMembers]}{\rtlch\fcs1 \af0 \ltrch\fcs0 &#13;_x000a_\cs15\b0\v\f1\fs20\cf9\lang1024\langfe1024\noproof\insrsid1140430\charrsid14699840 &lt;Members&gt;}{\rtlch\fcs1 \af0 \ltrch\fcs0 \insrsid1140430\charrsid14699840 [ZMEMBERS]}{\rtlch\fcs1 \af0 \ltrch\fcs0 &#13;_x000a_\cs15\b0\v\f1\fs20\cf9\lang1024\langfe1024\noproof\insrsid1140430\charrsid14699840 &lt;/Members&gt;}{\rtlch\fcs1 \af0 \ltrch\fcs0 \insrsid1140430\charrsid14699840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langnp1043\insrsid1140430\charrsid14424489 &lt;AuNomDe&gt;&lt;OptDel&gt;}{\rtlch\fcs1 \af0 \ltrch\fcs0 \lang1043\langfe2057\langnp1043\insrsid1140430\charrsid14424489 [ZONBEHALF]}{\rtlch\fcs1 \af0 \ltrch\fcs0 &#13;_x000a_\cs15\v\f1\fs20\cf9\lang1024\langfe1024\noproof\langnp1043\insrsid1140430\charrsid14424489 &lt;/OptDel&gt;&lt;/AuNomDe&gt;}{\rtlch\fcs1 \af0 \ltrch\fcs0 \lang1043\langfe2057\langnp1043\insrsid1140430\charrsid14424489 &#13;_x000a_\par }{\rtlch\fcs1 \af0 \ltrch\fcs0 \insrsid1140430\charrsid14699840 &lt;&lt;&lt;}{\rtlch\fcs1 \af0 \ltrch\fcs0 \cs15\v\f1\fs20\cf9\lang1024\langfe1024\noproof\insrsid1140430\charrsid14699840 &lt;/RepeatBlock-By&gt;}{\rtlch\fcs1 \af0 \ltrch\fcs0 &#13;_x000a_\insrsid1140430\charrsid14699840 &#13;_x000a_\par }\pard\plain \ltrpar\s18\ql \li0\ri0\nowidctlpar\wrapdefault\aspalpha\aspnum\faauto\adjustright\rin0\lin0\itap0\pararsid1140430 \rtlch\fcs1 \af0\afs20\alang1025 \ltrch\fcs0 \b\fs24\lang2057\langfe2057\cgrid\langnp2057\langfenp2057 {\rtlch\fcs1 \af0 &#13;_x000a_\ltrch\fcs0 \cs15\b0\v\f1\fs20\cf9\lang1024\langfe1024\noproof\insrsid1140430\charrsid4737239 &lt;DocAmend&gt;}{\rtlch\fcs1 \af0 \ltrch\fcs0 \insrsid1140430\charrsid1799708 [Z}{\rtlch\fcs1 \af0 \ltrch\fcs0 \insrsid1140430 AMDOC}{\rtlch\fcs1 \af0 \ltrch\fcs0 &#13;_x000a_\insrsid1140430\charrsid1799708 ]}{\rtlch\fcs1 \af0 \ltrch\fcs0 \cs15\b0\v\f1\fs20\cf9\lang1024\langfe1024\noproof\insrsid1140430\charrsid4737239 &lt;/DocAmend&gt;}{\rtlch\fcs1 \af0 \ltrch\fcs0 \insrsid1140430\charrsid1799708 &#13;_x000a_\par }{\rtlch\fcs1 \af0 \ltrch\fcs0 \cs15\b0\v\f1\fs20\cf9\lang1024\langfe1024\noproof\insrsid1140430\charrsid1799708 &lt;Article&gt;}{\rtlch\fcs1 \af0 \ltrch\fcs0 \insrsid1140430\charrsid1799708 [ZAMPART]}{\rtlch\fcs1 \af0 \ltrch\fcs0 &#13;_x000a_\cs15\b0\v\f1\fs20\cf9\lang1024\langfe1024\noproof\insrsid1140430\charrsid1799708 &lt;/Article&gt;}{\rtlch\fcs1 \af0 \ltrch\fcs0 \insrsid1140430\charrsid1799708 &#13;_x000a_\par \ltrrow}\trowd \irow0\irowband0\ltrrow\ts11\trqc\trgaph340\trleft-340\trftsWidth3\trwWidth9752\trftsWidthB3\trpaddl340\trpaddr340\trpaddfl3\trpaddft3\trpaddfb3\trpaddfr3\tblrsid7949889\tblind0\tblindtype3 \clvertalt\clbrdrt\brdrtbl \clbrdrl\brdrtbl &#13;_x000a_\clbrdrb\brdrtbl \clbrdrr\brdrtbl \cltxlrtb\clftsWidth3\clwWidth9752\clshdrawnil \cellx9412\pard\plain \ltrpar\ql \li0\ri0\keepn\widctlpar\intbl\wrapdefault\aspalpha\aspnum\faauto\adjustright\rin0\lin0\pararsid13053803 \rtlch\fcs1 \af0\afs20\alang1025 &#13;_x000a_\ltrch\fcs0 \fs24\lang2057\langfe2057\cgrid\langnp2057\langfenp2057 {\rtlch\fcs1 \af0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0\irowband0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9752\clshdrawnil \cellx9412\row \ltrrow}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19\qc \li0\ri0\sa240\keepn\nowidctlpar\intbl\wrapdefault\aspalpha\aspnum\faauto\adjustright\rin0\lin0\pararsid13053803 \rtlch\fcs1 \af0\afs20\alang1025 \ltrch\fcs0 \i\fs24\lang2057\langfe2057\cgrid\langnp2057\langfenp2057 {\rtlch\fcs1 \af0 \ltrch\fcs0 &#13;_x000a_\insrsid1140430\charrsid1799708 [ZLEFT]\cell [ZRIGHT]\cell }\pard\plain \ltrpar\ql \li0\ri0\widctlpar\intbl\wrapdefault\aspalpha\aspnum\faauto\adjustright\rin0\lin0 \rtlch\fcs1 \af0\afs20\alang1025 \ltrch\fcs0 &#13;_x000a_\fs24\lang2057\langfe2057\cgrid\langnp2057\langfenp2057 {\rtlch\fcs1 \af0 \ltrch\fcs0 \insrsid1140430\charrsid1799708 \trowd \irow1\irowband1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7\ql \li0\ri0\sa120\nowidctlpar\intbl\wrapdefault\aspalpha\aspnum\faauto\adjustright\rin0\lin0\pararsid7949889 \rtlch\fcs1 \af0\afs20\alang1025 \ltrch\fcs0 \fs24\lang2057\langfe2057\cgrid\langnp2057\langfenp2057 {\rtlch\fcs1 \af0 \ltrch\fcs0 &#13;_x000a_\insrsid1140430\charrsid1799708 [ZTEXTL]\cell [ZTEXTR]}{\rtlch\fcs1 \af0\afs24 \ltrch\fcs0 \insrsid1140430\charrsid1799708 \cell }\pard\plain \ltrpar\ql \li0\ri0\widctlpar\intbl\wrapdefault\aspalpha\aspnum\faauto\adjustright\rin0\lin0 \rtlch\fcs1 &#13;_x000a_\af0\afs20\alang1025 \ltrch\fcs0 \fs24\lang2057\langfe2057\cgrid\langnp2057\langfenp2057 {\rtlch\fcs1 \af0 \ltrch\fcs0 \insrsid1140430\charrsid1799708 \trowd \irow2\irowband2\lastrow \ltrrow&#13;_x000a_\ts11\trqc\trgaph340\trleft-340\trftsWidth3\trwWidth9752\trftsWidthB3\trpaddl340\trpaddr340\trpaddfl3\trpaddft3\trpaddfb3\trpaddfr3\tblrsid7949889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16\qr \li0\ri0\sb240\sa240\nowidctlpar\wrapdefault\aspalpha\aspnum\faauto\adjustright\rin0\lin0\itap0\pararsid1140430 \rtlch\fcs1 \af0\afs20\alang1025 \ltrch\fcs0 \fs24\lang2057\langfe2057\cgrid\langnp2057\langfenp2057 {\rtlch\fcs1 \af0 \ltrch\fcs0 &#13;_x000a_\insrsid1140430\charrsid1799708 Or. }{\rtlch\fcs1 \af0 \ltrch\fcs0 \cs15\v\f1\fs20\cf9\lang1024\langfe1024\noproof\insrsid1140430\charrsid1799708 &lt;Original&gt;}{\rtlch\fcs1 \af0 \ltrch\fcs0 \insrsid1140430\charrsid1799708 [ZORLANG]}{\rtlch\fcs1 \af0 &#13;_x000a_\ltrch\fcs0 \cs15\v\f1\fs20\cf9\lang1024\langfe1024\noproof\insrsid1140430\charrsid1799708 &lt;/Original&gt;}{\rtlch\fcs1 \af0 \ltrch\fcs0 \insrsid1140430\charrsid1799708 &#13;_x000a_\par }\pard\plain \ltrpar\ql \li0\ri0\widctlpar\wrapdefault\aspalpha\aspnum\faauto\adjustright\rin0\lin0\itap0\pararsid1140430 \rtlch\fcs1 \af0\afs20\alang1025 \ltrch\fcs0 \fs24\lang2057\langfe2057\cgrid\langnp2057\langfenp2057 {\rtlch\fcs1 \af0 \ltrch\fcs0 &#13;_x000a_\cs15\v\f1\fs20\cf9\lang1024\langfe1024\noproof\insrsid1140430\charrsid1799708 &lt;/Amend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4&#13;_x000a_9504b331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</w:docVar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EPName">
    <w:name w:val="EPName"/>
    <w:basedOn w:val="Normal"/>
    <w:pPr>
      <w:widowControl w:val="0"/>
      <w:spacing w:before="80" w:after="80"/>
    </w:pPr>
    <w:rPr>
      <w:rFonts w:ascii="Arial Narrow" w:eastAsia="Arial" w:hAnsi="Arial Narrow" w:cs="Arial"/>
      <w:b/>
      <w:sz w:val="32"/>
    </w:rPr>
  </w:style>
  <w:style w:type="paragraph" w:customStyle="1" w:styleId="CoverNormal24a">
    <w:name w:val="CoverNormal24a"/>
    <w:basedOn w:val="Normal"/>
    <w:pPr>
      <w:widowControl w:val="0"/>
      <w:spacing w:after="480"/>
      <w:ind w:left="1416"/>
    </w:pPr>
  </w:style>
  <w:style w:type="paragraph" w:customStyle="1" w:styleId="CoverNormal">
    <w:name w:val="CoverNormal"/>
    <w:basedOn w:val="Normal"/>
    <w:pPr>
      <w:widowControl w:val="0"/>
      <w:ind w:left="1418"/>
    </w:pPr>
  </w:style>
  <w:style w:type="paragraph" w:customStyle="1" w:styleId="CoverReference">
    <w:name w:val="CoverReference"/>
    <w:basedOn w:val="Normal"/>
    <w:pPr>
      <w:widowControl w:val="0"/>
      <w:spacing w:before="1080"/>
      <w:jc w:val="right"/>
    </w:pPr>
    <w:rPr>
      <w:rFonts w:ascii="Arial" w:eastAsia="Arial" w:hAnsi="Arial" w:cs="Arial"/>
      <w:b/>
    </w:rPr>
  </w:style>
  <w:style w:type="paragraph" w:customStyle="1" w:styleId="CoverDocType">
    <w:name w:val="CoverDocType"/>
    <w:basedOn w:val="Normal"/>
    <w:pPr>
      <w:widowControl w:val="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pPr>
      <w:widowControl w:val="0"/>
      <w:spacing w:before="240" w:after="1200"/>
    </w:pPr>
  </w:style>
  <w:style w:type="paragraph" w:customStyle="1" w:styleId="CoverDocType24a">
    <w:name w:val="CoverDocType24a"/>
    <w:basedOn w:val="Normal"/>
    <w:pPr>
      <w:widowControl w:val="0"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Bold">
    <w:name w:val="CoverBold"/>
    <w:basedOn w:val="Normal"/>
    <w:pPr>
      <w:widowControl w:val="0"/>
      <w:ind w:left="1416"/>
    </w:pPr>
    <w:rPr>
      <w:b/>
    </w:rPr>
  </w:style>
  <w:style w:type="paragraph" w:customStyle="1" w:styleId="EPBody">
    <w:name w:val="EPBody"/>
    <w:basedOn w:val="Normal"/>
    <w:pPr>
      <w:widowControl w:val="0"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 w:val="0"/>
      <w:pBdr>
        <w:top w:val="single" w:sz="4" w:space="1" w:color="000000"/>
      </w:pBdr>
      <w:jc w:val="center"/>
    </w:pPr>
    <w:rPr>
      <w:rFonts w:ascii="Arial" w:eastAsia="Arial" w:hAnsi="Arial" w:cs="Arial"/>
      <w:sz w:val="16"/>
    </w:rPr>
  </w:style>
  <w:style w:type="paragraph" w:customStyle="1" w:styleId="LineBottom">
    <w:name w:val="LineBottom"/>
    <w:basedOn w:val="Normal"/>
    <w:next w:val="Normal"/>
    <w:pPr>
      <w:widowControl w:val="0"/>
      <w:pBdr>
        <w:bottom w:val="single" w:sz="4" w:space="1" w:color="000000"/>
      </w:pBdr>
      <w:spacing w:after="240"/>
      <w:jc w:val="center"/>
    </w:pPr>
    <w:rPr>
      <w:rFonts w:ascii="Arial" w:eastAsia="Arial" w:hAnsi="Arial" w:cs="Arial"/>
      <w:sz w:val="16"/>
    </w:rPr>
  </w:style>
  <w:style w:type="paragraph" w:customStyle="1" w:styleId="EPTerm">
    <w:name w:val="EPTerm"/>
    <w:basedOn w:val="Normal"/>
    <w:next w:val="Normal"/>
    <w:pPr>
      <w:widowControl w:val="0"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 w:val="0"/>
      <w:jc w:val="right"/>
    </w:p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paragraph" w:customStyle="1" w:styleId="NormalBold">
    <w:name w:val="NormalBold"/>
    <w:basedOn w:val="Normal"/>
    <w:pPr>
      <w:widowControl w:val="0"/>
    </w:pPr>
    <w:rPr>
      <w:b/>
    </w:rPr>
  </w:style>
  <w:style w:type="paragraph" w:customStyle="1" w:styleId="AmOrLang">
    <w:name w:val="AmOrLang"/>
    <w:basedOn w:val="Normal"/>
    <w:pPr>
      <w:widowControl w:val="0"/>
      <w:spacing w:before="240" w:after="240"/>
      <w:jc w:val="right"/>
    </w:pPr>
  </w:style>
  <w:style w:type="paragraph" w:customStyle="1" w:styleId="Normal6a">
    <w:name w:val="Normal6a"/>
    <w:basedOn w:val="Normal"/>
    <w:pPr>
      <w:widowControl w:val="0"/>
      <w:spacing w:after="120"/>
    </w:pPr>
  </w:style>
  <w:style w:type="paragraph" w:customStyle="1" w:styleId="AmColumnHeading">
    <w:name w:val="AmColumnHeading"/>
    <w:basedOn w:val="Normal"/>
    <w:pPr>
      <w:widowControl w:val="0"/>
      <w:spacing w:after="240"/>
      <w:jc w:val="center"/>
    </w:pPr>
    <w:rPr>
      <w:i/>
    </w:rPr>
  </w:style>
  <w:style w:type="paragraph" w:customStyle="1" w:styleId="AmNumberTabs">
    <w:name w:val="AmNumberTabs"/>
    <w:basedOn w:val="Normal"/>
    <w:pPr>
      <w:widowControl w:val="0"/>
      <w:tabs>
        <w:tab w:val="left" w:pos="878"/>
        <w:tab w:val="left" w:pos="936"/>
        <w:tab w:val="left" w:pos="1020"/>
        <w:tab w:val="left" w:pos="1076"/>
        <w:tab w:val="left" w:pos="1134"/>
        <w:tab w:val="left" w:pos="1190"/>
        <w:tab w:val="left" w:pos="1246"/>
        <w:tab w:val="left" w:pos="1304"/>
        <w:tab w:val="left" w:pos="1360"/>
        <w:tab w:val="left" w:pos="1418"/>
        <w:tab w:val="left" w:pos="1474"/>
        <w:tab w:val="left" w:pos="1530"/>
        <w:tab w:val="left" w:pos="1588"/>
        <w:tab w:val="left" w:pos="1644"/>
        <w:tab w:val="left" w:pos="1700"/>
        <w:tab w:val="left" w:pos="1758"/>
        <w:tab w:val="left" w:pos="1814"/>
        <w:tab w:val="left" w:pos="1870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EPFooter">
    <w:name w:val="EPFooter"/>
    <w:basedOn w:val="Normal"/>
    <w:pPr>
      <w:widowControl w:val="0"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AmCrossRef">
    <w:name w:val="AmCrossRef"/>
    <w:basedOn w:val="Normal"/>
    <w:pPr>
      <w:widowControl w:val="0"/>
      <w:spacing w:before="240" w:after="240"/>
      <w:jc w:val="center"/>
    </w:pPr>
    <w:rPr>
      <w:i/>
    </w:r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pPr>
      <w:widowControl w:val="0"/>
      <w:tabs>
        <w:tab w:val="center" w:pos="6800"/>
        <w:tab w:val="right" w:pos="15020"/>
      </w:tabs>
    </w:pPr>
    <w:rPr>
      <w:sz w:val="22"/>
    </w:rPr>
  </w:style>
  <w:style w:type="paragraph" w:customStyle="1" w:styleId="Normal0">
    <w:name w:val="Normal0"/>
    <w:basedOn w:val="Normal"/>
    <w:pPr>
      <w:widowControl w:val="0"/>
    </w:pPr>
    <w:rPr>
      <w:sz w:val="0"/>
    </w:rPr>
  </w:style>
  <w:style w:type="paragraph" w:customStyle="1" w:styleId="EPFooter2Landscape">
    <w:name w:val="EPFooter2Landscape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</w:rPr>
  </w:style>
  <w:style w:type="character" w:customStyle="1" w:styleId="EPFooter2Middle">
    <w:name w:val="EPFooter2Middle"/>
    <w:rPr>
      <w:rFonts w:ascii="Arial" w:hAnsi="Arial"/>
      <w:b w:val="0"/>
      <w:i/>
      <w:color w:val="AEAAAA"/>
      <w:sz w:val="22"/>
      <w:shd w:val="pct50" w:color="auto" w:fill="auto" w:themeColor="bg2" w:themeFill="bg2"/>
    </w:rPr>
  </w:style>
  <w:style w:type="paragraph" w:customStyle="1" w:styleId="PMissingStyle">
    <w:name w:val="P_MissingStyle"/>
    <w:basedOn w:val="Normal"/>
    <w:pPr>
      <w:widowControl w:val="0"/>
    </w:pPr>
    <w:rPr>
      <w:color w:val="FFFFFF"/>
      <w:shd w:val="clear" w:color="000000" w:fill="000000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pPr>
      <w:widowControl w:val="0"/>
      <w:spacing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42</Pages>
  <Words>7795</Words>
  <Characters>46789</Characters>
  <Application>Microsoft Office Word</Application>
  <DocSecurity>0</DocSecurity>
  <Lines>1</Lines>
  <Paragraphs>749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creator>European Parliament</dc:creator>
  <cp:lastModifiedBy>European Parliament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1309577</vt:lpwstr>
  </property>
  <property fmtid="{D5CDD505-2E9C-101B-9397-08002B2CF9AE}" pid="4" name="&lt;Model&gt;">
    <vt:lpwstr>AM_Com_NonLegReport</vt:lpwstr>
  </property>
  <property fmtid="{D5CDD505-2E9C-101B-9397-08002B2CF9AE}" pid="5" name="&lt;Type&gt;">
    <vt:lpwstr>AM</vt:lpwstr>
  </property>
  <property fmtid="{D5CDD505-2E9C-101B-9397-08002B2CF9AE}" pid="6" name="dmxml.render.id">
    <vt:lpwstr>96159</vt:lpwstr>
  </property>
  <property fmtid="{D5CDD505-2E9C-101B-9397-08002B2CF9AE}" pid="7" name="dmxml.render.traceId">
    <vt:lpwstr>675003998f89f2cb8f1c5539699073ba</vt:lpwstr>
  </property>
  <property fmtid="{D5CDD505-2E9C-101B-9397-08002B2CF9AE}" pid="8" name="FooterPath">
    <vt:lpwstr>AM\1309577HR.docx</vt:lpwstr>
  </property>
  <property fmtid="{D5CDD505-2E9C-101B-9397-08002B2CF9AE}" pid="9" name="PE Number">
    <vt:lpwstr>765.258</vt:lpwstr>
  </property>
  <property fmtid="{D5CDD505-2E9C-101B-9397-08002B2CF9AE}" pid="10" name="UID">
    <vt:lpwstr>eu.europa.europarl-DIN1-2024-0000051285_01.00-hr-01.00_text-xml</vt:lpwstr>
  </property>
</Properties>
</file>