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C54FE" w:rsidRPr="00833B04">
        <w:trPr>
          <w:trHeight w:hRule="exact" w:val="1417"/>
          <w:jc w:val="center"/>
        </w:trPr>
        <w:tc>
          <w:tcPr>
            <w:tcW w:w="6804" w:type="dxa"/>
            <w:tcBorders>
              <w:top w:val="nil"/>
              <w:left w:val="nil"/>
              <w:bottom w:val="nil"/>
              <w:right w:val="nil"/>
            </w:tcBorders>
            <w:vAlign w:val="center"/>
          </w:tcPr>
          <w:p w:rsidR="008C54FE" w:rsidRPr="00833B04" w:rsidRDefault="00270602">
            <w:pPr>
              <w:pStyle w:val="EPName"/>
            </w:pPr>
            <w:r w:rsidRPr="00833B04">
              <w:t>Parlamento europeo</w:t>
            </w:r>
          </w:p>
          <w:p w:rsidR="008C54FE" w:rsidRPr="00833B04" w:rsidRDefault="00270602">
            <w:pPr>
              <w:pStyle w:val="EPTerm"/>
            </w:pPr>
            <w:r w:rsidRPr="00833B04">
              <w:t>2024-2029</w:t>
            </w:r>
          </w:p>
        </w:tc>
        <w:tc>
          <w:tcPr>
            <w:tcW w:w="2268" w:type="dxa"/>
            <w:tcBorders>
              <w:top w:val="nil"/>
              <w:left w:val="nil"/>
              <w:bottom w:val="nil"/>
              <w:right w:val="nil"/>
            </w:tcBorders>
          </w:tcPr>
          <w:p w:rsidR="008C54FE" w:rsidRPr="00833B04" w:rsidRDefault="007D0C0B">
            <w:pPr>
              <w:pStyle w:val="EPLogo"/>
            </w:pPr>
            <w:r w:rsidRPr="00833B0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8C54FE" w:rsidRPr="00833B04" w:rsidRDefault="00270602">
      <w:pPr>
        <w:pStyle w:val="LineTop"/>
      </w:pPr>
      <w:r w:rsidRPr="00833B04">
        <w:t xml:space="preserve"> </w:t>
      </w:r>
    </w:p>
    <w:p w:rsidR="008C54FE" w:rsidRPr="00833B04" w:rsidRDefault="00270602">
      <w:pPr>
        <w:pStyle w:val="EPBody"/>
      </w:pPr>
      <w:r w:rsidRPr="00833B04">
        <w:rPr>
          <w:rStyle w:val="HideTWBExt"/>
        </w:rPr>
        <w:t>&lt;Commission&gt;</w:t>
      </w:r>
      <w:r w:rsidRPr="00833B04">
        <w:rPr>
          <w:rStyle w:val="HideTWBInt"/>
        </w:rPr>
        <w:t>{AFET}</w:t>
      </w:r>
      <w:r w:rsidRPr="00833B04">
        <w:t>Commissione per gli affari esteri</w:t>
      </w:r>
      <w:r w:rsidRPr="00833B04">
        <w:rPr>
          <w:rStyle w:val="HideTWBExt"/>
        </w:rPr>
        <w:t>&lt;/Commission&gt;</w:t>
      </w:r>
    </w:p>
    <w:p w:rsidR="008C54FE" w:rsidRPr="00833B04" w:rsidRDefault="00270602">
      <w:pPr>
        <w:pStyle w:val="LineBottom"/>
      </w:pPr>
      <w:r w:rsidRPr="00833B04">
        <w:t xml:space="preserve"> </w:t>
      </w:r>
    </w:p>
    <w:p w:rsidR="008C54FE" w:rsidRPr="00833B04" w:rsidRDefault="00270602">
      <w:pPr>
        <w:pStyle w:val="CoverReference"/>
      </w:pPr>
      <w:r w:rsidRPr="00833B04">
        <w:rPr>
          <w:rStyle w:val="HideTWBExt"/>
        </w:rPr>
        <w:t>&lt;RefProc&gt;</w:t>
      </w:r>
      <w:r w:rsidRPr="00833B04">
        <w:t>2024/2080</w:t>
      </w:r>
      <w:r w:rsidRPr="00833B04">
        <w:rPr>
          <w:rStyle w:val="HideTWBExt"/>
        </w:rPr>
        <w:t>&lt;/RefProc&gt;&lt;RefTypeProc&gt;</w:t>
      </w:r>
      <w:r w:rsidRPr="00833B04">
        <w:t>(INI)</w:t>
      </w:r>
      <w:r w:rsidRPr="00833B04">
        <w:rPr>
          <w:rStyle w:val="HideTWBExt"/>
        </w:rPr>
        <w:t>&lt;/RefTypeProc&gt;</w:t>
      </w:r>
    </w:p>
    <w:p w:rsidR="008C54FE" w:rsidRPr="00833B04" w:rsidRDefault="00270602">
      <w:pPr>
        <w:pStyle w:val="CoverDate"/>
      </w:pPr>
      <w:r w:rsidRPr="00833B04">
        <w:rPr>
          <w:rStyle w:val="HideTWBExt"/>
        </w:rPr>
        <w:t>&lt;Date&gt;</w:t>
      </w:r>
      <w:r w:rsidRPr="00833B04">
        <w:rPr>
          <w:rStyle w:val="HideTWBInt"/>
        </w:rPr>
        <w:t>{08/11/2024}</w:t>
      </w:r>
      <w:r w:rsidRPr="00833B04">
        <w:t>8.11.2024</w:t>
      </w:r>
      <w:r w:rsidRPr="00833B04">
        <w:rPr>
          <w:rStyle w:val="HideTWBExt"/>
        </w:rPr>
        <w:t>&lt;/Date&gt;</w:t>
      </w:r>
    </w:p>
    <w:p w:rsidR="008C54FE" w:rsidRPr="00833B04" w:rsidRDefault="00270602">
      <w:pPr>
        <w:pStyle w:val="CoverDocType"/>
      </w:pPr>
      <w:r w:rsidRPr="00833B04">
        <w:rPr>
          <w:rStyle w:val="HideTWBExt"/>
        </w:rPr>
        <w:t>&lt;TypeAM&gt;</w:t>
      </w:r>
      <w:r w:rsidRPr="00833B04">
        <w:t>EMENDAMENTI</w:t>
      </w:r>
      <w:r w:rsidRPr="00833B04">
        <w:rPr>
          <w:rStyle w:val="HideTWBExt"/>
        </w:rPr>
        <w:t>&lt;/TypeAM&gt;</w:t>
      </w:r>
    </w:p>
    <w:p w:rsidR="008C54FE" w:rsidRPr="00833B04" w:rsidRDefault="00270602">
      <w:pPr>
        <w:pStyle w:val="CoverDocType24a"/>
      </w:pPr>
      <w:r w:rsidRPr="00833B04">
        <w:rPr>
          <w:rStyle w:val="HideTWBExt"/>
        </w:rPr>
        <w:t>&lt;RangeAM&gt;</w:t>
      </w:r>
      <w:r w:rsidRPr="00833B04">
        <w:t>1 - 88</w:t>
      </w:r>
      <w:r w:rsidRPr="00833B04">
        <w:rPr>
          <w:rStyle w:val="HideTWBExt"/>
        </w:rPr>
        <w:t>&lt;/RangeAM&gt;</w:t>
      </w:r>
    </w:p>
    <w:p w:rsidR="008C54FE" w:rsidRPr="00833B04" w:rsidRDefault="00270602">
      <w:pPr>
        <w:pStyle w:val="CoverBold"/>
      </w:pPr>
      <w:r w:rsidRPr="00833B04">
        <w:rPr>
          <w:rStyle w:val="HideTWBExt"/>
        </w:rPr>
        <w:t>&lt;TitreType&gt;</w:t>
      </w:r>
      <w:r w:rsidRPr="00833B04">
        <w:t>Progetto di relazione</w:t>
      </w:r>
      <w:r w:rsidRPr="00833B04">
        <w:rPr>
          <w:rStyle w:val="HideTWBExt"/>
        </w:rPr>
        <w:t>&lt;/TitreType&gt;</w:t>
      </w:r>
    </w:p>
    <w:p w:rsidR="008C54FE" w:rsidRPr="00833B04" w:rsidRDefault="00270602">
      <w:pPr>
        <w:pStyle w:val="CoverBold"/>
      </w:pPr>
      <w:r w:rsidRPr="00833B04">
        <w:rPr>
          <w:rStyle w:val="HideTWBExt"/>
        </w:rPr>
        <w:t>&lt;Rapporteur&gt;</w:t>
      </w:r>
      <w:r w:rsidRPr="00833B04">
        <w:t>David McAllister</w:t>
      </w:r>
      <w:r w:rsidRPr="00833B04">
        <w:rPr>
          <w:rStyle w:val="HideTWBExt"/>
        </w:rPr>
        <w:t>&lt;/Rapporteur&gt;</w:t>
      </w:r>
    </w:p>
    <w:p w:rsidR="008C54FE" w:rsidRPr="00833B04" w:rsidRDefault="00270602">
      <w:pPr>
        <w:pStyle w:val="CoverNormal24a"/>
      </w:pPr>
      <w:r w:rsidRPr="00833B04">
        <w:rPr>
          <w:rStyle w:val="HideTWBExt"/>
        </w:rPr>
        <w:t>&lt;DocRefPE&gt;</w:t>
      </w:r>
      <w:r w:rsidRPr="00833B04">
        <w:t>(PE765.084v01-00)</w:t>
      </w:r>
      <w:r w:rsidRPr="00833B04">
        <w:rPr>
          <w:rStyle w:val="HideTWBExt"/>
        </w:rPr>
        <w:t>&lt;/DocRefPE&gt;</w:t>
      </w:r>
    </w:p>
    <w:p w:rsidR="008C54FE" w:rsidRPr="00833B04" w:rsidRDefault="00270602">
      <w:pPr>
        <w:pStyle w:val="CoverNormal"/>
      </w:pPr>
      <w:r w:rsidRPr="00833B04">
        <w:rPr>
          <w:rStyle w:val="HideTWBExt"/>
        </w:rPr>
        <w:t>&lt;Titre&gt;</w:t>
      </w:r>
      <w:r w:rsidRPr="00833B04">
        <w:t>Attuazione della politica estera e di sicurezza comune – relazione annuale 2024</w:t>
      </w:r>
      <w:r w:rsidRPr="00833B04">
        <w:rPr>
          <w:rStyle w:val="HideTWBExt"/>
        </w:rPr>
        <w:t>&lt;/Titre&gt;</w:t>
      </w:r>
    </w:p>
    <w:p w:rsidR="008C54FE" w:rsidRPr="00833B04" w:rsidRDefault="00270602">
      <w:pPr>
        <w:pStyle w:val="CoverNormal24a"/>
      </w:pPr>
      <w:r w:rsidRPr="00833B04">
        <w:rPr>
          <w:rStyle w:val="HideTWBExt"/>
        </w:rPr>
        <w:t>&lt;DocRef&gt;</w:t>
      </w:r>
      <w:r w:rsidRPr="00833B04">
        <w:t>(2024/2080(INI))</w:t>
      </w:r>
      <w:r w:rsidRPr="00833B04">
        <w:rPr>
          <w:rStyle w:val="HideTWBExt"/>
        </w:rPr>
        <w:t>&lt;/DocRef&gt;</w:t>
      </w:r>
    </w:p>
    <w:p w:rsidR="008C54FE" w:rsidRPr="00833B04" w:rsidRDefault="00270602">
      <w:r w:rsidRPr="00833B04">
        <w:br w:type="page"/>
      </w:r>
      <w:r w:rsidRPr="00833B04">
        <w:lastRenderedPageBreak/>
        <w:t>AM_Com_NonLegReport</w:t>
      </w:r>
    </w:p>
    <w:p w:rsidR="008C54FE" w:rsidRPr="00833B04" w:rsidRDefault="00270602">
      <w:pPr>
        <w:pStyle w:val="AmNumberTabs"/>
      </w:pPr>
      <w:r w:rsidRPr="00833B04">
        <w:br w:type="page"/>
      </w:r>
      <w:r w:rsidRPr="00833B04">
        <w:rPr>
          <w:rStyle w:val="HideTWBExt"/>
        </w:rPr>
        <w:lastRenderedPageBreak/>
        <w:t>&lt;RepeatBlock-Amend&gt;&lt;Amend&gt;</w:t>
      </w:r>
      <w:r w:rsidRPr="00833B04">
        <w:t>Emendamento</w:t>
      </w:r>
      <w:r w:rsidRPr="00833B04">
        <w:tab/>
      </w:r>
      <w:r w:rsidRPr="00833B04">
        <w:tab/>
      </w:r>
      <w:r w:rsidRPr="00833B04">
        <w:rPr>
          <w:rStyle w:val="HideTWBExt"/>
        </w:rPr>
        <w:t>&lt;NumAm&gt;</w:t>
      </w:r>
      <w:r w:rsidRPr="00833B04">
        <w:t>1</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David McAllister</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4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visti gli orientamenti politici della Presidente della Commissione per il periodo 2024-2029,</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Francisco José Millán Mon</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4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dichiarazione del vertice UE-CELAC 2023, adottata il 18 luglio 2023,</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{ES}</w:t>
      </w:r>
      <w:r w:rsidRPr="00833B04">
        <w:t>es</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Emmanouil Fragkos, Galato Alexandraki</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5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sua risoluzione del 26 novembre 2020 sull'intensificarsi delle tensioni a Varosia in seguito alle azioni illegali della Turchia e la necessità di riprendere con urgenza i colloqui,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{EL}</w:t>
      </w:r>
      <w:r w:rsidRPr="00833B04">
        <w:t>el</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Emmanouil Fragkos, Galato Alexandraki, Geadis Geadi</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5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00C752F2">
              <w:rPr>
                <w:b/>
                <w:i/>
              </w:rPr>
              <w:t>vista la sua risoluzione del 15 </w:t>
            </w:r>
            <w:r w:rsidRPr="00833B04">
              <w:rPr>
                <w:b/>
                <w:i/>
              </w:rPr>
              <w:t>aprile 2015 sul centenario del genocidio armeno,</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{EL}</w:t>
      </w:r>
      <w:r w:rsidRPr="00833B04">
        <w:t>el</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Emmanouil Fragkos, Galato Alexandraki, Geadis Geadi</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5 quater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posizione comune 2008/944/PESC del Consiglio sull'esportazione di armi che possono essere utilizzate a fini di repressione interna e aggressione contro paesi terzi,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{EL}</w:t>
      </w:r>
      <w:r w:rsidRPr="00833B04">
        <w:t>el</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Sven Mikser, Lucia Annunziata, Nicola Zingaretti, Thijs Reuten, Alessandra Moretti, Giorgio Gori, Tobias Cremer, Yannis Maniatis, Marco Tarquinio, Vasile Dîncu</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6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relazione del 9 maggio 2022 sul risultato finale della Conferenza sul futuro dell'Europa,</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Andrey Kovatchev</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00C752F2">
              <w:rPr>
                <w:b/>
                <w:i/>
              </w:rPr>
              <w:t>viste le sue risoluzioni del 24 </w:t>
            </w:r>
            <w:r w:rsidRPr="00833B04">
              <w:rPr>
                <w:b/>
                <w:i/>
              </w:rPr>
              <w:t>ottobre 2024 sulla situazione in Azerbaigian: violazione dei diritti umani e del diritto internazionale e relazioni con l'Arm</w:t>
            </w:r>
            <w:r w:rsidR="00C752F2">
              <w:rPr>
                <w:b/>
                <w:i/>
              </w:rPr>
              <w:t>enia e la sua risoluzione del 5 </w:t>
            </w:r>
            <w:r w:rsidRPr="00833B04">
              <w:rPr>
                <w:b/>
                <w:i/>
              </w:rPr>
              <w:t>ottobre 2023 sulla situazione nel Nagorno-Karabakh in seguito all'attacco dell'Azerbaigian e alle continue minacce contro l'Armenia,</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Vasile Dîncu</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decisione (PESC) 2019/797 del Consiglio, del 17 maggio 2019, concernente misure restrittive contro gli attacchi informatici che minacciano l'Unione o i suoi Stati membri,</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3.</w:t>
            </w:r>
            <w:r w:rsidRPr="00833B04">
              <w:t xml:space="preserve"> </w:t>
            </w:r>
            <w:r w:rsidR="00C752F2">
              <w:rPr>
                <w:b/>
                <w:i/>
              </w:rPr>
              <w:t>GU L 129I</w:t>
            </w:r>
            <w:r w:rsidRPr="00833B04">
              <w:rPr>
                <w:b/>
                <w:i/>
              </w:rPr>
              <w:t xml:space="preserve"> del 17.5.2019, pag.</w:t>
            </w:r>
            <w:r w:rsidRPr="00833B04">
              <w:t xml:space="preserve"> </w:t>
            </w:r>
            <w:r w:rsidRPr="00833B04">
              <w:rPr>
                <w:b/>
                <w:i/>
              </w:rPr>
              <w:t>13, ELI:</w:t>
            </w:r>
            <w:r w:rsidRPr="00833B04">
              <w:t xml:space="preserve"> </w:t>
            </w:r>
            <w:r w:rsidRPr="00833B04">
              <w:rPr>
                <w:b/>
                <w:i/>
              </w:rPr>
              <w:t>http://data.europa.eu/eli/dec/2019/797/oj</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9</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Sven Mikser, Lucia Annunziata, Nicola Zingaretti, Thijs Reuten, Alessandra Moretti, Giorgio Gori, Tobias Cremer, Yannis Maniatis, Vasile Dîncu, Marco Tarquinio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00C752F2">
              <w:rPr>
                <w:b/>
                <w:i/>
              </w:rPr>
              <w:t>vista la sua risoluzione del 9 </w:t>
            </w:r>
            <w:r w:rsidRPr="00833B04">
              <w:rPr>
                <w:b/>
                <w:i/>
              </w:rPr>
              <w:t>ottobre 2024 sul tema "Rafforzare la resilienza della Moldova dinanzi alle interferenze russe in vista delle prossime elezioni presidenziali e di un referendum costituzionale sull'integrazione nell'UE",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10</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Miriam Lexmann</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00C752F2">
              <w:rPr>
                <w:b/>
                <w:i/>
              </w:rPr>
              <w:t>vista la sua risoluzione del 24 </w:t>
            </w:r>
            <w:r w:rsidRPr="00833B04">
              <w:rPr>
                <w:b/>
                <w:i/>
              </w:rPr>
              <w:t>ottobre 2024 sull'interpretazione errata della risoluzione 2758 delle Nazioni Unite da parte della Repubblica popolare cinese e le sue continue provocazioni militari intorno a Taiwan,</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11</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Hannah Neumann</w:t>
      </w:r>
      <w:r w:rsidRPr="00833B04">
        <w:rPr>
          <w:rStyle w:val="HideTWBExt"/>
          <w:b w:val="0"/>
        </w:rPr>
        <w:t>&lt;/Members&gt;</w:t>
      </w:r>
    </w:p>
    <w:p w:rsidR="008C54FE" w:rsidRPr="00833B04" w:rsidRDefault="00270602">
      <w:r w:rsidRPr="00833B04">
        <w:rPr>
          <w:rStyle w:val="HideTWBExt"/>
        </w:rPr>
        <w:t>&lt;AuNomDe&gt;</w:t>
      </w:r>
      <w:r w:rsidRPr="00833B04">
        <w:rPr>
          <w:rStyle w:val="HideTWBInt"/>
        </w:rPr>
        <w:t>{Greens/EFA}</w:t>
      </w:r>
      <w:r w:rsidRPr="00833B04">
        <w:t>a nome del gruppo Verts/ALE</w:t>
      </w:r>
      <w:r w:rsidRPr="00833B04">
        <w:rPr>
          <w:rStyle w:val="HideTWBExt"/>
        </w:rPr>
        <w:t>&lt;/AuNomDe&gt;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il piano d'azione dell'UE sulla parità di genere e l'emancipazione femminile nell'azione esterna per il periodo 2021-2025 (GAP III),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12</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Adam Bielan, Mariusz Kamiński, Michał Dworczyk</w:t>
      </w:r>
      <w:r w:rsidRPr="00833B04">
        <w:rPr>
          <w:rStyle w:val="HideTWBExt"/>
          <w:b w:val="0"/>
        </w:rPr>
        <w:t>&lt;/Members&gt;</w:t>
      </w:r>
    </w:p>
    <w:p w:rsidR="008C54FE" w:rsidRPr="00833B04" w:rsidRDefault="00270602">
      <w:r w:rsidRPr="00833B04">
        <w:rPr>
          <w:rStyle w:val="HideTWBExt"/>
        </w:rPr>
        <w:t>&lt;AuNomDe&gt;</w:t>
      </w:r>
      <w:r w:rsidRPr="00833B04">
        <w:rPr>
          <w:rStyle w:val="HideTWBInt"/>
        </w:rPr>
        <w:t>{ECR}</w:t>
      </w:r>
      <w:r w:rsidRPr="00833B04">
        <w:t>a nome del gruppo ECR</w:t>
      </w:r>
      <w:r w:rsidRPr="00833B04">
        <w:rPr>
          <w:rStyle w:val="HideTWBExt"/>
        </w:rPr>
        <w:t>&lt;/AuNomDe&gt;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il concetto strategico 2022 della NATO, adottato il 29 giugno 2022,</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13</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Andrey Kovatchev, Rasa Juknevičienė</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viste le sue risoluzioni sulla memoria storica, comprese le sue risoluzioni del 2 aprile 2009 su coscienza europea e totalitarismo, del 19 settembre 2019 sull'importanza della memoria europea per il futuro dell'Europa (2019/2819 (RSP)) e del 15 dicembre 2022 sul tema "90 anni dopo l'Holodomor:</w:t>
            </w:r>
            <w:r w:rsidRPr="00833B04">
              <w:t xml:space="preserve"> </w:t>
            </w:r>
            <w:r w:rsidRPr="00833B04">
              <w:rPr>
                <w:b/>
                <w:i/>
              </w:rPr>
              <w:t>riconoscere l'uccisione di massa per fame come genocidio (2022/3001(RSP)) [MBS1] [MBS1] [dalla risoluzione sulla strumentalizzazione della storia],</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14</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Sven Mikser, Lucia Annunziata, Nicola Zingaretti, Thijs Reuten, Alessandra Moretti, Giorgio Gori, Tobias Cremer, Yannis Maniatis, Marco Tarquinio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rsidP="00C752F2">
            <w:pPr>
              <w:pStyle w:val="Normal6a"/>
            </w:pPr>
            <w:r w:rsidRPr="00833B04">
              <w:rPr>
                <w:b/>
                <w:i/>
              </w:rPr>
              <w:t>–</w:t>
            </w:r>
            <w:r w:rsidRPr="00833B04">
              <w:tab/>
            </w:r>
            <w:r w:rsidRPr="00833B04">
              <w:rPr>
                <w:b/>
                <w:i/>
              </w:rPr>
              <w:t xml:space="preserve">vista la risoluzione 70/1 delle Nazioni Unite dal titolo </w:t>
            </w:r>
            <w:r w:rsidR="00C752F2">
              <w:rPr>
                <w:b/>
                <w:i/>
              </w:rPr>
              <w:t>"</w:t>
            </w:r>
            <w:r w:rsidRPr="00833B04">
              <w:rPr>
                <w:b/>
                <w:i/>
              </w:rPr>
              <w:t>Trasformare il nostro mondo: l'Agenda 2030 per lo sviluppo sostenibile</w:t>
            </w:r>
            <w:r w:rsidR="00C752F2">
              <w:rPr>
                <w:b/>
                <w:i/>
              </w:rPr>
              <w:t>"</w:t>
            </w:r>
            <w:r w:rsidRPr="00833B04">
              <w:rPr>
                <w:b/>
                <w:i/>
              </w:rPr>
              <w:t xml:space="preserve"> (Agenda 2030), che è stata adottata in occasione del vertice delle Nazioni Unite sullo sviluppo sosten</w:t>
            </w:r>
            <w:r w:rsidR="00C752F2">
              <w:rPr>
                <w:b/>
                <w:i/>
              </w:rPr>
              <w:t>ibile tenutosi a New York il 25 </w:t>
            </w:r>
            <w:r w:rsidRPr="00833B04">
              <w:rPr>
                <w:b/>
                <w:i/>
              </w:rPr>
              <w:t>settembre 2015 e ha stabilito gli obiettivi di sviluppo sostenibile (OSS),</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15</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Miriam Lexmann</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 xml:space="preserve">vista </w:t>
            </w:r>
            <w:r w:rsidR="00C752F2">
              <w:rPr>
                <w:b/>
                <w:i/>
              </w:rPr>
              <w:t>la sua risoluzione del 17 </w:t>
            </w:r>
            <w:r w:rsidRPr="00833B04">
              <w:rPr>
                <w:b/>
                <w:i/>
              </w:rPr>
              <w:t>gennaio 2024 sulle implicazioni in materia di sicurezza e di difesa dell'influenza della Cina sulle infrastrutture critiche nell'Unione europea (2023/2072(INI)),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16</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Hannah Neumann</w:t>
      </w:r>
      <w:r w:rsidRPr="00833B04">
        <w:rPr>
          <w:rStyle w:val="HideTWBExt"/>
          <w:b w:val="0"/>
        </w:rPr>
        <w:t>&lt;/Members&gt;</w:t>
      </w:r>
    </w:p>
    <w:p w:rsidR="008C54FE" w:rsidRPr="00833B04" w:rsidRDefault="00270602">
      <w:r w:rsidRPr="00833B04">
        <w:rPr>
          <w:rStyle w:val="HideTWBExt"/>
        </w:rPr>
        <w:t>&lt;AuNomDe&gt;</w:t>
      </w:r>
      <w:r w:rsidRPr="00833B04">
        <w:rPr>
          <w:rStyle w:val="HideTWBInt"/>
        </w:rPr>
        <w:t>{Greens/EFA}</w:t>
      </w:r>
      <w:r w:rsidRPr="00833B04">
        <w:t>a nome del gruppo Verts/ALE</w:t>
      </w:r>
      <w:r w:rsidRPr="00833B04">
        <w:rPr>
          <w:rStyle w:val="HideTWBExt"/>
        </w:rPr>
        <w:t>&lt;/AuNomDe&gt;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visti gli orientamenti dell'UE sui difensori dei diritti umani,</w:t>
            </w:r>
            <w:r w:rsidRPr="00833B04">
              <w:t xml:space="preserve"> </w:t>
            </w:r>
            <w:r w:rsidRPr="00833B04">
              <w:rPr>
                <w:b/>
                <w:i/>
              </w:rPr>
              <w:t>adottati nel 2004, aggiornati nel 2008 e ulteriormente approfonditi in una nota orientativa del 2020 sull'attuazione degli orientamenti,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17</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Vasile Dîncu</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comunicazione congiunta al Parlamento europeo e al Consiglio (JOIN(2020)0018) dal titolo "La strategia dell'UE in materia di cibersicurezza per il decennio digitale",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18</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Andrey Kovatchev</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quater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comunicazione della Commissione, del 30 ottobre 2024, dal titolo "Comunicazione 2024 sulla politica di allargamento dell'UE" (COM(2024)0690),</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19</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Miriam Lexmann</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quater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relazione di Sauli Niinistö, del 30 ottobre 2024, dal titolo "Strengthening Europe's civilian and military preparedness and readiness" (Rafforzare la preparazione e la prontezza dell'Europa nel settore civile e militare),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20</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Miriam Lexmann</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quinquies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raccomandazione della Commissione, del 3 ottobre 2023, relativa ai settori tecnologici critici per la sicurezza economica dell'UE ai fini di un'ulteriore valutazione dei rischi con gli Stati membri;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21</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Andrey Kovatchev</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quinquies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viste le relazioni sull'allargamento del 2024 presentate dalla Commissione il 30 ottobre 2024,</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22</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Andrey Kovatchev</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sexies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il regolamento (UE) 2024/1449 del Parlamento europeo e del Consiglio, del 14 maggio 2024, sull'istituzione di uno strumento per le riforme e la crescita per i Balcani occidentali,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23</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Miriam Lexmann</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sexies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comunicazione della Commissione, del 20 giugno 2023, dal titolo "Strategia europea per la sicurezza economica" (JOIN(2023)0020),</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24</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Andrey Kovatchev</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septies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00413590">
              <w:rPr>
                <w:b/>
                <w:i/>
              </w:rPr>
              <w:t>vista la sua risoluzione del 1° </w:t>
            </w:r>
            <w:r w:rsidRPr="00833B04">
              <w:rPr>
                <w:b/>
                <w:i/>
              </w:rPr>
              <w:t>giugno 2023 sulle ingerenze straniere in tutti i processi democratici nell'Unione europea, inclusa la disinformazione (2022/2075(INI)),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25</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Miriam Lexmann</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7 septies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viste le sue risoluzioni sulle violazioni dei diritti umani, della democrazia e dello Stato di diritto, approvate a norma dell'articolo 144 del suo regolamento,</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26</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António Tânger Corrêa, Jordan Bardella, Matthieu Valet, Pierre-Romain Thionnet</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l'articolo 4, paragrafo 2, del trattato sull'Unione europea, che garantisce che l'Unione rispetti le funzioni essenziali degli Stati, compresa la tutela della sicurezza nazionale, che resta di esclusiva competenza di ciascuno Stato membro,</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27</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l'accordo di associazione UE-Israele del 21 giugno 2000,</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28</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António Tânger Corrêa, Jordan Bardella, Matthieu Valet, Pierre-Romain Thionnet</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l'articolo 42, paragrafo 2, del trattato sull'Unione europea, che stabilisce che la politica di sicurezza e di difesa comune dell'UE rispetta gli obblighi derivanti dagli impegni assunti nel quadro della NATO e non sostituisce la difesa nazionale</w:t>
            </w:r>
            <w:r w:rsidRPr="00833B04">
              <w:t xml:space="preserve"> </w:t>
            </w:r>
            <w:r w:rsidRPr="00833B04">
              <w:rPr>
                <w:b/>
                <w:i/>
              </w:rPr>
              <w:t>e che la decisione di partecipare alle operazioni di difesa e di sicurezza è volontaria, nel rispetto dell'autonomia degli Stati membri,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29</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il parere consultivo della Corte internazionale di giustizia nella sua risolu</w:t>
            </w:r>
            <w:r w:rsidR="00413590">
              <w:rPr>
                <w:b/>
                <w:i/>
              </w:rPr>
              <w:t>zione A/RES/77/247 dal titolo "</w:t>
            </w:r>
            <w:r w:rsidRPr="00833B04">
              <w:rPr>
                <w:b/>
                <w:i/>
              </w:rPr>
              <w:t>Israeli practices affecting the human rights of the Palestinian people in the Occupied Palestinian Terr</w:t>
            </w:r>
            <w:r w:rsidR="00413590">
              <w:rPr>
                <w:b/>
                <w:i/>
              </w:rPr>
              <w:t>itory, including East Jerusalem"</w:t>
            </w:r>
            <w:r w:rsidRPr="00833B04">
              <w:rPr>
                <w:b/>
                <w:i/>
              </w:rPr>
              <w:t xml:space="preserve"> (Pratiche israeliane che ledono i diritti umani del popolo palestinese nei territori palestinesi occupati, compresa Gerusalemme Est),</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30</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António Tânger Corrêa, Jordan Bardella, Matthieu Valet, Pierre-Romain Thionnet</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quater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l'articolo 24, paragrafo 1, del trattato sull'Unione europea, che sancisce che le azioni esterne dell'UE, compresa la politica di sicurezza, devono rispettare il principio dell'uguaglianza tra gli Stati membri, il che implica che non può essere imposta una politica di difesa comune obbligatoria,</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31</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quater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dichiarazione del procuratore della Corte penale internazionale, Karim Asad Ahmad</w:t>
            </w:r>
            <w:r w:rsidRPr="00833B04">
              <w:t xml:space="preserve"> </w:t>
            </w:r>
            <w:r w:rsidRPr="00833B04">
              <w:rPr>
                <w:b/>
                <w:i/>
              </w:rPr>
              <w:t>Khan,</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32</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António Tânger Corrêa</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quinquies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l'articolo 51 della Carta delle Nazioni Unite, che sancisce il diritto di autotutela individuale o collettiva degli Stati membri delle Nazioni Unite in caso di attacco armato, fintantoché il Consiglio di sicurezza non abbia adottato misure per mantenere la pace e la sicurezza internazionali,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33</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quinquies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lo Statuto di Roma della Corte penale internazionale,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34</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António Tânger Corrêa, Jordan Bardella, Matthieu Valet, Pierre-Romain Thionnet</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sexies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l'articolo 2, paragrafi 4 e 7, della Carta delle Nazioni Unite, che impedisce alle Nazioni Unite di intervenire in questioni che appartengono alla competenza interna degli Stati membri, nel rispetto della sovranità nazionale,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35</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sexies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lo Statuto di Roma della Corte penale internazionale (CPI),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36</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António Tânger Corrêa, Jordan Bardella, Matthieu Valet, Pierre-Romain Thionnet</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septies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visto l'Atto finale di Helsinki dell'OSCE (1975), in particolare il principio VI, sul non intervento negli affari interni, e il principio VII, che sostiene il diritto di ciascuno Stato di determinare la propria politica di difesa e di sicurezza,</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37</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septies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l'ordinanza della Corte internazionale di giustizia in merito alla richiesta del Sud Africa di indicare misure provvisorie,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38</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António Tânger Corrêa, Jordan Bardella, Matthieu Valet, Pierre-Romain Thionnet</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octies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visti la Convenzione europea dei diritti dell'uomo (CEDU) e il Consiglio d'Europa, che sottolineano il rispetto della sovranità degli Stati garantendo che ciascun paese possa decidere internamente sulle questioni di sicurezza,</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39</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octies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viste la Convenzione delle Nazioni Unite del 1948 per la prevenzione e la repressione del delitto di genocidio e la risoluzione 43/29 del Consiglio dei diritti umani delle Nazioni Unite, del 22 giugno 2020, per la prevenzione del genocidio,</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40</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nonies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00413590">
              <w:rPr>
                <w:b/>
                <w:i/>
              </w:rPr>
              <w:t>vista la risoluzione 302 (IV) del 1949</w:t>
            </w:r>
            <w:r w:rsidRPr="00833B04">
              <w:rPr>
                <w:b/>
                <w:i/>
              </w:rPr>
              <w:t> dell'Assemblea generale delle Nazioni Unite,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41</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decies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risoluzione 1701 (2006) del Consiglio di sicurezza delle Nazioni Unite,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42</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undecies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vista la relazione sul piano d'azione dell'Unione europea sulla parità di genere e l'emancipazione femminile nell'azione esterna 2021-2025,</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43</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duodecies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Pr="00833B04">
              <w:rPr>
                <w:b/>
                <w:i/>
              </w:rPr>
              <w:t xml:space="preserve">vista la convenzione del Consiglio d'Europa sulla prevenzione e la lotta alla violenza contro le </w:t>
            </w:r>
            <w:r w:rsidR="009753BA">
              <w:rPr>
                <w:b/>
                <w:i/>
              </w:rPr>
              <w:t>donne e la violenza domestica ("la Convenzione di Istanbul"</w:t>
            </w:r>
            <w:r w:rsidRPr="00833B04">
              <w:rPr>
                <w:b/>
                <w:i/>
              </w:rPr>
              <w:t>), entrata in vigore nell'UE il 1° ottobre 2023,</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44</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Hana Jalloul Muro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Visto 9 terdecies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w:t>
            </w:r>
            <w:r w:rsidRPr="00833B04">
              <w:tab/>
            </w:r>
            <w:r w:rsidR="009753BA">
              <w:rPr>
                <w:b/>
                <w:i/>
              </w:rPr>
              <w:t>vista la risoluzione 242</w:t>
            </w:r>
            <w:r w:rsidRPr="00833B04">
              <w:rPr>
                <w:b/>
                <w:i/>
              </w:rPr>
              <w:t xml:space="preserve"> (1967) delle Nazioni Unite,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45</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Adam Bielan</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A</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A.</w:t>
            </w:r>
            <w:r w:rsidRPr="00833B04">
              <w:tab/>
              <w:t xml:space="preserve">considerando che il </w:t>
            </w:r>
            <w:r w:rsidRPr="00833B04">
              <w:rPr>
                <w:b/>
                <w:i/>
              </w:rPr>
              <w:t>ritmo a cui si susseguono i</w:t>
            </w:r>
            <w:r w:rsidRPr="00833B04">
              <w:t xml:space="preserve"> cambiamenti geopolitici </w:t>
            </w:r>
            <w:r w:rsidRPr="00833B04">
              <w:rPr>
                <w:b/>
                <w:i/>
              </w:rPr>
              <w:t>è incalzante, con attori autocratici</w:t>
            </w:r>
            <w:r w:rsidRPr="00833B04">
              <w:t xml:space="preserve"> che agiscono individualmente </w:t>
            </w:r>
            <w:r w:rsidRPr="00833B04">
              <w:rPr>
                <w:b/>
                <w:i/>
              </w:rPr>
              <w:t>e</w:t>
            </w:r>
            <w:r w:rsidRPr="00833B04">
              <w:t xml:space="preserve"> di concerto </w:t>
            </w:r>
            <w:r w:rsidRPr="00833B04">
              <w:rPr>
                <w:b/>
                <w:i/>
              </w:rPr>
              <w:t>per minare</w:t>
            </w:r>
            <w:r w:rsidRPr="00833B04">
              <w:t xml:space="preserve"> l'ordine internazionale basato su regole e le sue </w:t>
            </w:r>
            <w:r w:rsidRPr="00833B04">
              <w:rPr>
                <w:b/>
                <w:i/>
              </w:rPr>
              <w:t>organizzazioni</w:t>
            </w:r>
            <w:r w:rsidRPr="00833B04">
              <w:t xml:space="preserve"> multilaterali; che </w:t>
            </w:r>
            <w:r w:rsidRPr="00833B04">
              <w:rPr>
                <w:b/>
                <w:i/>
              </w:rPr>
              <w:t xml:space="preserve">i </w:t>
            </w:r>
            <w:r w:rsidRPr="00833B04">
              <w:t>conflitti</w:t>
            </w:r>
            <w:r w:rsidRPr="00833B04">
              <w:rPr>
                <w:b/>
                <w:i/>
              </w:rPr>
              <w:t xml:space="preserve"> si stanno moltiplicando e che</w:t>
            </w:r>
            <w:r w:rsidRPr="00833B04">
              <w:t xml:space="preserve"> l'uso della forza è </w:t>
            </w:r>
            <w:r w:rsidRPr="00833B04">
              <w:rPr>
                <w:b/>
                <w:i/>
              </w:rPr>
              <w:t>considerato</w:t>
            </w:r>
            <w:r w:rsidRPr="00833B04">
              <w:t xml:space="preserve"> sempre più </w:t>
            </w:r>
            <w:r w:rsidRPr="00833B04">
              <w:rPr>
                <w:b/>
                <w:i/>
              </w:rPr>
              <w:t xml:space="preserve">un mezzo legittimo per il perseguimento di </w:t>
            </w:r>
            <w:r w:rsidRPr="00833B04">
              <w:t xml:space="preserve">obiettivi politici </w:t>
            </w:r>
            <w:r w:rsidRPr="00833B04">
              <w:rPr>
                <w:b/>
                <w:i/>
              </w:rPr>
              <w:t>da parte</w:t>
            </w:r>
            <w:r w:rsidRPr="00833B04">
              <w:t xml:space="preserve"> </w:t>
            </w:r>
            <w:r w:rsidRPr="00833B04">
              <w:rPr>
                <w:b/>
                <w:i/>
              </w:rPr>
              <w:t>di</w:t>
            </w:r>
            <w:r w:rsidRPr="00833B04">
              <w:t xml:space="preserve"> Stati </w:t>
            </w:r>
            <w:r w:rsidRPr="00833B04">
              <w:rPr>
                <w:b/>
                <w:i/>
              </w:rPr>
              <w:t>e</w:t>
            </w:r>
            <w:r w:rsidRPr="00833B04">
              <w:t xml:space="preserve"> attori non statali;</w:t>
            </w:r>
          </w:p>
        </w:tc>
        <w:tc>
          <w:tcPr>
            <w:tcW w:w="4876" w:type="dxa"/>
            <w:tcBorders>
              <w:top w:val="nil"/>
              <w:left w:val="nil"/>
              <w:bottom w:val="nil"/>
              <w:right w:val="nil"/>
            </w:tcBorders>
          </w:tcPr>
          <w:p w:rsidR="008C54FE" w:rsidRPr="00833B04" w:rsidRDefault="00270602" w:rsidP="009753BA">
            <w:pPr>
              <w:pStyle w:val="Normal6a"/>
            </w:pPr>
            <w:r w:rsidRPr="00833B04">
              <w:t>A.</w:t>
            </w:r>
            <w:r w:rsidRPr="00833B04">
              <w:tab/>
              <w:t xml:space="preserve">considerando che il </w:t>
            </w:r>
            <w:r w:rsidRPr="00833B04">
              <w:rPr>
                <w:b/>
                <w:i/>
              </w:rPr>
              <w:t>mondo si trova ad affrontare rapidi</w:t>
            </w:r>
            <w:r w:rsidRPr="00833B04">
              <w:t xml:space="preserve"> cambiamenti geopolitici</w:t>
            </w:r>
            <w:r w:rsidRPr="00833B04">
              <w:rPr>
                <w:b/>
                <w:i/>
              </w:rPr>
              <w:t>, con potenze autocratiche</w:t>
            </w:r>
            <w:r w:rsidRPr="00833B04">
              <w:t xml:space="preserve"> che agiscono </w:t>
            </w:r>
            <w:r w:rsidRPr="00833B04">
              <w:rPr>
                <w:b/>
                <w:i/>
              </w:rPr>
              <w:t>sia</w:t>
            </w:r>
            <w:r w:rsidRPr="00833B04">
              <w:t xml:space="preserve"> individualmente </w:t>
            </w:r>
            <w:r w:rsidRPr="00833B04">
              <w:rPr>
                <w:b/>
                <w:i/>
              </w:rPr>
              <w:t>che</w:t>
            </w:r>
            <w:r w:rsidRPr="00833B04">
              <w:t xml:space="preserve"> di concerto</w:t>
            </w:r>
            <w:r w:rsidRPr="00833B04">
              <w:rPr>
                <w:b/>
                <w:i/>
              </w:rPr>
              <w:t>, mettendo attivamente in discussione</w:t>
            </w:r>
            <w:r w:rsidRPr="00833B04">
              <w:t xml:space="preserve"> l'ordine internazionale basato su regole e le sue </w:t>
            </w:r>
            <w:r w:rsidRPr="00833B04">
              <w:rPr>
                <w:b/>
                <w:i/>
              </w:rPr>
              <w:t>istituzioni</w:t>
            </w:r>
            <w:r w:rsidRPr="00833B04">
              <w:t xml:space="preserve"> multilaterali; che </w:t>
            </w:r>
            <w:r w:rsidRPr="00833B04">
              <w:rPr>
                <w:b/>
                <w:i/>
              </w:rPr>
              <w:t xml:space="preserve">con il moltiplicarsi dei </w:t>
            </w:r>
            <w:r w:rsidRPr="00833B04">
              <w:t>conflitti</w:t>
            </w:r>
            <w:r w:rsidRPr="00833B04">
              <w:rPr>
                <w:b/>
                <w:i/>
              </w:rPr>
              <w:t>,</w:t>
            </w:r>
            <w:r w:rsidRPr="00833B04">
              <w:t xml:space="preserve"> l'uso della forza è </w:t>
            </w:r>
            <w:r w:rsidR="009753BA">
              <w:rPr>
                <w:b/>
                <w:i/>
              </w:rPr>
              <w:t>visto</w:t>
            </w:r>
            <w:r w:rsidRPr="00833B04">
              <w:t xml:space="preserve"> sempre più </w:t>
            </w:r>
            <w:r w:rsidRPr="00833B04">
              <w:rPr>
                <w:b/>
                <w:i/>
              </w:rPr>
              <w:t xml:space="preserve">come uno strumento ordinario per perseguire </w:t>
            </w:r>
            <w:r w:rsidRPr="00833B04">
              <w:t>obiettivi politici</w:t>
            </w:r>
            <w:r w:rsidRPr="00833B04">
              <w:rPr>
                <w:b/>
                <w:i/>
              </w:rPr>
              <w:t>, utilizzato non solo</w:t>
            </w:r>
            <w:r w:rsidRPr="00833B04">
              <w:t xml:space="preserve"> </w:t>
            </w:r>
            <w:r w:rsidR="00CC0AF2" w:rsidRPr="00833B04">
              <w:rPr>
                <w:b/>
                <w:i/>
              </w:rPr>
              <w:t>da</w:t>
            </w:r>
            <w:r w:rsidRPr="00833B04">
              <w:rPr>
                <w:b/>
                <w:i/>
              </w:rPr>
              <w:t>gli</w:t>
            </w:r>
            <w:r w:rsidRPr="00833B04">
              <w:t xml:space="preserve"> Stati</w:t>
            </w:r>
            <w:r w:rsidRPr="00833B04">
              <w:rPr>
                <w:b/>
                <w:i/>
              </w:rPr>
              <w:t>, ma anche da una serie sempre più ampia di</w:t>
            </w:r>
            <w:r w:rsidRPr="00833B04">
              <w:t xml:space="preserve"> attori non statali;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46</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Željana Zovko</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A</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A.</w:t>
            </w:r>
            <w:r w:rsidRPr="00833B04">
              <w:tab/>
              <w:t xml:space="preserve">considerando che il ritmo a cui si susseguono i cambiamenti geopolitici è incalzante, con attori autocratici che agiscono individualmente e di concerto per minare l'ordine internazionale basato su regole </w:t>
            </w:r>
            <w:r w:rsidRPr="00833B04">
              <w:rPr>
                <w:b/>
                <w:i/>
              </w:rPr>
              <w:t>e</w:t>
            </w:r>
            <w:r w:rsidRPr="00833B04">
              <w:t xml:space="preserve"> le sue organizzazioni multilaterali; che i conflitti si stanno moltiplicando e che l'uso della forza è considerato sempre più un mezzo legittimo per il perseguimento di obiettivi politici da parte di Stati e attori non statali;</w:t>
            </w:r>
          </w:p>
        </w:tc>
        <w:tc>
          <w:tcPr>
            <w:tcW w:w="4876" w:type="dxa"/>
            <w:tcBorders>
              <w:top w:val="nil"/>
              <w:left w:val="nil"/>
              <w:bottom w:val="nil"/>
              <w:right w:val="nil"/>
            </w:tcBorders>
          </w:tcPr>
          <w:p w:rsidR="008C54FE" w:rsidRPr="00833B04" w:rsidRDefault="00270602" w:rsidP="00CC0AF2">
            <w:pPr>
              <w:pStyle w:val="Normal6a"/>
            </w:pPr>
            <w:r w:rsidRPr="00833B04">
              <w:t>A.</w:t>
            </w:r>
            <w:r w:rsidRPr="00833B04">
              <w:tab/>
              <w:t>considerando che il ritmo a cui si susseguono i cambiamenti geopolitici è incalzante, con attori autocratici che agiscono individualmente e di concerto per minare l'ordine internazionale basato su regole</w:t>
            </w:r>
            <w:r w:rsidRPr="00833B04">
              <w:rPr>
                <w:b/>
                <w:i/>
              </w:rPr>
              <w:t>,</w:t>
            </w:r>
            <w:r w:rsidRPr="00833B04">
              <w:t xml:space="preserve"> le sue organizzazioni multilaterali </w:t>
            </w:r>
            <w:r w:rsidRPr="00833B04">
              <w:rPr>
                <w:b/>
                <w:i/>
              </w:rPr>
              <w:t>e la sicurezza globale</w:t>
            </w:r>
            <w:r w:rsidRPr="00833B04">
              <w:t xml:space="preserve">; che i conflitti si stanno moltiplicando e che l'uso della forza è considerato sempre più un mezzo legittimo per il perseguimento di obiettivi politici da parte di Stati e attori non statali; </w:t>
            </w:r>
            <w:r w:rsidRPr="00833B04">
              <w:rPr>
                <w:b/>
                <w:i/>
              </w:rPr>
              <w:t>che l'Unione europea deve cons</w:t>
            </w:r>
            <w:r w:rsidR="00CC0AF2" w:rsidRPr="00833B04">
              <w:rPr>
                <w:b/>
                <w:i/>
              </w:rPr>
              <w:t>o</w:t>
            </w:r>
            <w:r w:rsidRPr="00833B04">
              <w:rPr>
                <w:b/>
                <w:i/>
              </w:rPr>
              <w:t>lidare le relazioni transatlantiche e instaurare partenariati costruttivi con partner che condividono gli stessi principi nel Sud globale;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47</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Hermann Tertsch, Jorge Martín Frías</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A</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A.</w:t>
            </w:r>
            <w:r w:rsidRPr="00833B04">
              <w:tab/>
              <w:t>considerando che il ritmo a cui si susseguono i cambiamenti geopolitici è incalzante, con attori autocratici che agiscono individualmente e di concerto per minare l'ordine internazionale basato su regole e le sue organizzazioni multilaterali; che i conflitti si stanno moltiplicando e che l'uso della forza è considerato sempre più un mezzo legittimo per il perseguimento di obiettivi politici da parte di Stati e attori non statali;</w:t>
            </w:r>
          </w:p>
        </w:tc>
        <w:tc>
          <w:tcPr>
            <w:tcW w:w="4876" w:type="dxa"/>
            <w:tcBorders>
              <w:top w:val="nil"/>
              <w:left w:val="nil"/>
              <w:bottom w:val="nil"/>
              <w:right w:val="nil"/>
            </w:tcBorders>
          </w:tcPr>
          <w:p w:rsidR="008C54FE" w:rsidRPr="00833B04" w:rsidRDefault="00270602">
            <w:pPr>
              <w:pStyle w:val="Normal6a"/>
            </w:pPr>
            <w:r w:rsidRPr="00833B04">
              <w:t>A.</w:t>
            </w:r>
            <w:r w:rsidRPr="00833B04">
              <w:tab/>
              <w:t xml:space="preserve">considerando che il ritmo a cui si susseguono i cambiamenti geopolitici è incalzante, con attori </w:t>
            </w:r>
            <w:r w:rsidRPr="00833B04">
              <w:rPr>
                <w:b/>
                <w:i/>
              </w:rPr>
              <w:t>comunisti, dittatoriali e</w:t>
            </w:r>
            <w:r w:rsidRPr="00833B04">
              <w:t xml:space="preserve"> autocratici</w:t>
            </w:r>
            <w:r w:rsidRPr="00833B04">
              <w:rPr>
                <w:b/>
                <w:i/>
              </w:rPr>
              <w:t>, quali la Russia, la Cina, l'Iran, Cuba, il Venezuela e la Corea del Nord,</w:t>
            </w:r>
            <w:r w:rsidRPr="00833B04">
              <w:t xml:space="preserve"> che agiscono individualmente e di concerto per minare l'ordine internazionale basato su regole e le sue organizzazioni multilaterali; </w:t>
            </w:r>
            <w:r w:rsidRPr="00833B04">
              <w:rPr>
                <w:b/>
                <w:i/>
              </w:rPr>
              <w:t>che le violazioni dei diritti umani da parte di tali attori si sono intensificate;</w:t>
            </w:r>
            <w:r w:rsidRPr="00833B04">
              <w:t xml:space="preserve"> che i conflitti si stanno moltiplicando e che l'uso della forza è considerato sempre più un mezzo legittimo per il perseguimento di obiettivi politici da parte di Stati e attori non statali;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48</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Miriam Lexmann</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A</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A.</w:t>
            </w:r>
            <w:r w:rsidRPr="00833B04">
              <w:tab/>
              <w:t xml:space="preserve">considerando che il ritmo a cui si susseguono i cambiamenti geopolitici è incalzante, con attori autocratici che agiscono individualmente e di concerto per minare l'ordine internazionale basato su regole </w:t>
            </w:r>
            <w:r w:rsidRPr="00833B04">
              <w:rPr>
                <w:b/>
                <w:i/>
              </w:rPr>
              <w:t xml:space="preserve">e </w:t>
            </w:r>
            <w:r w:rsidRPr="009753BA">
              <w:t>le</w:t>
            </w:r>
            <w:r w:rsidRPr="00833B04">
              <w:rPr>
                <w:b/>
                <w:i/>
              </w:rPr>
              <w:t xml:space="preserve"> sue </w:t>
            </w:r>
            <w:r w:rsidRPr="009753BA">
              <w:t>organizzazioni</w:t>
            </w:r>
            <w:r w:rsidRPr="00833B04">
              <w:rPr>
                <w:b/>
                <w:i/>
              </w:rPr>
              <w:t xml:space="preserve"> </w:t>
            </w:r>
            <w:r w:rsidRPr="009753BA">
              <w:t>multilaterali</w:t>
            </w:r>
            <w:r w:rsidRPr="00833B04">
              <w:t>; che i conflitti si stanno moltiplicando e che l'uso della forza è considerato sempre più un mezzo legittimo per il perseguimento di obiettivi politici da parte di Stati e attori non statali;</w:t>
            </w:r>
          </w:p>
        </w:tc>
        <w:tc>
          <w:tcPr>
            <w:tcW w:w="4876" w:type="dxa"/>
            <w:tcBorders>
              <w:top w:val="nil"/>
              <w:left w:val="nil"/>
              <w:bottom w:val="nil"/>
              <w:right w:val="nil"/>
            </w:tcBorders>
          </w:tcPr>
          <w:p w:rsidR="008C54FE" w:rsidRPr="00833B04" w:rsidRDefault="00270602">
            <w:pPr>
              <w:pStyle w:val="Normal6a"/>
            </w:pPr>
            <w:r w:rsidRPr="00833B04">
              <w:t>A.</w:t>
            </w:r>
            <w:r w:rsidRPr="00833B04">
              <w:tab/>
              <w:t>considerando che il ritmo a cui si susseguono i cambiamenti geopolitici è incalzante, con attori autocratici che agiscono individualmente e di concerto per minare l'ordine internazionale basato su regole</w:t>
            </w:r>
            <w:r w:rsidRPr="00833B04">
              <w:rPr>
                <w:b/>
                <w:i/>
              </w:rPr>
              <w:t xml:space="preserve">, </w:t>
            </w:r>
            <w:r w:rsidRPr="009753BA">
              <w:t>le organizzazioni multilaterali</w:t>
            </w:r>
            <w:r w:rsidRPr="00833B04">
              <w:rPr>
                <w:b/>
                <w:i/>
              </w:rPr>
              <w:t>, il diritto internazionale, le istituzioni e le società democratiche, nonché le nostre alleanze</w:t>
            </w:r>
            <w:r w:rsidRPr="00833B04">
              <w:t>; che i conflitti si stanno moltiplicando e che l'uso della forza è considerato sempre più un mezzo legittimo per il perseguimento di obiettivi politici da parte di Stati e attori non statali;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49</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Michael von der Schulenburg</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A</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A.</w:t>
            </w:r>
            <w:r w:rsidRPr="00833B04">
              <w:tab/>
              <w:t xml:space="preserve">considerando che il ritmo a cui si susseguono i cambiamenti geopolitici è incalzante, </w:t>
            </w:r>
            <w:r w:rsidRPr="00833B04">
              <w:rPr>
                <w:b/>
                <w:i/>
              </w:rPr>
              <w:t>con attori autocratici che agiscono individualmente e di concerto per minare l'ordine internazionale basato su regole e le sue organizzazioni multilaterali</w:t>
            </w:r>
            <w:r w:rsidRPr="00833B04">
              <w:t xml:space="preserve">; che i conflitti si stanno moltiplicando e che l'uso della forza è considerato </w:t>
            </w:r>
            <w:r w:rsidRPr="00833B04">
              <w:rPr>
                <w:b/>
                <w:i/>
              </w:rPr>
              <w:t>sempre più</w:t>
            </w:r>
            <w:r w:rsidRPr="00833B04">
              <w:t xml:space="preserve"> un mezzo legittimo per il perseguimento di obiettivi politici da parte di Stati e attori non statali;</w:t>
            </w:r>
          </w:p>
        </w:tc>
        <w:tc>
          <w:tcPr>
            <w:tcW w:w="4876" w:type="dxa"/>
            <w:tcBorders>
              <w:top w:val="nil"/>
              <w:left w:val="nil"/>
              <w:bottom w:val="nil"/>
              <w:right w:val="nil"/>
            </w:tcBorders>
          </w:tcPr>
          <w:p w:rsidR="008C54FE" w:rsidRPr="00833B04" w:rsidRDefault="00270602">
            <w:pPr>
              <w:pStyle w:val="Normal6a"/>
            </w:pPr>
            <w:r w:rsidRPr="00833B04">
              <w:t>A.</w:t>
            </w:r>
            <w:r w:rsidRPr="00833B04">
              <w:tab/>
              <w:t xml:space="preserve">considerando che il ritmo a cui si susseguono i cambiamenti geopolitici è incalzante, </w:t>
            </w:r>
            <w:r w:rsidRPr="00833B04">
              <w:rPr>
                <w:b/>
                <w:i/>
              </w:rPr>
              <w:t>il che rappresenta una minaccia per la pace nel continente europeo e nel mondo</w:t>
            </w:r>
            <w:r w:rsidRPr="00833B04">
              <w:t>; che i conflitti si stanno moltiplicando e che l'uso della forza è considerato un mezzo legittimo per il perseguimento di obiettivi politici da parte di Stati e attori non statali;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50</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Hans Neuhoff</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A</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A.</w:t>
            </w:r>
            <w:r w:rsidRPr="00833B04">
              <w:tab/>
              <w:t xml:space="preserve">considerando che il ritmo a cui si susseguono i cambiamenti geopolitici è incalzante, con attori </w:t>
            </w:r>
            <w:r w:rsidRPr="00833B04">
              <w:rPr>
                <w:b/>
                <w:i/>
              </w:rPr>
              <w:t>autocratici</w:t>
            </w:r>
            <w:r w:rsidRPr="00833B04">
              <w:t xml:space="preserve"> che agiscono individualmente e di concerto per minare </w:t>
            </w:r>
            <w:r w:rsidRPr="00833B04">
              <w:rPr>
                <w:b/>
                <w:i/>
              </w:rPr>
              <w:t>l'</w:t>
            </w:r>
            <w:r w:rsidRPr="00833B04">
              <w:t xml:space="preserve">ordine internazionale </w:t>
            </w:r>
            <w:r w:rsidRPr="00833B04">
              <w:rPr>
                <w:b/>
                <w:i/>
              </w:rPr>
              <w:t>basato su regole e</w:t>
            </w:r>
            <w:r w:rsidRPr="00833B04">
              <w:t xml:space="preserve"> le sue organizzazioni multilaterali; che i conflitti si stanno moltiplicando e che l'uso della forza è considerato sempre più un mezzo legittimo per il perseguimento di obiettivi politici da parte di Stati e attori non statali;</w:t>
            </w:r>
          </w:p>
        </w:tc>
        <w:tc>
          <w:tcPr>
            <w:tcW w:w="4876" w:type="dxa"/>
            <w:tcBorders>
              <w:top w:val="nil"/>
              <w:left w:val="nil"/>
              <w:bottom w:val="nil"/>
              <w:right w:val="nil"/>
            </w:tcBorders>
          </w:tcPr>
          <w:p w:rsidR="008C54FE" w:rsidRPr="00833B04" w:rsidRDefault="00270602">
            <w:pPr>
              <w:pStyle w:val="Normal6a"/>
            </w:pPr>
            <w:r w:rsidRPr="00833B04">
              <w:t>A.</w:t>
            </w:r>
            <w:r w:rsidRPr="00833B04">
              <w:tab/>
              <w:t xml:space="preserve">considerando che il ritmo a cui si susseguono i cambiamenti geopolitici è incalzante, con attori </w:t>
            </w:r>
            <w:r w:rsidRPr="00833B04">
              <w:rPr>
                <w:b/>
                <w:i/>
              </w:rPr>
              <w:t>di primo piano</w:t>
            </w:r>
            <w:r w:rsidRPr="00833B04">
              <w:t xml:space="preserve"> che agiscono individualmente e di concerto per minare </w:t>
            </w:r>
            <w:r w:rsidRPr="00833B04">
              <w:rPr>
                <w:b/>
                <w:i/>
              </w:rPr>
              <w:t xml:space="preserve">l'attuale </w:t>
            </w:r>
            <w:r w:rsidRPr="00833B04">
              <w:t>ordine internazionale</w:t>
            </w:r>
            <w:r w:rsidR="00CC0AF2" w:rsidRPr="00833B04">
              <w:t xml:space="preserve"> e</w:t>
            </w:r>
            <w:r w:rsidRPr="00833B04">
              <w:t xml:space="preserve"> le sue organizzazioni multilaterali; che i conflitti si stanno moltiplicando e che l'uso della forza è considerato sempre più un mezzo legittimo per il perseguimento di obiettivi politici da parte di Stati e attori non statali;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{DE}</w:t>
      </w:r>
      <w:r w:rsidRPr="00833B04">
        <w:t>de</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51</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Christophe Gomart</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A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8C54FE">
            <w:pPr>
              <w:pStyle w:val="Normal6a"/>
            </w:pPr>
          </w:p>
        </w:tc>
        <w:tc>
          <w:tcPr>
            <w:tcW w:w="4876" w:type="dxa"/>
            <w:tcBorders>
              <w:top w:val="nil"/>
              <w:left w:val="nil"/>
              <w:bottom w:val="nil"/>
              <w:right w:val="nil"/>
            </w:tcBorders>
          </w:tcPr>
          <w:p w:rsidR="008C54FE" w:rsidRPr="00833B04" w:rsidRDefault="00270602">
            <w:pPr>
              <w:pStyle w:val="Normal6a"/>
            </w:pPr>
            <w:r w:rsidRPr="00833B04">
              <w:rPr>
                <w:b/>
                <w:i/>
              </w:rPr>
              <w:t>A bis.</w:t>
            </w:r>
            <w:r w:rsidRPr="00833B04">
              <w:tab/>
            </w:r>
            <w:r w:rsidRPr="00833B04">
              <w:rPr>
                <w:b/>
                <w:i/>
              </w:rPr>
              <w:t>considerando che l'UE deve far fronte alla rapida insorgenza di nuove minacce alle sue frontiere e sul suo territorio che stanno destabilizzando il suo funzionamento, tra cui la disinformazione mirata, gli attacchi informatici e ibridi e la strumentalizzazione dei flussi migratori, oltre al terrorismo islamico internazionale e al radicalismo religioso;</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52</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António Tânger Corrêa</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B.</w:t>
            </w:r>
            <w:r w:rsidRPr="00833B04">
              <w:tab/>
              <w:t xml:space="preserve">considerando che il contesto geopolitico in cui opera l'UE ha </w:t>
            </w:r>
            <w:r w:rsidRPr="00833B04">
              <w:rPr>
                <w:b/>
                <w:i/>
              </w:rPr>
              <w:t>accentuato</w:t>
            </w:r>
            <w:r w:rsidRPr="00833B04">
              <w:t xml:space="preserve"> l'esigenza di </w:t>
            </w:r>
            <w:r w:rsidRPr="00833B04">
              <w:rPr>
                <w:b/>
                <w:i/>
              </w:rPr>
              <w:t>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w:t>
            </w:r>
            <w:r w:rsidRPr="00833B04">
              <w:t xml:space="preserve"> </w:t>
            </w:r>
            <w:r w:rsidRPr="00833B04">
              <w:rPr>
                <w:b/>
                <w:i/>
              </w:rPr>
              <w:t>che nella sua azione esterna l'UE dovrebbe essere guidata dai</w:t>
            </w:r>
            <w:r w:rsidRPr="00833B04">
              <w:t xml:space="preserve"> valori e </w:t>
            </w:r>
            <w:r w:rsidRPr="00833B04">
              <w:rPr>
                <w:b/>
                <w:i/>
              </w:rPr>
              <w:t>dai</w:t>
            </w:r>
            <w:r w:rsidRPr="00833B04">
              <w:t xml:space="preserve"> principi sanciti </w:t>
            </w:r>
            <w:r w:rsidRPr="00833B04">
              <w:rPr>
                <w:b/>
                <w:i/>
              </w:rPr>
              <w:t>all'articolo 2, all'articolo 3</w:t>
            </w:r>
            <w:r w:rsidRPr="00833B04">
              <w:t xml:space="preserve">, </w:t>
            </w:r>
            <w:r w:rsidRPr="00833B04">
              <w:rPr>
                <w:b/>
                <w:i/>
              </w:rPr>
              <w:t>paragrafo</w:t>
            </w:r>
            <w:r w:rsidRPr="00833B04">
              <w:t xml:space="preserve"> </w:t>
            </w:r>
            <w:r w:rsidRPr="00833B04">
              <w:rPr>
                <w:b/>
                <w:i/>
              </w:rPr>
              <w:t xml:space="preserve">5, e all'articolo 21 </w:t>
            </w:r>
            <w:r w:rsidRPr="00833B04">
              <w:t>TUE, che hanno ispirato la creazione</w:t>
            </w:r>
            <w:r w:rsidRPr="00833B04">
              <w:rPr>
                <w:b/>
                <w:i/>
              </w:rPr>
              <w:t>, lo sviluppo e l'allargamento dell'UE;</w:t>
            </w:r>
            <w:r w:rsidRPr="00833B04">
              <w:t xml:space="preserve"> </w:t>
            </w:r>
            <w:r w:rsidRPr="00833B04">
              <w:rPr>
                <w:b/>
                <w:i/>
              </w:rPr>
              <w:t>che l'UE dovrebbe pertanto difendere la libertà e le norme democratiche a livello mondiale, nonché l'universalità dei diritti umani</w:t>
            </w:r>
            <w:r w:rsidRPr="00833B04">
              <w:t>;</w:t>
            </w:r>
          </w:p>
        </w:tc>
        <w:tc>
          <w:tcPr>
            <w:tcW w:w="4876" w:type="dxa"/>
            <w:tcBorders>
              <w:top w:val="nil"/>
              <w:left w:val="nil"/>
              <w:bottom w:val="nil"/>
              <w:right w:val="nil"/>
            </w:tcBorders>
          </w:tcPr>
          <w:p w:rsidR="008C54FE" w:rsidRPr="00833B04" w:rsidRDefault="00270602" w:rsidP="009753BA">
            <w:pPr>
              <w:pStyle w:val="Normal6a"/>
            </w:pPr>
            <w:r w:rsidRPr="00833B04">
              <w:t>B.</w:t>
            </w:r>
            <w:r w:rsidRPr="00833B04">
              <w:tab/>
              <w:t xml:space="preserve">considerando che il contesto geopolitico in cui opera l'UE ha </w:t>
            </w:r>
            <w:r w:rsidRPr="00833B04">
              <w:rPr>
                <w:b/>
                <w:i/>
              </w:rPr>
              <w:t>intensificato</w:t>
            </w:r>
            <w:r w:rsidRPr="00833B04">
              <w:t xml:space="preserve"> l'esigenza di </w:t>
            </w:r>
            <w:r w:rsidRPr="00833B04">
              <w:rPr>
                <w:b/>
                <w:i/>
              </w:rPr>
              <w:t xml:space="preserve">una presenza dell'UE più coordinata, basata su alleanze </w:t>
            </w:r>
            <w:r w:rsidR="009753BA">
              <w:rPr>
                <w:b/>
                <w:i/>
              </w:rPr>
              <w:t xml:space="preserve">multiple </w:t>
            </w:r>
            <w:r w:rsidRPr="00833B04">
              <w:rPr>
                <w:b/>
                <w:i/>
              </w:rPr>
              <w:t>piuttosto che su blocchi rigidi, conformemente ai</w:t>
            </w:r>
            <w:r w:rsidRPr="00833B04">
              <w:t xml:space="preserve"> valori e </w:t>
            </w:r>
            <w:r w:rsidRPr="00833B04">
              <w:rPr>
                <w:b/>
                <w:i/>
              </w:rPr>
              <w:t>ai</w:t>
            </w:r>
            <w:r w:rsidRPr="00833B04">
              <w:t xml:space="preserve"> principi sanciti </w:t>
            </w:r>
            <w:r w:rsidR="00CC0AF2" w:rsidRPr="00833B04">
              <w:t>all'articolo</w:t>
            </w:r>
            <w:r w:rsidRPr="00833B04">
              <w:rPr>
                <w:b/>
                <w:i/>
              </w:rPr>
              <w:t xml:space="preserve"> 4, paragrafo</w:t>
            </w:r>
            <w:r w:rsidRPr="00833B04">
              <w:t xml:space="preserve"> </w:t>
            </w:r>
            <w:r w:rsidRPr="00833B04">
              <w:rPr>
                <w:b/>
                <w:i/>
              </w:rPr>
              <w:t xml:space="preserve">2, </w:t>
            </w:r>
            <w:r w:rsidRPr="00833B04">
              <w:t>e</w:t>
            </w:r>
            <w:r w:rsidR="00CC0AF2" w:rsidRPr="00833B04">
              <w:t xml:space="preserve"> all'articolo</w:t>
            </w:r>
            <w:r w:rsidRPr="00833B04">
              <w:rPr>
                <w:b/>
                <w:i/>
              </w:rPr>
              <w:t xml:space="preserve"> 42, paragrafo 2, </w:t>
            </w:r>
            <w:r w:rsidRPr="00833B04">
              <w:t>TUE, che</w:t>
            </w:r>
            <w:r w:rsidRPr="00833B04">
              <w:rPr>
                <w:b/>
                <w:i/>
              </w:rPr>
              <w:t xml:space="preserve"> ne</w:t>
            </w:r>
            <w:r w:rsidRPr="00833B04">
              <w:t xml:space="preserve"> hanno ispirato la creazione;</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53</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Michael von der Schulenburg</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B.</w:t>
            </w:r>
            <w:r w:rsidRPr="00833B04">
              <w:tab/>
              <w:t xml:space="preserve">considerando che il contesto geopolitico in cui opera l'UE ha accentuato l'esigenza di </w:t>
            </w:r>
            <w:r w:rsidRPr="00833B04">
              <w:rPr>
                <w:b/>
                <w:i/>
              </w:rPr>
              <w:t>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w:t>
            </w:r>
            <w:r w:rsidRPr="00833B04">
              <w:t xml:space="preserve"> </w:t>
            </w:r>
            <w:r w:rsidRPr="00833B04">
              <w:rPr>
                <w:b/>
                <w:i/>
              </w:rPr>
              <w:t>che nella sua azione esterna l'UE dovrebbe essere guidata dai valori e dai principi sanciti all'articolo 2, all'articolo 3, paragrafo 5, e all'articolo 21 TUE, che hanno ispirato la creazione, lo sviluppo e l'allargamento dell'UE;</w:t>
            </w:r>
            <w:r w:rsidRPr="00833B04">
              <w:t xml:space="preserve"> </w:t>
            </w:r>
            <w:r w:rsidRPr="00833B04">
              <w:rPr>
                <w:b/>
                <w:i/>
              </w:rPr>
              <w:t>che l'UE dovrebbe pertanto difendere la libertà e le norme democratiche a livello mondiale, nonché l'universalità dei diritti umani</w:t>
            </w:r>
            <w:r w:rsidRPr="00833B04">
              <w:t>;</w:t>
            </w:r>
          </w:p>
        </w:tc>
        <w:tc>
          <w:tcPr>
            <w:tcW w:w="4876" w:type="dxa"/>
            <w:tcBorders>
              <w:top w:val="nil"/>
              <w:left w:val="nil"/>
              <w:bottom w:val="nil"/>
              <w:right w:val="nil"/>
            </w:tcBorders>
          </w:tcPr>
          <w:p w:rsidR="008C54FE" w:rsidRPr="00833B04" w:rsidRDefault="00270602">
            <w:pPr>
              <w:pStyle w:val="Normal6a"/>
            </w:pPr>
            <w:r w:rsidRPr="00833B04">
              <w:t>B.</w:t>
            </w:r>
            <w:r w:rsidRPr="00833B04">
              <w:tab/>
              <w:t xml:space="preserve">considerando che il contesto geopolitico in cui opera l'UE ha accentuato l'esigenza di </w:t>
            </w:r>
            <w:r w:rsidRPr="00833B04">
              <w:rPr>
                <w:b/>
                <w:i/>
              </w:rPr>
              <w:t>un coinvolgimento dell'UE in nuove politiche e azioni che le consentano di passare da un militarismo dannoso e controproducente a un approccio che permetta all'Unione e ai suoi Stati membri di rafforzare collettivamente e coerentemente il proprio impegno a favore del multilateralismo e della diplomazia</w:t>
            </w:r>
            <w:r w:rsidRPr="00833B04">
              <w:t>;</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54</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Kinga Gál</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B.</w:t>
            </w:r>
            <w:r w:rsidRPr="00833B04">
              <w:tab/>
              <w:t xml:space="preserve">considerando che il contesto geopolitico in cui opera l'UE ha accentuato l'esigenza di un'azione più ambiziosa, credibile e unitaria da parte dell'Unione sulla scena mondiale </w:t>
            </w:r>
            <w:r w:rsidRPr="00833B04">
              <w:rPr>
                <w:b/>
                <w:i/>
              </w:rPr>
              <w:t>e ha messo in evidenza la necessità per gli Stati membri di dimostrare la volontà politica richiesta per trasformare la</w:t>
            </w:r>
            <w:r w:rsidRPr="00833B04">
              <w:t xml:space="preserve"> politica estera </w:t>
            </w:r>
            <w:r w:rsidRPr="00833B04">
              <w:rPr>
                <w:b/>
                <w:i/>
              </w:rPr>
              <w:t>e di sicurezza comune (PESC) in una politica dell'UE a pieno titolo</w:t>
            </w:r>
            <w:r w:rsidRPr="00833B04">
              <w:t>;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c>
          <w:tcPr>
            <w:tcW w:w="4876" w:type="dxa"/>
            <w:tcBorders>
              <w:top w:val="nil"/>
              <w:left w:val="nil"/>
              <w:bottom w:val="nil"/>
              <w:right w:val="nil"/>
            </w:tcBorders>
          </w:tcPr>
          <w:p w:rsidR="008C54FE" w:rsidRPr="00833B04" w:rsidRDefault="00270602">
            <w:pPr>
              <w:pStyle w:val="Normal6a"/>
            </w:pPr>
            <w:r w:rsidRPr="00833B04">
              <w:t>B.</w:t>
            </w:r>
            <w:r w:rsidRPr="00833B04">
              <w:tab/>
              <w:t>considerando che il contesto geopolitico in cui opera l'UE ha accentuato l'esigenza di un'azione più ambiziosa, credibile e unitaria da parte dell'Unione sulla scena mondiale</w:t>
            </w:r>
            <w:r w:rsidRPr="00833B04">
              <w:rPr>
                <w:b/>
                <w:i/>
              </w:rPr>
              <w:t>, tenendo conto nel contempo del fatto che l'unanimità nel processo decisionale relativo alla politica estera e di sicurezza comune (PESC) è sancita dai trattati e funge da elemento essenziale per garantire la sovranità nazionale nel quadro della</w:t>
            </w:r>
            <w:r w:rsidRPr="00833B04">
              <w:t xml:space="preserve"> politica estera </w:t>
            </w:r>
            <w:r w:rsidRPr="00833B04">
              <w:rPr>
                <w:b/>
                <w:i/>
              </w:rPr>
              <w:t>dell'UE;</w:t>
            </w:r>
            <w:r w:rsidRPr="00833B04">
              <w:t xml:space="preserve"> </w:t>
            </w:r>
            <w:r w:rsidRPr="00833B04">
              <w:rPr>
                <w:b/>
                <w:i/>
              </w:rPr>
              <w:t>che mantenere l'unanimità nelle decisioni in materia di politica estera è fondamentale, dal momento che qualsiasi altro approccio potrebbe costringere i paesi ad allinearsi a posizioni che potrebbero non sostenere pienamente e a decisioni influenzate in modo sproporzionato da membri dell'UE più grandi o più potenti</w:t>
            </w:r>
            <w:r w:rsidRPr="00833B04">
              <w:t>;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p>
    <w:p w:rsidR="008C54FE" w:rsidRPr="00833B04" w:rsidRDefault="00270602">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55</w:t>
      </w:r>
      <w:r w:rsidRPr="00833B04">
        <w:rPr>
          <w:rStyle w:val="HideTWBExt"/>
        </w:rPr>
        <w:t>&lt;/NumAm&gt;</w:t>
      </w:r>
    </w:p>
    <w:p w:rsidR="008C54FE" w:rsidRPr="00833B04" w:rsidRDefault="00270602">
      <w:pPr>
        <w:pStyle w:val="NormalBold"/>
      </w:pPr>
      <w:r w:rsidRPr="00833B04">
        <w:rPr>
          <w:rStyle w:val="HideTWBExt"/>
          <w:b w:val="0"/>
        </w:rPr>
        <w:t>&lt;RepeatBlock-By&gt;&lt;Members&gt;</w:t>
      </w:r>
      <w:r w:rsidRPr="00833B04">
        <w:t>Sebastiaan Stöteler</w:t>
      </w:r>
      <w:r w:rsidRPr="00833B04">
        <w:rPr>
          <w:rStyle w:val="HideTWBExt"/>
          <w:b w:val="0"/>
        </w:rPr>
        <w:t>&lt;/Members&gt;</w:t>
      </w:r>
    </w:p>
    <w:p w:rsidR="008C54FE" w:rsidRPr="00833B04" w:rsidRDefault="00270602">
      <w:pPr>
        <w:pStyle w:val="NormalBold"/>
      </w:pPr>
      <w:r w:rsidRPr="00833B04">
        <w:rPr>
          <w:rStyle w:val="HideTWBExt"/>
          <w:b w:val="0"/>
        </w:rPr>
        <w:t>&lt;/RepeatBlock-By&gt;</w:t>
      </w:r>
    </w:p>
    <w:p w:rsidR="008C54FE" w:rsidRPr="00833B04" w:rsidRDefault="00270602">
      <w:pPr>
        <w:pStyle w:val="NormalBold"/>
      </w:pPr>
      <w:r w:rsidRPr="00833B04">
        <w:rPr>
          <w:rStyle w:val="HideTWBExt"/>
        </w:rPr>
        <w:t>&lt;DocAmend&gt;</w:t>
      </w:r>
      <w:r w:rsidRPr="00833B04">
        <w:t>Proposta di risoluzione</w:t>
      </w:r>
      <w:r w:rsidRPr="00833B04">
        <w:rPr>
          <w:rStyle w:val="HideTWBExt"/>
        </w:rPr>
        <w:t>&lt;/DocAmend&gt;</w:t>
      </w:r>
    </w:p>
    <w:p w:rsidR="008C54FE" w:rsidRPr="00833B04" w:rsidRDefault="00270602">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54FE" w:rsidRPr="00833B04">
        <w:trPr>
          <w:trHeight w:hRule="exact" w:val="240"/>
          <w:jc w:val="center"/>
        </w:trPr>
        <w:tc>
          <w:tcPr>
            <w:tcW w:w="9752" w:type="dxa"/>
            <w:gridSpan w:val="2"/>
            <w:tcBorders>
              <w:top w:val="nil"/>
              <w:left w:val="nil"/>
              <w:bottom w:val="nil"/>
              <w:right w:val="nil"/>
            </w:tcBorders>
          </w:tcPr>
          <w:p w:rsidR="008C54FE" w:rsidRPr="00833B04" w:rsidRDefault="008C54FE"/>
        </w:tc>
      </w:tr>
      <w:tr w:rsidR="008C54FE" w:rsidRPr="00833B04">
        <w:trPr>
          <w:trHeight w:val="240"/>
          <w:jc w:val="center"/>
        </w:trPr>
        <w:tc>
          <w:tcPr>
            <w:tcW w:w="4876" w:type="dxa"/>
            <w:tcBorders>
              <w:top w:val="nil"/>
              <w:left w:val="nil"/>
              <w:bottom w:val="nil"/>
              <w:right w:val="nil"/>
            </w:tcBorders>
          </w:tcPr>
          <w:p w:rsidR="008C54FE" w:rsidRPr="00833B04" w:rsidRDefault="00270602">
            <w:pPr>
              <w:pStyle w:val="AmColumnHeading"/>
            </w:pPr>
            <w:r w:rsidRPr="00833B04">
              <w:t>Proposta di risoluzione</w:t>
            </w:r>
          </w:p>
        </w:tc>
        <w:tc>
          <w:tcPr>
            <w:tcW w:w="4876" w:type="dxa"/>
            <w:tcBorders>
              <w:top w:val="nil"/>
              <w:left w:val="nil"/>
              <w:bottom w:val="nil"/>
              <w:right w:val="nil"/>
            </w:tcBorders>
          </w:tcPr>
          <w:p w:rsidR="008C54FE" w:rsidRPr="00833B04" w:rsidRDefault="00270602">
            <w:pPr>
              <w:pStyle w:val="AmColumnHeading"/>
            </w:pPr>
            <w:r w:rsidRPr="00833B04">
              <w:t>Emendamento</w:t>
            </w:r>
          </w:p>
        </w:tc>
      </w:tr>
      <w:tr w:rsidR="008C54FE" w:rsidRPr="00833B04">
        <w:trPr>
          <w:jc w:val="center"/>
        </w:trPr>
        <w:tc>
          <w:tcPr>
            <w:tcW w:w="4876" w:type="dxa"/>
            <w:tcBorders>
              <w:top w:val="nil"/>
              <w:left w:val="nil"/>
              <w:bottom w:val="nil"/>
              <w:right w:val="nil"/>
            </w:tcBorders>
          </w:tcPr>
          <w:p w:rsidR="008C54FE" w:rsidRPr="00833B04" w:rsidRDefault="00270602">
            <w:pPr>
              <w:pStyle w:val="Normal6a"/>
            </w:pPr>
            <w:r w:rsidRPr="00833B04">
              <w:t>B.</w:t>
            </w:r>
            <w:r w:rsidRPr="00833B04">
              <w:tab/>
              <w:t xml:space="preserve">considerando che il contesto geopolitico in cui opera l'UE ha accentuato l'esigenza di un'azione </w:t>
            </w:r>
            <w:r w:rsidRPr="00833B04">
              <w:rPr>
                <w:b/>
                <w:i/>
              </w:rPr>
              <w:t>più ambiziosa,</w:t>
            </w:r>
            <w:r w:rsidRPr="00833B04">
              <w:t xml:space="preserve"> credibile </w:t>
            </w:r>
            <w:r w:rsidRPr="00833B04">
              <w:rPr>
                <w:b/>
                <w:i/>
              </w:rPr>
              <w:t>e unitaria</w:t>
            </w:r>
            <w:r w:rsidRPr="00833B04">
              <w:t xml:space="preserve"> da parte dell'Unione sulla scena mondiale </w:t>
            </w:r>
            <w:r w:rsidRPr="00833B04">
              <w:rPr>
                <w:b/>
                <w:i/>
              </w:rPr>
              <w:t>e ha messo in evidenza la necessità per gli Stati membri di dimostrare la volontà politica richiesta per trasformare la politica estera e di sicurezza comune (PESC) in una politica dell'UE a pieno titolo</w:t>
            </w:r>
            <w:r w:rsidRPr="00833B04">
              <w:t>;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c>
          <w:tcPr>
            <w:tcW w:w="4876" w:type="dxa"/>
            <w:tcBorders>
              <w:top w:val="nil"/>
              <w:left w:val="nil"/>
              <w:bottom w:val="nil"/>
              <w:right w:val="nil"/>
            </w:tcBorders>
          </w:tcPr>
          <w:p w:rsidR="008C54FE" w:rsidRPr="00833B04" w:rsidRDefault="00270602">
            <w:pPr>
              <w:pStyle w:val="Normal6a"/>
            </w:pPr>
            <w:r w:rsidRPr="00833B04">
              <w:t>B.</w:t>
            </w:r>
            <w:r w:rsidRPr="00833B04">
              <w:tab/>
              <w:t>considerando che il contesto geopolitico in cui opera l'UE ha accentuato l'esigenza di un'azione credibile da parte dell'Unione sulla scena mondiale;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r>
    </w:tbl>
    <w:p w:rsidR="008C54FE" w:rsidRPr="00833B04" w:rsidRDefault="00270602">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8C54FE" w:rsidRPr="00833B04" w:rsidRDefault="00270602">
      <w:r w:rsidRPr="00833B04">
        <w:rPr>
          <w:rStyle w:val="HideTWBExt"/>
        </w:rPr>
        <w:t>&lt;/Amend&gt;</w:t>
      </w:r>
      <w:bookmarkStart w:id="0" w:name="_GoBack"/>
      <w:bookmarkEnd w:id="0"/>
      <w:r w:rsidRPr="00833B04">
        <w:rPr>
          <w:rStyle w:val="HideTWBExt"/>
        </w:rPr>
        <w:t>&lt;/RepeatBlock-Amend&gt;</w:t>
      </w:r>
    </w:p>
    <w:p w:rsidR="007D0C0B" w:rsidRPr="00833B04" w:rsidRDefault="007D0C0B" w:rsidP="007D0C0B">
      <w:pPr>
        <w:pStyle w:val="AmNumberTabs"/>
      </w:pPr>
      <w:r w:rsidRPr="00833B04">
        <w:rPr>
          <w:rStyle w:val="HideTWBExt"/>
        </w:rPr>
        <w:t>&lt;RepeatBlock-Amend&gt;&lt;Amend&gt;</w:t>
      </w:r>
      <w:r w:rsidRPr="00833B04">
        <w:t>Emendamento</w:t>
      </w:r>
      <w:r w:rsidRPr="00833B04">
        <w:tab/>
      </w:r>
      <w:r w:rsidRPr="00833B04">
        <w:tab/>
      </w:r>
      <w:r w:rsidRPr="00833B04">
        <w:rPr>
          <w:rStyle w:val="HideTWBExt"/>
        </w:rPr>
        <w:t>&lt;NumAm&gt;</w:t>
      </w:r>
      <w:r w:rsidRPr="00833B04">
        <w:t>56</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Miriam Lexmann</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 che nella sua azione esterna l'UE dovrebbe essere guidata dai valori e dai principi sanciti all'articolo 2, all'articolo 3, paragrafo 5, e all'articolo 21 TUE, che hanno ispirato la creazione, lo sviluppo e l'allargamento dell'UE; che </w:t>
            </w:r>
            <w:r w:rsidRPr="00833B04">
              <w:rPr>
                <w:b/>
                <w:i/>
              </w:rPr>
              <w:t>l'</w:t>
            </w:r>
            <w:r w:rsidRPr="00833B04">
              <w:t>UE</w:t>
            </w:r>
            <w:r w:rsidRPr="00833B04">
              <w:rPr>
                <w:b/>
                <w:i/>
              </w:rPr>
              <w:t xml:space="preserve"> dovrebbe pertanto</w:t>
            </w:r>
            <w:r w:rsidRPr="00833B04">
              <w:t xml:space="preserve"> difendere la libertà e le norme democratiche a livello mondiale, nonché l'universalità dei diritti umani;</w:t>
            </w:r>
          </w:p>
        </w:tc>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 </w:t>
            </w:r>
            <w:r w:rsidRPr="00833B04">
              <w:rPr>
                <w:b/>
                <w:i/>
              </w:rPr>
              <w:t>attraverso la quale l'Unione possa affrontare le principali sfide geopolitiche;</w:t>
            </w:r>
            <w:r w:rsidRPr="00833B04">
              <w:t xml:space="preserve"> </w:t>
            </w:r>
            <w:r w:rsidRPr="00833B04">
              <w:rPr>
                <w:b/>
                <w:i/>
              </w:rPr>
              <w:t>che vi sono deplorevoli discrepanze tra le parole e le azioni dell'UE sulla scena mondiale</w:t>
            </w:r>
            <w:r w:rsidRPr="00833B04">
              <w:t xml:space="preserve">; che nella sua azione esterna l'UE dovrebbe essere guidata dai valori e dai principi sanciti all'articolo 2, all'articolo 3, paragrafo 5, e all'articolo 21 TUE, che hanno ispirato la creazione, lo sviluppo e l'allargamento dell'UE; che </w:t>
            </w:r>
            <w:r w:rsidRPr="00833B04">
              <w:rPr>
                <w:b/>
                <w:i/>
              </w:rPr>
              <w:t>è nell'interesse dell'</w:t>
            </w:r>
            <w:r w:rsidRPr="00833B04">
              <w:t>UE difendere la libertà e le norme democratiche a livello mondiale, nonché l'universalità dei diritti umani;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57</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Adam Bielan</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B.</w:t>
            </w:r>
            <w:r w:rsidRPr="00833B04">
              <w:tab/>
              <w:t>considerando che il contesto geopolitico in cui opera l'UE ha accentuato l'esigenza di 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c>
          <w:tcPr>
            <w:tcW w:w="4876" w:type="dxa"/>
            <w:tcBorders>
              <w:top w:val="nil"/>
              <w:left w:val="nil"/>
              <w:bottom w:val="nil"/>
              <w:right w:val="nil"/>
            </w:tcBorders>
          </w:tcPr>
          <w:p w:rsidR="007D0C0B" w:rsidRPr="00833B04" w:rsidRDefault="007D0C0B" w:rsidP="00C752F2">
            <w:pPr>
              <w:pStyle w:val="Normal6a"/>
            </w:pPr>
            <w:r w:rsidRPr="00833B04">
              <w:t>B.</w:t>
            </w:r>
            <w:r w:rsidRPr="00833B04">
              <w:tab/>
              <w:t>considerando che il contesto geopolitico in cui opera l'UE ha accentuato l'esigenza di 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w:t>
            </w:r>
            <w:r w:rsidRPr="00833B04">
              <w:rPr>
                <w:b/>
                <w:i/>
              </w:rPr>
              <w:t>, sostenuta dagli Stati membri come principali attori di politica estera</w:t>
            </w:r>
            <w:r w:rsidRPr="00833B04">
              <w:t>;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58</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Sven Mikser, Lucia Annunziata, Nicola Zingaretti, Thijs Reuten, Alessandra Moretti, Giorgio Gori, Tobias Cremer, Yannis Maniatis, Marco Tarquinio</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più ambiziosa, credibile e unitaria </w:t>
            </w:r>
            <w:r w:rsidRPr="00833B04">
              <w:rPr>
                <w:b/>
                <w:i/>
              </w:rPr>
              <w:t>da parte dell'Unione</w:t>
            </w:r>
            <w:r w:rsidRPr="00833B04">
              <w:t xml:space="preserve"> sulla scena mondiale e ha messo in evidenza la necessità per gli Stati membri di dimostrare la volontà politica richiesta per trasformare la politica estera e di sicurezza comune (PESC) in una politica dell'UE a pieno titolo;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w:t>
            </w:r>
            <w:r w:rsidRPr="00833B04">
              <w:rPr>
                <w:b/>
                <w:i/>
              </w:rPr>
              <w:t>dell'UE</w:t>
            </w:r>
            <w:r w:rsidRPr="00833B04">
              <w:t xml:space="preserve"> più ambiziosa, credibile</w:t>
            </w:r>
            <w:r w:rsidRPr="00833B04">
              <w:rPr>
                <w:b/>
                <w:i/>
              </w:rPr>
              <w:t>, decisiva</w:t>
            </w:r>
            <w:r w:rsidRPr="00833B04">
              <w:t xml:space="preserve"> e unitaria </w:t>
            </w:r>
            <w:r w:rsidRPr="00833B04">
              <w:rPr>
                <w:b/>
                <w:i/>
              </w:rPr>
              <w:t>e di una politica estera europea a pieno titolo</w:t>
            </w:r>
            <w:r w:rsidRPr="00833B04">
              <w:t> sulla scena mondiale e ha messo in evidenza la necessità per gli Stati membri di dimostrare la volontà politica richiesta per trasformare la politica estera e di sicurezza comune (PESC) in una politica dell'UE a pieno titolo;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59</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Mariusz Kamiński, Adam Bielan, Michał Dworczyk</w:t>
      </w:r>
      <w:r w:rsidRPr="00833B04">
        <w:rPr>
          <w:rStyle w:val="HideTWBExt"/>
          <w:b w:val="0"/>
        </w:rPr>
        <w:t>&lt;/Members&gt;</w:t>
      </w:r>
    </w:p>
    <w:p w:rsidR="007D0C0B" w:rsidRPr="00833B04" w:rsidRDefault="007D0C0B" w:rsidP="007D0C0B">
      <w:r w:rsidRPr="00833B04">
        <w:rPr>
          <w:rStyle w:val="HideTWBExt"/>
        </w:rPr>
        <w:t>&lt;AuNomDe&gt;</w:t>
      </w:r>
      <w:r w:rsidRPr="00833B04">
        <w:rPr>
          <w:rStyle w:val="HideTWBInt"/>
        </w:rPr>
        <w:t>{ECR}</w:t>
      </w:r>
      <w:r w:rsidRPr="00833B04">
        <w:t>a nome del gruppo ECR</w:t>
      </w:r>
      <w:r w:rsidRPr="00833B04">
        <w:rPr>
          <w:rStyle w:val="HideTWBExt"/>
        </w:rPr>
        <w:t>&lt;/AuNomDe&gt;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più ambiziosa, credibile e unitaria da parte dell'Unione sulla scena mondiale e ha messo in evidenza la necessità per gli Stati membri di dimostrare la volontà politica richiesta per </w:t>
            </w:r>
            <w:r w:rsidRPr="00833B04">
              <w:rPr>
                <w:b/>
                <w:i/>
              </w:rPr>
              <w:t>trasformare la politica estera e di sicurezza comune (PESC) in una politica dell'UE a pieno titolo</w:t>
            </w:r>
            <w:r w:rsidRPr="00833B04">
              <w:t>;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più ambiziosa, credibile e unitaria da parte dell'Unione sulla scena mondiale e ha messo in evidenza la necessità per gli Stati membri di dimostrare la volontà politica richiesta per </w:t>
            </w:r>
            <w:r w:rsidRPr="00833B04">
              <w:rPr>
                <w:b/>
                <w:i/>
              </w:rPr>
              <w:t>ricostruire le loro capacità di difesa, rafforzando al tempo stesso i legami transatlantici dell'UE e i partenariati con paesi che condividono gli stessi principi</w:t>
            </w:r>
            <w:r w:rsidRPr="00833B04">
              <w:t>;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60</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Hannah Neumann</w:t>
      </w:r>
      <w:r w:rsidRPr="00833B04">
        <w:rPr>
          <w:rStyle w:val="HideTWBExt"/>
          <w:b w:val="0"/>
        </w:rPr>
        <w:t>&lt;/Members&gt;</w:t>
      </w:r>
    </w:p>
    <w:p w:rsidR="007D0C0B" w:rsidRPr="00833B04" w:rsidRDefault="007D0C0B" w:rsidP="007D0C0B">
      <w:r w:rsidRPr="00833B04">
        <w:rPr>
          <w:rStyle w:val="HideTWBExt"/>
        </w:rPr>
        <w:t>&lt;AuNomDe&gt;</w:t>
      </w:r>
      <w:r w:rsidRPr="00833B04">
        <w:rPr>
          <w:rStyle w:val="HideTWBInt"/>
        </w:rPr>
        <w:t>{Greens/EFA}</w:t>
      </w:r>
      <w:r w:rsidRPr="00833B04">
        <w:t>a nome del gruppo Verts/ALE</w:t>
      </w:r>
      <w:r w:rsidRPr="00833B04">
        <w:rPr>
          <w:rStyle w:val="HideTWBExt"/>
        </w:rPr>
        <w:t>&lt;/AuNomDe&gt;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B.</w:t>
            </w:r>
            <w:r w:rsidRPr="00833B04">
              <w:tab/>
              <w:t>considerando che il contesto geopolitico in cui opera l'UE ha accentuato l'esigenza di 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 che nella sua azione esterna l'UE dovrebbe essere guidata dai valori e dai principi sanciti all'articolo 2, all'articolo 3, paragrafo 5, e all'articolo 21 TUE, che hanno ispirato la creazione, lo sviluppo e l'allargamento dell'UE; che l'</w:t>
            </w:r>
            <w:r w:rsidRPr="00833B04">
              <w:rPr>
                <w:b/>
                <w:i/>
              </w:rPr>
              <w:t>UE</w:t>
            </w:r>
            <w:r w:rsidRPr="00833B04">
              <w:t xml:space="preserve"> dovrebbe pertanto difendere la libertà e </w:t>
            </w:r>
            <w:r w:rsidRPr="00833B04">
              <w:rPr>
                <w:b/>
                <w:i/>
              </w:rPr>
              <w:t>le norme democratiche</w:t>
            </w:r>
            <w:r w:rsidRPr="00833B04">
              <w:t xml:space="preserve"> </w:t>
            </w:r>
            <w:r w:rsidRPr="00833B04">
              <w:rPr>
                <w:b/>
                <w:i/>
              </w:rPr>
              <w:t>a livello mondiale, nonché l'universalità dei diritti umani</w:t>
            </w:r>
            <w:r w:rsidRPr="00833B04">
              <w:t>;</w:t>
            </w:r>
          </w:p>
        </w:tc>
        <w:tc>
          <w:tcPr>
            <w:tcW w:w="4876" w:type="dxa"/>
            <w:tcBorders>
              <w:top w:val="nil"/>
              <w:left w:val="nil"/>
              <w:bottom w:val="nil"/>
              <w:right w:val="nil"/>
            </w:tcBorders>
          </w:tcPr>
          <w:p w:rsidR="007D0C0B" w:rsidRPr="00833B04" w:rsidRDefault="007D0C0B" w:rsidP="00C752F2">
            <w:pPr>
              <w:pStyle w:val="Normal6a"/>
            </w:pPr>
            <w:r w:rsidRPr="00833B04">
              <w:t>B.</w:t>
            </w:r>
            <w:r w:rsidRPr="00833B04">
              <w:tab/>
              <w:t>considerando che il contesto geopolitico in cui opera l'UE ha accentuato l'esigenza di 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 che nella sua azione esterna l'UE dovrebbe essere guidata dai valori e dai principi sanciti all'articolo 2, all'articolo 3, paragrafo 5, e all'articolo 21 TUE, che hanno ispirato la creazione, lo sviluppo e l'allargamento dell'UE; che l'</w:t>
            </w:r>
            <w:r w:rsidRPr="00833B04">
              <w:rPr>
                <w:b/>
                <w:i/>
              </w:rPr>
              <w:t>Unione europea</w:t>
            </w:r>
            <w:r w:rsidRPr="00833B04">
              <w:t xml:space="preserve"> dovrebbe pertanto difendere </w:t>
            </w:r>
            <w:r w:rsidRPr="00833B04">
              <w:rPr>
                <w:b/>
                <w:i/>
              </w:rPr>
              <w:t>i valori, le norme e i principi universali come</w:t>
            </w:r>
            <w:r w:rsidRPr="00833B04">
              <w:t xml:space="preserve"> la libertà e </w:t>
            </w:r>
            <w:r w:rsidRPr="00833B04">
              <w:rPr>
                <w:b/>
                <w:i/>
              </w:rPr>
              <w:t>gli standard democratici</w:t>
            </w:r>
            <w:r w:rsidRPr="00833B04">
              <w:t xml:space="preserve">, nonché </w:t>
            </w:r>
            <w:r w:rsidRPr="00833B04">
              <w:rPr>
                <w:b/>
                <w:i/>
              </w:rPr>
              <w:t>i</w:t>
            </w:r>
            <w:r w:rsidRPr="00833B04">
              <w:t xml:space="preserve"> diritti umani </w:t>
            </w:r>
            <w:r w:rsidRPr="00833B04">
              <w:rPr>
                <w:b/>
                <w:i/>
              </w:rPr>
              <w:t>e lo Stato di diritto</w:t>
            </w:r>
            <w:r w:rsidRPr="00833B04">
              <w:t>;</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61</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Hermann Tertsch, Jorge Martín Frías</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più ambiziosa, credibile e </w:t>
            </w:r>
            <w:r w:rsidRPr="00833B04">
              <w:rPr>
                <w:b/>
                <w:i/>
              </w:rPr>
              <w:t>unitaria</w:t>
            </w:r>
            <w:r w:rsidRPr="00833B04">
              <w:t xml:space="preserve"> da parte dell'Unione sulla scena mondiale e ha messo in evidenza la necessità per gli Stati membri di </w:t>
            </w:r>
            <w:r w:rsidRPr="00833B04">
              <w:rPr>
                <w:b/>
                <w:i/>
              </w:rPr>
              <w:t>dimostrare la volontà politica richiesta per trasformare</w:t>
            </w:r>
            <w:r w:rsidRPr="00833B04">
              <w:t xml:space="preserve"> la politica estera e di sicurezza comune (PESC) </w:t>
            </w:r>
            <w:r w:rsidRPr="00833B04">
              <w:rPr>
                <w:b/>
                <w:i/>
              </w:rPr>
              <w:t>in una politica dell'UE a pieno titolo</w:t>
            </w:r>
            <w:r w:rsidRPr="00833B04">
              <w:t>;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più ambiziosa, credibile e </w:t>
            </w:r>
            <w:r w:rsidRPr="00833B04">
              <w:rPr>
                <w:b/>
                <w:i/>
              </w:rPr>
              <w:t>coordinata</w:t>
            </w:r>
            <w:r w:rsidRPr="00833B04">
              <w:t xml:space="preserve"> da parte dell'Unione sulla scena mondiale e ha messo in evidenza la necessità per gli Stati membri di </w:t>
            </w:r>
            <w:r w:rsidRPr="00833B04">
              <w:rPr>
                <w:b/>
                <w:i/>
              </w:rPr>
              <w:t>aggiornare</w:t>
            </w:r>
            <w:r w:rsidRPr="00833B04">
              <w:t xml:space="preserve"> la politica estera e di sicurezza comune (PESC);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a livello mondiale, nonché l'universalità dei diritti umani;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62</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Hans Neuhoff</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w:t>
            </w:r>
            <w:r w:rsidRPr="00833B04">
              <w:rPr>
                <w:b/>
                <w:i/>
              </w:rPr>
              <w:t>a livello mondiale</w:t>
            </w:r>
            <w:r w:rsidRPr="00833B04">
              <w:t>, nonché l'universalità dei diritti umani;</w:t>
            </w:r>
          </w:p>
        </w:tc>
        <w:tc>
          <w:tcPr>
            <w:tcW w:w="4876" w:type="dxa"/>
            <w:tcBorders>
              <w:top w:val="nil"/>
              <w:left w:val="nil"/>
              <w:bottom w:val="nil"/>
              <w:right w:val="nil"/>
            </w:tcBorders>
          </w:tcPr>
          <w:p w:rsidR="007D0C0B" w:rsidRPr="00833B04" w:rsidRDefault="007D0C0B" w:rsidP="00C752F2">
            <w:pPr>
              <w:pStyle w:val="Normal6a"/>
            </w:pPr>
            <w:r w:rsidRPr="00833B04">
              <w:t>B.</w:t>
            </w:r>
            <w:r w:rsidRPr="00833B04">
              <w:tab/>
              <w:t xml:space="preserve">considerando che il contesto geopolitico in cui opera l'UE ha accentuato l'esigenza di un'azione più ambiziosa, credibile e unitaria da parte dell'Unione sulla scena mondiale e ha messo in evidenza la necessità per gli Stati membri di dimostrare la volontà politica richiesta per trasformare la politica estera e di sicurezza comune (PESC) in una politica dell'UE a pieno titolo; che nella sua azione esterna l'UE dovrebbe essere guidata dai valori e dai principi sanciti all'articolo 2, all'articolo 3, paragrafo 5, e all'articolo 21 TUE, che hanno ispirato la creazione, lo sviluppo e l'allargamento dell'UE; che l'UE dovrebbe pertanto difendere la libertà e le norme democratiche </w:t>
            </w:r>
            <w:r w:rsidRPr="00833B04">
              <w:rPr>
                <w:b/>
                <w:i/>
              </w:rPr>
              <w:t>sul proprio territorio</w:t>
            </w:r>
            <w:r w:rsidRPr="00833B04">
              <w:t>, nonché l'universalità dei diritti umani;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{DE}</w:t>
      </w:r>
      <w:r w:rsidRPr="00833B04">
        <w:t>de</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63</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Carlo Fidanza, Alberico Gambino, Adam Bielan</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B bis.</w:t>
            </w:r>
            <w:r w:rsidRPr="00833B04">
              <w:tab/>
            </w:r>
            <w:r w:rsidRPr="00833B04">
              <w:rPr>
                <w:b/>
                <w:i/>
              </w:rPr>
              <w:t>considerando che i partenariati e gli accordi strategici tra l'UE e i paesi di origine e di transito, come quelli tra l'UE e la Tunisia, l'Egitto e la Mauritania, si stanno rivelando un modello di successo per la prevenzione della migrazione irregolare e la lotta ai trafficanti di migranti;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64</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Adam Bielan</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B bis.</w:t>
            </w:r>
            <w:r w:rsidRPr="00833B04">
              <w:tab/>
            </w:r>
            <w:r w:rsidRPr="00833B04">
              <w:rPr>
                <w:b/>
                <w:i/>
              </w:rPr>
              <w:t>considerando che la guerra di aggressione sferrata dalla Russia ha riaffermato il ruolo della NATO quale fondamento della sicurezza europea e ha avvalorato la leadership degli Stati Uniti e il ruolo del Regno Unito nel contesto della sicurezza europea e la necessità di un forte legame transatlantico;</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65</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Nathalie Loiseau</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B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B bis.</w:t>
            </w:r>
            <w:r w:rsidRPr="00833B04">
              <w:tab/>
            </w:r>
            <w:r w:rsidRPr="00833B04">
              <w:rPr>
                <w:b/>
                <w:i/>
              </w:rPr>
              <w:t>considerando che i risultati delle elezioni presidenziali e congressuali negli Stati Uniti potrebbero indicare la volontà di un minore coinvolgimento nelle questioni globali, in particolare in Europa e con l'Europa;</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66</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Hannah Neumann</w:t>
      </w:r>
      <w:r w:rsidRPr="00833B04">
        <w:rPr>
          <w:rStyle w:val="HideTWBExt"/>
          <w:b w:val="0"/>
        </w:rPr>
        <w:t>&lt;/Members&gt;</w:t>
      </w:r>
    </w:p>
    <w:p w:rsidR="007D0C0B" w:rsidRPr="00833B04" w:rsidRDefault="007D0C0B" w:rsidP="007D0C0B">
      <w:r w:rsidRPr="00833B04">
        <w:rPr>
          <w:rStyle w:val="HideTWBExt"/>
        </w:rPr>
        <w:t>&lt;AuNomDe&gt;</w:t>
      </w:r>
      <w:r w:rsidRPr="00833B04">
        <w:rPr>
          <w:rStyle w:val="HideTWBInt"/>
        </w:rPr>
        <w:t>{Greens/EFA}</w:t>
      </w:r>
      <w:r w:rsidRPr="00833B04">
        <w:t>a nome del gruppo Verts/ALE</w:t>
      </w:r>
      <w:r w:rsidRPr="00833B04">
        <w:rPr>
          <w:rStyle w:val="HideTWBExt"/>
        </w:rPr>
        <w:t>&lt;/AuNomDe&gt;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C</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C.</w:t>
            </w:r>
            <w:r w:rsidRPr="00833B04">
              <w:tab/>
              <w:t>considerando che la presente relazione esamina in primo luogo la relazione annuale sulla PESC del VP/AR e la integra successivamente con le posizioni del Parlamento sugli obiettivi della PESC nel 2025; che, in tal modo, la relazione si concentra in particolare 1) sulle conseguenze globali della guerra di aggressione della Russia contro l'Ucraina, 2) sul conflitto e la pace in Medio Oriente, 3) sulla cooperazione con partner che condividono gli stessi principi e 4) sulla visibilità generale dell'azione dell'UE all'estero; che la posizione lungimirante del Parlamento in materia di PESC è, in ultima analisi, messa in luce dalle principali richieste riguardanti il prossimo quadro finanziario pluriennale (QFP) e il relativo controllo parlamentare;</w:t>
            </w:r>
          </w:p>
        </w:tc>
        <w:tc>
          <w:tcPr>
            <w:tcW w:w="4876" w:type="dxa"/>
            <w:tcBorders>
              <w:top w:val="nil"/>
              <w:left w:val="nil"/>
              <w:bottom w:val="nil"/>
              <w:right w:val="nil"/>
            </w:tcBorders>
          </w:tcPr>
          <w:p w:rsidR="007D0C0B" w:rsidRPr="00833B04" w:rsidRDefault="007D0C0B" w:rsidP="00C752F2">
            <w:pPr>
              <w:pStyle w:val="Normal6a"/>
            </w:pPr>
            <w:r w:rsidRPr="00833B04">
              <w:t>C.</w:t>
            </w:r>
            <w:r w:rsidRPr="00833B04">
              <w:tab/>
              <w:t xml:space="preserve">considerando che la presente relazione esamina in primo luogo la relazione annuale sulla PESC del VP/AR e la integra successivamente con le posizioni del Parlamento sugli obiettivi della PESC nel 2025; che, in tal modo, la relazione si concentra in particolare 1) sulle conseguenze globali della guerra di aggressione della Russia contro l'Ucraina, 2) sul conflitto e la pace in Medio Oriente, 3) sulla cooperazione con partner che condividono gli stessi principi e 4) sulla visibilità generale dell'azione dell'UE all'estero; che la posizione lungimirante del Parlamento in materia di PESC è, in ultima analisi, messa in luce dalle principali richieste riguardanti il prossimo quadro finanziario pluriennale (QFP) e il relativo controllo parlamentare; </w:t>
            </w:r>
            <w:r w:rsidRPr="00833B04">
              <w:rPr>
                <w:b/>
                <w:i/>
              </w:rPr>
              <w:t>che è necessario difendere e rafforzare l'ordine internazionale basato sulle regole, nonché le norme, i valori e i principi universali della Carta delle Nazioni Unite, quali i diritti umani e la giustizia internazionale, il multilateralismo e l'Atto finale di Helsinki, in particolare per quanto riguarda la non violazione delle frontiere internazionali;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67</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Geadis Geadi, Emmanouil Fragkos, Afroditi Latinopoulou, Fernand Kartheiser, Charlie Weimers, Nikolaos Anadiotis</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C</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C.</w:t>
            </w:r>
            <w:r w:rsidRPr="00833B04">
              <w:tab/>
              <w:t>considerando che la presente relazione esamina in primo luogo la relazione annuale sulla PESC del VP/AR e la integra successivamente con le posizioni del Parlamento sugli obiettivi della PESC nel 2025; che, in tal modo, la relazione si concentra in particolare 1) sulle conseguenze globali della guerra di aggressione della Russia contro l'Ucraina, 2) sul conflitto e la pace in Medio Oriente, 3) sulla cooperazione con partner che condividono gli stessi principi e</w:t>
            </w:r>
            <w:r w:rsidRPr="00833B04">
              <w:rPr>
                <w:b/>
                <w:i/>
              </w:rPr>
              <w:t xml:space="preserve"> 4)</w:t>
            </w:r>
            <w:r w:rsidRPr="00833B04">
              <w:t xml:space="preserve"> sulla visibilità generale dell'azione dell'UE all'estero; che la posizione lungimirante del Parlamento in materia di PESC è, in ultima analisi, messa in luce dalle principali richieste riguardanti il prossimo quadro finanziario pluriennale (QFP) e il relativo controllo parlamentare;</w:t>
            </w:r>
          </w:p>
        </w:tc>
        <w:tc>
          <w:tcPr>
            <w:tcW w:w="4876" w:type="dxa"/>
            <w:tcBorders>
              <w:top w:val="nil"/>
              <w:left w:val="nil"/>
              <w:bottom w:val="nil"/>
              <w:right w:val="nil"/>
            </w:tcBorders>
          </w:tcPr>
          <w:p w:rsidR="007D0C0B" w:rsidRPr="00833B04" w:rsidRDefault="007D0C0B" w:rsidP="00C752F2">
            <w:pPr>
              <w:pStyle w:val="Normal6a"/>
            </w:pPr>
            <w:r w:rsidRPr="00833B04">
              <w:t>C.</w:t>
            </w:r>
            <w:r w:rsidRPr="00833B04">
              <w:tab/>
              <w:t xml:space="preserve">considerando che la presente relazione esamina in primo luogo la relazione annuale sulla PESC del VP/AR e la integra successivamente con le posizioni del Parlamento sugli obiettivi della PESC nel 2025; che, in tal modo, la relazione si concentra in particolare 1) sulle conseguenze globali della guerra di aggressione della Russia contro l'Ucraina, 2) sul conflitto e la pace in Medio Oriente, 3) </w:t>
            </w:r>
            <w:r w:rsidRPr="00833B04">
              <w:rPr>
                <w:b/>
                <w:i/>
              </w:rPr>
              <w:t>sull'atteggiamento revisionista della Turchia nel Mediterraneo orientale e il suo mancato rispetto per la sovranità statale della Grecia e di Cipro, 4)</w:t>
            </w:r>
            <w:r w:rsidRPr="00833B04">
              <w:t xml:space="preserve"> sulla cooperazione con partner che condividono gli stessi principi e</w:t>
            </w:r>
            <w:r w:rsidRPr="00833B04">
              <w:rPr>
                <w:b/>
                <w:i/>
              </w:rPr>
              <w:t xml:space="preserve"> 5)</w:t>
            </w:r>
            <w:r w:rsidRPr="00833B04">
              <w:t xml:space="preserve"> sulla visibilità generale dell'azione dell'UE all'estero; che la posizione lungimirante del Parlamento in materia di PESC è, in ultima analisi, messa in luce dalle principali richieste riguardanti il prossimo quadro finanziario pluriennale (QFP) e il relativo controllo parlamentare;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{EL}</w:t>
      </w:r>
      <w:r w:rsidRPr="00833B04">
        <w:t>el</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68</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Michael von der Schulenburg</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C</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C.</w:t>
            </w:r>
            <w:r w:rsidRPr="00833B04">
              <w:tab/>
              <w:t xml:space="preserve">considerando che la presente relazione esamina in primo luogo la relazione annuale sulla PESC del VP/AR e la integra successivamente con le posizioni del Parlamento sugli obiettivi della PESC nel 2025; che, in tal modo, la relazione si concentra </w:t>
            </w:r>
            <w:r w:rsidRPr="00833B04">
              <w:rPr>
                <w:b/>
                <w:i/>
              </w:rPr>
              <w:t>in particolare 1) sulle conseguenze globali della guerra di aggressione della Russia contro l'Ucraina</w:t>
            </w:r>
            <w:r w:rsidRPr="00833B04">
              <w:t xml:space="preserve">, 2) sul </w:t>
            </w:r>
            <w:r w:rsidRPr="00833B04">
              <w:rPr>
                <w:b/>
                <w:i/>
              </w:rPr>
              <w:t>conflitto e la pace</w:t>
            </w:r>
            <w:r w:rsidRPr="00833B04">
              <w:t xml:space="preserve"> in Medio Oriente, 3) sulla cooperazione </w:t>
            </w:r>
            <w:r w:rsidRPr="00833B04">
              <w:rPr>
                <w:b/>
                <w:i/>
              </w:rPr>
              <w:t>con partner che condividono gli stessi principi e 4) sulla visibilità generale dell'azione dell'UE all'estero</w:t>
            </w:r>
            <w:r w:rsidRPr="00833B04">
              <w:t>; che la posizione lungimirante del Parlamento in materia di PESC è</w:t>
            </w:r>
            <w:r w:rsidRPr="00833B04">
              <w:rPr>
                <w:b/>
                <w:i/>
              </w:rPr>
              <w:t>, in ultima analisi,</w:t>
            </w:r>
            <w:r w:rsidRPr="00833B04">
              <w:t xml:space="preserve"> messa in luce dalle </w:t>
            </w:r>
            <w:r w:rsidRPr="00833B04">
              <w:rPr>
                <w:b/>
                <w:i/>
              </w:rPr>
              <w:t>principali</w:t>
            </w:r>
            <w:r w:rsidRPr="00833B04">
              <w:t xml:space="preserve"> richieste riguardanti il prossimo quadro finanziario pluriennale (QFP) e il relativo controllo parlamentare;</w:t>
            </w:r>
          </w:p>
        </w:tc>
        <w:tc>
          <w:tcPr>
            <w:tcW w:w="4876" w:type="dxa"/>
            <w:tcBorders>
              <w:top w:val="nil"/>
              <w:left w:val="nil"/>
              <w:bottom w:val="nil"/>
              <w:right w:val="nil"/>
            </w:tcBorders>
          </w:tcPr>
          <w:p w:rsidR="007D0C0B" w:rsidRPr="00833B04" w:rsidRDefault="007D0C0B" w:rsidP="00C752F2">
            <w:pPr>
              <w:pStyle w:val="Normal6a"/>
            </w:pPr>
            <w:r w:rsidRPr="00833B04">
              <w:t>C.</w:t>
            </w:r>
            <w:r w:rsidRPr="00833B04">
              <w:tab/>
              <w:t>considerando che la presente relazione esamina in primo luogo la relazione annuale sulla PESC del VP/AR e la integra successivamente con le posizioni del Parlamento sugli obiettivi della PESC nel 2025; che, in tal modo, la relazione si concentra</w:t>
            </w:r>
            <w:r w:rsidRPr="00833B04">
              <w:rPr>
                <w:b/>
                <w:i/>
              </w:rPr>
              <w:t xml:space="preserve"> 1) sul lavoro per una pace giusta e duratura in Ucraina</w:t>
            </w:r>
            <w:r w:rsidRPr="00833B04">
              <w:t xml:space="preserve">, 2) sul </w:t>
            </w:r>
            <w:r w:rsidRPr="00833B04">
              <w:rPr>
                <w:b/>
                <w:i/>
              </w:rPr>
              <w:t>lavoro per una pace giusta e duratura</w:t>
            </w:r>
            <w:r w:rsidRPr="00833B04">
              <w:t xml:space="preserve"> in Medio Oriente, 3) sulla cooperazione </w:t>
            </w:r>
            <w:r w:rsidRPr="00833B04">
              <w:rPr>
                <w:b/>
                <w:i/>
              </w:rPr>
              <w:t>internazionale</w:t>
            </w:r>
            <w:r w:rsidRPr="00833B04">
              <w:t>; che la posizione lungimirante del Parlamento in materia di PESC è messa in luce dalle richieste riguardanti il prossimo quadro finanziario pluriennale (QFP) e il relativo controllo parlamentare;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69</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Željana Zovko</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C</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C.</w:t>
            </w:r>
            <w:r w:rsidRPr="00833B04">
              <w:tab/>
              <w:t xml:space="preserve">considerando che la presente relazione esamina in primo luogo la relazione annuale sulla PESC del VP/AR e la integra successivamente con le posizioni del Parlamento sugli obiettivi della PESC nel 2025; che, in tal modo, la relazione si concentra in particolare 1) sulle conseguenze globali della guerra di aggressione della Russia contro l'Ucraina, 2) sul conflitto e la pace in Medio Oriente, 3) sulla cooperazione con partner che condividono gli stessi principi e 4) sulla visibilità </w:t>
            </w:r>
            <w:r w:rsidRPr="00833B04">
              <w:rPr>
                <w:b/>
                <w:i/>
              </w:rPr>
              <w:t>generale</w:t>
            </w:r>
            <w:r w:rsidRPr="00833B04">
              <w:t xml:space="preserve"> dell'azione dell'UE all'estero; che la posizione lungimirante del Parlamento in materia di PESC è, in ultima analisi, messa in luce dalle principali richieste riguardanti il prossimo quadro finanziario pluriennale (QFP) e il relativo controllo parlamentare;</w:t>
            </w:r>
          </w:p>
        </w:tc>
        <w:tc>
          <w:tcPr>
            <w:tcW w:w="4876" w:type="dxa"/>
            <w:tcBorders>
              <w:top w:val="nil"/>
              <w:left w:val="nil"/>
              <w:bottom w:val="nil"/>
              <w:right w:val="nil"/>
            </w:tcBorders>
          </w:tcPr>
          <w:p w:rsidR="007D0C0B" w:rsidRPr="00833B04" w:rsidRDefault="007D0C0B" w:rsidP="00C752F2">
            <w:pPr>
              <w:pStyle w:val="Normal6a"/>
            </w:pPr>
            <w:r w:rsidRPr="00833B04">
              <w:t>C.</w:t>
            </w:r>
            <w:r w:rsidRPr="00833B04">
              <w:tab/>
              <w:t xml:space="preserve">considerando che la presente relazione esamina in primo luogo la relazione annuale sulla PESC del VP/AR e la integra successivamente con le posizioni del Parlamento sugli obiettivi della PESC nel 2025; che, in tal modo, la relazione si concentra in particolare 1) sulle conseguenze globali della guerra di aggressione della Russia contro l'Ucraina, 2) sul conflitto e la pace in Medio Oriente, 3) sulla cooperazione con partner che condividono gli stessi principi e 4) sulla visibilità </w:t>
            </w:r>
            <w:r w:rsidRPr="00833B04">
              <w:rPr>
                <w:b/>
                <w:i/>
              </w:rPr>
              <w:t>e influenza generali</w:t>
            </w:r>
            <w:r w:rsidRPr="00833B04">
              <w:t xml:space="preserve"> dell'azione dell'UE all'estero; che la posizione lungimirante del Parlamento in materia di PESC è, in ultima analisi, messa in luce dalle principali richieste riguardanti il prossimo quadro finanziario pluriennale (QFP) e il relativo controllo parlamentare;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70</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Hans Neuhoff</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C</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C.</w:t>
            </w:r>
            <w:r w:rsidRPr="00833B04">
              <w:tab/>
              <w:t xml:space="preserve">considerando che la presente relazione esamina in primo luogo la relazione annuale sulla PESC del VP/AR e la integra successivamente con le posizioni del Parlamento sugli obiettivi della PESC nel 2025; che, in tal modo, la relazione si concentra in particolare 1) sulle conseguenze globali </w:t>
            </w:r>
            <w:r w:rsidRPr="00833B04">
              <w:rPr>
                <w:b/>
                <w:i/>
              </w:rPr>
              <w:t>della guerra di aggressione della Russia contro l'</w:t>
            </w:r>
            <w:r w:rsidRPr="00833B04">
              <w:t>Ucraina, 2) sul conflitto e la pace in Medio Oriente, 3) sulla cooperazione con partner che condividono gli stessi principi e 4) sulla visibilità generale dell'azione dell'UE all'estero; che la posizione lungimirante del Parlamento in materia di PESC è, in ultima analisi, messa in luce dalle principali richieste riguardanti il prossimo quadro finanziario pluriennale (QFP) e il relativo controllo parlamentare;</w:t>
            </w:r>
          </w:p>
        </w:tc>
        <w:tc>
          <w:tcPr>
            <w:tcW w:w="4876" w:type="dxa"/>
            <w:tcBorders>
              <w:top w:val="nil"/>
              <w:left w:val="nil"/>
              <w:bottom w:val="nil"/>
              <w:right w:val="nil"/>
            </w:tcBorders>
          </w:tcPr>
          <w:p w:rsidR="007D0C0B" w:rsidRPr="00833B04" w:rsidRDefault="007D0C0B" w:rsidP="00C752F2">
            <w:pPr>
              <w:pStyle w:val="Normal6a"/>
            </w:pPr>
            <w:r w:rsidRPr="00833B04">
              <w:t>C.</w:t>
            </w:r>
            <w:r w:rsidRPr="00833B04">
              <w:tab/>
              <w:t xml:space="preserve">considerando che la presente relazione esamina in primo luogo la relazione annuale sulla PESC del VP/AR e la integra successivamente con le posizioni del Parlamento sugli obiettivi della PESC nel 2025; che, in tal modo, la relazione si concentra in particolare 1) sulle conseguenze globali </w:t>
            </w:r>
            <w:r w:rsidRPr="00833B04">
              <w:rPr>
                <w:b/>
                <w:i/>
              </w:rPr>
              <w:t xml:space="preserve">del conflitto in </w:t>
            </w:r>
            <w:r w:rsidRPr="00833B04">
              <w:t>Ucraina, 2) sul conflitto e la pace in Medio Oriente, 3) sulla cooperazione con partner che condividono gli stessi principi e 4) sulla visibilità generale dell'azione dell'UE all'estero; che la posizione lungimirante del Parlamento in materia di PESC è, in ultima analisi, messa in luce dalle principali richieste riguardanti il prossimo quadro finanziario pluriennale (QFP) e il relativo controllo parlamentare;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{DE}</w:t>
      </w:r>
      <w:r w:rsidRPr="00833B04">
        <w:t>de</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71</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António Tânger Corrêa</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D.</w:t>
            </w:r>
            <w:r w:rsidRPr="00833B04">
              <w:tab/>
              <w:t xml:space="preserve">considerando che nell'ambito della PESC il Parlamento europeo esercita le funzioni di controllo politico e consultazione; che, per quanto concerne tale settore di intervento, esercita la funzione di bilancio congiuntamente al Consiglio, salvo nei casi in cui quest'ultimo decida all'unanimità che le spese sono imputate gli Stati membri; che il Parlamento europeo deve esercitare pienamente tutte le sue competenze </w:t>
            </w:r>
            <w:r w:rsidRPr="00833B04">
              <w:rPr>
                <w:b/>
                <w:i/>
              </w:rPr>
              <w:t>al fine di accrescere la legittimità democratica</w:t>
            </w:r>
            <w:r w:rsidRPr="00833B04">
              <w:t xml:space="preserve"> della PESC; che le altre istituzioni devono adeguare di conseguenza la loro cooperazione con il Parlamento europeo;</w:t>
            </w:r>
          </w:p>
        </w:tc>
        <w:tc>
          <w:tcPr>
            <w:tcW w:w="4876" w:type="dxa"/>
            <w:tcBorders>
              <w:top w:val="nil"/>
              <w:left w:val="nil"/>
              <w:bottom w:val="nil"/>
              <w:right w:val="nil"/>
            </w:tcBorders>
          </w:tcPr>
          <w:p w:rsidR="007D0C0B" w:rsidRPr="00833B04" w:rsidRDefault="007D0C0B" w:rsidP="00C752F2">
            <w:pPr>
              <w:pStyle w:val="Normal6a"/>
            </w:pPr>
            <w:r w:rsidRPr="00833B04">
              <w:t>D.</w:t>
            </w:r>
            <w:r w:rsidRPr="00833B04">
              <w:tab/>
              <w:t xml:space="preserve">considerando che nell'ambito della PESC il Parlamento europeo esercita le funzioni di controllo politico e consultazione; che, per quanto concerne tale settore di intervento, esercita la funzione di bilancio congiuntamente al Consiglio, salvo nei casi in cui quest'ultimo decida all'unanimità che le spese sono imputate gli Stati membri; che il Parlamento europeo deve esercitare pienamente tutte le sue competenze </w:t>
            </w:r>
            <w:r w:rsidRPr="00833B04">
              <w:rPr>
                <w:b/>
                <w:i/>
              </w:rPr>
              <w:t xml:space="preserve">per vigilare sulle azioni </w:t>
            </w:r>
            <w:r w:rsidRPr="00833B04">
              <w:t>della PESC</w:t>
            </w:r>
            <w:r w:rsidRPr="00833B04">
              <w:rPr>
                <w:b/>
                <w:i/>
              </w:rPr>
              <w:t>, mantenendole rigorosamente nell'ambito dei loro mandati e nel pieno rispetto</w:t>
            </w:r>
            <w:r w:rsidRPr="00833B04">
              <w:t xml:space="preserve"> </w:t>
            </w:r>
            <w:r w:rsidRPr="00833B04">
              <w:rPr>
                <w:b/>
                <w:i/>
              </w:rPr>
              <w:t>della</w:t>
            </w:r>
            <w:r w:rsidRPr="00833B04">
              <w:t xml:space="preserve"> </w:t>
            </w:r>
            <w:r w:rsidRPr="00833B04">
              <w:rPr>
                <w:b/>
                <w:i/>
              </w:rPr>
              <w:t>priorità delle sovranità in materia di politica estera, di sicurezza e di difesa</w:t>
            </w:r>
            <w:r w:rsidRPr="00833B04">
              <w:t>; che le altre istituzioni devono adeguare di conseguenza la loro cooperazione con il Parlamento europeo;</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72</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Sebastiaan Stöteler</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r w:rsidRPr="00833B04">
              <w:t>D.</w:t>
            </w:r>
            <w:r w:rsidRPr="00833B04">
              <w:tab/>
              <w:t xml:space="preserve">considerando che nell'ambito della PESC il Parlamento europeo esercita le funzioni di </w:t>
            </w:r>
            <w:r w:rsidRPr="00833B04">
              <w:rPr>
                <w:b/>
                <w:i/>
              </w:rPr>
              <w:t>controllo politico e consultazione</w:t>
            </w:r>
            <w:r w:rsidRPr="00833B04">
              <w:t xml:space="preserve">; che, per quanto concerne tale settore di intervento, esercita la funzione di bilancio congiuntamente al Consiglio, salvo nei casi in cui quest'ultimo decida all'unanimità che le spese sono imputate gli Stati membri; che </w:t>
            </w:r>
            <w:r w:rsidRPr="00833B04">
              <w:rPr>
                <w:b/>
                <w:i/>
              </w:rPr>
              <w:t>il Parlamento europeo deve esercitare pienamente tutte le sue competenze al fine di accrescere la legittimità democratica della PESC;</w:t>
            </w:r>
            <w:r w:rsidRPr="00833B04">
              <w:t xml:space="preserve"> che le </w:t>
            </w:r>
            <w:r w:rsidRPr="00833B04">
              <w:rPr>
                <w:b/>
                <w:i/>
              </w:rPr>
              <w:t>altre istituzioni devono adeguare di conseguenza la loro cooperazione con il</w:t>
            </w:r>
            <w:r w:rsidRPr="00833B04">
              <w:t xml:space="preserve"> Parlamento europeo;</w:t>
            </w:r>
          </w:p>
        </w:tc>
        <w:tc>
          <w:tcPr>
            <w:tcW w:w="4876" w:type="dxa"/>
            <w:tcBorders>
              <w:top w:val="nil"/>
              <w:left w:val="nil"/>
              <w:bottom w:val="nil"/>
              <w:right w:val="nil"/>
            </w:tcBorders>
          </w:tcPr>
          <w:p w:rsidR="007D0C0B" w:rsidRPr="00833B04" w:rsidRDefault="007D0C0B" w:rsidP="00C752F2">
            <w:pPr>
              <w:pStyle w:val="Normal6a"/>
            </w:pPr>
            <w:r w:rsidRPr="00833B04">
              <w:t>D.</w:t>
            </w:r>
            <w:r w:rsidRPr="00833B04">
              <w:tab/>
              <w:t xml:space="preserve">considerando che nell'ambito della PESC il Parlamento europeo esercita le funzioni di </w:t>
            </w:r>
            <w:r w:rsidRPr="00833B04">
              <w:rPr>
                <w:b/>
                <w:i/>
              </w:rPr>
              <w:t>consultazione politica</w:t>
            </w:r>
            <w:r w:rsidRPr="00833B04">
              <w:t xml:space="preserve">; che, per quanto concerne tale settore di intervento, esercita la funzione di bilancio congiuntamente al Consiglio, salvo nei casi in cui quest'ultimo decida all'unanimità che le spese sono imputate gli Stati membri; che </w:t>
            </w:r>
            <w:r w:rsidRPr="00833B04">
              <w:rPr>
                <w:b/>
                <w:i/>
              </w:rPr>
              <w:t>l'articolo 24, paragrafo 1, del trattato sull'Unione europea, integrato dalle dichiarazioni 13 e 14 della Conferenza intergovernativa del 2007, stabilisce</w:t>
            </w:r>
            <w:r w:rsidRPr="00833B04">
              <w:t xml:space="preserve"> che le </w:t>
            </w:r>
            <w:r w:rsidRPr="00833B04">
              <w:rPr>
                <w:b/>
                <w:i/>
              </w:rPr>
              <w:t>disposizioni relative alla politica estera e di sicurezza comune non conferiscono alla Commissione nuovi poteri di iniziativa per le decisioni né accrescono il ruolo del</w:t>
            </w:r>
            <w:r w:rsidRPr="00833B04">
              <w:t xml:space="preserve"> Parlamento europeo;</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73</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Andrey Kovatchev, Rasa Juknevičienė</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bis.</w:t>
            </w:r>
            <w:r w:rsidRPr="00833B04">
              <w:tab/>
            </w:r>
            <w:r w:rsidRPr="00833B04">
              <w:rPr>
                <w:b/>
                <w:i/>
              </w:rPr>
              <w:t>considerando che la Russia non ha riconosciuto il proprio ruolo nel dare il via alla seconda guerra mondiale e non si è assunta la propria responsabilità per le atrocità commesse nei territori occupati dall'Unione sovietica;</w:t>
            </w:r>
            <w:r w:rsidRPr="00833B04">
              <w:t xml:space="preserve"> </w:t>
            </w:r>
            <w:r w:rsidRPr="00833B04">
              <w:rPr>
                <w:b/>
                <w:i/>
              </w:rPr>
              <w:t>che, contrariamente ai crimini commessi dal regime nazista, i crimini commessi dalle dittature comuniste in Europa nel 20</w:t>
            </w:r>
            <w:r w:rsidRPr="00833B04">
              <w:rPr>
                <w:b/>
                <w:i/>
                <w:vertAlign w:val="superscript"/>
              </w:rPr>
              <w:t>o</w:t>
            </w:r>
            <w:r w:rsidRPr="00833B04">
              <w:t xml:space="preserve"> </w:t>
            </w:r>
            <w:r w:rsidRPr="00833B04">
              <w:rPr>
                <w:b/>
                <w:i/>
              </w:rPr>
              <w:t>secolo non hanno ricevuto a livello internazionale una valutazione e una condanna piene sul piano giuridico e politico e ciò ha contribuito alla strumentalizzazione della storia sotto il governo di Putin in Russia;</w:t>
            </w:r>
            <w:r w:rsidRPr="00833B04">
              <w:t xml:space="preserve"> </w:t>
            </w:r>
            <w:r w:rsidRPr="00833B04">
              <w:rPr>
                <w:b/>
                <w:i/>
              </w:rPr>
              <w:t>che il Cremlino utilizza storia falsificata come casus belli, insabbiando sistematicamente i crimini sovietici e diffondendo disinformazione storica per giustificare l'aggressione della Russia contro Stati vicini;</w:t>
            </w:r>
            <w:r w:rsidRPr="00833B04">
              <w:t xml:space="preserve"> </w:t>
            </w:r>
            <w:r w:rsidRPr="00833B04">
              <w:rPr>
                <w:b/>
                <w:i/>
              </w:rPr>
              <w:t>che il regime di Putin ha strumentalizzato la storia nel tentativo di assicurarsi la lealtà della popolazione creando nostalgia per la presunta grandezza dell'impero sovietico, falsificando la storia della Russia e dell'Ucraina, respingendo la politica di Khrushchev di riconoscimento e condanna dei crimini stalinisti, rinnegando il riconoscimento e la condanna da parte di Gorbachev del patto Molotov-Ribbentrop e dichiarando che il crollo dell'Unione sovietica è stata la più grande tragedia del secolo scorso;</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74</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Hannah Neumann</w:t>
      </w:r>
      <w:r w:rsidRPr="00833B04">
        <w:rPr>
          <w:rStyle w:val="HideTWBExt"/>
          <w:b w:val="0"/>
        </w:rPr>
        <w:t>&lt;/Members&gt;</w:t>
      </w:r>
    </w:p>
    <w:p w:rsidR="007D0C0B" w:rsidRPr="00833B04" w:rsidRDefault="007D0C0B" w:rsidP="007D0C0B">
      <w:r w:rsidRPr="00833B04">
        <w:rPr>
          <w:rStyle w:val="HideTWBExt"/>
        </w:rPr>
        <w:t>&lt;AuNomDe&gt;</w:t>
      </w:r>
      <w:r w:rsidRPr="00833B04">
        <w:rPr>
          <w:rStyle w:val="HideTWBInt"/>
        </w:rPr>
        <w:t>{Greens/EFA}</w:t>
      </w:r>
      <w:r w:rsidRPr="00833B04">
        <w:t>a nome del gruppo Verts/ALE</w:t>
      </w:r>
      <w:r w:rsidRPr="00833B04">
        <w:rPr>
          <w:rStyle w:val="HideTWBExt"/>
        </w:rPr>
        <w:t>&lt;/AuNomDe&gt;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bis.</w:t>
            </w:r>
            <w:r w:rsidRPr="00833B04">
              <w:tab/>
            </w:r>
            <w:r w:rsidRPr="00833B04">
              <w:rPr>
                <w:b/>
                <w:i/>
              </w:rPr>
              <w:t>considerando che i difensori dei diritti umani sono i nostri principali alleati quando si tratta di difendere e promuovere i diritti umani all'estero;</w:t>
            </w:r>
            <w:r w:rsidRPr="00833B04">
              <w:t xml:space="preserve"> </w:t>
            </w:r>
            <w:r w:rsidRPr="00833B04">
              <w:rPr>
                <w:b/>
                <w:i/>
              </w:rPr>
              <w:t>che i difensori dei diritti umani sono sempre più esposti al rischio di attacchi e minacce da parte di attori statali e non statali;</w:t>
            </w:r>
            <w:r w:rsidRPr="00833B04">
              <w:t xml:space="preserve"> </w:t>
            </w:r>
            <w:r w:rsidRPr="00833B04">
              <w:rPr>
                <w:b/>
                <w:i/>
              </w:rPr>
              <w:t>che il Parlamento ha ripetutamente chiesto un'attuazione adeguata e coordinata degli orientamenti dell'UE sui difensori dei diritti umani (2008);</w:t>
            </w:r>
            <w:r w:rsidRPr="00833B04">
              <w:t xml:space="preserve"> </w:t>
            </w:r>
            <w:r w:rsidRPr="00833B04">
              <w:rPr>
                <w:b/>
                <w:i/>
              </w:rPr>
              <w:t>che gli Stati membri, insieme alle istituzioni dell'UE, dovrebbero attuare gli orientamenti, che comprendono una serie di impegni specifici come la presentazione di relazioni periodiche, il coordinamento e l'azione a sostegno dei difensori dei diritti umani;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75</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Ivaylo Valchev</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bis.</w:t>
            </w:r>
            <w:r w:rsidRPr="00833B04">
              <w:tab/>
            </w:r>
            <w:r w:rsidRPr="00833B04">
              <w:rPr>
                <w:b/>
                <w:i/>
              </w:rPr>
              <w:t>considerando che sta crescendo lo scontro geopolitico tra democrazie, inclusi UE e Stati Uniti, e regimi autoritari e dittatoriali come quelli di Putin, Xi Jinping e Kim Jong Un;</w:t>
            </w:r>
            <w:r w:rsidRPr="00833B04">
              <w:t xml:space="preserve"> </w:t>
            </w:r>
            <w:r w:rsidRPr="00833B04">
              <w:rPr>
                <w:b/>
                <w:i/>
              </w:rPr>
              <w:t>che sta aumentando la cooperazione tra i paesi BRICS, il che può rappresentare una minaccia per gli interessi economici dell'Unione e dei suoi partner;</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76</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Vasile Dîncu</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bis.</w:t>
            </w:r>
            <w:r w:rsidRPr="00833B04">
              <w:tab/>
            </w:r>
            <w:r w:rsidRPr="00833B04">
              <w:rPr>
                <w:b/>
                <w:i/>
              </w:rPr>
              <w:t>considerando che l'autonomia strategica richiede che l'Unione europea agisca in modo indipendente sulla scena mondiale, in particolare in materia di politica estera e di sicurezza;</w:t>
            </w:r>
            <w:r w:rsidRPr="00833B04">
              <w:t xml:space="preserve"> </w:t>
            </w:r>
            <w:r w:rsidRPr="00833B04">
              <w:rPr>
                <w:b/>
                <w:i/>
              </w:rPr>
              <w:t>che l'UE ha riconosciuto la necessità di ridurre la dipendenza da attori esterni, in particolare gli Stati Uniti, salvaguardando i propri interessi in un mondo imprevedibile e multipolare;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77</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Nacho Sánchez Amor, Sven Mikser, Alessandra Moretti, Yannis Maniatis, Marco Tarquinio, Hana Jalloul Muro</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bis.</w:t>
            </w:r>
            <w:r w:rsidRPr="00833B04">
              <w:tab/>
            </w:r>
            <w:r w:rsidRPr="00833B04">
              <w:rPr>
                <w:b/>
                <w:i/>
              </w:rPr>
              <w:t>considerando che l'UE deve continuare a progredire verso una propria diplomazia europea autonoma in tutti i settori, tra i quali la diplomazia pubblica e culturale, economica, climatica, digitale e informatica, guidata da un servizio diplomatico dell'UE improntato a una cultura diplomatica comune dal punto di vista dell'Unione;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78</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Sven Mikser, Lucia Annunziata, Nicola Zingaretti, Thijs Reuten, Alessandra Moretti, Giorgio Gori, Tobias Cremer, Yannis Maniatis, Marco Tarquinio, Vasile Dîncu</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bis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bis.</w:t>
            </w:r>
            <w:r w:rsidRPr="00833B04">
              <w:tab/>
            </w:r>
            <w:r w:rsidRPr="00833B04">
              <w:rPr>
                <w:b/>
                <w:i/>
              </w:rPr>
              <w:t>considerando che tutte le agenzie delle Nazioni Unite incarnano l'ordine internazionale basato su regole in quanto sostengono e attuano sia la lettera che lo spirito della Carta delle Nazioni Unite, alla quale tutti gli Stati membri dell'ONU devono attenersi;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79</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Nacho Sánchez Amor, Sven Mikser, Alessandra Moretti, Yannis Maniatis, Marco Tarquinio, Hana Jalloul Muro</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ter.</w:t>
            </w:r>
            <w:r w:rsidRPr="00833B04">
              <w:tab/>
            </w:r>
            <w:r w:rsidRPr="00833B04">
              <w:rPr>
                <w:b/>
                <w:i/>
              </w:rPr>
              <w:t>considerando che la credibilità e la coerenza dell'UE sono requisiti fondamentali per la corretta attuazione della sua azione esterna, in quanto rafforzano la fiducia nei confronti dell'UE tra diversi attori e paesi terzi;</w:t>
            </w:r>
            <w:r w:rsidRPr="00833B04">
              <w:t xml:space="preserve"> </w:t>
            </w:r>
            <w:r w:rsidRPr="00833B04">
              <w:rPr>
                <w:b/>
                <w:i/>
              </w:rPr>
              <w:t>che l'efficacia delle azioni dell'UE a livello mondiale è subordinata alla necessità di garantire il massimo livello di coordinamento e coerenza nell'azione esterna dell'UE;</w:t>
            </w:r>
            <w:r w:rsidRPr="00833B04">
              <w:t xml:space="preserve"> </w:t>
            </w:r>
            <w:r w:rsidRPr="00833B04">
              <w:rPr>
                <w:b/>
                <w:i/>
              </w:rPr>
              <w:t>che il coordinamento tra la Commissione e il SEAE dovrebbe essere rafforzato, in particolare a causa della mancanza di bilancio operativo del SEAE;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80</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Vasile Dîncu</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ter.</w:t>
            </w:r>
            <w:r w:rsidRPr="00833B04">
              <w:tab/>
            </w:r>
            <w:r w:rsidRPr="00833B04">
              <w:rPr>
                <w:b/>
                <w:i/>
              </w:rPr>
              <w:t>considerando che gli attacchi informatici costituiscono una minaccia per l'UE, per le sue missioni e operazioni nell'ambito della politica di sicurezza e di difesa comune (PSDC) e, analogamente, per i suoi Stati membri, per il funzionamento delle loro istituzioni, i loro processi elettorali, le loro infrastrutture economiche e civili, la loro sicurezza interna, le loro relazioni esterne e le loro missioni diplomatiche;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81</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Ivaylo Valchev</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ter.</w:t>
            </w:r>
            <w:r w:rsidRPr="00833B04">
              <w:tab/>
            </w:r>
            <w:r w:rsidRPr="00833B04">
              <w:rPr>
                <w:b/>
                <w:i/>
              </w:rPr>
              <w:t>considerando che il Segretario generale delle Nazioni Unite ha visitato il forum BRICS a Kazan;</w:t>
            </w:r>
            <w:r w:rsidRPr="00833B04">
              <w:t xml:space="preserve"> </w:t>
            </w:r>
            <w:r w:rsidRPr="00833B04">
              <w:rPr>
                <w:b/>
                <w:i/>
              </w:rPr>
              <w:t>che le Nazioni Unite non svolgono il ruolo che dovrebbero svolgere, vale a dire proteggere la pace e la sicurezza, sulla base dei principi della parità di diritti e dell'autodeterminazione dei popoli;</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82</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Sven Mikser, Lucia Annunziata, Nicola Zingaretti, Thijs Reuten, Alessandra Moretti, Giorgio Gori, Tobias Cremer, Yannis Maniatis, Vasile Dîncu</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ter.</w:t>
            </w:r>
            <w:r w:rsidRPr="00833B04">
              <w:tab/>
            </w:r>
            <w:r w:rsidRPr="00833B04">
              <w:rPr>
                <w:b/>
                <w:i/>
              </w:rPr>
              <w:t>considerando che il futuro dei Balcani e dei paesi del vicinato orientale è nell'UE;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83</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Nacho Sánchez Amor, Sven Mikser, Alessandra Moretti, Yannis Maniatis, Vasile Dîncu, Marco Tarquinio, Hana Jalloul Muro</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quater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quater.</w:t>
            </w:r>
            <w:r w:rsidRPr="00833B04">
              <w:tab/>
            </w:r>
            <w:r w:rsidRPr="00833B04">
              <w:rPr>
                <w:b/>
                <w:i/>
              </w:rPr>
              <w:t>considerando che la crisi geopolitica e umanitaria globale dimostra la necessità per l'UE di disporre di informazioni credibili e di prima mano sulle minacce esterne esistenti e possibili nei suoi confronti, per essere in grado di reagire in maniera rapida ed efficace e per tutelare meglio i suoi interessi all'estero;</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84</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Ivaylo Valchev</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quater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quater.</w:t>
            </w:r>
            <w:r w:rsidRPr="00833B04">
              <w:tab/>
            </w:r>
            <w:r w:rsidRPr="00833B04">
              <w:rPr>
                <w:b/>
                <w:i/>
              </w:rPr>
              <w:t>considerando che l'iniziativa "nuova via della seta", nota in Cina come "One Belt, One Road", è una minaccia per gli interessi dell'UE e compromette la PESC;</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85</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Sven Mikser, Lucia Annunziata, Nicola Zingaretti, Thijs Reuten, Alessandra Moretti, Giorgio Gori, Tobias Cremer, Yannis Maniatis</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quater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quater.</w:t>
            </w:r>
            <w:r w:rsidRPr="00833B04">
              <w:tab/>
            </w:r>
            <w:r w:rsidRPr="00833B04">
              <w:rPr>
                <w:b/>
                <w:i/>
              </w:rPr>
              <w:t>considerando che il Kosovo e il dialogo tra Belgrado e Pristina, facilitato dall'UE, sono esposti a minacce di destabilizzazione;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86</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Sven Mikser, Lucia Annunziata, Nicola Zingaretti, Thijs Reuten, Alessandra Moretti, Giorgio Gori, Tobias Cremer, Yannis Maniatis</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quinquies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quinquies.</w:t>
            </w:r>
            <w:r w:rsidRPr="00833B04">
              <w:tab/>
            </w:r>
            <w:r w:rsidRPr="00833B04">
              <w:rPr>
                <w:b/>
                <w:i/>
              </w:rPr>
              <w:t>considerando che la relazione dal titolo "Più sicuri insieme: rafforzare la preparazione e la prontezza dell'Europa nel settore civile e militare", presentata da Sauli Niinistö, consigliere speciale della Commissione europea, fornisce raccomandazioni strategiche per rafforzare la preparazione civile e militare dell'Europa alla luce delle crescenti e complesse minacce alla sicurezza;</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87</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Ivaylo Valchev</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quinquies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quinquies.</w:t>
            </w:r>
            <w:r w:rsidRPr="00833B04">
              <w:tab/>
            </w:r>
            <w:r w:rsidRPr="00833B04">
              <w:rPr>
                <w:b/>
                <w:i/>
              </w:rPr>
              <w:t>considerando che i conflitti in Medio Oriente e in Africa stanno causando un aumento dei flussi migratori verso l'Europa, esercitando una maggiore pressione sui sistemi di sicurezza;</w:t>
            </w:r>
            <w:r w:rsidRPr="00833B04">
              <w:t xml:space="preserve"> </w:t>
            </w:r>
            <w:r w:rsidRPr="00833B04">
              <w:rPr>
                <w:b/>
                <w:i/>
              </w:rPr>
              <w:t>che la migrazione illegale è un'arma nell'arsenale dei paesi terzi per destabilizzare l'UE;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pPr>
        <w:pStyle w:val="AmNumberTabs"/>
      </w:pPr>
      <w:r w:rsidRPr="00833B04">
        <w:rPr>
          <w:rStyle w:val="HideTWBExt"/>
        </w:rPr>
        <w:t>&lt;Amend&gt;</w:t>
      </w:r>
      <w:r w:rsidRPr="00833B04">
        <w:t>Emendamento</w:t>
      </w:r>
      <w:r w:rsidRPr="00833B04">
        <w:tab/>
      </w:r>
      <w:r w:rsidRPr="00833B04">
        <w:tab/>
      </w:r>
      <w:r w:rsidRPr="00833B04">
        <w:rPr>
          <w:rStyle w:val="HideTWBExt"/>
        </w:rPr>
        <w:t>&lt;NumAm&gt;</w:t>
      </w:r>
      <w:r w:rsidRPr="00833B04">
        <w:t>88</w:t>
      </w:r>
      <w:r w:rsidRPr="00833B04">
        <w:rPr>
          <w:rStyle w:val="HideTWBExt"/>
        </w:rPr>
        <w:t>&lt;/NumAm&gt;</w:t>
      </w:r>
    </w:p>
    <w:p w:rsidR="007D0C0B" w:rsidRPr="00833B04" w:rsidRDefault="007D0C0B" w:rsidP="007D0C0B">
      <w:pPr>
        <w:pStyle w:val="NormalBold"/>
      </w:pPr>
      <w:r w:rsidRPr="00833B04">
        <w:rPr>
          <w:rStyle w:val="HideTWBExt"/>
          <w:b w:val="0"/>
        </w:rPr>
        <w:t>&lt;RepeatBlock-By&gt;&lt;Members&gt;</w:t>
      </w:r>
      <w:r w:rsidRPr="00833B04">
        <w:t>Sven Mikser, Lucia Annunziata, Nicola Zingaretti, Thijs Reuten, Alessandra Moretti, Giorgio Gori, Tobias Cremer, Yannis Maniatis, Marco Tarquinio, Vasile Dîncu</w:t>
      </w:r>
      <w:r w:rsidRPr="00833B04">
        <w:rPr>
          <w:rStyle w:val="HideTWBExt"/>
          <w:b w:val="0"/>
        </w:rPr>
        <w:t>&lt;/Members&gt;</w:t>
      </w:r>
    </w:p>
    <w:p w:rsidR="007D0C0B" w:rsidRPr="00833B04" w:rsidRDefault="007D0C0B" w:rsidP="007D0C0B">
      <w:pPr>
        <w:pStyle w:val="NormalBold"/>
      </w:pPr>
      <w:r w:rsidRPr="00833B04">
        <w:rPr>
          <w:rStyle w:val="HideTWBExt"/>
          <w:b w:val="0"/>
        </w:rPr>
        <w:t>&lt;/RepeatBlock-By&gt;</w:t>
      </w:r>
    </w:p>
    <w:p w:rsidR="007D0C0B" w:rsidRPr="00833B04" w:rsidRDefault="007D0C0B" w:rsidP="007D0C0B">
      <w:pPr>
        <w:pStyle w:val="NormalBold"/>
      </w:pPr>
      <w:r w:rsidRPr="00833B04">
        <w:rPr>
          <w:rStyle w:val="HideTWBExt"/>
        </w:rPr>
        <w:t>&lt;DocAmend&gt;</w:t>
      </w:r>
      <w:r w:rsidRPr="00833B04">
        <w:t>Proposta di risoluzione</w:t>
      </w:r>
      <w:r w:rsidRPr="00833B04">
        <w:rPr>
          <w:rStyle w:val="HideTWBExt"/>
        </w:rPr>
        <w:t>&lt;/DocAmend&gt;</w:t>
      </w:r>
    </w:p>
    <w:p w:rsidR="007D0C0B" w:rsidRPr="00833B04" w:rsidRDefault="007D0C0B" w:rsidP="007D0C0B">
      <w:pPr>
        <w:pStyle w:val="NormalBold"/>
      </w:pPr>
      <w:r w:rsidRPr="00833B04">
        <w:rPr>
          <w:rStyle w:val="HideTWBExt"/>
        </w:rPr>
        <w:t>&lt;Article&gt;</w:t>
      </w:r>
      <w:r w:rsidRPr="00833B04">
        <w:t>Considerando D sexies (nuovo)</w:t>
      </w:r>
      <w:r w:rsidRPr="00833B0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D0C0B" w:rsidRPr="00833B04" w:rsidTr="00C752F2">
        <w:trPr>
          <w:trHeight w:hRule="exact" w:val="240"/>
          <w:jc w:val="center"/>
        </w:trPr>
        <w:tc>
          <w:tcPr>
            <w:tcW w:w="9752" w:type="dxa"/>
            <w:gridSpan w:val="2"/>
            <w:tcBorders>
              <w:top w:val="nil"/>
              <w:left w:val="nil"/>
              <w:bottom w:val="nil"/>
              <w:right w:val="nil"/>
            </w:tcBorders>
          </w:tcPr>
          <w:p w:rsidR="007D0C0B" w:rsidRPr="00833B04" w:rsidRDefault="007D0C0B" w:rsidP="00C752F2"/>
        </w:tc>
      </w:tr>
      <w:tr w:rsidR="007D0C0B" w:rsidRPr="00833B04" w:rsidTr="00C752F2">
        <w:trPr>
          <w:trHeight w:val="240"/>
          <w:jc w:val="center"/>
        </w:trPr>
        <w:tc>
          <w:tcPr>
            <w:tcW w:w="4876" w:type="dxa"/>
            <w:tcBorders>
              <w:top w:val="nil"/>
              <w:left w:val="nil"/>
              <w:bottom w:val="nil"/>
              <w:right w:val="nil"/>
            </w:tcBorders>
          </w:tcPr>
          <w:p w:rsidR="007D0C0B" w:rsidRPr="00833B04" w:rsidRDefault="007D0C0B" w:rsidP="00C752F2">
            <w:pPr>
              <w:pStyle w:val="AmColumnHeading"/>
            </w:pPr>
            <w:r w:rsidRPr="00833B04">
              <w:t>Proposta di risoluzione</w:t>
            </w:r>
          </w:p>
        </w:tc>
        <w:tc>
          <w:tcPr>
            <w:tcW w:w="4876" w:type="dxa"/>
            <w:tcBorders>
              <w:top w:val="nil"/>
              <w:left w:val="nil"/>
              <w:bottom w:val="nil"/>
              <w:right w:val="nil"/>
            </w:tcBorders>
          </w:tcPr>
          <w:p w:rsidR="007D0C0B" w:rsidRPr="00833B04" w:rsidRDefault="007D0C0B" w:rsidP="00C752F2">
            <w:pPr>
              <w:pStyle w:val="AmColumnHeading"/>
            </w:pPr>
            <w:r w:rsidRPr="00833B04">
              <w:t>Emendamento</w:t>
            </w:r>
          </w:p>
        </w:tc>
      </w:tr>
      <w:tr w:rsidR="007D0C0B" w:rsidRPr="00833B04" w:rsidTr="00C752F2">
        <w:trPr>
          <w:jc w:val="center"/>
        </w:trPr>
        <w:tc>
          <w:tcPr>
            <w:tcW w:w="4876" w:type="dxa"/>
            <w:tcBorders>
              <w:top w:val="nil"/>
              <w:left w:val="nil"/>
              <w:bottom w:val="nil"/>
              <w:right w:val="nil"/>
            </w:tcBorders>
          </w:tcPr>
          <w:p w:rsidR="007D0C0B" w:rsidRPr="00833B04" w:rsidRDefault="007D0C0B" w:rsidP="00C752F2">
            <w:pPr>
              <w:pStyle w:val="Normal6a"/>
            </w:pPr>
          </w:p>
        </w:tc>
        <w:tc>
          <w:tcPr>
            <w:tcW w:w="4876" w:type="dxa"/>
            <w:tcBorders>
              <w:top w:val="nil"/>
              <w:left w:val="nil"/>
              <w:bottom w:val="nil"/>
              <w:right w:val="nil"/>
            </w:tcBorders>
          </w:tcPr>
          <w:p w:rsidR="007D0C0B" w:rsidRPr="00833B04" w:rsidRDefault="007D0C0B" w:rsidP="00C752F2">
            <w:pPr>
              <w:pStyle w:val="Normal6a"/>
            </w:pPr>
            <w:r w:rsidRPr="00833B04">
              <w:rPr>
                <w:b/>
                <w:i/>
              </w:rPr>
              <w:t>D sexies.</w:t>
            </w:r>
            <w:r w:rsidRPr="00833B04">
              <w:tab/>
            </w:r>
            <w:r w:rsidRPr="00833B04">
              <w:rPr>
                <w:b/>
                <w:i/>
              </w:rPr>
              <w:t>considerando che le conseguenze dei cambiamenti climatici avranno un effetto sempre crescente sugli aspetti della vita umana, compresi l'ordine geopolitico e la stabilità mondiale;</w:t>
            </w:r>
            <w:r w:rsidRPr="00833B04">
              <w:t xml:space="preserve"> </w:t>
            </w:r>
            <w:r w:rsidRPr="00833B04">
              <w:rPr>
                <w:b/>
                <w:i/>
              </w:rPr>
              <w:t>che è di fondamentale importanza che la lotta ai cambiamenti climatici, che richiede un'azione per il clima, e l'assistenza a quanti sono più duramente colpiti dalle loro ripercussioni diventino una pietra angolare della politica estera europea;</w:t>
            </w:r>
            <w:r w:rsidRPr="00833B04">
              <w:t xml:space="preserve"> </w:t>
            </w:r>
            <w:r w:rsidRPr="00833B04">
              <w:rPr>
                <w:b/>
                <w:i/>
              </w:rPr>
              <w:t>che è importante sottolineare il ruolo fondamentale che la Commissione e gli Stati membri devono svolgere, nel quadro di un approccio comune, per il progresso della diplomazia del clima a livello globale;</w:t>
            </w:r>
          </w:p>
        </w:tc>
      </w:tr>
    </w:tbl>
    <w:p w:rsidR="007D0C0B" w:rsidRPr="00833B04" w:rsidRDefault="007D0C0B" w:rsidP="007D0C0B">
      <w:pPr>
        <w:pStyle w:val="AmOrLang"/>
      </w:pPr>
      <w:r w:rsidRPr="00833B04">
        <w:t xml:space="preserve">Or. </w:t>
      </w:r>
      <w:r w:rsidRPr="00833B04">
        <w:rPr>
          <w:rStyle w:val="HideTWBExt"/>
        </w:rPr>
        <w:t>&lt;Original&gt;</w:t>
      </w:r>
      <w:r w:rsidRPr="00833B04">
        <w:rPr>
          <w:rStyle w:val="HideTWBInt"/>
        </w:rPr>
        <w:t>{EN}</w:t>
      </w:r>
      <w:r w:rsidRPr="00833B04">
        <w:t>en</w:t>
      </w:r>
      <w:r w:rsidRPr="00833B04">
        <w:rPr>
          <w:rStyle w:val="HideTWBExt"/>
        </w:rPr>
        <w:t>&lt;/Original&gt;</w:t>
      </w:r>
    </w:p>
    <w:p w:rsidR="007D0C0B" w:rsidRPr="00833B04" w:rsidRDefault="007D0C0B" w:rsidP="007D0C0B">
      <w:r w:rsidRPr="00833B04">
        <w:rPr>
          <w:rStyle w:val="HideTWBExt"/>
        </w:rPr>
        <w:t>&lt;/Amend&gt;</w:t>
      </w:r>
    </w:p>
    <w:p w:rsidR="007D0C0B" w:rsidRPr="00833B04" w:rsidRDefault="007D0C0B" w:rsidP="007D0C0B">
      <w:r w:rsidRPr="00833B04">
        <w:rPr>
          <w:rStyle w:val="HideTWBExt"/>
        </w:rPr>
        <w:t>&lt;/RepeatBlock-Amend&gt;</w:t>
      </w:r>
    </w:p>
    <w:p w:rsidR="007D0C0B" w:rsidRPr="00833B04" w:rsidRDefault="007D0C0B"/>
    <w:sectPr w:rsidR="007D0C0B" w:rsidRPr="00833B04" w:rsidSect="007D0C0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2F2" w:rsidRPr="00833B04" w:rsidRDefault="00C752F2">
      <w:r w:rsidRPr="00833B04">
        <w:separator/>
      </w:r>
    </w:p>
  </w:endnote>
  <w:endnote w:type="continuationSeparator" w:id="0">
    <w:p w:rsidR="00C752F2" w:rsidRPr="00833B04" w:rsidRDefault="00C752F2">
      <w:r w:rsidRPr="00833B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2F2" w:rsidRPr="00833B04" w:rsidRDefault="00C752F2" w:rsidP="007D0C0B">
    <w:pPr>
      <w:pStyle w:val="EPFooter"/>
    </w:pPr>
    <w:r w:rsidRPr="00833B04">
      <w:t>PE</w:t>
    </w:r>
    <w:r w:rsidRPr="00833B04">
      <w:rPr>
        <w:rStyle w:val="HideTWBExt"/>
      </w:rPr>
      <w:t>&lt;NoPE&gt;</w:t>
    </w:r>
    <w:r w:rsidRPr="00833B04">
      <w:t>765.258</w:t>
    </w:r>
    <w:r w:rsidRPr="00833B04">
      <w:rPr>
        <w:rStyle w:val="HideTWBExt"/>
      </w:rPr>
      <w:t>&lt;/NoPE&gt;&lt;Version&gt;</w:t>
    </w:r>
    <w:r w:rsidRPr="00833B04">
      <w:t>v01-00</w:t>
    </w:r>
    <w:r w:rsidRPr="00833B04">
      <w:rPr>
        <w:rStyle w:val="HideTWBExt"/>
      </w:rPr>
      <w:t>&lt;/Version&gt;</w:t>
    </w:r>
    <w:r w:rsidRPr="00833B04">
      <w:tab/>
    </w:r>
    <w:r w:rsidRPr="00833B04">
      <w:fldChar w:fldCharType="begin"/>
    </w:r>
    <w:r w:rsidRPr="00833B04">
      <w:instrText xml:space="preserve"> PAGE  \* MERGEFORMAT </w:instrText>
    </w:r>
    <w:r w:rsidRPr="00833B04">
      <w:fldChar w:fldCharType="separate"/>
    </w:r>
    <w:r w:rsidR="00A04221">
      <w:rPr>
        <w:noProof/>
      </w:rPr>
      <w:t>26</w:t>
    </w:r>
    <w:r w:rsidRPr="00833B04">
      <w:fldChar w:fldCharType="end"/>
    </w:r>
    <w:r w:rsidRPr="00833B04">
      <w:t>/</w:t>
    </w:r>
    <w:fldSimple w:instr=" NUMPAGES  \* MERGEFORMAT ">
      <w:r w:rsidR="00A04221">
        <w:rPr>
          <w:noProof/>
        </w:rPr>
        <w:t>45</w:t>
      </w:r>
    </w:fldSimple>
    <w:r w:rsidRPr="00833B04">
      <w:tab/>
    </w:r>
    <w:r w:rsidRPr="00833B04">
      <w:rPr>
        <w:rStyle w:val="HideTWBExt"/>
      </w:rPr>
      <w:t>&lt;PathFdR&gt;</w:t>
    </w:r>
    <w:r w:rsidRPr="00833B04">
      <w:t>AM\1309577IT.docx</w:t>
    </w:r>
    <w:r w:rsidRPr="00833B04">
      <w:rPr>
        <w:rStyle w:val="HideTWBExt"/>
      </w:rPr>
      <w:t>&lt;/PathFdR&gt;</w:t>
    </w:r>
  </w:p>
  <w:p w:rsidR="00C752F2" w:rsidRPr="00833B04" w:rsidRDefault="00C752F2" w:rsidP="007D0C0B">
    <w:pPr>
      <w:pStyle w:val="EPFooter2"/>
    </w:pPr>
    <w:r w:rsidRPr="00833B0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2F2" w:rsidRPr="00833B04" w:rsidRDefault="00C752F2" w:rsidP="007D0C0B">
    <w:pPr>
      <w:pStyle w:val="EPFooter"/>
    </w:pPr>
    <w:r w:rsidRPr="00833B04">
      <w:rPr>
        <w:rStyle w:val="HideTWBExt"/>
      </w:rPr>
      <w:t>&lt;PathFdR&gt;</w:t>
    </w:r>
    <w:r w:rsidRPr="00833B04">
      <w:t>AM\1309577IT.docx</w:t>
    </w:r>
    <w:r w:rsidRPr="00833B04">
      <w:rPr>
        <w:rStyle w:val="HideTWBExt"/>
      </w:rPr>
      <w:t>&lt;/PathFdR&gt;</w:t>
    </w:r>
    <w:r w:rsidRPr="00833B04">
      <w:tab/>
    </w:r>
    <w:r w:rsidRPr="00833B04">
      <w:fldChar w:fldCharType="begin"/>
    </w:r>
    <w:r w:rsidRPr="00833B04">
      <w:instrText xml:space="preserve"> PAGE  \* MERGEFORMAT </w:instrText>
    </w:r>
    <w:r w:rsidRPr="00833B04">
      <w:fldChar w:fldCharType="separate"/>
    </w:r>
    <w:r w:rsidR="00A04221">
      <w:rPr>
        <w:noProof/>
      </w:rPr>
      <w:t>25</w:t>
    </w:r>
    <w:r w:rsidRPr="00833B04">
      <w:fldChar w:fldCharType="end"/>
    </w:r>
    <w:r w:rsidRPr="00833B04">
      <w:t>/</w:t>
    </w:r>
    <w:fldSimple w:instr=" NUMPAGES  \* MERGEFORMAT ">
      <w:r w:rsidR="00A04221">
        <w:rPr>
          <w:noProof/>
        </w:rPr>
        <w:t>45</w:t>
      </w:r>
    </w:fldSimple>
    <w:r w:rsidRPr="00833B04">
      <w:tab/>
      <w:t>PE</w:t>
    </w:r>
    <w:r w:rsidRPr="00833B04">
      <w:rPr>
        <w:rStyle w:val="HideTWBExt"/>
      </w:rPr>
      <w:t>&lt;NoPE&gt;</w:t>
    </w:r>
    <w:r w:rsidRPr="00833B04">
      <w:t>765.258</w:t>
    </w:r>
    <w:r w:rsidRPr="00833B04">
      <w:rPr>
        <w:rStyle w:val="HideTWBExt"/>
      </w:rPr>
      <w:t>&lt;/NoPE&gt;&lt;Version&gt;</w:t>
    </w:r>
    <w:r w:rsidRPr="00833B04">
      <w:t>v01-00</w:t>
    </w:r>
    <w:r w:rsidRPr="00833B04">
      <w:rPr>
        <w:rStyle w:val="HideTWBExt"/>
      </w:rPr>
      <w:t>&lt;/Version&gt;</w:t>
    </w:r>
  </w:p>
  <w:p w:rsidR="00C752F2" w:rsidRPr="00833B04" w:rsidRDefault="00C752F2" w:rsidP="007D0C0B">
    <w:pPr>
      <w:pStyle w:val="EPFooter2"/>
    </w:pPr>
    <w:r w:rsidRPr="00833B04">
      <w:tab/>
    </w:r>
    <w:r w:rsidRPr="00833B0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2F2" w:rsidRPr="00833B04" w:rsidRDefault="00C752F2" w:rsidP="007D0C0B">
    <w:pPr>
      <w:pStyle w:val="EPFooter"/>
    </w:pPr>
    <w:r w:rsidRPr="00833B04">
      <w:rPr>
        <w:rStyle w:val="HideTWBExt"/>
      </w:rPr>
      <w:t>&lt;PathFdR&gt;</w:t>
    </w:r>
    <w:r w:rsidRPr="00833B04">
      <w:t>AM\1309577IT.docx</w:t>
    </w:r>
    <w:r w:rsidRPr="00833B04">
      <w:rPr>
        <w:rStyle w:val="HideTWBExt"/>
      </w:rPr>
      <w:t>&lt;/PathFdR&gt;</w:t>
    </w:r>
    <w:r w:rsidRPr="00833B04">
      <w:tab/>
    </w:r>
    <w:r w:rsidRPr="00833B04">
      <w:tab/>
      <w:t>PE</w:t>
    </w:r>
    <w:r w:rsidRPr="00833B04">
      <w:rPr>
        <w:rStyle w:val="HideTWBExt"/>
      </w:rPr>
      <w:t>&lt;NoPE&gt;</w:t>
    </w:r>
    <w:r w:rsidRPr="00833B04">
      <w:t>765.258</w:t>
    </w:r>
    <w:r w:rsidRPr="00833B04">
      <w:rPr>
        <w:rStyle w:val="HideTWBExt"/>
      </w:rPr>
      <w:t>&lt;/NoPE&gt;&lt;Version&gt;</w:t>
    </w:r>
    <w:r w:rsidRPr="00833B04">
      <w:t>v01-00</w:t>
    </w:r>
    <w:r w:rsidRPr="00833B04">
      <w:rPr>
        <w:rStyle w:val="HideTWBExt"/>
      </w:rPr>
      <w:t>&lt;/Version&gt;</w:t>
    </w:r>
  </w:p>
  <w:p w:rsidR="00C752F2" w:rsidRPr="00833B04" w:rsidRDefault="00C752F2" w:rsidP="007D0C0B">
    <w:pPr>
      <w:pStyle w:val="EPFooter2"/>
    </w:pPr>
    <w:r w:rsidRPr="00833B04">
      <w:t>IT</w:t>
    </w:r>
    <w:r w:rsidRPr="00833B04">
      <w:tab/>
    </w:r>
    <w:r w:rsidRPr="00833B04">
      <w:rPr>
        <w:b w:val="0"/>
        <w:i/>
        <w:color w:val="C0C0C0"/>
        <w:sz w:val="22"/>
      </w:rPr>
      <w:t>Unita nella diversità</w:t>
    </w:r>
    <w:r w:rsidRPr="00833B04">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2F2" w:rsidRPr="00833B04" w:rsidRDefault="00C752F2">
      <w:r w:rsidRPr="00833B04">
        <w:separator/>
      </w:r>
    </w:p>
  </w:footnote>
  <w:footnote w:type="continuationSeparator" w:id="0">
    <w:p w:rsidR="00C752F2" w:rsidRPr="00833B04" w:rsidRDefault="00C752F2">
      <w:r w:rsidRPr="00833B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3BA" w:rsidRDefault="009753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3BA" w:rsidRDefault="009753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3BA" w:rsidRDefault="009753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09"/>
    <w:docVar w:name="TXTLANGUE" w:val="IT"/>
    <w:docVar w:name="TXTLANGUEMIN" w:val="it"/>
    <w:docVar w:name="TXTNRPE" w:val="765.258"/>
    <w:docVar w:name="TXTPEorAP" w:val="PE"/>
    <w:docVar w:name="TXTROUTE" w:val="AM\1309577IT.docx"/>
    <w:docVar w:name="TXTVERSION" w:val="01-00"/>
  </w:docVars>
  <w:rsids>
    <w:rsidRoot w:val="00A77B3E"/>
    <w:rsid w:val="00270602"/>
    <w:rsid w:val="00413590"/>
    <w:rsid w:val="00476309"/>
    <w:rsid w:val="007D0C0B"/>
    <w:rsid w:val="00833B04"/>
    <w:rsid w:val="008C54FE"/>
    <w:rsid w:val="009753BA"/>
    <w:rsid w:val="00A04221"/>
    <w:rsid w:val="00A77B3E"/>
    <w:rsid w:val="00C752F2"/>
    <w:rsid w:val="00CA2A55"/>
    <w:rsid w:val="00CC0A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8298F7"/>
  <w15:docId w15:val="{C80E7787-065C-4092-9FE5-440A88F7B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C0AF2"/>
    <w:pPr>
      <w:tabs>
        <w:tab w:val="center" w:pos="4513"/>
        <w:tab w:val="right" w:pos="9026"/>
      </w:tabs>
    </w:pPr>
  </w:style>
  <w:style w:type="character" w:customStyle="1" w:styleId="HeaderChar">
    <w:name w:val="Header Char"/>
    <w:basedOn w:val="DefaultParagraphFont"/>
    <w:link w:val="Header"/>
    <w:rsid w:val="00CC0A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9035</Words>
  <Characters>66797</Characters>
  <Application>Microsoft Office Word</Application>
  <DocSecurity>0</DocSecurity>
  <Lines>2904</Lines>
  <Paragraphs>1068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74764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2024-12-04T07:59:00Z</dcterms:created>
  <dcterms:modified xsi:type="dcterms:W3CDTF">2024-12-04T07:59:00Z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1309577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95822</vt:lpwstr>
  </property>
  <property fmtid="{D5CDD505-2E9C-101B-9397-08002B2CF9AE}" pid="7" name="dmxml.render.traceId">
    <vt:lpwstr>674ef31cfea1c509290d95d5a33c1f16</vt:lpwstr>
  </property>
  <property fmtid="{D5CDD505-2E9C-101B-9397-08002B2CF9AE}" pid="8" name="FooterPath">
    <vt:lpwstr>AM\1309577IT.docx</vt:lpwstr>
  </property>
  <property fmtid="{D5CDD505-2E9C-101B-9397-08002B2CF9AE}" pid="9" name="PE Number">
    <vt:lpwstr>765.258</vt:lpwstr>
  </property>
  <property fmtid="{D5CDD505-2E9C-101B-9397-08002B2CF9AE}" pid="10" name="UID">
    <vt:lpwstr>eu.europa.europarl-DIN1-2024-0000051285_01.00-it-01.00_text-xml</vt:lpwstr>
  </property>
  <property fmtid="{D5CDD505-2E9C-101B-9397-08002B2CF9AE}" pid="11" name="LastEdited with">
    <vt:lpwstr>10.0.0 Build [20241005]</vt:lpwstr>
  </property>
</Properties>
</file>