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Komisja Spraw Zagranicznych</w:t>
      </w:r>
      <w:r>
        <w:rPr>
          <w:rStyle w:val="HideTWBExt"/>
        </w:rPr>
        <w:t>&lt;/Commission&gt;</w:t>
      </w:r>
    </w:p>
    <w:p>
      <w:pPr>
        <w:pStyle w:val="LineBottom"/>
      </w:pPr>
      <w:r>
        <w:t xml:space="preserve"> </w:t>
      </w:r>
    </w:p>
    <w:p>
      <w:pPr>
        <w:pStyle w:val="CoverReference"/>
      </w:pPr>
      <w:r>
        <w:rPr>
          <w:rStyle w:val="HideTWBExt"/>
        </w:rPr>
        <w:t>&lt;RefProc&gt;</w:t>
      </w:r>
      <w:r>
        <w:t>2024/2080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{08/11/2024}</w:t>
      </w:r>
      <w:r>
        <w:t>8.11.2024</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1</w:t>
      </w:r>
      <w:r>
        <w:t xml:space="preserve"> - </w:t>
      </w:r>
      <w:r>
        <w:t>88</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(PE765.084v01-00)</w:t>
      </w:r>
      <w:r>
        <w:rPr>
          <w:rStyle w:val="HideTWBExt"/>
        </w:rPr>
        <w:t>&lt;/DocRefPE&gt;</w:t>
      </w:r>
    </w:p>
    <w:p>
      <w:pPr>
        <w:pStyle w:val="CoverNormal"/>
      </w:pPr>
      <w:r>
        <w:rPr>
          <w:rStyle w:val="HideTWBExt"/>
        </w:rPr>
        <w:t>&lt;Titre&gt;</w:t>
      </w:r>
      <w:r>
        <w:t>Realizacja wspólnej polityki zagranicznej i bezpieczeństwa – sprawozdanie roczne za 2024 r.</w:t>
      </w:r>
      <w:r>
        <w:rPr>
          <w:rStyle w:val="HideTWBExt"/>
        </w:rPr>
        <w:t>&lt;/Titre&gt;</w:t>
      </w:r>
    </w:p>
    <w:p>
      <w:pPr>
        <w:pStyle w:val="CoverNormal24a"/>
      </w:pPr>
      <w:r>
        <w:rPr>
          <w:rStyle w:val="HideTWBExt"/>
        </w:rPr>
        <w:t>&lt;DocRef&gt;</w:t>
      </w:r>
      <w:r>
        <w:t>(2024/2080(INI))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4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wytyczne polityczne przewodniczącej Komisji na lata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4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deklarację ze szczytu UE–CELAC przyjętą 18 lipca 2023 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26 listopada 2020 r. w sprawie eskalacji napięć w Waroszy po nielegalnych i szokujących działaniach Turcji oraz w sprawie pilnej potrzeby skutecznego przeciwdziałania im,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15 kwietnia 2015 r. w sprawie setnej rocznicy ludobójstwa Ormian,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5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wspólne stanowisko 2008/944/WPZiB w sprawie wywozu broni, która mogłaby zostać użyta do celów represji wewnętrznych i aktów agresji wobec państw trzecich,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Marco Tarquinio,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6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z wyników końcowych Konferencji w sprawie przyszłości Europy z dnia 9 maja 2022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24 października 2024 r. w sprawie sytuacji w Azerbejdżanie, naruszania praw człowieka i prawa międzynarodowego oraz stosunków z Armenią, a także rezolucję z dnia 5 października 2023 r. w sprawie sytuacji w Górskim Karabachu po ataku Azerbejdżanu i utrzymującego się zagrożenia dla Armenii,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decyzję Rady (WPZiB) 2019/797 z dnia 17 maja 2019 r. w sprawie środków ograniczających w celu zwalczania cyberataków zagrażających Unii lub jej państwom członkowskim,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Dz.U. L 129I z 17.5.2019, s.</w:t>
            </w:r>
            <w:r>
              <w:t xml:space="preserve"> </w:t>
            </w:r>
            <w:r>
              <w:rPr>
                <w:b/>
                <w:i/>
              </w:rPr>
              <w:t>13–19, ELI:</w:t>
            </w:r>
            <w:r>
              <w:t xml:space="preserve"> </w:t>
            </w:r>
            <w:r>
              <w:rPr>
                <w:b/>
                <w:i/>
              </w:rPr>
              <w:t>https://eur-lex.europa.eu/eli/dec/2019/797/oj?eliuri=eli%3Adec%3A2019%3A797%3Aoj&amp;locale=pl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Vasile Dîncu,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9 października 2024 r. w sprawie wzmocnienia odporności Mołdawii na rosyjską ingerencję przed zbliżającymi się wyborami prezydenckimi i referendum konstytucyjnym w sprawie integracji z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24 października 2024 r. w sprawie błędnego interpretowania rezolucji ONZ nr 2758 przez Chińską Republikę Ludową oraz jej ciągłych prowokacji wojskowych wokół Tajwanu,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unijny plan działania na rzecz równouprawnienia płci i wzmocnienia pozycji kobiet w działaniach zewnętrznych na lata 2021–2025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Adam Bielan, Mariusz Kamiński, Michał Dworczyk</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koncepcję strategiczną NATO na 2022 r. przyjętą 29 czerwca 2022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Andrey Kovatchev,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swoje rezolucje w sprawie pamięci historycznej, w tym rezolucję z dnia 2 kwietnia 2009 r. w sprawie świadomości europejskiej i totalitaryzmu, rezolucję z dnia 19 września 2019 r. w sprawie znaczenia europejskiej pamięci historycznej dla przyszłości Europy (2019/2819(RSP)) oraz rezolucję z dnia 15 grudnia 2022 r.: 90 lat po Wielkim Głodzie w Ukrainie –</w:t>
            </w:r>
            <w:r>
              <w:t xml:space="preserve"> </w:t>
            </w:r>
            <w:r>
              <w:rPr>
                <w:b/>
                <w:i/>
              </w:rPr>
              <w:t>uznanie masowego mordu przez zagłodzenie za ludobójstwo (2022/3001(RSP))[MBS1] [MBS1] z rezolucji w sprawie instrumentalizacji historii,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ONZ nr 70/1 pt. „Przekształcamy nasz świat – Agenda na rzecz zrównoważonego rozwoju 2030” (Agenda 2030), przyjętą podczas szczytu ONZ w sprawie zrównoważonego rozwoju 25 września 2015 r. w Nowym Jorku i ustanawiającą cele zrównoważonego rozwoju,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17 stycznia 2024 r. w sprawie wpływu Chin na infrastrukturę krytyczną w Unii Europejskiej w zakresie bezpieczeństwa i obrony (2023/2072(INI)),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Wytyczne UE w sprawie obrońców praw człowieka,</w:t>
            </w:r>
            <w:r>
              <w:t xml:space="preserve"> </w:t>
            </w:r>
            <w:r>
              <w:rPr>
                <w:b/>
                <w:i/>
              </w:rPr>
              <w:t>przyjęte w 2004 r., zaktualizowane w 2008 r. i doprecyzowane w wytycznych z 2020 r. dotyczących ich wdrażania,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wspólny komunikat do Parlamentu Europejskiego i Rady JOIN 2020/18 (final) „Strategia UE w zakresie cyberbezpieczeństwa na cyfrową dekadę”,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dnia 30 października 2024 r. pt. „Komunikat z 2024 r. w sprawie polityki rozszerzenia UE” (COM(2024)0690),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Sauli Niinistö z dnia 30 października 2024 r. pt. „Wzmocnienie przygotowania i gotowości Europy do reagowania na poziomie cywilnym i wojskowym”,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zalecenie Komisji z dnia 3 października 2023 r. w sprawie obszarów technologii krytycznych dla bezpieczeństwa gospodarczego UE, na potrzeby pogłębionej oceny ryzyka z udziałem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sprawozdania z rozszerzenia za 2024 r. przedstawione przez Komisję 30 października 2024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rozporządzenie Parlamentu Europejskiego i Rady (UE) 2024/1449 z dnia 14 maja 2024 r. w sprawie ustanowienia Instrumentu Wsparcia Reform i Wzrostu Gospodarczego na Bałkanach Zachodnich,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komunikat Komisji z dnia 20 czerwca 2023 r. w sprawie „europejskiej strategii bezpieczeństwa gospodarczego” (JOIN(2023)0020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swoją rezolucję z dnia 1 czerwca 2023 r. w sprawie obcych ingerencji we wszystkie procesy demokratyczne w Unii Europejskiej, w tym dezinformacji (2022/2075(INI)),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7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swoje rezolucje dotyczące łamania praw człowieka oraz naruszania zasad demokracji i praworządności, przyjęte zgodnie z art. 144 Regulaminu,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4 ust. 2 Traktatu o Unii Europejskiej, zgodnie z którym Unia szanuje podstawowe funkcje państw, w tym ochronę bezpieczeństwa narodowego, za które wyłączną odpowiedzialność ponosi każde państwo członkowskie,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a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układ o stowarzyszeniu między UE a Izraelem z dnia 21 czerwca 2000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42 ust. 2 TUE, który stanowi, że wspólna polityka bezpieczeństwa i obrony UE szanuje zobowiązania wynikające z zobowiązań w ramach NATO i nie zastępuje obrony narodowej,</w:t>
            </w:r>
            <w:r>
              <w:t xml:space="preserve"> </w:t>
            </w:r>
            <w:r>
              <w:rPr>
                <w:b/>
                <w:i/>
              </w:rPr>
              <w:t>a także, że decyzja o udziale w operacjach w dziedzinie obronności i bezpieczeństwa jest dobrowolna, co chroni autonomię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b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opinię doradczą Międzynarodowego Trybunału Sprawiedliwości zawartą w rezolucji A/RES/77/247 w sprawie praktyk Izraela wpływających na prawa człowieka ludności palestyńskiej na okupowanych terytoriach palestyńskich, w tym we Wschodniej Jerozolimie,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24 ust. 1 TUE, który stanowi, że działania zewnętrzne UE, w tym polityka bezpieczeństwa, muszą być zgodne z zasadą „równości między państwami członkowskimi”, co oznacza, że nie można narzucić obowiązkowej wspólnej polityki obronnej,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c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oświadczenie prokuratora MTS Karima A.A. </w:t>
            </w:r>
            <w:r>
              <w:t xml:space="preserve"> </w:t>
            </w:r>
            <w:r>
              <w:rPr>
                <w:b/>
                <w:i/>
              </w:rPr>
              <w:t>Khana KC,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51 Karty Narodów Zjednoczonych, który ustanawia prawo do indywidualnej lub zbiorowej samoobrony państw członkowskich ONZ w przypadku ataku zbrojnego do czasu podjęcia przez Radę Bezpieczeństwa środków w celu utrzymania międzynarodowego pokoju i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d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Rzymski Statut Międzynarodowego Trybunału Karnego,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art. 2 ust. 4 i 7 Karty ONZ, który uniemożliwia ONZ interweniowanie w sprawach podlegających jurysdykcji krajowej państw członkowskich, co zapewnia poszanowanie suwerenności narodowej,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e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porozumienie między UE a Międzynarodowym Trybunałem Karnym (MTK),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akt końcowy OBWE z Helsinek (1975 r.), zasadę VI dotyczącą nieingerowania w sprawy wewnętrzne oraz zasadę VII, która wspiera prawo każdego państwa do określania własnej polityki obrony i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f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postanowienie Międzynarodowego Trybunału Sprawiedliwości w sprawie wniosku Republiki Południowej Afryki o wskazanie środków tymczasowych,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António Tânger Corrêa, Jordan Bardella, 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g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europejską konwencję praw człowieka (EKPC) i Radę Europy, które podkreślają poszanowanie suwerenności państw poprzez zapewnienie każdemu państwu możliwości wewnętrznego decydowania o kwestiach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g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Konwencję ONZ w sprawie zapobiegania i karania zbrodni ludobójstwa z 1948 r. oraz rezolucję Rady Praw Człowieka ONZ nr 43/29 z dnia 22 czerwca 2020 r. w sprawie zapobiegania ludobójstwu,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h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Zgromadzenia Ogólnego ONZ nr 302 (IV) (1949),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i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Rady Bezpieczeństwa ONZ nr 1701 (2006),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j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sprawozdanie w sprawie unijnego planu działania na rzecz równouprawnienia płci i wzmocnienia pozycji kobiet w działaniach zewnętrznych na lata 2021–2025,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k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Konwencję Rady Europy o zapobieganiu i zwalczaniu przemocy wobec kobiet i przemocy domowej („konwencja stambulska”), która weszła w życie w UE 1 października 2023 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Umocowanie 9 l (nowe)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uwzględniając rezolucję Organizacji Narodów Zjednoczonych nr 242 (1967),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w:t>
            </w:r>
            <w:r>
              <w:rPr>
                <w:b/>
                <w:i/>
              </w:rPr>
              <w:t>tempo</w:t>
            </w:r>
            <w:r>
              <w:t xml:space="preserve"> zmian geopolitycznych </w:t>
            </w:r>
            <w:r>
              <w:rPr>
                <w:b/>
                <w:i/>
              </w:rPr>
              <w:t>jest gwałtowne</w:t>
            </w:r>
            <w:r>
              <w:t xml:space="preserve">, a autokratyczne </w:t>
            </w:r>
            <w:r>
              <w:rPr>
                <w:b/>
                <w:i/>
              </w:rPr>
              <w:t>podmioty dążą –</w:t>
            </w:r>
            <w:r>
              <w:t xml:space="preserve"> zarówno indywidualnie, jak i w ramach </w:t>
            </w:r>
            <w:r>
              <w:rPr>
                <w:b/>
                <w:i/>
              </w:rPr>
              <w:t>wspólnych</w:t>
            </w:r>
            <w:r>
              <w:t xml:space="preserve"> działań </w:t>
            </w:r>
            <w:r>
              <w:rPr>
                <w:b/>
                <w:i/>
              </w:rPr>
              <w:t>– do podważenia międzynarodowego porządku opartego</w:t>
            </w:r>
            <w:r>
              <w:t xml:space="preserve"> na zasadach i jego </w:t>
            </w:r>
            <w:r>
              <w:rPr>
                <w:b/>
                <w:i/>
              </w:rPr>
              <w:t>organizacji wielostronnych;</w:t>
            </w:r>
            <w:r>
              <w:t xml:space="preserve"> </w:t>
            </w:r>
            <w:r>
              <w:rPr>
                <w:b/>
                <w:i/>
              </w:rPr>
              <w:t>mając na uwadze, że konflikty rozprzestrzeniają się</w:t>
            </w:r>
            <w:r>
              <w:t xml:space="preserve">, </w:t>
            </w:r>
            <w:r>
              <w:rPr>
                <w:b/>
                <w:i/>
              </w:rPr>
              <w:t>a</w:t>
            </w:r>
            <w:r>
              <w:t xml:space="preserve"> użycie siły jest w coraz większym stopniu </w:t>
            </w:r>
            <w:r>
              <w:rPr>
                <w:b/>
                <w:i/>
              </w:rPr>
              <w:t>uznawane za zwykły środek</w:t>
            </w:r>
            <w:r>
              <w:t xml:space="preserve"> realizacji celów politycznych </w:t>
            </w:r>
            <w:r>
              <w:rPr>
                <w:b/>
                <w:i/>
              </w:rPr>
              <w:t>zarówno</w:t>
            </w:r>
            <w:r>
              <w:t xml:space="preserve"> przez państwa, </w:t>
            </w:r>
            <w:r>
              <w:rPr>
                <w:b/>
                <w:i/>
              </w:rPr>
              <w:t>jak i</w:t>
            </w:r>
            <w:r>
              <w:t xml:space="preserve"> podmioty niepaństwowe;</w:t>
            </w:r>
          </w:p>
        </w:tc>
        <w:tc>
          <w:tcPr>
            <w:tcW w:w="4876" w:type="dxa"/>
            <w:tcBorders>
              <w:top w:val="nil"/>
              <w:left w:val="nil"/>
              <w:bottom w:val="nil"/>
              <w:right w:val="nil"/>
            </w:tcBorders>
          </w:tcPr>
          <w:p>
            <w:pPr>
              <w:pStyle w:val="Normal6a"/>
            </w:pPr>
            <w:r>
              <w:t>A.</w:t>
            </w:r>
            <w:r>
              <w:tab/>
            </w:r>
            <w:r>
              <w:t xml:space="preserve">mając na uwadze, że </w:t>
            </w:r>
            <w:r>
              <w:rPr>
                <w:b/>
                <w:i/>
              </w:rPr>
              <w:t>świat stoi w obliczu szybkich</w:t>
            </w:r>
            <w:r>
              <w:t xml:space="preserve"> zmian geopolitycznych, a autokratyczne </w:t>
            </w:r>
            <w:r>
              <w:rPr>
                <w:b/>
                <w:i/>
              </w:rPr>
              <w:t>potęgi,</w:t>
            </w:r>
            <w:r>
              <w:t xml:space="preserve"> zarówno indywidualnie, jak i w ramach </w:t>
            </w:r>
            <w:r>
              <w:rPr>
                <w:b/>
                <w:i/>
              </w:rPr>
              <w:t>skoordynowanych</w:t>
            </w:r>
            <w:r>
              <w:t xml:space="preserve"> działań</w:t>
            </w:r>
            <w:r>
              <w:rPr>
                <w:b/>
                <w:i/>
              </w:rPr>
              <w:t>, aktywnie podważają międzynarodowy porządek oparty</w:t>
            </w:r>
            <w:r>
              <w:t xml:space="preserve"> na zasadach i jego </w:t>
            </w:r>
            <w:r>
              <w:rPr>
                <w:b/>
                <w:i/>
              </w:rPr>
              <w:t>instytucje wielostronne;</w:t>
            </w:r>
            <w:r>
              <w:t xml:space="preserve"> </w:t>
            </w:r>
            <w:r>
              <w:rPr>
                <w:b/>
                <w:i/>
              </w:rPr>
              <w:t>natomiast w miarę, jak mnożą się konflikty</w:t>
            </w:r>
            <w:r>
              <w:t xml:space="preserve">, użycie siły jest w coraz większym stopniu </w:t>
            </w:r>
            <w:r>
              <w:rPr>
                <w:b/>
                <w:i/>
              </w:rPr>
              <w:t>traktowane jako standardowe narzędzie</w:t>
            </w:r>
            <w:r>
              <w:t xml:space="preserve"> realizacji celów politycznych</w:t>
            </w:r>
            <w:r>
              <w:rPr>
                <w:b/>
                <w:i/>
              </w:rPr>
              <w:t>, używane nie tylko</w:t>
            </w:r>
            <w:r>
              <w:t xml:space="preserve"> przez państwa, </w:t>
            </w:r>
            <w:r>
              <w:rPr>
                <w:b/>
                <w:i/>
              </w:rPr>
              <w:t>ale również przez coraz liczniejsze</w:t>
            </w:r>
            <w:r>
              <w:t xml:space="preserve"> podmioty niepaństwowe;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tempo zmian geopolitycznych jest gwałtowne, a autokratyczne podmioty dążą – zarówno indywidualnie, jak i w ramach wspólnych działań – do podważenia międzynarodowego porządku opartego na zasadach </w:t>
            </w:r>
            <w:r>
              <w:rPr>
                <w:b/>
                <w:i/>
              </w:rPr>
              <w:t>i</w:t>
            </w:r>
            <w:r>
              <w:t xml:space="preserve"> jego organizacji wielostronnych; mając na uwadze, że konflikty rozprzestrzeniają się, a użycie siły jest w coraz większym stopniu uznawane za zwykły środek realizacji celów politycznych zarówno przez państwa, jak i podmioty niepaństwowe;</w:t>
            </w:r>
          </w:p>
        </w:tc>
        <w:tc>
          <w:tcPr>
            <w:tcW w:w="4876" w:type="dxa"/>
            <w:tcBorders>
              <w:top w:val="nil"/>
              <w:left w:val="nil"/>
              <w:bottom w:val="nil"/>
              <w:right w:val="nil"/>
            </w:tcBorders>
          </w:tcPr>
          <w:p>
            <w:pPr>
              <w:pStyle w:val="Normal6a"/>
            </w:pPr>
            <w:r>
              <w:t>A.</w:t>
            </w:r>
            <w:r>
              <w:tab/>
            </w:r>
            <w:r>
              <w:t>mając na uwadze, że tempo zmian geopolitycznych jest gwałtowne, a autokratyczne podmioty dążą – zarówno indywidualnie, jak i w ramach wspólnych działań – do podważenia międzynarodowego porządku opartego na zasadach</w:t>
            </w:r>
            <w:r>
              <w:rPr>
                <w:b/>
                <w:i/>
              </w:rPr>
              <w:t>,</w:t>
            </w:r>
            <w:r>
              <w:t xml:space="preserve"> jego organizacji wielostronnych </w:t>
            </w:r>
            <w:r>
              <w:rPr>
                <w:b/>
                <w:i/>
              </w:rPr>
              <w:t>i bezpieczeństwa globalnego</w:t>
            </w:r>
            <w:r>
              <w:t xml:space="preserve">; mając na uwadze, że konflikty rozprzestrzeniają się, a użycie siły jest w coraz większym stopniu uznawane za zwykły środek realizacji celów politycznych zarówno przez państwa, jak i podmioty niepaństwowe; </w:t>
            </w:r>
            <w:r>
              <w:rPr>
                <w:b/>
                <w:i/>
              </w:rPr>
              <w:t>mając na uwadze, że Unia Europejska musi zacieśnić stosunki transatlantyckie i budować konstruktywne partnerstwa z partnerami o podobnych poglądach na globalnym Południu;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tempo zmian geopolitycznych jest gwałtowne, a autokratyczne podmioty dążą – zarówno indywidualnie, jak i w ramach wspólnych działań – do podważenia międzynarodowego porządku opartego na zasadach i jego organizacji wielostronnych; mając na uwadze, że konflikty rozprzestrzeniają się, a użycie siły jest w coraz większym stopniu uznawane za zwykły środek realizacji celów politycznych zarówno przez państwa, jak i podmioty niepaństwowe;</w:t>
            </w:r>
          </w:p>
        </w:tc>
        <w:tc>
          <w:tcPr>
            <w:tcW w:w="4876" w:type="dxa"/>
            <w:tcBorders>
              <w:top w:val="nil"/>
              <w:left w:val="nil"/>
              <w:bottom w:val="nil"/>
              <w:right w:val="nil"/>
            </w:tcBorders>
          </w:tcPr>
          <w:p>
            <w:pPr>
              <w:pStyle w:val="Normal6a"/>
            </w:pPr>
            <w:r>
              <w:t>A.</w:t>
            </w:r>
            <w:r>
              <w:tab/>
            </w:r>
            <w:r>
              <w:t xml:space="preserve">mając na uwadze, że tempo zmian geopolitycznych jest gwałtowne, a </w:t>
            </w:r>
            <w:r>
              <w:rPr>
                <w:b/>
                <w:i/>
              </w:rPr>
              <w:t>komunistyczne, dyktatorskie i</w:t>
            </w:r>
            <w:r>
              <w:t xml:space="preserve"> autokratyczne podmioty</w:t>
            </w:r>
            <w:r>
              <w:rPr>
                <w:b/>
                <w:i/>
              </w:rPr>
              <w:t>, takie jak Rosja, Chiny, Iran, Kuba, Wenezuela i Korea Północna,</w:t>
            </w:r>
            <w:r>
              <w:t xml:space="preserve"> dążą – zarówno indywidualnie, jak i w ramach wspólnych działań – do podważenia międzynarodowego porządku opartego na zasadach i jego organizacji wielostronnych</w:t>
            </w:r>
            <w:r>
              <w:rPr>
                <w:b/>
                <w:i/>
              </w:rPr>
              <w:t>;</w:t>
            </w:r>
            <w:r>
              <w:t xml:space="preserve"> </w:t>
            </w:r>
            <w:r>
              <w:rPr>
                <w:b/>
                <w:i/>
              </w:rPr>
              <w:t>mając na uwadze, że nasiliły się przypadki łamania praw człowieka przez te podmioty</w:t>
            </w:r>
            <w:r>
              <w:t>; mając na uwadze, że konflikty rozprzestrzeniają się, a użycie siły jest w coraz większym stopniu uznawane za zwykły środek realizacji celów politycznych zarówno przez państwa, jak i podmioty niepaństwowe;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tempo zmian geopolitycznych jest gwałtowne, a autokratyczne podmioty dążą – zarówno indywidualnie, jak i w ramach wspólnych działań – do podważenia międzynarodowego porządku opartego na zasadach </w:t>
            </w:r>
            <w:r>
              <w:rPr>
                <w:b/>
                <w:i/>
              </w:rPr>
              <w:t>i jego organizacji wielostronnych</w:t>
            </w:r>
            <w:r>
              <w:t>; mając na uwadze, że konflikty rozprzestrzeniają się, a użycie siły jest w coraz większym stopniu uznawane za zwykły środek realizacji celów politycznych zarówno przez państwa, jak i podmioty niepaństwowe;</w:t>
            </w:r>
          </w:p>
        </w:tc>
        <w:tc>
          <w:tcPr>
            <w:tcW w:w="4876" w:type="dxa"/>
            <w:tcBorders>
              <w:top w:val="nil"/>
              <w:left w:val="nil"/>
              <w:bottom w:val="nil"/>
              <w:right w:val="nil"/>
            </w:tcBorders>
          </w:tcPr>
          <w:p>
            <w:pPr>
              <w:pStyle w:val="Normal6a"/>
            </w:pPr>
            <w:r>
              <w:t>A.</w:t>
            </w:r>
            <w:r>
              <w:tab/>
            </w:r>
            <w:r>
              <w:t>mając na uwadze, że tempo zmian geopolitycznych jest gwałtowne, a autokratyczne podmioty dążą – zarówno indywidualnie, jak i w ramach wspólnych działań – do podważenia międzynarodowego porządku opartego na zasadach</w:t>
            </w:r>
            <w:r>
              <w:rPr>
                <w:b/>
                <w:i/>
              </w:rPr>
              <w:t>, organizacji wielostronnych, prawa międzynarodowego, demokratycznych instytucji i społeczeństw oraz naszych sojuszy</w:t>
            </w:r>
            <w:r>
              <w:t>; mając na uwadze, że konflikty rozprzestrzeniają się, a użycie siły jest w coraz większym stopniu uznawane za zwykły środek realizacji celów politycznych zarówno przez państwa, jak i podmioty niepaństwowe;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Michael von der Schulenburg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mając na uwadze, że tempo zmian geopolitycznych jest gwałtowne</w:t>
            </w:r>
            <w:r>
              <w:rPr>
                <w:b/>
                <w:i/>
              </w:rPr>
              <w:t>, a autokratyczne podmioty dążą – zarówno indywidualnie, jak i w ramach wspólnych działań – do podważenia międzynarodowego porządku opartego na zasadach i jego organizacji wielostronnych</w:t>
            </w:r>
            <w:r>
              <w:t xml:space="preserve">; mając na uwadze, że konflikty rozprzestrzeniają się, a użycie siły </w:t>
            </w:r>
            <w:r>
              <w:rPr>
                <w:b/>
                <w:i/>
              </w:rPr>
              <w:t>jest w coraz większym stopniu uznawane</w:t>
            </w:r>
            <w:r>
              <w:t xml:space="preserve"> za zwykły środek realizacji celów politycznych zarówno przez państwa, jak i podmioty niepaństwowe;</w:t>
            </w:r>
          </w:p>
        </w:tc>
        <w:tc>
          <w:tcPr>
            <w:tcW w:w="4876" w:type="dxa"/>
            <w:tcBorders>
              <w:top w:val="nil"/>
              <w:left w:val="nil"/>
              <w:bottom w:val="nil"/>
              <w:right w:val="nil"/>
            </w:tcBorders>
          </w:tcPr>
          <w:p>
            <w:pPr>
              <w:pStyle w:val="Normal6a"/>
            </w:pPr>
            <w:r>
              <w:t>A.</w:t>
            </w:r>
            <w:r>
              <w:tab/>
            </w:r>
            <w:r>
              <w:t xml:space="preserve">mając na uwadze, że tempo zmian geopolitycznych jest gwałtowne </w:t>
            </w:r>
            <w:r>
              <w:rPr>
                <w:b/>
                <w:i/>
              </w:rPr>
              <w:t>i stanowi zagrożenie dla pokoju na kontynencie europejskim i na świecie</w:t>
            </w:r>
            <w:r>
              <w:t xml:space="preserve">; mając na uwadze, że konflikty rozprzestrzeniają się, a użycie siły </w:t>
            </w:r>
            <w:r>
              <w:rPr>
                <w:b/>
                <w:i/>
              </w:rPr>
              <w:t>uznano</w:t>
            </w:r>
            <w:r>
              <w:t xml:space="preserve"> za zwykły środek realizacji celów politycznych zarówno przez państwa, jak i podmioty niepaństwowe;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mając na uwadze, że tempo zmian geopolitycznych jest gwałtowne, a </w:t>
            </w:r>
            <w:r>
              <w:rPr>
                <w:b/>
                <w:i/>
              </w:rPr>
              <w:t>autokratyczne</w:t>
            </w:r>
            <w:r>
              <w:t xml:space="preserve"> podmioty dążą – zarówno indywidualnie, jak i w ramach wspólnych działań – do podważenia </w:t>
            </w:r>
            <w:r>
              <w:rPr>
                <w:b/>
                <w:i/>
              </w:rPr>
              <w:t>międzynarodowego</w:t>
            </w:r>
            <w:r>
              <w:t xml:space="preserve"> porządku </w:t>
            </w:r>
            <w:r>
              <w:rPr>
                <w:b/>
                <w:i/>
              </w:rPr>
              <w:t>opartego na zasadach</w:t>
            </w:r>
            <w:r>
              <w:t xml:space="preserve"> i jego organizacji wielostronnych; mając na uwadze, że konflikty rozprzestrzeniają się, a użycie siły jest w coraz większym stopniu uznawane za zwykły środek realizacji celów politycznych zarówno przez państwa, jak i podmioty niepaństwowe;</w:t>
            </w:r>
          </w:p>
        </w:tc>
        <w:tc>
          <w:tcPr>
            <w:tcW w:w="4876" w:type="dxa"/>
            <w:tcBorders>
              <w:top w:val="nil"/>
              <w:left w:val="nil"/>
              <w:bottom w:val="nil"/>
              <w:right w:val="nil"/>
            </w:tcBorders>
          </w:tcPr>
          <w:p>
            <w:pPr>
              <w:pStyle w:val="Normal6a"/>
            </w:pPr>
            <w:r>
              <w:t>A.</w:t>
            </w:r>
            <w:r>
              <w:tab/>
            </w:r>
            <w:r>
              <w:t xml:space="preserve">mając na uwadze, że tempo zmian geopolitycznych jest gwałtowne, a </w:t>
            </w:r>
            <w:r>
              <w:rPr>
                <w:b/>
                <w:i/>
              </w:rPr>
              <w:t>znaczące</w:t>
            </w:r>
            <w:r>
              <w:t xml:space="preserve"> podmioty dążą – zarówno indywidualnie, jak i w ramach wspólnych działań – do podważenia </w:t>
            </w:r>
            <w:r>
              <w:rPr>
                <w:b/>
                <w:i/>
              </w:rPr>
              <w:t>obecnego</w:t>
            </w:r>
            <w:r>
              <w:t xml:space="preserve"> porządku </w:t>
            </w:r>
            <w:r>
              <w:rPr>
                <w:b/>
                <w:i/>
              </w:rPr>
              <w:t>międzynarodowego</w:t>
            </w:r>
            <w:r>
              <w:t xml:space="preserve"> i jego organizacji wielostronnych; mając na uwadze, że konflikty rozprzestrzeniają się, a użycie siły jest w coraz większym stopniu uznawane za zwykły środek realizacji celów politycznych zarówno przez państwa, jak i podmioty niepaństwowe;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A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mając na uwadze, że UE stoi w obliczu szybkiego wzrostu nowych zagrożeń na swoich granicach i swoim terytorium, a zagrożenia te destabilizują jej funkcjonowanie i obejmują w szczególności ukierunkowaną dezinformację, cyberataki i ataki hybrydowe, instrumentalizację przepływów migracyjnych, a także międzynarodowy terroryzm islamski i radykalizm religijny;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w:t>
            </w:r>
            <w:r>
              <w:rPr>
                <w:b/>
                <w:i/>
              </w:rPr>
              <w:t>uwypuklił</w:t>
            </w:r>
            <w:r>
              <w:t xml:space="preserve"> potrzebę bardziej </w:t>
            </w:r>
            <w:r>
              <w:rPr>
                <w:b/>
                <w:i/>
              </w:rPr>
              <w:t>ambitnych, wiarygodnych i ujednoliconych działań UE na arenie międzynarodowej oraz pokazał, że państwa członkowskie muszą wykazać się wolą polityczną konieczną do przekształcenia wspólnej polityki zagranicznej i bezpieczeństwa (WPZiB) w pełnoprawną politykę UE;</w:t>
            </w:r>
            <w:r>
              <w:t xml:space="preserve"> </w:t>
            </w:r>
            <w:r>
              <w:rPr>
                <w:b/>
                <w:i/>
              </w:rPr>
              <w:t>mając na uwadze, że UE powinna kierować się w działaniach zewnętrznych</w:t>
            </w:r>
            <w:r>
              <w:t xml:space="preserve"> wartościami i zasadami zapisanymi w art. </w:t>
            </w:r>
            <w:r>
              <w:rPr>
                <w:b/>
                <w:i/>
              </w:rPr>
              <w:t>2, art. 3 ust. 5</w:t>
            </w:r>
            <w:r>
              <w:t xml:space="preserve"> i art. </w:t>
            </w:r>
            <w:r>
              <w:rPr>
                <w:b/>
                <w:i/>
              </w:rPr>
              <w:t>21</w:t>
            </w:r>
            <w:r>
              <w:t xml:space="preserve"> TUE, które leżą u podstaw jej powstania</w:t>
            </w:r>
            <w:r>
              <w:rPr>
                <w:b/>
                <w:i/>
              </w:rPr>
              <w:t>, rozwoju i rozszerzenia;</w:t>
            </w:r>
            <w:r>
              <w:t xml:space="preserve"> </w:t>
            </w:r>
            <w:r>
              <w:rPr>
                <w:b/>
                <w:i/>
              </w:rPr>
              <w:t>mając na uwadze, że w związku z tym UE powinna bronić wolności i standardów demokratycznych na całym świecie, a także powszechności praw człowieka</w:t>
            </w:r>
            <w:r>
              <w:t>;</w:t>
            </w:r>
          </w:p>
        </w:tc>
        <w:tc>
          <w:tcPr>
            <w:tcW w:w="4876" w:type="dxa"/>
            <w:tcBorders>
              <w:top w:val="nil"/>
              <w:left w:val="nil"/>
              <w:bottom w:val="nil"/>
              <w:right w:val="nil"/>
            </w:tcBorders>
          </w:tcPr>
          <w:p>
            <w:pPr>
              <w:pStyle w:val="Normal6a"/>
            </w:pPr>
            <w:r>
              <w:t>B.</w:t>
            </w:r>
            <w:r>
              <w:tab/>
            </w:r>
            <w:r>
              <w:t xml:space="preserve">mając na uwadze, że kontekst geopolityczny, w którym funkcjonuje UE, </w:t>
            </w:r>
            <w:r>
              <w:rPr>
                <w:b/>
                <w:i/>
              </w:rPr>
              <w:t>wzmógł</w:t>
            </w:r>
            <w:r>
              <w:t xml:space="preserve"> potrzebę bardziej </w:t>
            </w:r>
            <w:r>
              <w:rPr>
                <w:b/>
                <w:i/>
              </w:rPr>
              <w:t>skoordynowanej obecności UE, opartej na wielu sojuszach, a nie na sztywnych blokach, zgodnie z</w:t>
            </w:r>
            <w:r>
              <w:t xml:space="preserve"> wartościami i zasadami zapisanymi w art. </w:t>
            </w:r>
            <w:r>
              <w:rPr>
                <w:b/>
                <w:i/>
              </w:rPr>
              <w:t>4 ust. 2</w:t>
            </w:r>
            <w:r>
              <w:t xml:space="preserve"> i art. </w:t>
            </w:r>
            <w:r>
              <w:rPr>
                <w:b/>
                <w:i/>
              </w:rPr>
              <w:t>42 ust. 2</w:t>
            </w:r>
            <w:r>
              <w:t xml:space="preserve"> TUE, które leżą u podstaw jej powstania;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Michael von der Schulenburg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w:t>
            </w:r>
            <w:r>
              <w:rPr>
                <w:b/>
                <w:i/>
              </w:rPr>
              <w:t>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w:t>
            </w:r>
            <w:r>
              <w:t xml:space="preserve"> </w:t>
            </w:r>
            <w:r>
              <w:rPr>
                <w:b/>
                <w:i/>
              </w:rPr>
              <w:t>mając na uwadze, że UE powinna kierować się w działaniach zewnętrznych wartościami i zasadami zapisanymi w art. 2, art. 3 ust. 5 i art. 21 TUE, które leżą u podstaw jej powstania, rozwoju i rozszerzenia;</w:t>
            </w:r>
            <w:r>
              <w:t xml:space="preserve"> </w:t>
            </w:r>
            <w:r>
              <w:rPr>
                <w:b/>
                <w:i/>
              </w:rPr>
              <w:t>mając na uwadze, że w związku z tym UE powinna bronić wolności i standardów demokratycznych na całym świecie, a także powszechności praw człowieka</w:t>
            </w:r>
            <w:r>
              <w:t>;</w:t>
            </w:r>
          </w:p>
        </w:tc>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w:t>
            </w:r>
            <w:r>
              <w:rPr>
                <w:b/>
                <w:i/>
              </w:rPr>
              <w:t>zaangażowania się UE w nowe strategie polityczne i działania, dzięki którym Unia i jej państwa członkowskie przejdą od szkodliwego i przynoszącego efekty odwrotne do zamierzonych militaryzmu do podejścia umożliwiającego wspólne i spójne wzmacnianie zaangażowania na rzecz multilateralizmu i dyplomacji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w:t>
            </w:r>
            <w:r>
              <w:rPr>
                <w:b/>
                <w:i/>
              </w:rPr>
              <w:t>oraz pokazał, że państwa członkowskie muszą wykazać się wolą polityczną konieczną do przekształcenia wspólnej</w:t>
            </w:r>
            <w:r>
              <w:t xml:space="preserve"> polityki zagranicznej </w:t>
            </w:r>
            <w:r>
              <w:rPr>
                <w:b/>
                <w:i/>
              </w:rPr>
              <w:t>i bezpieczeństwa (WPZiB) w pełnoprawną politykę</w:t>
            </w:r>
            <w:r>
              <w:t xml:space="preserve">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 i ujednoliconych działań UE na arenie międzynarodowej</w:t>
            </w:r>
            <w:r>
              <w:rPr>
                <w:b/>
                <w:i/>
              </w:rPr>
              <w:t>, biorąc również pod uwagę fakt, że jednomyślność przy podejmowaniu decyzji w ramach WPZiB jest ustanowiona w traktatach i służy jako zasadniczy element zapewniający suwerenność narodową w ramach</w:t>
            </w:r>
            <w:r>
              <w:t xml:space="preserve"> polityki zagranicznej </w:t>
            </w:r>
            <w:r>
              <w:rPr>
                <w:b/>
                <w:i/>
              </w:rPr>
              <w:t>UE;</w:t>
            </w:r>
            <w:r>
              <w:t xml:space="preserve"> </w:t>
            </w:r>
            <w:r>
              <w:rPr>
                <w:b/>
                <w:i/>
              </w:rPr>
              <w:t>mając na uwadze, że utrzymanie jednomyślności w decyzjach dotyczących polityki zagranicznej ma kluczowe znaczenie, ponieważ każde inne podejście może zmusić kraje do dostosowania się do stanowisk, które mogą nie w pełni popierać, oraz do decyzji nieproporcjonalnie uzależnionych od większych lub silniejszych członków</w:t>
            </w:r>
            <w:r>
              <w:t xml:space="preserve">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w:t>
            </w:r>
            <w:r>
              <w:rPr>
                <w:b/>
                <w:i/>
              </w:rPr>
              <w:t>bardziej ambitnych,</w:t>
            </w:r>
            <w:r>
              <w:t xml:space="preserve"> wiarygodnych </w:t>
            </w:r>
            <w:r>
              <w:rPr>
                <w:b/>
                <w:i/>
              </w:rPr>
              <w:t>i ujednoliconych</w:t>
            </w:r>
            <w:r>
              <w:t xml:space="preserve"> działań UE na arenie międzynarodowej </w:t>
            </w:r>
            <w:r>
              <w:rPr>
                <w:b/>
                <w:i/>
              </w:rPr>
              <w:t>oraz pokazał, że państwa członkowskie muszą wykazać się wolą polityczną konieczną do przekształcenia wspólnej polityki zagranicznej i bezpieczeństwa (WPZiB) w pełnoprawną politykę UE</w:t>
            </w:r>
            <w:r>
              <w:t>;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mając na uwadze, że kontekst geopolityczny, w którym funkcjonuje UE, uwypuklił potrzebę wiarygodnych działań UE na arenie międzynarodowej;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w:t>
            </w:r>
            <w:r>
              <w:rPr>
                <w:b/>
                <w:i/>
              </w:rPr>
              <w:t>UE powinna bronić</w:t>
            </w:r>
            <w:r>
              <w:t xml:space="preserve">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w:t>
            </w:r>
            <w:r>
              <w:rPr>
                <w:b/>
                <w:i/>
              </w:rPr>
              <w:t>, która pozwoli Unii stawiać czoła kluczowym wyzwaniom geopolitycznym;</w:t>
            </w:r>
            <w:r>
              <w:t xml:space="preserve"> </w:t>
            </w:r>
            <w:r>
              <w:rPr>
                <w:b/>
                <w:i/>
              </w:rPr>
              <w:t>ubolewa nad rozbieżnościami między słowami a czynami UE na arenie międzynarodowej</w:t>
            </w:r>
            <w:r>
              <w:t xml:space="preserve">; mając na uwadze, że UE powinna kierować się w działaniach zewnętrznych wartościami i zasadami zapisanymi w art. 2, art. 3 ust. 5 i art. 21 TUE, które leżą u podstaw jej powstania, rozwoju i rozszerzenia; mając na uwadze, że w związku z tym </w:t>
            </w:r>
            <w:r>
              <w:rPr>
                <w:b/>
                <w:i/>
              </w:rPr>
              <w:t>w interesie UE leży obrona</w:t>
            </w:r>
            <w:r>
              <w:t xml:space="preserve">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w:t>
            </w:r>
            <w:r>
              <w:rPr>
                <w:b/>
                <w:i/>
              </w:rPr>
              <w:t>, zatwierdzoną przez państwa członkowskie będące głównymi podmiotami polityki zagranicznej</w:t>
            </w:r>
            <w:r>
              <w:t>;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mając na uwadze, że kontekst geopolityczny, w którym funkcjonuje UE, uwypuklił potrzebę bardziej ambitnych, wiarygodnych</w:t>
            </w:r>
            <w:r>
              <w:rPr>
                <w:b/>
                <w:i/>
              </w:rPr>
              <w:t>, stanowczych</w:t>
            </w:r>
            <w:r>
              <w:t xml:space="preserve"> i ujednoliconych działań UE </w:t>
            </w:r>
            <w:r>
              <w:rPr>
                <w:b/>
                <w:i/>
              </w:rPr>
              <w:t>i pełnoprawnej europejskiej polityki zagranicznej</w:t>
            </w:r>
            <w:r>
              <w:t xml:space="preserv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Mariusz Kamiński, Adam Bielan, Michał Dworczyk</w:t>
      </w:r>
      <w:r>
        <w:rPr>
          <w:rStyle w:val="HideTWBExt"/>
          <w:b w:val="0"/>
        </w:rPr>
        <w:t>&lt;/Members&gt;</w:t>
      </w:r>
    </w:p>
    <w:p>
      <w:r>
        <w:rPr>
          <w:rStyle w:val="HideTWBExt"/>
          <w:b w:val="0"/>
        </w:rPr>
        <w:t>&lt;AuNomDe&gt;</w:t>
      </w:r>
      <w:r>
        <w:rPr>
          <w:rStyle w:val="HideTWBInt"/>
        </w:rPr>
        <w:t>{ECR}</w:t>
      </w:r>
      <w:r>
        <w:t>w imieniu grupy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w:t>
            </w:r>
            <w:r>
              <w:rPr>
                <w:b/>
                <w:i/>
              </w:rPr>
              <w:t>przekształcenia wspólnej polityki zagranicznej i bezpieczeństwa (WPZiB) w pełnoprawną politykę UE</w:t>
            </w:r>
            <w:r>
              <w:t>;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w:t>
            </w:r>
            <w:r>
              <w:rPr>
                <w:b/>
                <w:i/>
              </w:rPr>
              <w:t>odbudowania ich zdolności wojskowych, przy jednoczesnym wzmocnieniu transatlantyckich więzi UE i partnerstw z krajami o podobnych poglądach</w:t>
            </w:r>
            <w:r>
              <w:t>;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w:t>
            </w:r>
            <w:r>
              <w:rPr>
                <w:b/>
                <w:i/>
              </w:rPr>
              <w:t>UE</w:t>
            </w:r>
            <w:r>
              <w:t xml:space="preserve"> powinna bronić </w:t>
            </w:r>
            <w:r>
              <w:rPr>
                <w:b/>
                <w:i/>
              </w:rPr>
              <w:t>wolności i standardów demokratycznych na całym świecie</w:t>
            </w:r>
            <w:r>
              <w:t xml:space="preserve">, a także </w:t>
            </w:r>
            <w:r>
              <w:rPr>
                <w:b/>
                <w:i/>
              </w:rPr>
              <w:t>powszechności praw</w:t>
            </w:r>
            <w:r>
              <w:t xml:space="preserve"> człowieka;</w:t>
            </w:r>
          </w:p>
        </w:tc>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w:t>
            </w:r>
            <w:r>
              <w:rPr>
                <w:b/>
                <w:i/>
              </w:rPr>
              <w:t>Unia Europejska</w:t>
            </w:r>
            <w:r>
              <w:t xml:space="preserve"> powinna bronić </w:t>
            </w:r>
            <w:r>
              <w:rPr>
                <w:b/>
                <w:i/>
              </w:rPr>
              <w:t>uniwersalnych wartości, norm i zasad, takich jak wolność i standardy demokratyczne</w:t>
            </w:r>
            <w:r>
              <w:t xml:space="preserve">, a także </w:t>
            </w:r>
            <w:r>
              <w:rPr>
                <w:b/>
                <w:i/>
              </w:rPr>
              <w:t>prawa</w:t>
            </w:r>
            <w:r>
              <w:t xml:space="preserve"> człowieka </w:t>
            </w:r>
            <w:r>
              <w:rPr>
                <w:b/>
                <w:i/>
              </w:rPr>
              <w:t>i praworządność</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w:t>
            </w:r>
            <w:r>
              <w:rPr>
                <w:b/>
                <w:i/>
              </w:rPr>
              <w:t>ujednoliconych</w:t>
            </w:r>
            <w:r>
              <w:t xml:space="preserve"> działań UE na arenie międzynarodowej oraz pokazał, że państwa członkowskie muszą </w:t>
            </w:r>
            <w:r>
              <w:rPr>
                <w:b/>
                <w:i/>
              </w:rPr>
              <w:t>wykazać się wolą polityczną konieczną do przekształcenia wspólnej polityki zagranicznej</w:t>
            </w:r>
            <w:r>
              <w:t xml:space="preserve"> i bezpieczeństwa (WPZiB) </w:t>
            </w:r>
            <w:r>
              <w:rPr>
                <w:b/>
                <w:i/>
              </w:rPr>
              <w:t>w pełnoprawną politykę UE</w:t>
            </w:r>
            <w:r>
              <w:t>;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w:t>
            </w:r>
            <w:r>
              <w:rPr>
                <w:b/>
                <w:i/>
              </w:rPr>
              <w:t>skoordynowanych</w:t>
            </w:r>
            <w:r>
              <w:t xml:space="preserve"> działań UE na arenie międzynarodowej oraz pokazał, że państwa członkowskie muszą </w:t>
            </w:r>
            <w:r>
              <w:rPr>
                <w:b/>
                <w:i/>
              </w:rPr>
              <w:t>zaktualizować wspólną politykę zagraniczną</w:t>
            </w:r>
            <w:r>
              <w:t xml:space="preserve"> i bezpieczeństwa (WPZiB);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całym świecie, a także powszechności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w:t>
            </w:r>
            <w:r>
              <w:rPr>
                <w:b/>
                <w:i/>
              </w:rPr>
              <w:t>całym świecie</w:t>
            </w:r>
            <w:r>
              <w:t>, a także powszechności praw człowieka;</w:t>
            </w:r>
          </w:p>
        </w:tc>
        <w:tc>
          <w:tcPr>
            <w:tcW w:w="4876" w:type="dxa"/>
            <w:tcBorders>
              <w:top w:val="nil"/>
              <w:left w:val="nil"/>
              <w:bottom w:val="nil"/>
              <w:right w:val="nil"/>
            </w:tcBorders>
          </w:tcPr>
          <w:p>
            <w:pPr>
              <w:pStyle w:val="Normal6a"/>
            </w:pPr>
            <w:r>
              <w:t>B.</w:t>
            </w:r>
            <w:r>
              <w:tab/>
            </w:r>
            <w:r>
              <w:t xml:space="preserve">mając na uwadze, że kontekst geopolityczny, w którym funkcjonuje UE, uwypuklił potrzebę bardziej ambitnych, wiarygodnych i ujednoliconych działań UE na arenie międzynarodowej oraz pokazał, że państwa członkowskie muszą wykazać się wolą polityczną konieczną do przekształcenia wspólnej polityki zagranicznej i bezpieczeństwa (WPZiB) w pełnoprawną politykę UE; mając na uwadze, że UE powinna kierować się w działaniach zewnętrznych wartościami i zasadami zapisanymi w art. 2, art. 3 ust. 5 i art. 21 TUE, które leżą u podstaw jej powstania, rozwoju i rozszerzenia; mając na uwadze, że w związku z tym UE powinna bronić wolności i standardów demokratycznych na </w:t>
            </w:r>
            <w:r>
              <w:rPr>
                <w:b/>
                <w:i/>
              </w:rPr>
              <w:t>swoim terytorium</w:t>
            </w:r>
            <w:r>
              <w:t>, a także powszechności praw człowieka;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Carlo Fidanza, Alberico Gambino, 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partnerstwa strategiczne i umowy między UE a krajami pochodzenia i tranzytu, takie jak umowy między UE a Tunezją, Egiptem i Mauretanią, okazują się skutecznym modelem zapobiegania nielegalnej migracji i walki z przemytnikami migrantów;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rosyjska wojna napastnicza potwierdziła rolę NATO jako fundamentu europejskiego bezpieczeństwa, a także przywództwo USA i rolę Zjednoczonego Królestwa w zapewnianiu bezpieczeństwa w Europie, a także udowodniła, że silna więź transatlantycka jest niezbędna;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B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mając na uwadze, że wyniki wyborów prezydenckich i wyborów do kongresu w Stanach Zjednoczonych mogą zasygnalizować mniejszą chęć do angażowania się w sprawy globalne, zwłaszcza w Europie i we współpracy z nią;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 4)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 4) ogólną widoczność działań UE za granicą; mając na uwadze, że perspektywiczne stanowisko Parlamentu w dziedzinie WPZiB zostało ostatecznie podkreślone w kluczowych żądaniach dotyczących kolejnych wieloletnich ram finansowych (WRF) oraz nadzoru parlamentarnego nad WRF; </w:t>
            </w:r>
            <w:r>
              <w:rPr>
                <w:b/>
                <w:i/>
              </w:rPr>
              <w:t>mając na uwadze, że trzeba chronić i wzmacniać międzynarodowy porządek oparty na zasadach, uniwersalne normy, wartości i zasady Karty Narodów Zjednoczonych, takie jak prawa człowieka i międzynarodowy wymiar sprawiedliwości, multilateralizm oraz akt końcowy z Helsinek, w szczególności w odniesieniu do nienaruszania granic międzynarodowych;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Geadis Geadi, Emmanouil Fragkos, Afroditi Latinopoulou, Fernand Kartheiser, Charlie Weimers, 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w:t>
            </w:r>
            <w:r>
              <w:rPr>
                <w:b/>
                <w:i/>
              </w:rPr>
              <w:t xml:space="preserve"> 4)</w:t>
            </w:r>
            <w:r>
              <w:t xml:space="preserve">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t>
            </w:r>
            <w:r>
              <w:rPr>
                <w:b/>
                <w:i/>
              </w:rPr>
              <w:t>rewizjonistyczną postawę Turcji we wschodniej części Morza Śródziemnego i brak poszanowania dla suwerenności państwowej Grecji i Cypru, (4)</w:t>
            </w:r>
            <w:r>
              <w:t xml:space="preserve"> współpracę z partnerami o podobnych poglądach oraz </w:t>
            </w:r>
            <w:r>
              <w:rPr>
                <w:b/>
                <w:i/>
              </w:rPr>
              <w:t>(5)</w:t>
            </w:r>
            <w:r>
              <w:t xml:space="preserve">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Michael von der Schulenburg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t>
            </w:r>
            <w:r>
              <w:rPr>
                <w:b/>
                <w:i/>
              </w:rPr>
              <w:t>w szczególności (1) globalne konsekwencje rosyjskiej wojny napastniczej przeciwko</w:t>
            </w:r>
            <w:r>
              <w:t xml:space="preserve"> Ukrainie, (2) </w:t>
            </w:r>
            <w:r>
              <w:rPr>
                <w:b/>
                <w:i/>
              </w:rPr>
              <w:t>konflikt i pokój</w:t>
            </w:r>
            <w:r>
              <w:t xml:space="preserve"> na Bliskim Wschodzie, (3) współpracę </w:t>
            </w:r>
            <w:r>
              <w:rPr>
                <w:b/>
                <w:i/>
              </w:rPr>
              <w:t>z partnerami o podobnych poglądach oraz 4) ogólną widoczność działań UE za granicą</w:t>
            </w:r>
            <w:r>
              <w:t xml:space="preserve">; mając na uwadze, że perspektywiczne stanowisko Parlamentu w dziedzinie WPZiB zostało </w:t>
            </w:r>
            <w:r>
              <w:rPr>
                <w:b/>
                <w:i/>
              </w:rPr>
              <w:t>ostatecznie</w:t>
            </w:r>
            <w:r>
              <w:t xml:space="preserve"> podkreślone w </w:t>
            </w:r>
            <w:r>
              <w:rPr>
                <w:b/>
                <w:i/>
              </w:rPr>
              <w:t>kluczowych</w:t>
            </w:r>
            <w:r>
              <w:t xml:space="preserve"> żądaniach dotyczących kolejnych wieloletnich ram finansowych (WRF) oraz nadzoru parlamentarnego nad WRF;</w:t>
            </w:r>
          </w:p>
        </w:tc>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t>
            </w:r>
            <w:r>
              <w:rPr>
                <w:b/>
                <w:i/>
              </w:rPr>
              <w:t>(1) działania na rzecz sprawiedliwego i trwałego pokoju w</w:t>
            </w:r>
            <w:r>
              <w:t xml:space="preserve"> Ukrainie, (2) </w:t>
            </w:r>
            <w:r>
              <w:rPr>
                <w:b/>
                <w:i/>
              </w:rPr>
              <w:t>działania na rzecz sprawiedliwego i trwałego pokoju</w:t>
            </w:r>
            <w:r>
              <w:t xml:space="preserve"> na Bliskim Wschodzie, (3) współpracę </w:t>
            </w:r>
            <w:r>
              <w:rPr>
                <w:b/>
                <w:i/>
              </w:rPr>
              <w:t>międzynarodową</w:t>
            </w:r>
            <w:r>
              <w:t>; mając na uwadze, że perspektywiczne stanowisko Parlamentu w dziedzinie WPZiB zostało podkreślone w żądaniach dotyczących kolejnych wieloletnich ram finansowych (WRF) oraz nadzoru parlamentarnego nad WRF;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 4)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rosyjskiej wojny napastniczej przeciwko Ukrainie, (2) konflikt i pokój na Bliskim Wschodzie, (3) współpracę z partnerami o podobnych poglądach oraz 4) ogólną widoczność </w:t>
            </w:r>
            <w:r>
              <w:rPr>
                <w:b/>
                <w:i/>
              </w:rPr>
              <w:t>i wpływ</w:t>
            </w:r>
            <w:r>
              <w:t xml:space="preserve"> działań UE za granicą; mając na uwadze, że perspektywiczne stanowisko Parlamentu w dziedzinie WPZiB zostało ostatecznie podkreślone w kluczowych żądaniach dotyczących kolejnych wieloletnich ram finansowych (WRF) oraz nadzoru parlamentarnego nad WRF;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w:t>
            </w:r>
            <w:r>
              <w:rPr>
                <w:b/>
                <w:i/>
              </w:rPr>
              <w:t>rosyjskiej wojny napastniczej przeciwko</w:t>
            </w:r>
            <w:r>
              <w:t xml:space="preserve"> Ukrainie, (2) konflikt i pokój na Bliskim Wschodzie, (3) współpracę z partnerami o podobnych poglądach oraz 4)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c>
          <w:tcPr>
            <w:tcW w:w="4876" w:type="dxa"/>
            <w:tcBorders>
              <w:top w:val="nil"/>
              <w:left w:val="nil"/>
              <w:bottom w:val="nil"/>
              <w:right w:val="nil"/>
            </w:tcBorders>
          </w:tcPr>
          <w:p>
            <w:pPr>
              <w:pStyle w:val="Normal6a"/>
            </w:pPr>
            <w:r>
              <w:t>C.</w:t>
            </w:r>
            <w:r>
              <w:tab/>
            </w:r>
            <w:r>
              <w:t xml:space="preserve">mając na uwadze, że w sprawozdaniu tym najpierw dokonano przeglądu rocznego sprawozdania wiceprzewodniczącego / wysokiego przedstawiciela w sprawie WPZiB, a następnie uzupełniono je o stanowiska Parlamentu w sprawie celów WPZiB w 2025 r.; mając na uwadze, że w sprawozdaniu tym omówiono w szczególności (1) globalne konsekwencje </w:t>
            </w:r>
            <w:r>
              <w:rPr>
                <w:b/>
                <w:i/>
              </w:rPr>
              <w:t>konfliktu w</w:t>
            </w:r>
            <w:r>
              <w:t xml:space="preserve"> Ukrainie, (2) konflikt i pokój na Bliskim Wschodzie, (3) współpracę z partnerami o podobnych poglądach oraz 4) ogólną widoczność działań UE za granicą; mając na uwadze, że perspektywiczne stanowisko Parlamentu w dziedzinie WPZiB zostało ostatecznie podkreślone w kluczowych żądaniach dotyczących kolejnych wieloletnich ram finansowych (WRF) oraz nadzoru parlamentarnego nad WRF;</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 dziedzinie WPZiB Parlament Europejski pełni funkcje kontroli politycznej i konsultacji; mając na uwadze, że Parlament pełni funkcję budżetową dla tego obszaru polityki wspólnie z Radą, z wyjątkiem przypadków, gdy Rada jednomyślnie postanowi, że wydatkami obciążane są państwa członkowskie; mając na uwadze, że Parlament Europejski musi w pełni wykonywać wszystkie swoje kompetencje w celu </w:t>
            </w:r>
            <w:r>
              <w:rPr>
                <w:b/>
                <w:i/>
              </w:rPr>
              <w:t>zwiększenia legitymacji demokratycznej</w:t>
            </w:r>
            <w:r>
              <w:t xml:space="preserve"> WPZiB; mając na uwadze, że pozostałe instytucje muszą odpowiednio dostosowywać swoją współpracę z Parlamentem Europejskim;</w:t>
            </w:r>
          </w:p>
        </w:tc>
        <w:tc>
          <w:tcPr>
            <w:tcW w:w="4876" w:type="dxa"/>
            <w:tcBorders>
              <w:top w:val="nil"/>
              <w:left w:val="nil"/>
              <w:bottom w:val="nil"/>
              <w:right w:val="nil"/>
            </w:tcBorders>
          </w:tcPr>
          <w:p>
            <w:pPr>
              <w:pStyle w:val="Normal6a"/>
            </w:pPr>
            <w:r>
              <w:t>D.</w:t>
            </w:r>
            <w:r>
              <w:tab/>
            </w:r>
            <w:r>
              <w:t xml:space="preserve">mając na uwadze, że w dziedzinie WPZiB Parlament Europejski pełni funkcje kontroli politycznej i konsultacji; mając na uwadze, że Parlament pełni funkcję budżetową dla tego obszaru polityki wspólnie z Radą, z wyjątkiem przypadków, gdy Rada jednomyślnie postanowi, że wydatkami obciążane są państwa członkowskie; mając na uwadze, że Parlament Europejski musi w pełni wykonywać wszystkie swoje kompetencje w celu </w:t>
            </w:r>
            <w:r>
              <w:rPr>
                <w:b/>
                <w:i/>
              </w:rPr>
              <w:t>nadzorowania działań w ramach</w:t>
            </w:r>
            <w:r>
              <w:t xml:space="preserve"> WPZiB</w:t>
            </w:r>
            <w:r>
              <w:rPr>
                <w:b/>
                <w:i/>
              </w:rPr>
              <w:t>, aby ściśle utrzymać je w granicach ich mandatów i zapewnić pełne poszanowanie pierwszeństwa suwerenności w sprawach polityki zagranicznej, bezpieczeństwa i obrony</w:t>
            </w:r>
            <w:r>
              <w:t>; mając na uwadze, że pozostałe instytucje muszą odpowiednio dostosowywać swoją współpracę z Parlamentem Europejskim;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Sebastiaan Stöteler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mając na uwadze, że w dziedzinie WPZiB Parlament Europejski pełni funkcje </w:t>
            </w:r>
            <w:r>
              <w:rPr>
                <w:b/>
                <w:i/>
              </w:rPr>
              <w:t>kontroli</w:t>
            </w:r>
            <w:r>
              <w:t xml:space="preserve"> politycznej </w:t>
            </w:r>
            <w:r>
              <w:rPr>
                <w:b/>
                <w:i/>
              </w:rPr>
              <w:t>i konsultacji</w:t>
            </w:r>
            <w:r>
              <w:t xml:space="preserve">; mając na uwadze, że Parlament pełni funkcję budżetową dla tego obszaru polityki wspólnie z Radą, z wyjątkiem przypadków, gdy Rada jednomyślnie postanowi, że wydatkami obciążane są państwa członkowskie; mając na uwadze, że </w:t>
            </w:r>
            <w:r>
              <w:rPr>
                <w:b/>
                <w:i/>
              </w:rPr>
              <w:t>Parlament Europejski musi w pełni wykonywać wszystkie swoje kompetencje w celu zwiększenia legitymacji demokratycznej WPZiB;</w:t>
            </w:r>
            <w:r>
              <w:t xml:space="preserve"> </w:t>
            </w:r>
            <w:r>
              <w:rPr>
                <w:b/>
                <w:i/>
              </w:rPr>
              <w:t>mając na uwadze, że pozostałe instytucje muszą odpowiednio dostosowywać swoją współpracę z Parlamentem Europejskim</w:t>
            </w:r>
            <w:r>
              <w:t>;</w:t>
            </w:r>
          </w:p>
        </w:tc>
        <w:tc>
          <w:tcPr>
            <w:tcW w:w="4876" w:type="dxa"/>
            <w:tcBorders>
              <w:top w:val="nil"/>
              <w:left w:val="nil"/>
              <w:bottom w:val="nil"/>
              <w:right w:val="nil"/>
            </w:tcBorders>
          </w:tcPr>
          <w:p>
            <w:pPr>
              <w:pStyle w:val="Normal6a"/>
            </w:pPr>
            <w:r>
              <w:t>D.</w:t>
            </w:r>
            <w:r>
              <w:tab/>
            </w:r>
            <w:r>
              <w:t xml:space="preserve">mając na uwadze, że w dziedzinie WPZiB Parlament Europejski pełni funkcje </w:t>
            </w:r>
            <w:r>
              <w:rPr>
                <w:b/>
                <w:i/>
              </w:rPr>
              <w:t>konsultacji</w:t>
            </w:r>
            <w:r>
              <w:t xml:space="preserve"> politycznej; mając na uwadze, że Parlament pełni funkcję budżetową dla tego obszaru polityki wspólnie z Radą, z wyjątkiem przypadków, gdy Rada jednomyślnie postanowi, że wydatkami obciążane są państwa członkowskie; mając na uwadze, że </w:t>
            </w:r>
            <w:r>
              <w:rPr>
                <w:b/>
                <w:i/>
              </w:rPr>
              <w:t>art. 24 ust. 1 Traktatu o Unii Europejskiej, uzupełniony deklaracjami 13 i 14 konferencji międzyrządowej z 2007 r., stanowi, że postanowienia dotyczące wspólnej polityki zagranicznej i bezpieczeństwa nie przyznają Komisji nowych uprawnień do inicjowania decyzji ani nie zwiększają roli Parlamentu Europejskiego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Andrey Kovatchev,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Rosja nie uznała swojej roli w wybuchu II wojny światowej i nie poczuwa się do odpowiedzialności za okrucieństwa popełnione na terytoriach okupowanych przez Związek Radziecki;</w:t>
            </w:r>
            <w:r>
              <w:t xml:space="preserve"> </w:t>
            </w:r>
            <w:r>
              <w:rPr>
                <w:b/>
                <w:i/>
              </w:rPr>
              <w:t>mając na uwadze, że w przeciwieństwie do zbrodni popełnionych przez reżim nazistowski zbrodnie popełnione przez dyktatury komunistyczne w Europie w XX w. nie zostały w pełni ocenione ani potępione na szczeblu międzynarodowym pod względem prawnym i politycznym, co przyczyniło się do instrumentalizacji historii pod rządami Putina w Rosji;</w:t>
            </w:r>
            <w:r>
              <w:t xml:space="preserve"> </w:t>
            </w:r>
            <w:r>
              <w:rPr>
                <w:b/>
                <w:i/>
              </w:rPr>
              <w:t>mając na uwadze, że Kreml wykorzystuje sfałszowaną historię jako casus belli, systematycznie tuszując zbrodnie sowieckie i rozpowszechniając historyczną dezinformację, aby uzasadnić agresję Rosji na sąsiednie państwa;</w:t>
            </w:r>
            <w:r>
              <w:t xml:space="preserve"> </w:t>
            </w:r>
            <w:r>
              <w:rPr>
                <w:b/>
                <w:i/>
              </w:rPr>
              <w:t>mając na uwadze, że reżim Putina instrumentalizuje historię, aby zapewnić lojalność ludności, i w tym celu wywołuje nostalgię za rzekomą wielkością imperium radzieckiego, fałszuje historię Rosji i Ukrainy, odrzuca politykę Chruszczowa polegającą na uznawaniu i potępianiu zbrodni stalinowskich, negatywnie odnosi się do uznania i potępienia przez Gorbaczowa paktu Ribbentrop-Mołotow oraz uznaje upadek Związku Radzieckiego za największą tragedię poprzedniego stulecia;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Hannah Neumann</w:t>
      </w:r>
      <w:r>
        <w:rPr>
          <w:rStyle w:val="HideTWBExt"/>
          <w:b w:val="0"/>
        </w:rPr>
        <w:t>&lt;/Members&gt;</w:t>
      </w:r>
    </w:p>
    <w:p>
      <w:r>
        <w:rPr>
          <w:rStyle w:val="HideTWBExt"/>
          <w:b w:val="0"/>
        </w:rPr>
        <w:t>&lt;AuNomDe&gt;</w:t>
      </w:r>
      <w:r>
        <w:rPr>
          <w:rStyle w:val="HideTWBInt"/>
        </w:rPr>
        <w:t>{Greens/EFA}</w:t>
      </w:r>
      <w:r>
        <w:t>w imieniu grupy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obrońcy praw człowieka są naszymi głównymi sojusznikami w obronie i propagowaniu praw człowieka za granicą;</w:t>
            </w:r>
            <w:r>
              <w:t xml:space="preserve"> </w:t>
            </w:r>
            <w:r>
              <w:rPr>
                <w:b/>
                <w:i/>
              </w:rPr>
              <w:t>mając na uwadze, że obrońcy praw człowieka są coraz bardziej narażeni na ataki i groźby ze strony podmiotów państwowych i niepaństwowych;</w:t>
            </w:r>
            <w:r>
              <w:t xml:space="preserve"> </w:t>
            </w:r>
            <w:r>
              <w:rPr>
                <w:b/>
                <w:i/>
              </w:rPr>
              <w:t>mając na uwadze, że Parlament konsekwentnie wzywa do właściwego i skoordynowanego wdrażania wytycznych UE w sprawie obrońców praw człowieka (2008 r.);</w:t>
            </w:r>
            <w:r>
              <w:t xml:space="preserve"> </w:t>
            </w:r>
            <w:r>
              <w:rPr>
                <w:b/>
                <w:i/>
              </w:rPr>
              <w:t>mając na uwadze, że państwa członkowskie, podobnie jak instytucje UE, powinny wdrożyć wytyczne, które obejmują szereg konkretnych obowiązków, takich jak regularna sprawozdawczość, koordynacja i działania wspierające obrońców praw człowieka;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nasila się geopolityczna konfrontacja między demokracjami, w tym UE i USA, a reżimami autorytarnymi i dyktatorskimi, takimi jak reżimy Putina, Xi Jinpinga i Kim Jong Una;</w:t>
            </w:r>
            <w:r>
              <w:t xml:space="preserve"> </w:t>
            </w:r>
            <w:r>
              <w:rPr>
                <w:b/>
                <w:i/>
              </w:rPr>
              <w:t>mając na uwadze rosnącą współpracę w ramach BRICS, która może stanowić zagrożenie dla interesów gospodarczych Unii i jej partnerów;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strategiczna autonomia wymaga od Unii Europejskiej niezależnego działania na arenie międzynarodowej, zwłaszcza w dziedzinie polityki zagranicznej i bezpieczeństwa;</w:t>
            </w:r>
            <w:r>
              <w:t xml:space="preserve"> </w:t>
            </w:r>
            <w:r>
              <w:rPr>
                <w:b/>
                <w:i/>
              </w:rPr>
              <w:t>mając na uwadze, że UE uznała, że musi ograniczyć zależność od podmiotów zewnętrznych, zwłaszcza Stanów Zjednoczonych, chroniąc swoje interesy w nieprzewidywalnym i wielobiegunowym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Nacho Sánchez Amor, Sven Mikser, Alessandra Moretti, Yannis Maniatis, Marco Tarquinio,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UE musi nadal dążyć do stworzenia własnej i autonomicznej dyplomacji europejskiej we wszystkich obszarach, m.in. dyplomacji publicznej i kulturalnej, gospodarczej, klimatycznej, cyfrowej i cybernetycznej, kierowanej przez unijną służbę dyplomatyczną, której wyznacznikiem jest wspólna kultura dyplomatyczna z perspektywy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Marco Tarquinio,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mając na uwadze, że wszystkie agencje ONZ uosabiają międzynarodowy porządek oparty na zasadach, ponieważ podtrzymują i wdrażają zarówno literę, jak i ducha Karty Narodów Zjednoczonych, której muszą przestrzegać wszystkie państwa członkowskie ONZ;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Nacho Sánchez Amor, Sven Mikser, Alessandra Moretti, Yannis Maniatis, Marco Tarquinio,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wiarygodność i spójność UE są nadrzędnym warunkiem prawidłowej realizacji jej działań zewnętrznych, ponieważ zwiększają zaufanie do UE różnych podmiotów i krajów trzecich;</w:t>
            </w:r>
            <w:r>
              <w:t xml:space="preserve"> </w:t>
            </w:r>
            <w:r>
              <w:rPr>
                <w:b/>
                <w:i/>
              </w:rPr>
              <w:t>mając na uwadze, że skuteczność działań UE na całym świecie zależy od zapewnienia najwyższego poziomu koordynacji i spójności działań zewnętrznych UE;</w:t>
            </w:r>
            <w:r>
              <w:t xml:space="preserve"> </w:t>
            </w:r>
            <w:r>
              <w:rPr>
                <w:b/>
                <w:i/>
              </w:rPr>
              <w:t>mając na uwadze, że należy wzmocnić koordynację między Komisją a ESDZ, zwłaszcza ze względu na brak budżetu operacyjnego ESDZ;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cyberataki stanowią zagrożenie dla UE oraz jej misji i operacji w ramach wspólnej polityki bezpieczeństwa i obrony (WPBiO), a także dla państw członkowskich, funkcjonowania ich instytucji, ich procesów wyborczych, infrastruktury gospodarczej i cywilnej, bezpieczeństwa wewnętrznego, stosunków zewnętrznych i misji dyplomatycznych;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sekretarz generalny ONZ udał się na forum BRICS w Kazaniu;</w:t>
            </w:r>
            <w:r>
              <w:t xml:space="preserve"> </w:t>
            </w:r>
            <w:r>
              <w:rPr>
                <w:b/>
                <w:i/>
              </w:rPr>
              <w:t>mając na uwadze, że ONZ nie pełni roli, jaką powinna pełnić, polegającej na ochronie pokoju i bezpieczeństwa, w oparciu o zasady równych praw i samostanowienia narodów;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mając na uwadze, że UE jest przyszłością Bałkanów i państw wschodniego sąsiedztwa;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Nacho Sánchez Amor, Sven Mikser, Alessandra Moretti, Yannis Maniatis, Vasile Dîncu, Marco Tarquinio,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mając na uwadze, że globalny kryzys geopolityczny i humanitarny uwydatnia potrzebę uzyskiwania przez UE wiarygodnych informacji z pierwszej ręki na temat istniejących i możliwych zagrożeń zewnętrznych dla UE, aby mogła ona reagować szybko i skutecznie oraz lepiej chronić swoje interesy za granicą;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mając na uwadze, że inicjatywa Pasa i Szlaku, znana w Chinach jako „Jeden pas i jeden szlak”, zagraża interesom UE i podważa WPZiB;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c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mając na uwadze, że Kosowo i wspierany przez UE dialog między Prisztiną a Belgradem stoją w obliczu zagrożeń destabilizacji;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mając na uwadze, że w sprawozdaniu pt. „Bezpieczniejsi razem – Wzmocnienie przygotowania i gotowości Europy do reagowania na poziomie cywilnym i wojskowym” zaprezentowanym przez specjalnego doradcę Komisji Europejskiej Sauli Niinistö przedstawiono strategiczne zalecenia dotyczące zwiększenia gotowości cywilnej i wojskowej Europy w świetle nasilających się i złożonych zagrożeń dla bezpieczeństwa;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d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mając na uwadze, że konflikty na Bliskim Wschodzie i w Afryce powodują wzrost przepływów migracyjnych do Europy, co zwiększa presję wywieraną na systemy bezpieczeństwa;</w:t>
            </w:r>
            <w:r>
              <w:t xml:space="preserve"> </w:t>
            </w:r>
            <w:r>
              <w:rPr>
                <w:b/>
                <w:i/>
              </w:rPr>
              <w:t>mając na uwadze, że nielegalna migracja jest bronią, którą państwa trzecie posługują się do destabilizacji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Sven Mikser, Lucia Annunziata, Nicola Zingaretti, Thijs Reuten, Alessandra Moretti, Giorgio Gori, Tobias Cremer, Yannis Maniatis, Marco Tarquinio, 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Projekt rezolucji</w:t>
      </w:r>
      <w:r>
        <w:rPr>
          <w:rStyle w:val="HideTWBExt"/>
        </w:rPr>
        <w:t>&lt;/DocAmend&gt;</w:t>
      </w:r>
    </w:p>
    <w:p>
      <w:pPr>
        <w:pStyle w:val="NormalBold"/>
      </w:pPr>
      <w:r>
        <w:rPr>
          <w:rStyle w:val="HideTWBExt"/>
        </w:rPr>
        <w:t>&lt;Article&gt;</w:t>
      </w:r>
      <w:r>
        <w:t>Motyw D e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Projekt rezolucji</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mając na uwadze, że skutki zmiany klimatu będą miały coraz większy wpływ na sfery życia ludzkiego, w tym na porządek geopolityczny i stabilność na świecie;</w:t>
            </w:r>
            <w:r>
              <w:t xml:space="preserve"> </w:t>
            </w:r>
            <w:r>
              <w:rPr>
                <w:b/>
                <w:i/>
              </w:rPr>
              <w:t>mając na uwadze, że niezwykle ważne jest, aby walka ze zmianą klimatu, wymagająca działań na rzecz klimatu, oraz pomoc tym, którzy są najbardziej dotknięci jej skutkami, stały się podstawą europejskiej polityki zagranicznej;</w:t>
            </w:r>
            <w:r>
              <w:t xml:space="preserve"> </w:t>
            </w:r>
            <w:r>
              <w:rPr>
                <w:b/>
                <w:i/>
              </w:rPr>
              <w:t>mając na uwadze zasadniczą rolę, jaką w ramach wspólnego podejścia Komisja i państwa członkowskie muszą odegrać w rozwoju dyplomacji klimatycznej na całym świecie;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765.258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AM\1309577PL.docx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AM\1309577PL.docx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765.258</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AM\1309577PL.docx</w:t>
    </w:r>
    <w:r>
      <w:rPr>
        <w:rStyle w:val="HideTWBExt"/>
      </w:rPr>
      <w:t>&lt;/PathFdR&gt;</w:t>
    </w:r>
    <w:r>
      <w:tab/>
    </w:r>
    <w:r>
      <w:tab/>
    </w:r>
    <w:r>
      <w:t>PE</w:t>
    </w:r>
    <w:r>
      <w:rPr>
        <w:rStyle w:val="HideTWBExt"/>
      </w:rPr>
      <w:t>&lt;NoPE&gt;</w:t>
    </w:r>
    <w:r>
      <w:t>765.258</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8091</Words>
  <Characters>49970</Characters>
  <Application>Microsoft Office Word</Application>
  <DocSecurity>0</DocSecurity>
  <Lines>1</Lines>
  <Paragraphs>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1309577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96209</vt:lpwstr>
  </property>
  <property fmtid="{D5CDD505-2E9C-101B-9397-08002B2CF9AE}" pid="7" name="dmxml.render.traceId">
    <vt:lpwstr>67500f8eb063d9919b0c21b2664d2bf5</vt:lpwstr>
  </property>
  <property fmtid="{D5CDD505-2E9C-101B-9397-08002B2CF9AE}" pid="8" name="FooterPath">
    <vt:lpwstr>AM\1309577PL.docx</vt:lpwstr>
  </property>
  <property fmtid="{D5CDD505-2E9C-101B-9397-08002B2CF9AE}" pid="9" name="PE Number">
    <vt:lpwstr>765.258</vt:lpwstr>
  </property>
  <property fmtid="{D5CDD505-2E9C-101B-9397-08002B2CF9AE}" pid="10" name="UID">
    <vt:lpwstr>eu.europa.europarl-DIN1-2024-0000051285_01.00-pl-01.00_text-xml</vt:lpwstr>
  </property>
</Properties>
</file>