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61F88" w:rsidRPr="00977082">
        <w:trPr>
          <w:trHeight w:hRule="exact" w:val="1417"/>
          <w:jc w:val="center"/>
        </w:trPr>
        <w:tc>
          <w:tcPr>
            <w:tcW w:w="6804" w:type="dxa"/>
            <w:tcBorders>
              <w:top w:val="nil"/>
              <w:left w:val="nil"/>
              <w:bottom w:val="nil"/>
              <w:right w:val="nil"/>
            </w:tcBorders>
            <w:vAlign w:val="center"/>
          </w:tcPr>
          <w:p w:rsidR="00377275" w:rsidRPr="00977082" w:rsidRDefault="00A276E3">
            <w:pPr>
              <w:pStyle w:val="EPName"/>
            </w:pPr>
            <w:r w:rsidRPr="00977082">
              <w:t>Europäisches Parlament</w:t>
            </w:r>
          </w:p>
          <w:p w:rsidR="00377275" w:rsidRPr="00977082" w:rsidRDefault="00A276E3">
            <w:pPr>
              <w:pStyle w:val="EPTerm"/>
            </w:pPr>
            <w:r w:rsidRPr="00977082">
              <w:t>2024-2029</w:t>
            </w:r>
          </w:p>
        </w:tc>
        <w:tc>
          <w:tcPr>
            <w:tcW w:w="2268" w:type="dxa"/>
            <w:tcBorders>
              <w:top w:val="nil"/>
              <w:left w:val="nil"/>
              <w:bottom w:val="nil"/>
              <w:right w:val="nil"/>
            </w:tcBorders>
          </w:tcPr>
          <w:p w:rsidR="00377275" w:rsidRPr="00977082" w:rsidRDefault="00F30D4D">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377275" w:rsidRPr="00977082" w:rsidRDefault="00A276E3">
      <w:pPr>
        <w:pStyle w:val="LineTop"/>
      </w:pPr>
      <w:r w:rsidRPr="00977082">
        <w:t xml:space="preserve"> </w:t>
      </w:r>
    </w:p>
    <w:p w:rsidR="00377275" w:rsidRPr="00977082" w:rsidRDefault="00A276E3">
      <w:pPr>
        <w:pStyle w:val="EPBody"/>
      </w:pPr>
      <w:r w:rsidRPr="00977082">
        <w:rPr>
          <w:rStyle w:val="HideTWBExt"/>
        </w:rPr>
        <w:t>&lt;Commission&gt;</w:t>
      </w:r>
      <w:r w:rsidRPr="00977082">
        <w:rPr>
          <w:rStyle w:val="HideTWBInt"/>
          <w:color w:val="auto"/>
        </w:rPr>
        <w:t>{AFET}</w:t>
      </w:r>
      <w:r w:rsidRPr="00977082">
        <w:t>Ausschuss für auswärtige Angelegenheiten</w:t>
      </w:r>
      <w:r w:rsidRPr="00977082">
        <w:rPr>
          <w:rStyle w:val="HideTWBExt"/>
        </w:rPr>
        <w:t>&lt;/Commission&gt;</w:t>
      </w:r>
    </w:p>
    <w:p w:rsidR="00377275" w:rsidRPr="00977082" w:rsidRDefault="00A276E3">
      <w:pPr>
        <w:pStyle w:val="LineBottom"/>
      </w:pPr>
      <w:r w:rsidRPr="00977082">
        <w:t xml:space="preserve"> </w:t>
      </w:r>
    </w:p>
    <w:p w:rsidR="00377275" w:rsidRPr="00977082" w:rsidRDefault="00A276E3">
      <w:pPr>
        <w:pStyle w:val="CoverReference"/>
      </w:pPr>
      <w:r w:rsidRPr="00977082">
        <w:rPr>
          <w:rStyle w:val="HideTWBExt"/>
        </w:rPr>
        <w:t>&lt;RefProc&gt;</w:t>
      </w:r>
      <w:r w:rsidRPr="00977082">
        <w:t>2024/2080</w:t>
      </w:r>
      <w:r w:rsidRPr="00977082">
        <w:rPr>
          <w:rStyle w:val="HideTWBExt"/>
        </w:rPr>
        <w:t>&lt;/RefProc&gt;&lt;RefTypeProc&gt;</w:t>
      </w:r>
      <w:r w:rsidRPr="00977082">
        <w:t>(INI)</w:t>
      </w:r>
      <w:r w:rsidRPr="00977082">
        <w:rPr>
          <w:rStyle w:val="HideTWBExt"/>
        </w:rPr>
        <w:t>&lt;/RefTypeProc&gt;</w:t>
      </w:r>
    </w:p>
    <w:p w:rsidR="00377275" w:rsidRPr="00977082" w:rsidRDefault="00A276E3">
      <w:pPr>
        <w:pStyle w:val="CoverDate"/>
      </w:pPr>
      <w:r w:rsidRPr="00977082">
        <w:rPr>
          <w:rStyle w:val="HideTWBExt"/>
        </w:rPr>
        <w:t>&lt;Date&gt;</w:t>
      </w:r>
      <w:r w:rsidRPr="00977082">
        <w:rPr>
          <w:rStyle w:val="HideTWBInt"/>
          <w:color w:val="auto"/>
        </w:rPr>
        <w:t>{08/11/2024}</w:t>
      </w:r>
      <w:r w:rsidRPr="00977082">
        <w:t>8.11.2024</w:t>
      </w:r>
      <w:r w:rsidRPr="00977082">
        <w:rPr>
          <w:rStyle w:val="HideTWBExt"/>
        </w:rPr>
        <w:t>&lt;/Date&gt;</w:t>
      </w:r>
    </w:p>
    <w:p w:rsidR="00377275" w:rsidRPr="00977082" w:rsidRDefault="00A276E3">
      <w:pPr>
        <w:pStyle w:val="CoverDocType"/>
      </w:pPr>
      <w:r w:rsidRPr="00977082">
        <w:rPr>
          <w:rStyle w:val="HideTWBExt"/>
        </w:rPr>
        <w:t>&lt;TypeAM&gt;</w:t>
      </w:r>
      <w:r w:rsidRPr="00977082">
        <w:t>ÄNDERUNGSANTRÄGE</w:t>
      </w:r>
      <w:r w:rsidRPr="00977082">
        <w:rPr>
          <w:rStyle w:val="HideTWBExt"/>
        </w:rPr>
        <w:t>&lt;/TypeAM&gt;</w:t>
      </w:r>
    </w:p>
    <w:p w:rsidR="00377275" w:rsidRPr="00977082" w:rsidRDefault="00A276E3">
      <w:pPr>
        <w:pStyle w:val="CoverDocType24a"/>
      </w:pPr>
      <w:r w:rsidRPr="00977082">
        <w:rPr>
          <w:rStyle w:val="HideTWBExt"/>
        </w:rPr>
        <w:t>&lt;RangeAM&gt;</w:t>
      </w:r>
      <w:r w:rsidRPr="00977082">
        <w:t>89–445</w:t>
      </w:r>
      <w:r w:rsidRPr="00977082">
        <w:rPr>
          <w:rStyle w:val="HideTWBExt"/>
        </w:rPr>
        <w:t>&lt;/RangeAM&gt;</w:t>
      </w:r>
    </w:p>
    <w:p w:rsidR="00377275" w:rsidRPr="00977082" w:rsidRDefault="00A276E3">
      <w:pPr>
        <w:pStyle w:val="CoverBold"/>
      </w:pPr>
      <w:r w:rsidRPr="00977082">
        <w:rPr>
          <w:rStyle w:val="HideTWBExt"/>
        </w:rPr>
        <w:t>&lt;TitreType&gt;</w:t>
      </w:r>
      <w:r w:rsidRPr="00977082">
        <w:t>Entwurf eines Berichts</w:t>
      </w:r>
      <w:r w:rsidRPr="00977082">
        <w:rPr>
          <w:rStyle w:val="HideTWBExt"/>
        </w:rPr>
        <w:t>&lt;/TitreType&gt;</w:t>
      </w:r>
    </w:p>
    <w:p w:rsidR="00377275" w:rsidRPr="00977082" w:rsidRDefault="00A276E3">
      <w:pPr>
        <w:pStyle w:val="CoverBold"/>
      </w:pPr>
      <w:r w:rsidRPr="00977082">
        <w:rPr>
          <w:rStyle w:val="HideTWBExt"/>
        </w:rPr>
        <w:t>&lt;Rapporteur&gt;</w:t>
      </w:r>
      <w:r w:rsidRPr="00977082">
        <w:t>David McAllister</w:t>
      </w:r>
      <w:r w:rsidRPr="00977082">
        <w:rPr>
          <w:rStyle w:val="HideTWBExt"/>
        </w:rPr>
        <w:t>&lt;/Rapporteur&gt;</w:t>
      </w:r>
    </w:p>
    <w:p w:rsidR="00377275" w:rsidRPr="00977082" w:rsidRDefault="00A276E3">
      <w:pPr>
        <w:pStyle w:val="CoverNormal24a"/>
      </w:pPr>
      <w:r w:rsidRPr="00977082">
        <w:rPr>
          <w:rStyle w:val="HideTWBExt"/>
        </w:rPr>
        <w:t>&lt;DocRefPE&gt;</w:t>
      </w:r>
      <w:r w:rsidRPr="00977082">
        <w:t>(PE765.084v01-00)</w:t>
      </w:r>
      <w:r w:rsidRPr="00977082">
        <w:rPr>
          <w:rStyle w:val="HideTWBExt"/>
        </w:rPr>
        <w:t>&lt;/DocRefPE&gt;</w:t>
      </w:r>
    </w:p>
    <w:p w:rsidR="00377275" w:rsidRPr="00977082" w:rsidRDefault="00A276E3">
      <w:pPr>
        <w:pStyle w:val="CoverNormal"/>
      </w:pPr>
      <w:r w:rsidRPr="00977082">
        <w:rPr>
          <w:rStyle w:val="HideTWBExt"/>
        </w:rPr>
        <w:t>&lt;Titre&gt;</w:t>
      </w:r>
      <w:r w:rsidRPr="00977082">
        <w:t>Umsetzung der Gemeinsamen Außen- und Sicherheitspolitik – Jahresbericht 2024</w:t>
      </w:r>
      <w:r w:rsidRPr="00977082">
        <w:rPr>
          <w:rStyle w:val="HideTWBExt"/>
        </w:rPr>
        <w:t>&lt;/Titre&gt;</w:t>
      </w:r>
    </w:p>
    <w:p w:rsidR="00377275" w:rsidRPr="00977082" w:rsidRDefault="00A276E3">
      <w:pPr>
        <w:pStyle w:val="CoverNormal24a"/>
      </w:pPr>
      <w:r w:rsidRPr="00977082">
        <w:rPr>
          <w:rStyle w:val="HideTWBExt"/>
        </w:rPr>
        <w:t>&lt;DocRef&gt;</w:t>
      </w:r>
      <w:r w:rsidRPr="00977082">
        <w:t>(2024/2080(INI))</w:t>
      </w:r>
      <w:r w:rsidRPr="00977082">
        <w:rPr>
          <w:rStyle w:val="HideTWBExt"/>
        </w:rPr>
        <w:t>&lt;/DocRef&gt;</w:t>
      </w:r>
    </w:p>
    <w:p w:rsidR="00377275" w:rsidRPr="00977082" w:rsidRDefault="00A276E3">
      <w:r w:rsidRPr="00977082">
        <w:br w:type="page"/>
      </w:r>
      <w:r w:rsidRPr="00977082">
        <w:lastRenderedPageBreak/>
        <w:t>AM_Com_NonLegReport</w:t>
      </w:r>
    </w:p>
    <w:p w:rsidR="00F30D4D" w:rsidRPr="005B7B7C" w:rsidRDefault="00A276E3" w:rsidP="00F30D4D">
      <w:pPr>
        <w:pStyle w:val="AmNumberTabs"/>
      </w:pPr>
      <w:r w:rsidRPr="00977082">
        <w:br w:type="page"/>
      </w:r>
      <w:r w:rsidR="00F30D4D" w:rsidRPr="00F30D4D">
        <w:rPr>
          <w:rStyle w:val="HideTWBExt"/>
          <w:b w:val="0"/>
        </w:rPr>
        <w:lastRenderedPageBreak/>
        <w:t>&lt;RepeatBlock-Amend&gt;</w:t>
      </w:r>
      <w:r w:rsidR="00F30D4D" w:rsidRPr="005B7B7C">
        <w:rPr>
          <w:rStyle w:val="HideTWBExt"/>
        </w:rPr>
        <w:t>&lt;Amend&gt;</w:t>
      </w:r>
      <w:r w:rsidR="00F30D4D" w:rsidRPr="005B7B7C">
        <w:t>Änderungsantrag</w:t>
      </w:r>
      <w:r w:rsidR="00F30D4D" w:rsidRPr="005B7B7C">
        <w:tab/>
      </w:r>
      <w:r w:rsidR="00F30D4D" w:rsidRPr="005B7B7C">
        <w:tab/>
      </w:r>
      <w:r w:rsidR="00F30D4D" w:rsidRPr="005B7B7C">
        <w:rPr>
          <w:rStyle w:val="HideTWBExt"/>
        </w:rPr>
        <w:t>&lt;NumAm&gt;</w:t>
      </w:r>
      <w:r w:rsidR="00F30D4D" w:rsidRPr="005B7B7C">
        <w:t>89</w:t>
      </w:r>
      <w:r w:rsidR="00F30D4D"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 Hermann Tertsch, Jorge Martín Frías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1.</w:t>
            </w:r>
            <w:r w:rsidRPr="005B7B7C">
              <w:tab/>
              <w:t xml:space="preserve">stellt fest, dass der Bericht dem Europäischen Parlament am 20. Juni 2024 vorgelegt wurde; weist darauf hin, dass der Bericht zukunftsorientiert sein sollte; </w:t>
            </w:r>
            <w:r w:rsidRPr="005B7B7C">
              <w:rPr>
                <w:b/>
                <w:i/>
              </w:rPr>
              <w:t>er enthält</w:t>
            </w:r>
            <w:r w:rsidRPr="005B7B7C">
              <w:t xml:space="preserve"> im </w:t>
            </w:r>
            <w:r w:rsidRPr="005B7B7C">
              <w:rPr>
                <w:b/>
                <w:i/>
              </w:rPr>
              <w:t>Folgenden Bemerkungen zu mehreren Entwicklungen</w:t>
            </w:r>
            <w:r w:rsidRPr="005B7B7C">
              <w:t xml:space="preserve">, die </w:t>
            </w:r>
            <w:r w:rsidRPr="005B7B7C">
              <w:rPr>
                <w:b/>
                <w:i/>
              </w:rPr>
              <w:t>der HR/VP in seinem Bericht hervorgehoben 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1.</w:t>
            </w:r>
            <w:r w:rsidRPr="005B7B7C">
              <w:tab/>
              <w:t xml:space="preserve">stellt fest, dass der Bericht dem Europäischen Parlament am 20. Juni 2024 vorgelegt wurde; weist darauf hin, dass der Bericht zukunftsorientiert sein sollte; </w:t>
            </w:r>
            <w:r w:rsidRPr="005B7B7C">
              <w:rPr>
                <w:b/>
                <w:i/>
              </w:rPr>
              <w:t>stellt fest, dass das Europäische Parlament</w:t>
            </w:r>
            <w:r w:rsidRPr="005B7B7C">
              <w:t xml:space="preserve"> im </w:t>
            </w:r>
            <w:r w:rsidRPr="005B7B7C">
              <w:rPr>
                <w:b/>
                <w:i/>
              </w:rPr>
              <w:t>Juli 2024 in neuer Zusammensetzung sein Amt mit dem Auftrag angetreten hat</w:t>
            </w:r>
            <w:r w:rsidRPr="005B7B7C">
              <w:t xml:space="preserve">, </w:t>
            </w:r>
            <w:r w:rsidRPr="005B7B7C">
              <w:rPr>
                <w:b/>
                <w:i/>
              </w:rPr>
              <w:t xml:space="preserve">seine Vision für </w:t>
            </w:r>
            <w:r w:rsidRPr="005B7B7C">
              <w:t xml:space="preserve">die </w:t>
            </w:r>
            <w:r w:rsidRPr="005B7B7C">
              <w:rPr>
                <w:b/>
                <w:i/>
              </w:rPr>
              <w:t>Außen-, Sicherheits- und Verteidigungspolitik der EU zu erneuern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1a.</w:t>
            </w:r>
            <w:r w:rsidRPr="005B7B7C">
              <w:tab/>
            </w:r>
            <w:r w:rsidRPr="005B7B7C">
              <w:rPr>
                <w:b/>
                <w:i/>
              </w:rPr>
              <w:t>fordert die Mitgliedstaaten und die Kommission auf, dem EAD weitere finanzielle und personelle Ressourcen zur Verfügung zu stellen, damit dieser seine Funktion als diplomatischer Dienst der EU vor dem Hintergrund der äußerst kontroversen geopolitischen Lage und des – trotz seiner begrenzten Kapazitäten – in den letzten Jahren gestiegenen Bedarfs an seinen Diensten wirksam wahrnehmen kann;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Vasile Dîncu,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1b.</w:t>
            </w:r>
            <w:r w:rsidRPr="005B7B7C">
              <w:tab/>
            </w:r>
            <w:r w:rsidRPr="005B7B7C">
              <w:rPr>
                <w:b/>
                <w:i/>
              </w:rPr>
              <w:t>erkennt an, dass sich die globalen Sicherheitsbedrohungen verändern, und verweist darauf, dass der Diplomatie und der Entwicklung neben der Zusammenarbeit in der militärischen Verteidigung eine wesentliche Rolle zukommen, wenn es gilt, die langfristige internationale Sicherheit zu gewährleisten; betont, dass anhaltender Frieden nicht durch militärische Maßnahmen erzielt werden kann, sondern umfassende Strategien erfordert, mit denen gegen die eigentlichen Ursachen von Instabilität wie Armut, Ungleichheit und Klimawandel vorgegangen wird; hebt hervor, dass die Global-Gateway-Strategie der EU und andere Entwicklungsprogramme im Einklang mit den Zielen der GASP stehen sollten, indem die Widerstandsfähigkeit der EU, einschließlich Wirtschaftswachstum, und Menschenrechte gefördert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1c.</w:t>
            </w:r>
            <w:r w:rsidRPr="005B7B7C">
              <w:tab/>
            </w:r>
            <w:r w:rsidRPr="005B7B7C">
              <w:rPr>
                <w:b/>
                <w:i/>
              </w:rPr>
              <w:t xml:space="preserve">hebt den entscheidenden Stellenwert der Ermächtigung der Geschlechter in der Gemeinsamen Außen- und Sicherheitspolitik (GASP) der EU als Mittel zur Förderung von Frieden, Stabilität und nachhaltiger Entwicklung hervor; betont, dass die Einbeziehung von Frauen in Maßnahmen zur Konfliktprävention und </w:t>
            </w:r>
            <w:r w:rsidRPr="005B7B7C">
              <w:rPr>
                <w:b/>
                <w:i/>
              </w:rPr>
              <w:noBreakHyphen/>
              <w:t>lösung und Friedensbildung dazu beiträgt, die Wirksamkeit und Resilienz dieser Prozesse zu verbessern; fordert die EU auf, der Gleichstellung der Geschlechter bei ihrem auswärtigen Handeln Vorrang einzuräumen, von Frauen geleitete Initiativen in Konfliktregionen zu unterstützen und für die uneingeschränkte, gleichberechtigte und sinnvolle Beteiligung von Frauen an allen Aspekten der GASP zu sorgen;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d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1d.</w:t>
            </w:r>
            <w:r w:rsidRPr="005B7B7C">
              <w:tab/>
            </w:r>
            <w:r w:rsidRPr="005B7B7C">
              <w:rPr>
                <w:b/>
                <w:i/>
              </w:rPr>
              <w:t xml:space="preserve">begrüßt den Niinistö-Bericht und seine Empfehlungen zur Stärkung der zivilen und militärischen Vorsorge und Resilienz Europas; unterstützt die Verfolgung eines gesamtgesellschaftlichen Ansatzes im Bereich Resilienz mit der aktiven Beteiligung der Organe, Mitgliedstaaten, Zivilgesellschaft und Bürgerinnen und Bürger der EU zur Stärkung des </w:t>
            </w:r>
            <w:r w:rsidRPr="005B7B7C">
              <w:rPr>
                <w:b/>
                <w:i/>
              </w:rPr>
              <w:lastRenderedPageBreak/>
              <w:t>Sicherheitsrahmens der Union; fordert die Mitgliedstaaten, die Kommission und den EAD auf, die Schlussfolgerungen und Empfehlungen des Berichts aufmerksam zu prüfen und die vorgeschlagenen Maßnahmen, mit denen die Rolle der EU als entscheidender Sicherheitsakteur auf europäischer und globaler Ebene verbessert werden soll, mit der erforderlichen politischen Bereitschaft und den notwendigen finanziellen und personellen Ressourcen umzusetzen;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e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1e.</w:t>
            </w:r>
            <w:r w:rsidRPr="005B7B7C">
              <w:tab/>
            </w:r>
            <w:r w:rsidRPr="005B7B7C">
              <w:rPr>
                <w:b/>
                <w:i/>
              </w:rPr>
              <w:t>fordert die Mitgliedstaaten nachdrücklich auf, einen Verteidigungsministerrat einzurichten;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f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1f.</w:t>
            </w:r>
            <w:r w:rsidRPr="005B7B7C">
              <w:tab/>
            </w:r>
            <w:r w:rsidRPr="005B7B7C">
              <w:rPr>
                <w:b/>
                <w:i/>
              </w:rPr>
              <w:t xml:space="preserve">fordert die umfassende Verwendung aller derzeit vorhandenen Möglichkeiten zur Verstärkung der </w:t>
            </w:r>
            <w:r w:rsidRPr="005B7B7C">
              <w:rPr>
                <w:b/>
                <w:i/>
              </w:rPr>
              <w:lastRenderedPageBreak/>
              <w:t>Entschlossenheit in dieser Hinsicht, einschließlich der konstruktiven Stimmenthaltung gemäß Artikel 31 Absatz 1 EUV, in Erwartung der vollständigen Anwendung der Beschlussfassung mit qualifizierter Mehrheit auf Beschlüsse ohne militärische oder verteidigungspolitische Bezüge;</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g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1g.</w:t>
            </w:r>
            <w:r w:rsidRPr="005B7B7C">
              <w:tab/>
            </w:r>
            <w:r w:rsidRPr="005B7B7C">
              <w:rPr>
                <w:b/>
                <w:i/>
              </w:rPr>
              <w:t>begrüßt den Vorschlag des Hohen Vertreters zu einer Sanktionsregelung zur Korruptionsbekämpfung, die es der EU ermöglichen würde, weltweit gegen schwere Fälle von Korruption vorzugehen; fordert deren zügige Annahme durch den Rat;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h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1h.</w:t>
            </w:r>
            <w:r w:rsidRPr="005B7B7C">
              <w:tab/>
            </w:r>
            <w:r w:rsidRPr="005B7B7C">
              <w:rPr>
                <w:b/>
                <w:i/>
              </w:rPr>
              <w:t xml:space="preserve">begrüßt die Entschlossenheit, mit der die Union und die meisten Mitgliedstaaten eine vollständige Energieunabhängigkeit von der </w:t>
            </w:r>
            <w:r w:rsidRPr="005B7B7C">
              <w:rPr>
                <w:b/>
                <w:i/>
              </w:rPr>
              <w:lastRenderedPageBreak/>
              <w:t>Russischen Föderation anstreben; weist erneut auf seine Forderung nach einem unverzüglichen und vollständigen Embargo für Einfuhren fossiler Brennstoffe aus Russland hin, einschließlich LNG, Uran und Produkten, die mit aus Russland eingeführten Rohstoffen hergestellt werden; fordert die Kommission und den Rat nachdrücklich auf, ihre Überwachungskapazitäten für fossile Brennstoffe zu verstärken, um Wiederausfuhren zu verhindern; hebt in diesem Zusammenhang den wesentlichen Charakter und die geopolitische Bedeutung der Beschleunigung des ökologischen Wandels hervor;</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i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1i.</w:t>
            </w:r>
            <w:r w:rsidRPr="005B7B7C">
              <w:tab/>
            </w:r>
            <w:r w:rsidRPr="005B7B7C">
              <w:rPr>
                <w:b/>
                <w:i/>
              </w:rPr>
              <w:t xml:space="preserve">bekräftigt seine Unterstützung der Europäischen Politischen Gemeinschaft als Plattform für Diskussionen, Dialog und Zusammenarbeit mit europäischen Partnern bei außenpolitischen und sicherheitspolitischen Herausforderungen, mit denen die EU konfrontiert ist, mit dem Ziel, die Sicherheit und Stabilität in Europa zu stärken und die politische und sicherheitspolitische Zusammenarbeit auf der Grundlage gemeinsamer Interessen weiterzuverfolgen; fordert eine enge Einbeziehung des Parlaments in die Präzisierung des Betätigungsfelds und die künftige Arbeit dieser Gemeinschaft; betont, dass für den künftigen Erfolg und die Kohärenz dieses Formats ein gewisses </w:t>
            </w:r>
            <w:r w:rsidRPr="005B7B7C">
              <w:rPr>
                <w:b/>
                <w:i/>
              </w:rPr>
              <w:lastRenderedPageBreak/>
              <w:t>Maß an Übereinstimmung über demokratische Werte und Grundsätze unerlässlich ist; bekräftigt, dass die Europäische Politische Gemeinschaft unter keinen Umständen als Anlass dienen darf, den EU-Beitritt von Bewerberländern oder möglichen Bewerberländern hinauszuzögern;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99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1 j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1j.</w:t>
            </w:r>
            <w:r w:rsidRPr="005B7B7C">
              <w:tab/>
            </w:r>
            <w:r w:rsidRPr="005B7B7C">
              <w:rPr>
                <w:b/>
                <w:i/>
              </w:rPr>
              <w:t>ist der festen Überzeugung, dass die GASP der EU zur Umsetzung und Verwirklichung der Ziele für nachhaltige Entwicklung der Vereinten Nationen beitragen sollte, die die Grundpfeiler für den Aufbau einer stabilen und friedlichen Weltordnung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100</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2.</w:t>
            </w:r>
            <w:r>
              <w:tab/>
            </w:r>
            <w:r>
              <w:rPr>
                <w:b/>
                <w:i/>
              </w:rPr>
              <w:t>begrüßt insbesondere</w:t>
            </w:r>
            <w:r>
              <w:t xml:space="preserve"> Folgendes:</w:t>
            </w:r>
          </w:p>
        </w:tc>
        <w:tc>
          <w:tcPr>
            <w:tcW w:w="4876" w:type="dxa"/>
            <w:tcBorders>
              <w:top w:val="nil"/>
              <w:left w:val="nil"/>
              <w:bottom w:val="nil"/>
              <w:right w:val="nil"/>
            </w:tcBorders>
          </w:tcPr>
          <w:p w:rsidR="00F30D4D" w:rsidRPr="00A004FF" w:rsidRDefault="00F30D4D" w:rsidP="008610E6">
            <w:pPr>
              <w:pStyle w:val="Normal6a"/>
            </w:pPr>
            <w:r>
              <w:t>2.</w:t>
            </w:r>
            <w:r>
              <w:tab/>
            </w:r>
            <w:r>
              <w:rPr>
                <w:b/>
                <w:i/>
              </w:rPr>
              <w:t>nimmt</w:t>
            </w:r>
            <w:r>
              <w:t xml:space="preserve"> Folgendes </w:t>
            </w:r>
            <w:r>
              <w:rPr>
                <w:b/>
                <w:bCs/>
                <w:i/>
                <w:iCs/>
              </w:rPr>
              <w:t>zur Kenntnis</w:t>
            </w:r>
            <w:r>
              <w: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101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Ilhan Kyuchyuk, Lucia Yar, Marie-Agnes Strack-Zimmermann,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Erfolge der EU-Erweiterungspolitik, insbesondere der 20. Jahrestag der größten Erweiterung, als zehn Länder der EU beitraten; bekräftigt, dass die Erweiterung von größter strategischer Bedeutung für die EU ist, da sie eine geostrategische Investition in dauerhaften Frieden, Demokratie, Stabilität, Sicherheit, Klimaschutz und Wohlstand auf dem gesamten Kontinent und vor allem angesichts des russischen Angriffskriegs gegen die Ukraine und anderer gemeinsamer geopolitischer Herausforderungen darstellt; betont, dass die Vorbereitung auf die Erweiterung Reformen seitens der EU erfordert, und fordert die Organe und Mitgliedstaaten der EU auf, die notwendigen Reformen durchzuführen, damit durch ihr Ausbleiben nicht der Beitritt neuer Mitgliedstaaten hinausgezögert wird;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102</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 xml:space="preserve">den erfolgreichen Abschluss des Screening-Prozesses für Albanien Ende 2023; bekräftigt die Forderung, unverzüglich in die nächste Phase der </w:t>
            </w:r>
            <w:r>
              <w:rPr>
                <w:b/>
                <w:i/>
              </w:rPr>
              <w:lastRenderedPageBreak/>
              <w:t>Verhandlungen einzutreten;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A004FF" w:rsidRDefault="00F30D4D" w:rsidP="008610E6">
            <w:pPr>
              <w:pStyle w:val="Normal6a"/>
            </w:pPr>
            <w:r>
              <w:rPr>
                <w:b/>
                <w:i/>
              </w:rPr>
              <w:lastRenderedPageBreak/>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103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den erfolgreichen Abschluss des Screening-Prozesses für Albanien Ende 2023; bekräftigt die Forderung, unverzüglich in die nächste Phase der Verhandlungen einzutreten;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104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Alberico Gambino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bekräftigt die Forderung, unverzüglich in die nächste Phase der Verhandlungen einzutreten; betont, dass die Reformen weiter intensiviert werden müssen, um die nach wie vor bestehenden Mängel in Bezug auf die wesentlichen </w:t>
            </w:r>
            <w:r w:rsidRPr="005B7B7C">
              <w:lastRenderedPageBreak/>
              <w:t>Elemente zu beheben;</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den erfolgreichen Abschluss des Screening-Prozesses für Albanien Ende 2023</w:t>
            </w:r>
            <w:r w:rsidRPr="005B7B7C">
              <w:rPr>
                <w:b/>
                <w:i/>
              </w:rPr>
              <w:t xml:space="preserve"> und die Aufnahme des ersten Verhandlungsclusters am 15. Oktober 2024</w:t>
            </w:r>
            <w:r w:rsidRPr="005B7B7C">
              <w:t xml:space="preserve">; bekräftigt die Forderung, unverzüglich in die nächste Phase der Verhandlungen einzutreten; betont, dass die Reformen weiter intensiviert werden müssen, um die nach wie vor bestehenden </w:t>
            </w:r>
            <w:r w:rsidRPr="005B7B7C">
              <w:lastRenderedPageBreak/>
              <w:t>Mängel in Bezug auf die wesentlichen Elemente zu beheben</w:t>
            </w:r>
            <w:r w:rsidRPr="005B7B7C">
              <w:rPr>
                <w:b/>
                <w:i/>
              </w:rPr>
              <w:t xml:space="preserve"> und den Dialog und die konstruktive Teilhabe zwischen der Mehrheit und der Opposition zu fördern, damit die starke politische Polarisierung im Land mit einem transparenten und inklusiven demokratischen Prozess überwunden wird, bei dem alle Parteien berücksichtigt werden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105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Albanien Ende 2023; bekräftigt die Forderung, unverzüglich in die nächste Phase der Verhandlungen einzutreten;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bekräftigt die Forderung, unverzüglich in die nächste Phase der Verhandlungen einzutreten; betont, dass die Reformen weiter intensiviert werden müssen, um die nach wie vor bestehenden Mängel in Bezug auf die wesentlichen Elemente zu beheben; </w:t>
            </w:r>
            <w:r w:rsidRPr="005B7B7C">
              <w:rPr>
                <w:b/>
                <w:i/>
              </w:rPr>
              <w:t>hebt hervor, dass dieser neue Schritt als Anreiz dienen sollte, den Beitrittsprozess anderer Länder des westlichen Balkans zu beschleunigen, da sie die engsten Partner der EU sind und Wohlstand und Stabilität in der Region von wesentlicher Bedeutung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106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Albanien Ende 2023; bekräftigt die Forderung, unverzüglich in die nächste Phase der Verhandlungen einzutreten;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bekräftigt die Forderung, unverzüglich in die nächste Phase der Verhandlungen einzutreten; betont, dass die Reformen weiter intensiviert werden müssen, um die nach wie vor bestehenden Mängel in Bezug auf die wesentlichen Elemente zu beheben; </w:t>
            </w:r>
            <w:r w:rsidRPr="005B7B7C">
              <w:rPr>
                <w:b/>
                <w:i/>
              </w:rPr>
              <w:t>begrüßt die kohärente, uneingeschränkte Angleichung des Landes an die Außen- und Sicherheitspolitik der EU und die Förderung der auf Regeln basierenden internationalen Ordnung, einschließlich der restriktiven Maßnahmen der EU gegen Russland und Belarus;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107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w:t>
            </w:r>
            <w:r w:rsidRPr="005B7B7C">
              <w:rPr>
                <w:b/>
                <w:i/>
              </w:rPr>
              <w:t>bekräftigt</w:t>
            </w:r>
            <w:r w:rsidRPr="005B7B7C">
              <w:t xml:space="preserve"> die </w:t>
            </w:r>
            <w:r w:rsidRPr="005B7B7C">
              <w:rPr>
                <w:b/>
                <w:i/>
              </w:rPr>
              <w:t>Forderung, unverzüglich in</w:t>
            </w:r>
            <w:r w:rsidRPr="005B7B7C">
              <w:t xml:space="preserve"> die </w:t>
            </w:r>
            <w:r w:rsidRPr="005B7B7C">
              <w:rPr>
                <w:b/>
                <w:i/>
              </w:rPr>
              <w:t>nächste Phase der Verhandlungen einzutreten</w:t>
            </w:r>
            <w:r w:rsidRPr="005B7B7C">
              <w:t>;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w:t>
            </w:r>
            <w:r w:rsidRPr="005B7B7C">
              <w:rPr>
                <w:b/>
                <w:i/>
              </w:rPr>
              <w:t>begrüßt</w:t>
            </w:r>
            <w:r w:rsidRPr="005B7B7C">
              <w:t xml:space="preserve"> die </w:t>
            </w:r>
            <w:r w:rsidRPr="005B7B7C">
              <w:rPr>
                <w:b/>
                <w:i/>
              </w:rPr>
              <w:t>zweite Zusammenkunft der ersten Beitrittskonferenz mit Albanien und</w:t>
            </w:r>
            <w:r w:rsidRPr="005B7B7C">
              <w:t xml:space="preserve"> die </w:t>
            </w:r>
            <w:r w:rsidRPr="005B7B7C">
              <w:rPr>
                <w:b/>
                <w:i/>
              </w:rPr>
              <w:t>Aufnahme von Beitrittsverhandlungen zu Cluster 1 – Grundlagen</w:t>
            </w:r>
            <w:r w:rsidRPr="005B7B7C">
              <w:t>; betont, dass die Reformen weiter intensiviert werden müssen, um die nach wie vor bestehenden Mängel in Bezug auf die wesentlichen Elemente zu beheben</w:t>
            </w:r>
            <w:r w:rsidRPr="005B7B7C">
              <w:rPr>
                <w:b/>
                <w:i/>
              </w:rPr>
              <w:t xml:space="preserve"> und den Reformprozess bei den Reformen in Bezug auf die EU zu beschleunigen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108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w:t>
            </w:r>
            <w:r w:rsidRPr="005B7B7C">
              <w:rPr>
                <w:b/>
                <w:i/>
              </w:rPr>
              <w:t>bekräftigt die Forderung, unverzüglich in die nächste Phase</w:t>
            </w:r>
            <w:r w:rsidRPr="005B7B7C">
              <w:t xml:space="preserve"> der Verhandlungen </w:t>
            </w:r>
            <w:r w:rsidRPr="005B7B7C">
              <w:rPr>
                <w:b/>
                <w:i/>
              </w:rPr>
              <w:t>einzutreten</w:t>
            </w:r>
            <w:r w:rsidRPr="005B7B7C">
              <w:t>;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w:t>
            </w:r>
            <w:r w:rsidRPr="005B7B7C">
              <w:rPr>
                <w:b/>
                <w:i/>
              </w:rPr>
              <w:t>fordert eine umfassende Bewertung der möglichen Auswirkungen der Erweiterung</w:t>
            </w:r>
            <w:r w:rsidRPr="005B7B7C">
              <w:t xml:space="preserve"> der </w:t>
            </w:r>
            <w:r w:rsidRPr="005B7B7C">
              <w:rPr>
                <w:b/>
                <w:i/>
              </w:rPr>
              <w:t xml:space="preserve">EU auf die bestehenden Mitgliedstaaten, bevor die </w:t>
            </w:r>
            <w:r w:rsidRPr="005B7B7C">
              <w:t xml:space="preserve">Verhandlungen </w:t>
            </w:r>
            <w:r w:rsidRPr="005B7B7C">
              <w:rPr>
                <w:b/>
                <w:i/>
              </w:rPr>
              <w:t>mit den Bewerberländern fortgeführt werden</w:t>
            </w:r>
            <w:r w:rsidRPr="005B7B7C">
              <w:t>; betont, dass die Reformen weiter intensiviert werden müssen, um die nach wie vor bestehenden Mängel in Bezug auf die wesentlichen Elemente zu beheben;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109</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r>
            <w:r>
              <w:rPr>
                <w:b/>
                <w:i/>
              </w:rPr>
              <w:t>den erfolgreichen Abschluss des Screening-Prozesses für Albanien Ende 2023</w:t>
            </w:r>
            <w:r>
              <w:t xml:space="preserve">; bekräftigt die Forderung, </w:t>
            </w:r>
            <w:r>
              <w:rPr>
                <w:b/>
                <w:i/>
              </w:rPr>
              <w:t xml:space="preserve">unverzüglich in die nächste Phase der Verhandlungen einzutreten; </w:t>
            </w:r>
            <w:r>
              <w:rPr>
                <w:b/>
                <w:bCs/>
                <w:i/>
                <w:iCs/>
              </w:rPr>
              <w:t>betont, dass die</w:t>
            </w:r>
            <w:r>
              <w:t xml:space="preserve"> Reformen </w:t>
            </w:r>
            <w:r>
              <w:rPr>
                <w:b/>
                <w:i/>
              </w:rPr>
              <w:t>weiter intensiviert werden müssen</w:t>
            </w:r>
            <w:r>
              <w:t xml:space="preserve">, um die </w:t>
            </w:r>
            <w:r>
              <w:rPr>
                <w:b/>
                <w:i/>
              </w:rPr>
              <w:t>nach wie vor</w:t>
            </w:r>
            <w:r>
              <w:t xml:space="preserve"> bestehenden Mängel in Bezug auf die wesentlichen Elemente zu beheben;</w:t>
            </w:r>
          </w:p>
        </w:tc>
        <w:tc>
          <w:tcPr>
            <w:tcW w:w="4876" w:type="dxa"/>
            <w:tcBorders>
              <w:top w:val="nil"/>
              <w:left w:val="nil"/>
              <w:bottom w:val="nil"/>
              <w:right w:val="nil"/>
            </w:tcBorders>
          </w:tcPr>
          <w:p w:rsidR="00F30D4D" w:rsidRPr="00A004FF" w:rsidRDefault="00F30D4D" w:rsidP="008610E6">
            <w:pPr>
              <w:pStyle w:val="Normal6a"/>
            </w:pPr>
            <w:r>
              <w:t>–</w:t>
            </w:r>
            <w:r>
              <w:tab/>
            </w:r>
            <w:r>
              <w:rPr>
                <w:b/>
                <w:i/>
              </w:rPr>
              <w:t>das völlige Versäumnis Albaniens, Fortschritte zu erzielen</w:t>
            </w:r>
            <w:r>
              <w:t xml:space="preserve">; bekräftigt die Forderung </w:t>
            </w:r>
            <w:r>
              <w:rPr>
                <w:b/>
                <w:i/>
              </w:rPr>
              <w:t>nach tief greifenden</w:t>
            </w:r>
            <w:r>
              <w:t xml:space="preserve"> Reformen, um die </w:t>
            </w:r>
            <w:r>
              <w:rPr>
                <w:b/>
                <w:i/>
              </w:rPr>
              <w:t>erheblichen</w:t>
            </w:r>
            <w:r>
              <w:t xml:space="preserve"> bestehenden Mängel in Bezug auf die wesentlichen Elemente zu beheben; </w:t>
            </w:r>
            <w:r>
              <w:rPr>
                <w:b/>
                <w:i/>
              </w:rPr>
              <w:t>fordert, dass die Rechte der griechischstämmigen Minderheit in Nord-Epirus gewahrt werden;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lastRenderedPageBreak/>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Albanien Ende 2023; bekräftigt die Forderung,</w:t>
            </w:r>
            <w:r w:rsidRPr="005B7B7C">
              <w:rPr>
                <w:b/>
                <w:i/>
              </w:rPr>
              <w:t xml:space="preserve"> unverzüglich</w:t>
            </w:r>
            <w:r w:rsidRPr="005B7B7C">
              <w:t xml:space="preserve"> in die nächste Phase der Verhandlungen einzutreten; betont, dass die Reformen </w:t>
            </w:r>
            <w:r w:rsidRPr="005B7B7C">
              <w:rPr>
                <w:b/>
                <w:i/>
              </w:rPr>
              <w:t>weiter intensiviert</w:t>
            </w:r>
            <w:r w:rsidRPr="005B7B7C">
              <w:t xml:space="preserve">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bekräftigt </w:t>
            </w:r>
            <w:r w:rsidRPr="005B7B7C">
              <w:rPr>
                <w:b/>
                <w:i/>
              </w:rPr>
              <w:t xml:space="preserve">mit Blick auf den Grundsatz der Gleichheit souveräner Staaten </w:t>
            </w:r>
            <w:r w:rsidRPr="005B7B7C">
              <w:t xml:space="preserve">die Forderung, in die nächste Phase der Verhandlungen einzutreten; betont, dass die Reformen </w:t>
            </w:r>
            <w:r w:rsidRPr="005B7B7C">
              <w:rPr>
                <w:b/>
                <w:i/>
              </w:rPr>
              <w:t>gefördert</w:t>
            </w:r>
            <w:r w:rsidRPr="005B7B7C">
              <w:t xml:space="preserve"> werden müssen, um die nach wie vor bestehenden Mängel in Bezug auf die wesentlichen Elemente zu beheben;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Davor Ivo Stier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Albanien Ende 2023</w:t>
            </w:r>
            <w:r w:rsidRPr="005B7B7C">
              <w:rPr>
                <w:b/>
                <w:i/>
              </w:rPr>
              <w:t>; bekräftigt</w:t>
            </w:r>
            <w:r w:rsidRPr="005B7B7C">
              <w:t xml:space="preserve"> die </w:t>
            </w:r>
            <w:r w:rsidRPr="005B7B7C">
              <w:rPr>
                <w:b/>
                <w:i/>
              </w:rPr>
              <w:t>Forderung, unverzüglich in die nächste Phase der Verhandlungen einzutreten</w:t>
            </w:r>
            <w:r w:rsidRPr="005B7B7C">
              <w:t xml:space="preserve">; betont, dass die Reformen weiter intensiviert werden müssen, </w:t>
            </w:r>
            <w:r w:rsidRPr="005B7B7C">
              <w:rPr>
                <w:b/>
                <w:i/>
              </w:rPr>
              <w:t>um</w:t>
            </w:r>
            <w:r w:rsidRPr="005B7B7C">
              <w:t xml:space="preserve"> die </w:t>
            </w:r>
            <w:r w:rsidRPr="005B7B7C">
              <w:rPr>
                <w:b/>
                <w:i/>
              </w:rPr>
              <w:t>nach wie vor bestehenden Mängel in Bezug</w:t>
            </w:r>
            <w:r w:rsidRPr="005B7B7C">
              <w:t xml:space="preserve"> auf die </w:t>
            </w:r>
            <w:r w:rsidRPr="005B7B7C">
              <w:rPr>
                <w:b/>
                <w:i/>
              </w:rPr>
              <w:t>wesentlichen Elemente zu beheben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Albanien Ende 2023</w:t>
            </w:r>
            <w:r w:rsidRPr="005B7B7C">
              <w:rPr>
                <w:b/>
                <w:i/>
              </w:rPr>
              <w:t xml:space="preserve"> und</w:t>
            </w:r>
            <w:r w:rsidRPr="005B7B7C">
              <w:t xml:space="preserve"> die </w:t>
            </w:r>
            <w:r w:rsidRPr="005B7B7C">
              <w:rPr>
                <w:b/>
                <w:i/>
              </w:rPr>
              <w:t>Aufnahme des ersten Clusters von Verhandlungskapiteln mit Albanien</w:t>
            </w:r>
            <w:r w:rsidRPr="005B7B7C">
              <w:t xml:space="preserve">; betont, dass die Reformen weiter intensiviert werden müssen, </w:t>
            </w:r>
            <w:r w:rsidRPr="005B7B7C">
              <w:rPr>
                <w:b/>
                <w:i/>
              </w:rPr>
              <w:t>wobei der Schwerpunkt vor allem auf</w:t>
            </w:r>
            <w:r w:rsidRPr="005B7B7C">
              <w:t xml:space="preserve"> die </w:t>
            </w:r>
            <w:r w:rsidRPr="005B7B7C">
              <w:rPr>
                <w:b/>
                <w:i/>
              </w:rPr>
              <w:t>Rechtsstaatlichkeit, die Bekämpfung von Korruption und organisierter Kriminalität und</w:t>
            </w:r>
            <w:r w:rsidRPr="005B7B7C">
              <w:t xml:space="preserve"> auf die </w:t>
            </w:r>
            <w:r w:rsidRPr="005B7B7C">
              <w:rPr>
                <w:b/>
                <w:i/>
              </w:rPr>
              <w:t>Medienfreiheit zu legen ist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 xml:space="preserve">Sven Mikser, Lucia Annunziata, Nicola Zingaretti, Thijs Reuten, Alessandra Moretti, Giorgio Gori, Tobias Cremer, Vasile Dîncu, Marco </w:t>
      </w:r>
      <w:bookmarkStart w:id="0" w:name="_GoBack"/>
      <w:bookmarkEnd w:id="0"/>
      <w:r w:rsidRPr="005B7B7C">
        <w:t>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lastRenderedPageBreak/>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w:t>
            </w:r>
            <w:r w:rsidRPr="005B7B7C">
              <w:rPr>
                <w:b/>
                <w:i/>
              </w:rPr>
              <w:t>bekräftigt</w:t>
            </w:r>
            <w:r w:rsidRPr="005B7B7C">
              <w:t xml:space="preserve"> die </w:t>
            </w:r>
            <w:r w:rsidRPr="005B7B7C">
              <w:rPr>
                <w:b/>
                <w:i/>
              </w:rPr>
              <w:t>Forderung, unverzüglich in die nächste Phase der Verhandlungen einzutreten</w:t>
            </w:r>
            <w:r w:rsidRPr="005B7B7C">
              <w:t>; betont, dass die Reformen weiter intensiviert werden müssen, um die nach wie vor bestehenden Mängel in Bezug auf die wesentlichen Elemente zu beheben;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Albanien Ende 2023; </w:t>
            </w:r>
            <w:r w:rsidRPr="005B7B7C">
              <w:rPr>
                <w:b/>
                <w:i/>
              </w:rPr>
              <w:t>begrüßt</w:t>
            </w:r>
            <w:r w:rsidRPr="005B7B7C">
              <w:t xml:space="preserve"> die </w:t>
            </w:r>
            <w:r w:rsidRPr="005B7B7C">
              <w:rPr>
                <w:b/>
                <w:i/>
              </w:rPr>
              <w:t>Aufnahme der Beitrittsverhandlungen über den ersten Cluster</w:t>
            </w:r>
            <w:r w:rsidRPr="005B7B7C">
              <w:t>; betont, dass die Reformen weiter intensiviert werden müssen, um die nach wie vor bestehenden Mängel in Bezug auf die wesentlichen Elemente zu beheben;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113</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2 – </w:t>
      </w:r>
      <w:r w:rsidRPr="006416CF">
        <w:t>Spiegelstrich</w:t>
      </w:r>
      <w:r w:rsidRPr="00A004FF">
        <w:t xml:space="preserve"> 2</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rPr>
                <w:b/>
                <w:i/>
              </w:rPr>
              <w:t>–</w:t>
            </w:r>
            <w:r w:rsidRPr="00A004FF">
              <w:tab/>
            </w:r>
            <w:r w:rsidRPr="00A004FF">
              <w:rPr>
                <w:b/>
                <w:i/>
              </w:rPr>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A004FF" w:rsidRDefault="00F30D4D" w:rsidP="008610E6">
            <w:pPr>
              <w:pStyle w:val="Normal6a"/>
            </w:pPr>
            <w:r w:rsidRPr="00A004FF">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114</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w:t>
      </w:r>
      <w:r>
        <w:rPr>
          <w:rStyle w:val="HideTWBExt"/>
          <w:b w:val="0"/>
        </w:rPr>
        <w:t>&lt;/Members&gt;</w:t>
      </w:r>
    </w:p>
    <w:p w:rsidR="00F30D4D" w:rsidRPr="00A004FF" w:rsidRDefault="00F30D4D" w:rsidP="00F30D4D">
      <w:pPr>
        <w:pStyle w:val="NormalBold"/>
      </w:pPr>
      <w:r>
        <w:rPr>
          <w:rStyle w:val="HideTWBExt"/>
          <w:b w:val="0"/>
        </w:rPr>
        <w:lastRenderedPageBreak/>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A004FF" w:rsidRDefault="00F30D4D" w:rsidP="008610E6">
            <w:pPr>
              <w:pStyle w:val="Normal6a"/>
            </w:pPr>
            <w:r>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w:t>
            </w:r>
            <w:r w:rsidRPr="005B7B7C">
              <w:rPr>
                <w:b/>
                <w:i/>
              </w:rPr>
              <w:t>, und sich stärker darum zu bemühen, eine politische Einigung über die Wahl- und Verfassungsreform im Einklang mit den Entscheidungen des Verfassungsgerichts von Bosnien und Herzegowina zu erzielen, damit die in der Verfassung verankerten Grundsätze der Gleichheit und Nichtdiskriminierung der konstituierenden Völker und aller Bürgerinnen und Bürger gewahrt werden; erinnert daran, dass sich die Unterstützung der EU in Bosnien und Herzegowina auf die Reform des Wahlrechts infolge des Mostar-Abkommens konzentrieren sollte und im Sinne des Dayton-Friedensübereinkommens auf Gewaltenteilung beruhen sollte; betont, dass die EU in diesem Prozess eine zentrale Rolle als Vermittler übernehmen sollte; fordert ein internes Abkommen in Bosnien und Herzegowina über die Angleichung von Visabestimmungen an Drittstaaten</w:t>
            </w:r>
            <w:r w:rsidRPr="005B7B7C">
              <w:t xml:space="preserve">; bedauert die wiederkehrende hetzerische Rhetorik und sezessionistischen Gesetze und Strategien der Führung der Entität „Republika Srpska“ und weist in diesem Zusammenhang darauf hin, wie wichtig es ist, dass EUFOR Althea sichtbar präsent </w:t>
            </w:r>
            <w:r w:rsidRPr="005B7B7C">
              <w:lastRenderedPageBreak/>
              <w:t>ist;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w:t>
            </w:r>
            <w:r w:rsidRPr="005B7B7C">
              <w:rPr>
                <w:b/>
                <w:i/>
              </w:rPr>
              <w:t>„Republika Srpska“</w:t>
            </w:r>
            <w:r w:rsidRPr="005B7B7C">
              <w:t xml:space="preserve"> und </w:t>
            </w:r>
            <w:r w:rsidRPr="005B7B7C">
              <w:rPr>
                <w:b/>
                <w:i/>
              </w:rPr>
              <w:t>weist</w:t>
            </w:r>
            <w:r w:rsidRPr="005B7B7C">
              <w:t xml:space="preserve"> in diesem Zusammenhang </w:t>
            </w:r>
            <w:r w:rsidRPr="005B7B7C">
              <w:rPr>
                <w:b/>
                <w:i/>
              </w:rPr>
              <w:t>darauf hin, wie wichtig es ist, dass</w:t>
            </w:r>
            <w:r w:rsidRPr="005B7B7C">
              <w:t xml:space="preserve"> EUFOR Althea </w:t>
            </w:r>
            <w:r w:rsidRPr="005B7B7C">
              <w:rPr>
                <w:b/>
                <w:i/>
              </w:rPr>
              <w:t>sichtbar präsent ist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w:t>
            </w:r>
            <w:r w:rsidRPr="005B7B7C">
              <w:rPr>
                <w:b/>
                <w:i/>
              </w:rPr>
              <w:t>, indem u. a. die Verfassung in Einklang mit der Europäischen Menschenrechtskonvention gebracht wird, wobei das Urteil in der Rechtssache Sejdić-Finci und verbundene Urteile wie in der Rechtssache Kovačević einzuhalten sind</w:t>
            </w:r>
            <w:r w:rsidRPr="005B7B7C">
              <w:t xml:space="preserve">; bedauert die wiederkehrende hetzerische Rhetorik und sezessionistischen Gesetze und Strategien der Führung der Entität </w:t>
            </w:r>
            <w:r w:rsidRPr="005B7B7C">
              <w:rPr>
                <w:b/>
                <w:i/>
              </w:rPr>
              <w:t>Republika Srpska</w:t>
            </w:r>
            <w:r w:rsidRPr="005B7B7C">
              <w:t xml:space="preserve"> und </w:t>
            </w:r>
            <w:r w:rsidRPr="005B7B7C">
              <w:rPr>
                <w:b/>
                <w:i/>
              </w:rPr>
              <w:t>fordert</w:t>
            </w:r>
            <w:r w:rsidRPr="005B7B7C">
              <w:t xml:space="preserve"> in diesem Zusammenhang </w:t>
            </w:r>
            <w:r w:rsidRPr="005B7B7C">
              <w:rPr>
                <w:b/>
                <w:i/>
              </w:rPr>
              <w:t>erneut, dass die Sicherheitslage und die entsprechenden Kapazitäten vor Ort eingehend bewertet werden und der Einsatz von personellen und zusätzlichen Kapazitäten für</w:t>
            </w:r>
            <w:r w:rsidRPr="005B7B7C">
              <w:t xml:space="preserve"> EUFOR Althea </w:t>
            </w:r>
            <w:r w:rsidRPr="005B7B7C">
              <w:rPr>
                <w:b/>
                <w:i/>
              </w:rPr>
              <w:t>auch im Distrikt Brčko in Erwägung gezogen wird</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Aufnahme von Beitrittsverhandlungen mit Bosnien und Herzegowina; fordert die staatlichen Stellen auf, alle einschlägigen Schritte zu unternehmen, die in der Empfehlung der Kommission vom 12. Oktober 2022 dargelegt sind; </w:t>
            </w:r>
            <w:r w:rsidRPr="005B7B7C">
              <w:rPr>
                <w:b/>
                <w:i/>
              </w:rPr>
              <w:t>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119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w:t>
            </w:r>
            <w:r w:rsidRPr="005B7B7C">
              <w:rPr>
                <w:b/>
                <w:i/>
              </w:rPr>
              <w:t>, und insbesondere seine Maßnahmen zur Erfüllung der 14 wesentlichen Prioritäten aus der Stellungnahme der Kommission zum Antrag des Landes auf Mitgliedschaft in der EU zu beschleunigen</w:t>
            </w:r>
            <w:r w:rsidRPr="005B7B7C">
              <w:t>; bedauert die wiederkehrende hetzerische Rhetorik und sezessionistischen Gesetze und Strategien der Führung der Entität „Republika Srpska“ und weist in diesem Zusammenhang darauf hin, wie wichtig es ist, dass EUFOR Althea sichtbar präsent ist;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120</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A004FF" w:rsidRDefault="00F30D4D" w:rsidP="008610E6">
            <w:pPr>
              <w:pStyle w:val="Normal6a"/>
            </w:pPr>
            <w:r>
              <w:t>–</w:t>
            </w:r>
            <w:r>
              <w:tab/>
              <w:t xml:space="preserve">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 </w:t>
            </w:r>
            <w:r>
              <w:rPr>
                <w:b/>
                <w:i/>
              </w:rPr>
              <w:t>verurteilt die destabilisierende Einmischung der Türkei durch die Förderung des religiösen Fundamentalismus;</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Aufnahme von Beitrittsverhandlungen mit Bosnien und Herzegowina; fordert die staatlichen Stellen auf, alle einschlägigen Schritte zu unternehmen, die in der Empfehlung der </w:t>
            </w:r>
            <w:r w:rsidRPr="005B7B7C">
              <w:lastRenderedPageBreak/>
              <w:t>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Aufnahme von Beitrittsverhandlungen mit Bosnien und Herzegowina; fordert die staatlichen Stellen auf, alle einschlägigen Schritte zu unternehmen, die in der Empfehlung der </w:t>
            </w:r>
            <w:r w:rsidRPr="005B7B7C">
              <w:lastRenderedPageBreak/>
              <w:t>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r w:rsidRPr="005B7B7C">
              <w:rPr>
                <w:b/>
                <w:i/>
              </w:rPr>
              <w:t>, und dass eine wirksame strategische Kommunikation erforderlich ist, damit Informationsmanipulation bekämpft werden kann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Costas Mavrides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den Beschluss über</w:t>
            </w:r>
            <w:r w:rsidRPr="005B7B7C">
              <w:t xml:space="preserve"> die Aufnahme von Beitrittsverhandlungen mit Bosnien und Herzegowina; fordert die staatlichen Stellen auf, alle einschlägigen Schritte zu unternehmen, die in der Empfehlung der Kommission vom 12. Oktober 2022 dargelegt sind; bedauert die wiederkehrende hetzerische Rhetorik und sezessionistischen Gesetze und Strategien der Führung der Entität „Republika Srpska“ und weist in diesem Zusammenhang darauf hin, wie wichtig es ist, dass EUFOR Althea sichtbar präsent ist;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123</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Aufnahme von Beitrittsverhandlungen mit Bosnien und Herzegowina; fordert die staatlichen Stellen auf, alle einschlägigen Schritte zu unternehmen, die in der Empfehlung der Kommission vom 12. Oktober 2022 dargelegt sind; </w:t>
            </w:r>
            <w:r>
              <w:rPr>
                <w:b/>
                <w:i/>
              </w:rPr>
              <w:t>bedauert</w:t>
            </w:r>
            <w:r>
              <w:t xml:space="preserve"> die wiederkehrende hetzerische Rhetorik und sezessionistischen Gesetze und Strategien der Führung der Entität „Republika Srpska“ und weist in diesem Zusammenhang darauf hin, wie wichtig es ist, dass EUFOR Althea sichtbar präsent ist;</w:t>
            </w:r>
          </w:p>
        </w:tc>
        <w:tc>
          <w:tcPr>
            <w:tcW w:w="4876" w:type="dxa"/>
            <w:tcBorders>
              <w:top w:val="nil"/>
              <w:left w:val="nil"/>
              <w:bottom w:val="nil"/>
              <w:right w:val="nil"/>
            </w:tcBorders>
          </w:tcPr>
          <w:p w:rsidR="00F30D4D" w:rsidRPr="00A004FF" w:rsidRDefault="00F30D4D" w:rsidP="008610E6">
            <w:pPr>
              <w:pStyle w:val="Normal6a"/>
            </w:pPr>
            <w:r>
              <w:t>–</w:t>
            </w:r>
            <w:r>
              <w:tab/>
              <w:t xml:space="preserve">die Aufnahme von Beitrittsverhandlungen mit Bosnien und Herzegowina; fordert die staatlichen Stellen auf, alle einschlägigen Schritte zu unternehmen, die in der Empfehlung der Kommission vom 12. Oktober 2022 dargelegt sind; </w:t>
            </w:r>
            <w:r>
              <w:rPr>
                <w:b/>
                <w:i/>
              </w:rPr>
              <w:t>verurteilt</w:t>
            </w:r>
            <w:r>
              <w:t xml:space="preserve"> die wiederkehrende hetzerische Rhetorik und</w:t>
            </w:r>
            <w:r>
              <w:rPr>
                <w:b/>
                <w:i/>
              </w:rPr>
              <w:t xml:space="preserve"> die</w:t>
            </w:r>
            <w:r>
              <w:t xml:space="preserve"> sezessionistischen Gesetze und Strategien der Führung der Entität „Republika Srpska“ und weist in diesem Zusammenhang darauf hin, wie wichtig es ist, dass EUFOR Althea sichtbar präsent ist;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Jorge Martín Frías, 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lastRenderedPageBreak/>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 </w:t>
            </w:r>
            <w:r w:rsidRPr="005B7B7C">
              <w:rPr>
                <w:b/>
                <w:i/>
              </w:rPr>
              <w:t>bedauert, dass die ungerechtfertigten Sanktionen gegen den Kosovo trotz der entsprechenden Empfehlung des HR/VP nicht aufgehoben wurden, und fordert die Mitgliedstaaten nachdrücklich auf, die Sanktionen umgehend aufzuheben; bedauert das voreingenommene Vorgehen der EU gegenüber Serbien trotz seiner jahrelangen Einschränkung der Rechtsstaatlichkeit, der Demokratie und der Grundrechte, wodurch das Land noch stärker zu einem autoritären Regime wurde, sowie seiner zahlreichen Störmanöver in der Region und seiner Nichteinhaltung der Sanktionen im Rahmen der GASP; bekräftigt seinen Standpunkt, dass die Beitrittsverhandlungen mit Serbien nur dann fortgeführt werden sollten, wenn das Land beträchtliche Fortschritte bei seinen Reformen im Zusammenhang mit der EU erzielt, insbesondere im Bereich der grundlegenden Aspekte (justizielle Rechte und Grundrechte, Justizwesen, Freiheit und Sicherheit, öffentliches Beschaffungswesen, Statistik, Finanzaufsicht), und sich an die Sanktionen der EU gegen Russland angleicht;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126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w:t>
            </w:r>
            <w:r w:rsidRPr="005B7B7C">
              <w:rPr>
                <w:b/>
                <w:i/>
              </w:rPr>
              <w:t> fordert Serbien auf, sich voll und ganz der Gemeinsamen Außen- und Sicherheitspolitik der EU anzuschließen, insbesondere im Hinblick auf die Annahme der Sanktionsregelung als Reaktion auf den russischen Angriffskrieg gegen die Ukraine; erinnert daran, dass sich Serbien als Land, das den Beitritt zur EU anstrebt, an die gemeinsamen Werte halten muss;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beim Dialog zwischen Belgrad und Pristina</w:t>
            </w:r>
            <w:r w:rsidRPr="005B7B7C">
              <w:rPr>
                <w:b/>
                <w:i/>
              </w:rPr>
              <w:t>, insbesondere in den Bereichen Freizügigkeit und Energie;</w:t>
            </w:r>
            <w:r w:rsidRPr="005B7B7C">
              <w:t xml:space="preserve"> </w:t>
            </w:r>
            <w:r w:rsidRPr="005B7B7C">
              <w:rPr>
                <w:b/>
                <w:i/>
              </w:rPr>
              <w:t xml:space="preserve">bedauert die mangelnden Fortschritte bei der Umsetzung des Wegs zur Normalisierung und fordert Anstrengungen und Kapazitäten zur Normalisierung der </w:t>
            </w:r>
            <w:r w:rsidRPr="005B7B7C">
              <w:rPr>
                <w:b/>
                <w:i/>
              </w:rPr>
              <w:lastRenderedPageBreak/>
              <w:t>Beziehungen und zur Entwicklung des von der EU unterstützten Dialogs;</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die Fortschritte beim Dialog zwischen Belgrad und Pristina;</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 Lukas Mandl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Fortschritte beim Dialog zwischen Belgrad und Pristina, insbesondere in den Bereichen Freizügigkeit und Energie; bedauert die mangelnden Fortschritte bei der Umsetzung des Wegs zur Normalisierung und fordert Anstrengungen und Kapazitäten zur Normalisierung der Beziehungen und zur Entwicklung des von der EU unterstützten Dialogs; </w:t>
            </w:r>
            <w:r w:rsidRPr="005B7B7C">
              <w:rPr>
                <w:b/>
                <w:i/>
              </w:rPr>
              <w:t>bedauert die Angriffe im Norden des Kosovo von 2023 und erwartet, dass Serbien alle Maßnahmen trifft, die erforderlich sind, um die Täter zu ergreifen und rasch vor Gericht zu bringen;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129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Fortschritte beim Dialog zwischen Belgrad und Pristina, insbesondere in den Bereichen Freizügigkeit und Energie; bedauert die mangelnden Fortschritte bei der Umsetzung des Wegs zur Normalisierung </w:t>
            </w:r>
            <w:r w:rsidRPr="005B7B7C">
              <w:lastRenderedPageBreak/>
              <w:t>und fordert Anstrengungen und Kapazitäten zur Normalisierung der Beziehungen und zur Entwicklung des von der EU unterstützten Dialogs;</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Fortschritte beim Dialog zwischen Belgrad und Pristina, insbesondere in den Bereichen Freizügigkeit und Energie; bedauert die mangelnden Fortschritte bei der Umsetzung des Wegs zur Normalisierung </w:t>
            </w:r>
            <w:r w:rsidRPr="005B7B7C">
              <w:lastRenderedPageBreak/>
              <w:t xml:space="preserve">und fordert Anstrengungen und Kapazitäten zur Normalisierung der Beziehungen und zur Entwicklung des von der EU unterstützten Dialogs; </w:t>
            </w:r>
            <w:r w:rsidRPr="005B7B7C">
              <w:rPr>
                <w:b/>
                <w:i/>
              </w:rPr>
              <w:t>sagt zu, eng mit dem ausscheidenden wie auch dem neuen Sonderbeauftragten der Europäischen Union für den Dialog zwischen Belgrad und Pristina und andere regionale Angelegenheiten im Westbalkan zusammenzuarbeiten;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Davor Ivo Stier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3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Entscheidung im Rahmen des CEFTA, dem Kosovo zu gestatten, dass das Land von seinen eigenen Einrichtungen vertreten wird, sowie die Aufhebung von Beschränkungen für die Einfuhr von in Serbien fertiggestellten Erzeugnissen in den Kosovo;</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Fortschritte Montenegros bei der Erfüllung der Zwischenziele für die Kapitel 23 und 24 des EU-Besitzstands; fordert das Land auf, weitere Fortschritte bei den EU-bezogenen Reformen zu </w:t>
            </w:r>
            <w:r w:rsidRPr="005B7B7C">
              <w:rPr>
                <w:b/>
                <w:i/>
              </w:rPr>
              <w:lastRenderedPageBreak/>
              <w:t>erzielen und diese rasch umzusetzen;</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Montenegros bei der Erfüllung der Zwischenziele für die Kapitel 23 und 24 des EU-Besitzstands; fordert das Land auf, weitere Fortschritte bei den EU-bezogenen Reformen zu erzielen und diese rasch umzusetzen;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Fortschritte Montenegros bei der Erfüllung der Zwischenziele für die Kapitel 23 und 24 des EU-Besitzstands; fordert das Land auf, weitere Fortschritte bei den EU-bezogenen Reformen zu erzielen und diese rasch umzusetzen; </w:t>
            </w:r>
            <w:r w:rsidRPr="005B7B7C">
              <w:rPr>
                <w:b/>
                <w:i/>
              </w:rPr>
              <w:t>verurteilt die Versuche Russlands und benachbarter Länder, ethnische Spannungen in Montenegro auszunutzen, um Konflikte zu schüren und Gemeinschaften zu spalten; stellt fest, dass die serbisch-orthodoxe Kirche als Werkzeug der Einflussnahme von außen genutzt wird, und verurteilt ihre Einmischung in dieser Hinsicht;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Davor Ivo Stier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Montenegros bei der Erfüllung der Zwischenziele für die Kapitel 23 und 24 des EU-Besitzstands; fordert</w:t>
            </w:r>
            <w:r w:rsidRPr="005B7B7C">
              <w:rPr>
                <w:b/>
                <w:i/>
              </w:rPr>
              <w:t xml:space="preserve"> das Land auf</w:t>
            </w:r>
            <w:r w:rsidRPr="005B7B7C">
              <w:t xml:space="preserve">, </w:t>
            </w:r>
            <w:r w:rsidRPr="005B7B7C">
              <w:rPr>
                <w:b/>
                <w:i/>
              </w:rPr>
              <w:t>weitere Fortschritte bei den EU-bezogenen Reformen zu erzielen</w:t>
            </w:r>
            <w:r w:rsidRPr="005B7B7C">
              <w:t xml:space="preserve"> und </w:t>
            </w:r>
            <w:r w:rsidRPr="005B7B7C">
              <w:rPr>
                <w:b/>
                <w:i/>
              </w:rPr>
              <w:t>diese rasch umzusetzen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Fortschritte Montenegros bei der Erfüllung der Zwischenziele für die Kapitel 23 und 24 des EU-Besitzstands; fordert</w:t>
            </w:r>
            <w:r w:rsidRPr="005B7B7C">
              <w:rPr>
                <w:b/>
                <w:i/>
              </w:rPr>
              <w:t>, dass die EU-bezogenen Reformen rasch umgesetzt werden;</w:t>
            </w:r>
            <w:r w:rsidRPr="005B7B7C">
              <w:t xml:space="preserve"> </w:t>
            </w:r>
            <w:r w:rsidRPr="005B7B7C">
              <w:rPr>
                <w:b/>
                <w:i/>
              </w:rPr>
              <w:t xml:space="preserve">ist besorgt über die Einflussnahme aus dem Ausland, die zunehmende antiwestliche und spaltende </w:t>
            </w:r>
            <w:r w:rsidRPr="005B7B7C">
              <w:rPr>
                <w:b/>
                <w:i/>
              </w:rPr>
              <w:lastRenderedPageBreak/>
              <w:t>Rhetorik im Land und die kontroversen Legislativvorschläge zu Bürgerschaft und ausländischen Agenten;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134</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 Roberto Vannacci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Fortschritte Montenegros bei der Erfüllung der Zwischenziele für die Kapitel 23 und 24 des EU-Besitzstands; fordert das Land auf, weitere Fortschritte bei den EU-bezogenen Reformen zu erzielen und diese rasch umzusetzen;</w:t>
            </w:r>
          </w:p>
        </w:tc>
        <w:tc>
          <w:tcPr>
            <w:tcW w:w="4876" w:type="dxa"/>
            <w:tcBorders>
              <w:top w:val="nil"/>
              <w:left w:val="nil"/>
              <w:bottom w:val="nil"/>
              <w:right w:val="nil"/>
            </w:tcBorders>
          </w:tcPr>
          <w:p w:rsidR="00F30D4D" w:rsidRPr="00A004FF" w:rsidRDefault="00F30D4D" w:rsidP="008610E6">
            <w:pPr>
              <w:pStyle w:val="Normal6a"/>
            </w:pPr>
            <w:r>
              <w:t>–</w:t>
            </w:r>
            <w:r>
              <w:tab/>
              <w:t xml:space="preserve">die Fortschritte Montenegros bei der Erfüllung der Zwischenziele für die Kapitel 23 und 24 des EU-Besitzstands; fordert das Land auf, weitere Fortschritte bei den EU-bezogenen Reformen zu erzielen und diese rasch umzusetzen; </w:t>
            </w:r>
            <w:r>
              <w:rPr>
                <w:b/>
                <w:i/>
              </w:rPr>
              <w:t>fordert die EU auf, Erweiterungsprozesse zu beenden, die sie nicht bewältigen kann, da dies andernfalls die Kerninteressen der derzeitigen Mitgliedstaaten gefährden würde;</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den erfolgreichen Abschluss des Screening-Prozesses für Nordmazedonien Ende 2023; fordert, dass man unverzüglich in die nächste Phase der Verhandlungen tritt; fordert die Regierung Nordmazedoniens auf, konstruktiv mit den Nachbarländern zusammenzuarbeiten, um die </w:t>
            </w:r>
            <w:r w:rsidRPr="005B7B7C">
              <w:rPr>
                <w:b/>
                <w:i/>
              </w:rPr>
              <w:lastRenderedPageBreak/>
              <w:t>verbleibenden Hindernisse für Fortschritte bei den Beitrittsverhandlungen aus dem Weg zu räumen;</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136</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r>
            <w:r>
              <w:rPr>
                <w:b/>
                <w:i/>
              </w:rPr>
              <w:t>den erfolgreichen Abschluss des Screening-Prozesses für Nordmazedonien Ende 2023; fordert, dass man unverzüglich in die nächste Phase der Verhandlungen tritt; fordert die Regierung Nordmazedoniens auf, konstruktiv mit den Nachbarländern zusammenzuarbeiten, um die verbleibenden Hindernisse für Fortschritte bei den Beitrittsverhandlungen aus dem Weg zu räumen</w:t>
            </w:r>
            <w:r>
              <w:t>;</w:t>
            </w:r>
          </w:p>
        </w:tc>
        <w:tc>
          <w:tcPr>
            <w:tcW w:w="4876" w:type="dxa"/>
            <w:tcBorders>
              <w:top w:val="nil"/>
              <w:left w:val="nil"/>
              <w:bottom w:val="nil"/>
              <w:right w:val="nil"/>
            </w:tcBorders>
          </w:tcPr>
          <w:p w:rsidR="00F30D4D" w:rsidRPr="00A004FF" w:rsidRDefault="00F30D4D" w:rsidP="008610E6">
            <w:pPr>
              <w:pStyle w:val="Normal6a"/>
            </w:pPr>
            <w:r>
              <w:t>–</w:t>
            </w:r>
            <w:r>
              <w:tab/>
            </w:r>
            <w:r>
              <w:rPr>
                <w:b/>
                <w:i/>
              </w:rPr>
              <w:t>die Notwendigkeit, die Beziehungen zu Skopje vollständig einzufrieren</w:t>
            </w:r>
            <w:r>
              <w: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Nordmazedonien Ende 2023; fordert, </w:t>
            </w:r>
            <w:r w:rsidRPr="005B7B7C">
              <w:rPr>
                <w:b/>
                <w:i/>
              </w:rPr>
              <w:t>dass man unverzüglich in</w:t>
            </w:r>
            <w:r w:rsidRPr="005B7B7C">
              <w:t xml:space="preserve"> die </w:t>
            </w:r>
            <w:r w:rsidRPr="005B7B7C">
              <w:rPr>
                <w:b/>
                <w:i/>
              </w:rPr>
              <w:t>nächste Phase der Verhandlungen tritt; fordert</w:t>
            </w:r>
            <w:r w:rsidRPr="005B7B7C">
              <w:t xml:space="preserve"> die </w:t>
            </w:r>
            <w:r w:rsidRPr="005B7B7C">
              <w:rPr>
                <w:b/>
                <w:i/>
              </w:rPr>
              <w:t xml:space="preserve">Regierung Nordmazedoniens auf, </w:t>
            </w:r>
            <w:r w:rsidRPr="005B7B7C">
              <w:rPr>
                <w:b/>
                <w:i/>
              </w:rPr>
              <w:lastRenderedPageBreak/>
              <w:t>konstruktiv</w:t>
            </w:r>
            <w:r w:rsidRPr="005B7B7C">
              <w:t xml:space="preserve"> mit den </w:t>
            </w:r>
            <w:r w:rsidRPr="005B7B7C">
              <w:rPr>
                <w:b/>
                <w:i/>
              </w:rPr>
              <w:t>Nachbarländern zusammenzuarbeiten</w:t>
            </w:r>
            <w:r w:rsidRPr="005B7B7C">
              <w:t xml:space="preserve">, </w:t>
            </w:r>
            <w:r w:rsidRPr="005B7B7C">
              <w:rPr>
                <w:b/>
                <w:i/>
              </w:rPr>
              <w:t>um die verbleibenden Hindernisse für Fortschritte bei den Beitrittsverhandlungen aus dem Weg zu räumen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den erfolgreichen Abschluss des Screening-Prozesses für Nordmazedonien Ende 2023; fordert</w:t>
            </w:r>
            <w:r w:rsidRPr="005B7B7C">
              <w:rPr>
                <w:b/>
                <w:i/>
              </w:rPr>
              <w:t xml:space="preserve"> die Regierung Nordmazedoniens auf</w:t>
            </w:r>
            <w:r w:rsidRPr="005B7B7C">
              <w:t xml:space="preserve">, </w:t>
            </w:r>
            <w:r w:rsidRPr="005B7B7C">
              <w:rPr>
                <w:b/>
                <w:i/>
              </w:rPr>
              <w:t>greifbare Ergebnisse zu erzielen, was</w:t>
            </w:r>
            <w:r w:rsidRPr="005B7B7C">
              <w:t xml:space="preserve"> die </w:t>
            </w:r>
            <w:r w:rsidRPr="005B7B7C">
              <w:rPr>
                <w:b/>
                <w:i/>
              </w:rPr>
              <w:t>Erfüllung seiner Pflichten gemäß dem EU-</w:t>
            </w:r>
            <w:r w:rsidRPr="005B7B7C">
              <w:rPr>
                <w:b/>
                <w:i/>
              </w:rPr>
              <w:lastRenderedPageBreak/>
              <w:t>Verhandlungsrahmen betrifft,</w:t>
            </w:r>
            <w:r w:rsidRPr="005B7B7C">
              <w:t xml:space="preserve"> die </w:t>
            </w:r>
            <w:r w:rsidRPr="005B7B7C">
              <w:rPr>
                <w:b/>
                <w:i/>
              </w:rPr>
              <w:t>erforderlichen Verfassungsänderungen vorzunehmen und im guten Glauben das Prespa-Abkommen</w:t>
            </w:r>
            <w:r w:rsidRPr="005B7B7C">
              <w:t xml:space="preserve"> mit </w:t>
            </w:r>
            <w:r w:rsidRPr="005B7B7C">
              <w:rPr>
                <w:b/>
                <w:i/>
              </w:rPr>
              <w:t xml:space="preserve">Griechenland sowie </w:t>
            </w:r>
            <w:r w:rsidRPr="005B7B7C">
              <w:t xml:space="preserve">den </w:t>
            </w:r>
            <w:r w:rsidRPr="005B7B7C">
              <w:rPr>
                <w:b/>
                <w:i/>
              </w:rPr>
              <w:t>Vertrag über Freundschaft</w:t>
            </w:r>
            <w:r w:rsidRPr="005B7B7C">
              <w:t xml:space="preserve">, </w:t>
            </w:r>
            <w:r w:rsidRPr="005B7B7C">
              <w:rPr>
                <w:b/>
                <w:i/>
              </w:rPr>
              <w:t>gute Nachbarschaft und Zusammenarbeit mit Bulgarien und seine Protokolle umzusetzen, damit die nächste Phase des Verhandlungsprozesses eingeleitet werden kann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Screening-Prozesses für Nordmazedonien Ende 2023; fordert, dass man </w:t>
            </w:r>
            <w:r w:rsidRPr="005B7B7C">
              <w:rPr>
                <w:b/>
                <w:i/>
              </w:rPr>
              <w:t xml:space="preserve">unverzüglich </w:t>
            </w:r>
            <w:r w:rsidRPr="005B7B7C">
              <w:t xml:space="preserve">in die nächste Phase der Verhandlungen tritt; </w:t>
            </w:r>
            <w:r w:rsidRPr="005B7B7C">
              <w:rPr>
                <w:b/>
                <w:i/>
              </w:rPr>
              <w:t>fordert die Regierung Nordmazedoniens auf, konstruktiv mit den Nachbarländern zusammenzuarbeiten, um die verbleibenden Hindernisse für Fortschritte bei den Beitrittsverhandlungen aus dem Weg zu räumen;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Nordmazedonien Ende 2023; fordert, dass man in die nächste Phase der Verhandlungen tritt;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139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Ivaylo Valchev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erfolgreichen Abschluss des </w:t>
            </w:r>
            <w:r w:rsidRPr="005B7B7C">
              <w:lastRenderedPageBreak/>
              <w:t xml:space="preserve">Screening-Prozesses für Nordmazedonien Ende 2023; fordert, dass man </w:t>
            </w:r>
            <w:r w:rsidRPr="005B7B7C">
              <w:rPr>
                <w:b/>
                <w:i/>
              </w:rPr>
              <w:t xml:space="preserve">unverzüglich </w:t>
            </w:r>
            <w:r w:rsidRPr="005B7B7C">
              <w:t xml:space="preserve">in die nächste Phase der Verhandlungen tritt; fordert die Regierung Nordmazedoniens auf, konstruktiv mit den </w:t>
            </w:r>
            <w:r w:rsidRPr="005B7B7C">
              <w:rPr>
                <w:b/>
                <w:i/>
              </w:rPr>
              <w:t>Nachbarländern zusammenzuarbeiten</w:t>
            </w:r>
            <w:r w:rsidRPr="005B7B7C">
              <w:t>, um die verbleibenden Hindernisse für Fortschritte bei den Beitrittsverhandlungen aus dem Weg zu räumen;</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den erfolgreichen Abschluss des </w:t>
            </w:r>
            <w:r w:rsidRPr="005B7B7C">
              <w:lastRenderedPageBreak/>
              <w:t>Screening-Prozesses für Nordmazedonien Ende 2023; fordert, dass man in die nächste Phase der Verhandlungen tritt</w:t>
            </w:r>
            <w:r w:rsidRPr="005B7B7C">
              <w:rPr>
                <w:b/>
                <w:i/>
              </w:rPr>
              <w:t>, sobald die im Verhandlungsrahmen festgelegten Kriterien erfüllt sind</w:t>
            </w:r>
            <w:r w:rsidRPr="005B7B7C">
              <w:t xml:space="preserve">; fordert die Regierung Nordmazedoniens auf, konstruktiv </w:t>
            </w:r>
            <w:r w:rsidRPr="005B7B7C">
              <w:rPr>
                <w:b/>
                <w:i/>
              </w:rPr>
              <w:t xml:space="preserve">an seinen Zusagen </w:t>
            </w:r>
            <w:r w:rsidRPr="005B7B7C">
              <w:t xml:space="preserve">mit </w:t>
            </w:r>
            <w:r w:rsidRPr="005B7B7C">
              <w:rPr>
                <w:b/>
                <w:i/>
              </w:rPr>
              <w:t xml:space="preserve">Blick auf </w:t>
            </w:r>
            <w:r w:rsidRPr="005B7B7C">
              <w:t xml:space="preserve">den </w:t>
            </w:r>
            <w:r w:rsidRPr="005B7B7C">
              <w:rPr>
                <w:b/>
                <w:i/>
              </w:rPr>
              <w:t>erweiterungspolitischen Rahmen zu arbeiten</w:t>
            </w:r>
            <w:r w:rsidRPr="005B7B7C">
              <w:t>, um die verbleibenden Hindernisse für Fortschritte bei den Beitrittsverhandlungen aus dem Weg zu räumen;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Nordmazedonien Ende 2023</w:t>
            </w:r>
            <w:r w:rsidRPr="005B7B7C">
              <w:rPr>
                <w:b/>
                <w:i/>
              </w:rPr>
              <w:t>;</w:t>
            </w:r>
            <w:r w:rsidRPr="005B7B7C">
              <w:t xml:space="preserve"> fordert, dass man unverzüglich in die nächste Phase der Verhandlungen tritt; fordert die Regierung </w:t>
            </w:r>
            <w:r w:rsidRPr="005B7B7C">
              <w:rPr>
                <w:b/>
                <w:i/>
              </w:rPr>
              <w:t>Nordmazedoniens</w:t>
            </w:r>
            <w:r w:rsidRPr="005B7B7C">
              <w:t xml:space="preserve"> auf, konstruktiv </w:t>
            </w:r>
            <w:r w:rsidRPr="005B7B7C">
              <w:rPr>
                <w:b/>
                <w:i/>
              </w:rPr>
              <w:t xml:space="preserve">mit den Nachbarländern </w:t>
            </w:r>
            <w:r w:rsidRPr="005B7B7C">
              <w:t>zusammenzuarbeiten, um die verbleibenden Hindernisse für Fortschritte bei den Beitrittsverhandlungen aus dem Weg zu räumen;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Nordmazedonien Ende 2023</w:t>
            </w:r>
            <w:r w:rsidRPr="005B7B7C">
              <w:rPr>
                <w:b/>
                <w:i/>
              </w:rPr>
              <w:t xml:space="preserve"> und</w:t>
            </w:r>
            <w:r w:rsidRPr="005B7B7C">
              <w:t xml:space="preserve"> fordert, dass man unverzüglich in die nächste Phase der Verhandlungen tritt; fordert die Regierung </w:t>
            </w:r>
            <w:r w:rsidRPr="005B7B7C">
              <w:rPr>
                <w:b/>
                <w:i/>
              </w:rPr>
              <w:t>und die Nachbarländer</w:t>
            </w:r>
            <w:r w:rsidRPr="005B7B7C">
              <w:t xml:space="preserve"> auf, konstruktiv zusammenzuarbeiten, um die verbleibenden Hindernisse für Fortschritte bei den Beitrittsverhandlungen aus dem Weg zu räumen</w:t>
            </w:r>
            <w:r w:rsidRPr="005B7B7C">
              <w:rPr>
                <w:b/>
                <w:i/>
              </w:rPr>
              <w:t>, und bekräftigt, dass bilaterale Themen getrennt vom Beitrittsprozess behandelt werden müssen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Nordmazedonien Ende 2023; fordert</w:t>
            </w:r>
            <w:r w:rsidRPr="005B7B7C">
              <w:rPr>
                <w:b/>
                <w:i/>
              </w:rPr>
              <w:t>, dass man unverzüglich in die nächste Phase</w:t>
            </w:r>
            <w:r w:rsidRPr="005B7B7C">
              <w:t xml:space="preserve"> der </w:t>
            </w:r>
            <w:r w:rsidRPr="005B7B7C">
              <w:rPr>
                <w:b/>
                <w:i/>
              </w:rPr>
              <w:t>Verhandlungen tritt</w:t>
            </w:r>
            <w:r w:rsidRPr="005B7B7C">
              <w:t>; fordert die Regierung Nordmazedoniens auf, konstruktiv mit den Nachbarländern zusammenzuarbeiten, um die verbleibenden Hindernisse für Fortschritte bei den Beitrittsverhandlungen aus dem Weg zu räumen;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erfolgreichen Abschluss des Screening-Prozesses für Nordmazedonien Ende 2023; fordert</w:t>
            </w:r>
            <w:r w:rsidRPr="005B7B7C">
              <w:rPr>
                <w:b/>
                <w:i/>
              </w:rPr>
              <w:t xml:space="preserve"> eine umfassende Bewertung der möglichen Auswirkungen des Beitritts Nordmazedoniens, bevor</w:t>
            </w:r>
            <w:r w:rsidRPr="005B7B7C">
              <w:t xml:space="preserve"> der </w:t>
            </w:r>
            <w:r w:rsidRPr="005B7B7C">
              <w:rPr>
                <w:b/>
                <w:i/>
              </w:rPr>
              <w:t>Weg zur Mitgliedschaft weiter beschritten wird</w:t>
            </w:r>
            <w:r w:rsidRPr="005B7B7C">
              <w:t>; fordert die Regierung Nordmazedoniens auf, konstruktiv mit den Nachbarländern zusammenzuarbeiten, um die verbleibenden Hindernisse für Fortschritte bei den Beitrittsverhandlungen aus dem Weg zu räumen;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5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konstruktive Rolle, die die lebhafte lokale Zivilgesellschaft bei den EU-Beitrittsprozessen spielt; fordert die Erweiterungsländer auf, einen offenen Raum und einen entsprechenden Rahmen für Zusammenarbeit bereitzustellen, um ihre sinnvolle Teilhabe zu gewährleisten; betont, dass die Zivilgesellschaft von wesentlicher Bedeutung ist, wenn es gilt, Demokratie und Pluralismus zu stärken und eine verantwortungsvolle Staatsführung und den gesellschaftlichen Fortschritt zu fördern;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lastRenderedPageBreak/>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w:t>
            </w:r>
            <w:r w:rsidRPr="005B7B7C">
              <w:lastRenderedPageBreak/>
              <w:t>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w:t>
            </w:r>
            <w:r w:rsidRPr="005B7B7C">
              <w:lastRenderedPageBreak/>
              <w:t>Sanktionen, erforderlich sind;</w:t>
            </w:r>
            <w:r w:rsidRPr="005B7B7C">
              <w:rPr>
                <w:b/>
                <w:i/>
              </w:rPr>
              <w:t> unterstreicht darüber hinaus die Gefahren, die von böswilliger Einflussnahme aus dem Ausland in der Region ausgehen, und betont, wie wichtig die Bekämpfung von Desinformation ist; warnt davor, sich auf systematische Rivalen der EU einzulassen, die die nachhaltige und sichere Zukunft in Wohlstand, die der EU-Beitritt bietet, untergraben könnten, und weist in diesem Zusammenhang auf den Mehrwert hin, die die Investitionen der Europäischen Union im Rahmen des IPA III, der neu eingerichteten Reform- und Wachstumsfazilität für den Westbalkan (und des Wachstumsplans) und des Investitionsrahmens für den westlichen Balkan bieten; fordert das für Erweiterung zuständige Kommissionsmitglied auf, für mehr Sichtbarkeit der EU-Maßnahmen im Westbalkan zu sorgen;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145</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w:t>
            </w:r>
            <w:r>
              <w:lastRenderedPageBreak/>
              <w:t>öffentliche Verwaltung sowie eine Angleichung an die GASP, einschließlich Sanktionen, erforderlich sind;</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w:t>
            </w:r>
            <w:r>
              <w:lastRenderedPageBreak/>
              <w:t xml:space="preserve">öffentliche Verwaltung sowie eine Angleichung an die GASP, einschließlich Sanktionen, erforderlich sind; </w:t>
            </w:r>
            <w:r>
              <w:rPr>
                <w:b/>
                <w:i/>
              </w:rPr>
              <w:t>hält es für eine äußerst wichtige und wesentliche Voraussetzung für eine Annäherung der Partner im Westbalkan an die EU, dass sie mit ihren außenpolitischen Maßnahmen und ihrem Abstimmungsverhalten bei Resolutionen der Generalversammlung der Vereinten Nationen weiterhin ihre Unterstützung für die Ukraine bekunden und die Sanktionen gegen Russland und deren Verschärfung befürworten;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Ivaylo Valchev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w:t>
            </w:r>
            <w:r w:rsidRPr="005B7B7C">
              <w:rPr>
                <w:b/>
                <w:i/>
              </w:rPr>
              <w:t xml:space="preserve"> angesichts der dynamischen Veränderungen des internationalen Umfelds</w:t>
            </w:r>
            <w:r w:rsidRPr="005B7B7C">
              <w:t xml:space="preserve">; weist darauf hin, dass die Erweiterung der EU eine geostrategische Investition </w:t>
            </w:r>
            <w:r w:rsidRPr="005B7B7C">
              <w:rPr>
                <w:b/>
                <w:i/>
              </w:rPr>
              <w:t xml:space="preserve">und ein auf Verdiensten beruhender Prozess </w:t>
            </w:r>
            <w:r w:rsidRPr="005B7B7C">
              <w:t>ist, die sowohl ein Engagement der EU als auch der Bewerberländer auf ihrem Weg zum Beitritt erfordert</w:t>
            </w:r>
            <w:r w:rsidRPr="005B7B7C">
              <w:rPr>
                <w:b/>
                <w:i/>
              </w:rPr>
              <w:t>; weist ferner darauf hin, dass sich die Union auf die Werte der Demokratie, die Rechtsstaatlichkeit und die Wahrung der Menschenrechte gründet, die Teil der Kopenhagener Kriterien sind, wobei es sich um die wichtigsten Kriterien für die EU-Mitgliedschaft handelt</w:t>
            </w:r>
            <w:r w:rsidRPr="005B7B7C">
              <w:t xml:space="preserve">; weist in diesem Zusammenhang darauf hin, dass weiterhin </w:t>
            </w:r>
            <w:r w:rsidRPr="005B7B7C">
              <w:lastRenderedPageBreak/>
              <w:t>Reformen in den Bereichen Rechtsstaatlichkeit, Grundrechte und öffentliche Verwaltung sowie eine Angleichung an die GASP, einschließlich Sanktionen, erforderlich sind;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w:t>
            </w:r>
            <w:r w:rsidRPr="005B7B7C">
              <w:rPr>
                <w:b/>
                <w:i/>
              </w:rPr>
              <w:t xml:space="preserve"> und Visapolitik der EU</w:t>
            </w:r>
            <w:r w:rsidRPr="005B7B7C">
              <w:t xml:space="preserve">, erforderlich sind; </w:t>
            </w:r>
            <w:r w:rsidRPr="005B7B7C">
              <w:rPr>
                <w:b/>
                <w:i/>
              </w:rPr>
              <w:t>fordert die Länder des westlichen Balkans auf, alle Ressourcen, die im Rahmen der Reform- und Wachstumsfazilität für den Westbalkan zur Verfügung gestellt wurden, zu nutzen, um ihre Angleichung an die Werte, Rechtsvorschriften, Normen, Politik und Verfahren der EU zu fördern;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148</w:t>
      </w:r>
      <w:r w:rsidRPr="005B7B7C">
        <w:rPr>
          <w:rStyle w:val="HideTWBExt"/>
        </w:rPr>
        <w:t>&lt;/NumAm&gt;</w:t>
      </w:r>
    </w:p>
    <w:p w:rsidR="00F30D4D" w:rsidRPr="005B7B7C" w:rsidRDefault="00F30D4D" w:rsidP="00F30D4D">
      <w:pPr>
        <w:pStyle w:val="NormalBold"/>
      </w:pPr>
      <w:r w:rsidRPr="005B7B7C">
        <w:rPr>
          <w:rStyle w:val="HideTWBExt"/>
          <w:b w:val="0"/>
        </w:rPr>
        <w:lastRenderedPageBreak/>
        <w:t>&lt;RepeatBlock-By&gt;&lt;Members&gt;</w:t>
      </w:r>
      <w:r w:rsidRPr="005B7B7C">
        <w:t>António Tânger Corrêa, Jordan Bardella, Matthieu Valet, Pierre-Romain Thionnet</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erfolgreiche Wiederaufnahme des GASP-Dialogs zwischen der EU und ihren Partnern im Westbalkan und die Bedeutung dieser Partnerschaften für Frieden und Sicherheit; weist </w:t>
            </w:r>
            <w:r w:rsidRPr="005B7B7C">
              <w:rPr>
                <w:b/>
                <w:i/>
              </w:rPr>
              <w:t xml:space="preserve">darauf hin, dass die Erweiterung der EU eine geostrategische Investition ist, die sowohl ein Engagement der EU als auch der Bewerberländer auf ihrem Weg zum Beitritt erfordert; weist </w:t>
            </w:r>
            <w:r w:rsidRPr="005B7B7C">
              <w:t>in diesem Zusammenhang darauf hin, dass weiterhin Reformen in den Bereichen Rechtsstaatlichkeit, Grundrechte und öffentliche Verwaltung</w:t>
            </w:r>
            <w:r w:rsidRPr="005B7B7C">
              <w:rPr>
                <w:b/>
                <w:i/>
              </w:rPr>
              <w:t xml:space="preserve"> sowie eine Angleichung an die GASP, einschließlich Sanktionen,</w:t>
            </w:r>
            <w:r w:rsidRPr="005B7B7C">
              <w:t xml:space="preserve"> erforderlich sind;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in diesem Zusammenhang darauf hin, dass weiterhin Reformen in den Bereichen Rechtsstaatlichkeit, Grundrechte und öffentliche Verwaltung erforderlich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149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w:t>
            </w:r>
            <w:r w:rsidRPr="005B7B7C">
              <w:lastRenderedPageBreak/>
              <w:t>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w:t>
            </w:r>
            <w:r w:rsidRPr="005B7B7C">
              <w:rPr>
                <w:b/>
                <w:i/>
              </w:rPr>
              <w:t xml:space="preserve"> und dazu dient, gegen böswillige Einflussnahme vonseiten Russlands, Chinas und anderer Akteure </w:t>
            </w:r>
            <w:r w:rsidRPr="005B7B7C">
              <w:rPr>
                <w:b/>
                <w:i/>
              </w:rPr>
              <w:lastRenderedPageBreak/>
              <w:t>vorzugehen, die versuchen, die Stabilität der Region zu untergraben</w:t>
            </w:r>
            <w:r w:rsidRPr="005B7B7C">
              <w:t>; weist in diesem Zusammenhang darauf hin, dass weiterhin Reformen in den Bereichen Rechtsstaatlichkeit, Grundrechte und öffentliche Verwaltung sowie eine Angleichung an die GASP, einschließlich Sanktionen, erforderlich sind;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150</w:t>
      </w:r>
      <w:r>
        <w:rPr>
          <w:rStyle w:val="HideTWBExt"/>
        </w:rPr>
        <w:t>&lt;/NumAm&gt;</w:t>
      </w:r>
    </w:p>
    <w:p w:rsidR="00F30D4D" w:rsidRPr="00A004FF" w:rsidRDefault="00F30D4D" w:rsidP="00F30D4D">
      <w:pPr>
        <w:pStyle w:val="NormalBold"/>
      </w:pPr>
      <w:r>
        <w:rPr>
          <w:rStyle w:val="HideTWBExt"/>
          <w:b w:val="0"/>
        </w:rPr>
        <w:t>&lt;RepeatBlock-By&gt;&lt;Members&gt;</w:t>
      </w:r>
      <w:r>
        <w:t>Francisco José Millán Mon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A004FF" w:rsidRDefault="00F30D4D" w:rsidP="008610E6">
            <w:pPr>
              <w:pStyle w:val="Normal6a"/>
            </w:pPr>
            <w:r>
              <w:t>–</w:t>
            </w:r>
            <w:r>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erforderlich sind;</w:t>
            </w:r>
            <w:r>
              <w:rPr>
                <w:b/>
                <w:i/>
              </w:rPr>
              <w:t> weist ferner darauf hin, dass zu berücksichtigten ist, inwieweit die Europäische Union die Integration bewältigen kann;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{ES}</w:t>
      </w:r>
      <w:r w:rsidRPr="00A004FF">
        <w:t>es</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151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Kinga Gál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w:t>
            </w:r>
            <w:r w:rsidRPr="005B7B7C">
              <w:rPr>
                <w:b/>
                <w:i/>
              </w:rPr>
              <w:t>einschließlich Sanktionen, erforderlich sind</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w:t>
            </w:r>
            <w:r w:rsidRPr="005B7B7C">
              <w:rPr>
                <w:b/>
                <w:i/>
              </w:rPr>
              <w:t xml:space="preserve"> erforderlich sind; betont jedoch</w:t>
            </w:r>
            <w:r w:rsidRPr="005B7B7C">
              <w:t xml:space="preserve">, </w:t>
            </w:r>
            <w:r w:rsidRPr="005B7B7C">
              <w:rPr>
                <w:b/>
                <w:i/>
              </w:rPr>
              <w:t>dass der Beitritt nur auf Verdiensten beruhen kann und nicht an ideologische Anforderungen geknüpft werden darf</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152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w:t>
            </w:r>
            <w:r w:rsidRPr="005B7B7C">
              <w:lastRenderedPageBreak/>
              <w:t>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t>
            </w:r>
            <w:r w:rsidRPr="005B7B7C">
              <w:rPr>
                <w:b/>
                <w:i/>
              </w:rPr>
              <w:t xml:space="preserve">es sich um einen auf Verdiensten beruhenden </w:t>
            </w:r>
            <w:r w:rsidRPr="005B7B7C">
              <w:rPr>
                <w:b/>
                <w:i/>
              </w:rPr>
              <w:lastRenderedPageBreak/>
              <w:t xml:space="preserve">und umkehrbaren Prozess handelt, weshalb </w:t>
            </w:r>
            <w:r w:rsidRPr="005B7B7C">
              <w:t>weiterhin Reformen in den Bereichen Rechtsstaatlichkeit, Grundrechte und öffentliche Verwaltung sowie eine Angleichung an die GASP, einschließlich Sanktionen, erforderlich sind;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153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 sowie eine Angleichung an die GASP, einschließlich Sanktionen, erforderlich sind;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erfolgreiche Wiederaufnahme des GASP-Dialogs zwischen der EU und ihren Partnern im Westbalkan und die Bedeutung dieser Partnerschaften für Frieden und Sicherheit; weist darauf hin, dass die Erweiterung der EU eine geostrategische Investition ist, die sowohl ein Engagement der EU als auch der Bewerberländer auf ihrem Weg zum Beitritt erfordert; weist in diesem Zusammenhang darauf hin, dass weiterhin Reformen in den Bereichen Rechtsstaatlichkeit, Grundrechte und öffentliche Verwaltung</w:t>
            </w:r>
            <w:r w:rsidRPr="005B7B7C">
              <w:rPr>
                <w:b/>
                <w:i/>
              </w:rPr>
              <w:t>, eine Angleichung in Bezug auf Visa</w:t>
            </w:r>
            <w:r w:rsidRPr="005B7B7C">
              <w:t xml:space="preserve"> sowie eine</w:t>
            </w:r>
            <w:r w:rsidRPr="005B7B7C">
              <w:rPr>
                <w:b/>
                <w:i/>
              </w:rPr>
              <w:t xml:space="preserve"> uneingeschränkte</w:t>
            </w:r>
            <w:r w:rsidRPr="005B7B7C">
              <w:t xml:space="preserve"> Angleichung an die GASP, einschließlich Sanktionen, erforderlich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154</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2 – </w:t>
      </w:r>
      <w:r w:rsidRPr="006416CF">
        <w:t>Spiegelstrich</w:t>
      </w:r>
      <w:r w:rsidRPr="00A004FF">
        <w:t xml:space="preserve"> 6</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lastRenderedPageBreak/>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die erfolgreiche Wiederaufnahme des GASP-Dialogs zwischen der EU und ihren Partnern im Westbalkan und die Bedeutung dieser Partnerschaften für Frieden und Sicherheit; weist darauf hin, dass die Erweiterung der EU </w:t>
            </w:r>
            <w:r w:rsidRPr="00A004FF">
              <w:rPr>
                <w:b/>
                <w:i/>
              </w:rPr>
              <w:t>eine</w:t>
            </w:r>
            <w:r w:rsidRPr="00A004FF">
              <w:t xml:space="preserve"> geostrategische </w:t>
            </w:r>
            <w:r w:rsidRPr="00A004FF">
              <w:rPr>
                <w:b/>
                <w:i/>
              </w:rPr>
              <w:t>Investition ist, die</w:t>
            </w:r>
            <w:r w:rsidRPr="00A004FF">
              <w:t xml:space="preserve"> sowohl ein Engagement der EU als auch der Bewerberländer auf ihrem Weg zum Beitritt erfordert; weist in diesem Zusammenhang darauf hin, dass weiterhin Reformen in den Bereichen Rechtsstaatlichkeit, Grundrechte und öffentliche Verwaltung sowie eine Angleichung an die GASP, </w:t>
            </w:r>
            <w:r w:rsidRPr="00A004FF">
              <w:rPr>
                <w:b/>
                <w:i/>
              </w:rPr>
              <w:t>einschließlich Sanktionen,</w:t>
            </w:r>
            <w:r w:rsidRPr="00A004FF">
              <w:t xml:space="preserve"> erforderlich sind;</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die erfolgreiche Wiederaufnahme des GASP-Dialogs zwischen der EU und ihren Partnern im Westbalkan und die Bedeutung dieser Partnerschaften für Frieden und Sicherheit; weist darauf hin, dass die Erweiterung der EU geostrategische </w:t>
            </w:r>
            <w:r w:rsidRPr="00A004FF">
              <w:rPr>
                <w:b/>
                <w:i/>
              </w:rPr>
              <w:t>Risiken mit sich bringen kann, deren sorgfältige Abwägung</w:t>
            </w:r>
            <w:r w:rsidRPr="00A004FF">
              <w:t xml:space="preserve"> sowohl ein Engagement der EU als auch der Bewerberländer auf ihrem Weg zum Beitritt erfordert; weist in diesem Zusammenhang darauf hin, dass weiterhin Reformen in den Bereichen Rechtsstaatlichkeit, Grundrechte und öffentliche Verwaltung sowie eine Angleichung an die GASP, erforderlich sind;</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155</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A004FF" w:rsidRDefault="00F30D4D" w:rsidP="008610E6">
            <w:pPr>
              <w:pStyle w:val="Normal6a"/>
            </w:pPr>
            <w:r>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156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lastRenderedPageBreak/>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157</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2 – </w:t>
      </w:r>
      <w:r w:rsidRPr="006416CF">
        <w:t>Spiegelstrich</w:t>
      </w:r>
      <w:r w:rsidRPr="00A004FF">
        <w:t xml:space="preserve"> 7</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rPr>
                <w:b/>
                <w:i/>
              </w:rPr>
              <w:t>–</w:t>
            </w:r>
            <w:r w:rsidRPr="00A004FF">
              <w:tab/>
            </w:r>
            <w:r w:rsidRPr="00A004FF">
              <w:rPr>
                <w:b/>
                <w:i/>
              </w:rPr>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A004FF" w:rsidRDefault="00F30D4D" w:rsidP="008610E6">
            <w:pPr>
              <w:pStyle w:val="Normal6a"/>
            </w:pPr>
            <w:r w:rsidRPr="00A004FF">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158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Costas Mavrides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Beschluss, Beitrittsgespräche mit der Ukraine und Moldau beschlossen. begrüßt, dass die GASP-Angleichungsquote Moldaus von 54 % im Jahr 2022 auf 86 % im Jahr 2024 erheblich gestiegen ist; </w:t>
            </w:r>
            <w:r w:rsidRPr="005B7B7C">
              <w:rPr>
                <w:b/>
                <w:i/>
              </w:rPr>
              <w:t>ermutigt die Ukraine und Moldau, diesen positiven Trend hin zu einer vollständigen Angleichung auch im Einklang mit den Grundsätzen der Souveränität und der territorialen Unversehrtheit aller EU-Mitgliedstaaten fortzusetzen;</w:t>
            </w:r>
            <w:r w:rsidRPr="005B7B7C">
              <w:t xml:space="preserve"> fordert eine Beschleunigung des Screening-Prozesses und die rechtzeitige Organisation der nachfolgenden Regierungskonferenzen;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159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Ilhan Kyuchyuk, Lucia Yar, Marie-Agnes Strack-Zimmermann,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Beschluss, Beitrittsgespräche mit der Ukraine und Moldau beschlossen. begrüßt, dass die GASP-Angleichungsquote Moldaus von 54 % im Jahr 2022 auf 86 % im Jahr 2024 erheblich gestiegen ist; </w:t>
            </w:r>
            <w:r w:rsidRPr="005B7B7C">
              <w:rPr>
                <w:b/>
                <w:i/>
              </w:rPr>
              <w:t>begrüßt die Ergebnisse des Verfassungsreferendums in Moldau, demzufolge die Bevölkerung den EU-Beitritt wünscht;</w:t>
            </w:r>
            <w:r w:rsidRPr="005B7B7C">
              <w:t xml:space="preserve"> fordert eine Beschleunigung des Screening-Prozesses und die rechtzeitige Organisation der nachfolgenden Regierungskonferenzen;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160</w:t>
      </w:r>
      <w:r w:rsidRPr="005B7B7C">
        <w:rPr>
          <w:rStyle w:val="HideTWBExt"/>
        </w:rPr>
        <w:t>&lt;/NumAm&gt;</w:t>
      </w:r>
    </w:p>
    <w:p w:rsidR="00F30D4D" w:rsidRPr="005B7B7C" w:rsidRDefault="00F30D4D" w:rsidP="00F30D4D">
      <w:pPr>
        <w:pStyle w:val="NormalBold"/>
      </w:pPr>
      <w:r w:rsidRPr="005B7B7C">
        <w:rPr>
          <w:rStyle w:val="HideTWBExt"/>
          <w:b w:val="0"/>
        </w:rPr>
        <w:lastRenderedPageBreak/>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Beschluss, Beitrittsgespräche mit der Ukraine und Moldau beschlossen. begrüßt, dass die GASP-Angleichungsquote Moldaus von 54 % im Jahr 2022 auf 86 % im Jahr 2024 erheblich gestiegen ist; </w:t>
            </w:r>
            <w:r w:rsidRPr="005B7B7C">
              <w:rPr>
                <w:b/>
                <w:i/>
              </w:rPr>
              <w:t>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Beschluss, Beitrittsgespräche mit der Ukraine und Moldau beschlossen. begrüßt, dass die GASP-Angleichungsquote Moldaus von 54 % im Jahr 2022 auf 86 % im Jahr 2024 erheblich gestiegen ist;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Cristian Terheş</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den Beschluss, Beitrittsgespräche mit der Ukraine und Moldau beschlossen. begrüßt, dass die GASP-Angleichungsquote Moldaus von 54 % im Jahr 2022 auf 86 % im Jahr 2024 erheblich gestiegen ist; fordert eine Beschleunigung des Screening-Prozesses und die rechtzeitige Organisation der nachfolgenden Regierungskonferenzen</w:t>
            </w:r>
            <w:r w:rsidRPr="005B7B7C">
              <w:rPr>
                <w:b/>
                <w:i/>
              </w:rPr>
              <w:t>, damit das Ziel, dass Moldau bis 2030 EU-Mitglied wird, bestätigt wird</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2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Beschluss, Beitrittsgespräche mit der Ukraine und Moldau beschlossen. begrüßt, dass die GASP-Angleichungsquote Moldaus von 54 % im Jahr 2022 auf 86 % im Jahr 2024 erheblich gestiegen ist; </w:t>
            </w:r>
            <w:r w:rsidRPr="005B7B7C">
              <w:rPr>
                <w:b/>
                <w:i/>
              </w:rPr>
              <w:t>fordert eine Beschleunigung</w:t>
            </w:r>
            <w:r w:rsidRPr="005B7B7C">
              <w:t xml:space="preserve"> des Screening-Prozesses und die rechtzeitige Organisation der nachfolgenden Regierungskonferenzen;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den Beschluss, Beitrittsgespräche mit der Ukraine und Moldau beschlossen. begrüßt, dass die GASP-Angleichungsquote Moldaus von 54 % im Jahr 2022 auf 86 % im Jahr 2024 erheblich gestiegen ist; </w:t>
            </w:r>
            <w:r w:rsidRPr="005B7B7C">
              <w:rPr>
                <w:b/>
                <w:i/>
              </w:rPr>
              <w:t>begrüßt den Beginn</w:t>
            </w:r>
            <w:r w:rsidRPr="005B7B7C">
              <w:t xml:space="preserve"> des Screening-Prozesses</w:t>
            </w:r>
            <w:r w:rsidRPr="005B7B7C">
              <w:rPr>
                <w:b/>
                <w:i/>
              </w:rPr>
              <w:t xml:space="preserve"> für die Ukraine</w:t>
            </w:r>
            <w:r w:rsidRPr="005B7B7C">
              <w:t xml:space="preserve"> und</w:t>
            </w:r>
            <w:r w:rsidRPr="005B7B7C">
              <w:rPr>
                <w:b/>
                <w:i/>
              </w:rPr>
              <w:t xml:space="preserve"> Moldau trotz vorheriger Verzögerungen; fordert</w:t>
            </w:r>
            <w:r w:rsidRPr="005B7B7C">
              <w:t xml:space="preserve"> die rechtzeitige Organisation der nachfolgenden Regierungskonferenzen;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7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begrüßt den hohen Grad der Angleichung an die GASP, den die meisten Länder des westlichen Balkans, mit Ausnahme Serbiens, erreicht haben;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Hilde Vautmans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anhaltenden Bestrebungen Armeniens und Aserbaidschans, ihre Beziehungen zu normalisieren; fordert sie </w:t>
            </w:r>
            <w:r w:rsidRPr="005B7B7C">
              <w:rPr>
                <w:b/>
                <w:i/>
              </w:rPr>
              <w:lastRenderedPageBreak/>
              <w:t>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Armeniens und Aserbaidschans, ihre Beziehungen zu normalisieren; fordert </w:t>
            </w:r>
            <w:r w:rsidRPr="005B7B7C">
              <w:rPr>
                <w:b/>
                <w:i/>
              </w:rPr>
              <w:t>sie</w:t>
            </w:r>
            <w:r w:rsidRPr="005B7B7C">
              <w:t xml:space="preserve"> 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w:t>
            </w:r>
            <w:r w:rsidRPr="005B7B7C">
              <w:rPr>
                <w:b/>
                <w:i/>
              </w:rPr>
              <w:t>, wie die gemeinsame Stellungnahme Armeniens und Aserbaidschans vom 7. Dezember 2023 zu vertrauensbildenden Maßnahmen und den im Rahmen der Festlegung des Verlaufs der Grenze zwischen Armenien und Aserbaidschan erzielten Fortschritten, die zu einer Einigung über mehrere Grenzabschnitte geführt haben;</w:t>
            </w:r>
            <w:r w:rsidRPr="005B7B7C">
              <w:t xml:space="preserve"> fordert </w:t>
            </w:r>
            <w:r w:rsidRPr="005B7B7C">
              <w:rPr>
                <w:b/>
                <w:i/>
              </w:rPr>
              <w:t>beide Parteien</w:t>
            </w:r>
            <w:r w:rsidRPr="005B7B7C">
              <w:t xml:space="preserve"> auf, unverzüglich ein umfassendes Friedensabkommen zu unterzeichnen; </w:t>
            </w:r>
            <w:r w:rsidRPr="005B7B7C">
              <w:rPr>
                <w:b/>
                <w:i/>
              </w:rPr>
              <w:t>fordert Aserbaidschan auf, unter Beweis zu stellen, dass es echte Anstrengungen in diesem Sinne unternimmt; bekräftigt seine Unterstützung für die Souveränität und territoriale Unversehrtheit sowohl Aserbaidschans als auch Armeniens und befürwortet nachdrücklich die Normalisierung ihrer Beziehungen nach Maßgabe der Grundsätze der gegenseitigen Anerkennung der territorialen Unversehrtheit und der Unverletzlichkeit der Grenzen auf der Grundlage der Erklärung von Alma-Ata von 1991; bekräftigt seine Forderung nach dem Rückzug der Streitkräfte Aserbaidschans aus dem gesamten Hoheitsgebiet Armeniens;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 fordert sie auf, unverzüglich ein umfassendes Friedensabkommen zu unterzeichnen;</w:t>
            </w:r>
            <w:r w:rsidRPr="005B7B7C">
              <w:rPr>
                <w:b/>
                <w:i/>
              </w:rPr>
              <w:t> verurteilt die anhaltenden Bemühungen Aserbaidschans, die Möglichkeit von Frieden in der Region zu unterminieren, und die anhaltenden Drohungen gegen Armenien; fordert die EU und ihre Mitgliedstaaten auf, eine etwaige sicherheitsbezogene, technische oder finanzielle Unterstützung Aserbaidschans, auch über verschiedene EU-Instrumente, auszuschließen, die dazu beitragen könnte, die Angriffskapazitäten Aserbaidschans auszuweiten, oder die Sicherheit, territoriale Unversehrtheit und Souveränität Armeniens gefährden könnte; begrüßt die regelmäßigen Treffen im Rahmen des politischen und sicherheitspolitischen Dialogs zwischen Armenien und der EU, die ein weiterer Meilenstein bei der Zusammenarbeit beider Parteien in den Bereichen Verteidigung und Sicherheit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167</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 Jorge Martín Frías, Hermann Tertsch</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lastRenderedPageBreak/>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anhaltenden Bestrebungen 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A004FF" w:rsidRDefault="00F30D4D" w:rsidP="008610E6">
            <w:pPr>
              <w:pStyle w:val="Normal6a"/>
            </w:pPr>
            <w:r>
              <w:t>–</w:t>
            </w:r>
            <w:r>
              <w:tab/>
              <w:t xml:space="preserve">die anhaltenden Bestrebungen Armeniens und Aserbaidschans, ihre Beziehungen zu normalisieren; fordert sie auf, unverzüglich ein umfassendes Friedensabkommen zu unterzeichnen; </w:t>
            </w:r>
            <w:r>
              <w:rPr>
                <w:b/>
                <w:i/>
              </w:rPr>
              <w:t>unterstützt uneingeschränkt das armenische Volk und die Orientchristen in der Region, auf die die Expansionsbestrebungen Aserbaidschans ausgerichtet sind; weist darauf hin, dass sich Aserbaidschan wiederholt und ganz eindeutig in die inneren Angelegenheiten Frankreichs eingemischt hat, insbesondere in Neukaledonien und Martinique, um dort den öffentlichen Frieden zu beeinträchtigen und zum Aufstand anzustiften;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Armeniens und Aserbaidschans, ihre Beziehungen zu normalisieren; fordert sie auf, unverzüglich ein umfassendes Friedensabkommen zu unterzeichnen; </w:t>
            </w:r>
            <w:r w:rsidRPr="005B7B7C">
              <w:rPr>
                <w:b/>
                <w:i/>
              </w:rPr>
              <w:t xml:space="preserve">bekräftigt in diesem Zusammenhang seinen Standpunkt, dass jedes Partnerschaftsabkommen zwischen der EU und Aserbaidschan – auch im Energiebereich – an strenge Bedingungen in Bezug auf die Achtung des Völkerrechts, der Grundrechte und der internationalen Verpflichtungen und insbesondere an wesentliche Fortschritte </w:t>
            </w:r>
            <w:r w:rsidRPr="005B7B7C">
              <w:rPr>
                <w:b/>
                <w:i/>
              </w:rPr>
              <w:lastRenderedPageBreak/>
              <w:t>Aserbaidschans auf dem Weg zu einem umfassenden und dauerhaften Friedensabkommen mit Armenien geknüpft sein muss;</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169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Loucas Fourlas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Armeniens und Aserbaidschans, ihre Beziehungen zu normalisieren; fordert sie auf, unverzüglich ein umfassendes Friedensabkommen zu unterzeichnen; </w:t>
            </w:r>
            <w:r w:rsidRPr="005B7B7C">
              <w:rPr>
                <w:b/>
                <w:i/>
              </w:rPr>
              <w:t>verurteilt jede militärische Aggression, jede Gewaltanwendung und sämtliche hybriden Bedrohungen gegen Armenien sowie die Einflussnahme aus dem Ausland und die Versuche zur Destabilisierung der politischen Lage in Armenien; begrüßt ferner den Beschluss über die Annahme der ersten Unterstützungsmaßnahme im Rahmen der Europäischen Friedensfazilität, mit der die armenischen Streitkräfte unterstützt werden sollen;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170</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Fernand Kartheiser, Charlie Weimers, Nikolaos Anadiotis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anhaltenden Bestrebungen </w:t>
            </w:r>
            <w:r>
              <w:lastRenderedPageBreak/>
              <w:t>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anhaltenden Bestrebungen </w:t>
            </w:r>
            <w:r>
              <w:lastRenderedPageBreak/>
              <w:t xml:space="preserve">Armeniens und Aserbaidschans, ihre Beziehungen zu normalisieren; fordert sie auf, unverzüglich ein umfassendes Friedensabkommen zu unterzeichnen; </w:t>
            </w:r>
            <w:r>
              <w:rPr>
                <w:b/>
                <w:i/>
              </w:rPr>
              <w:t>fordert Aserbaidschan auf, im Hinblick auf eine Normalisierung der Beziehungen den Flüchtlingen aus Arzach die Rückkehr in ihre Heimat zu ermöglichen und seine Truppen aus dem Hoheitsgebiet Armeniens abzuziehen;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Armeniens und Aserbaidschans, ihre Beziehungen zu normalisieren; fordert sie auf, unverzüglich ein umfassendes </w:t>
            </w:r>
            <w:r w:rsidRPr="005B7B7C">
              <w:rPr>
                <w:b/>
                <w:i/>
              </w:rPr>
              <w:t xml:space="preserve">und faires </w:t>
            </w:r>
            <w:r w:rsidRPr="005B7B7C">
              <w:t>Friedensabkommen zu unterzeichnen;</w:t>
            </w:r>
            <w:r w:rsidRPr="005B7B7C">
              <w:rPr>
                <w:b/>
                <w:i/>
              </w:rPr>
              <w:t> fordert mit Nachdruck den Rückzug der Streitkräfte Aserbaidschans aus dem international anerkannten Hoheitsgebiet Armeniens und die Freilassung der übrigen armenischen Geiseln, die von Aserbaidschan gehalten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Thijs Reuten, Nacho Sánchez Amor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w:t>
            </w:r>
            <w:r w:rsidRPr="005B7B7C">
              <w:lastRenderedPageBreak/>
              <w:t>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anhaltenden Bestrebungen </w:t>
            </w:r>
            <w:r w:rsidRPr="005B7B7C">
              <w:lastRenderedPageBreak/>
              <w:t>Armeniens und Aserbaidschans, ihre Beziehungen zu normalisieren; fordert sie auf, unverzüglich ein umfassendes Friedensabkommen zu unterzeichnen</w:t>
            </w:r>
            <w:r w:rsidRPr="005B7B7C">
              <w:rPr>
                <w:b/>
                <w:i/>
              </w:rPr>
              <w:t>, und fordert die aserbaidschanischen Behörden nachdrücklich auf, sich aus allen Teilen des Hoheitsgebiets Armeniens zurückzuziehen und die übrigen 23 armenischen Geiseln freizulassen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173</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anhaltenden Bestrebungen Armeniens und Aserbaidschans, ihre Beziehungen zu normalisieren; fordert sie auf, unverzüglich ein umfassendes Friedensabkommen zu unterzeichnen;</w:t>
            </w:r>
          </w:p>
        </w:tc>
        <w:tc>
          <w:tcPr>
            <w:tcW w:w="4876" w:type="dxa"/>
            <w:tcBorders>
              <w:top w:val="nil"/>
              <w:left w:val="nil"/>
              <w:bottom w:val="nil"/>
              <w:right w:val="nil"/>
            </w:tcBorders>
          </w:tcPr>
          <w:p w:rsidR="00F30D4D" w:rsidRPr="00A004FF" w:rsidRDefault="00F30D4D" w:rsidP="008610E6">
            <w:pPr>
              <w:pStyle w:val="Normal6a"/>
            </w:pPr>
            <w:r>
              <w:t>–</w:t>
            </w:r>
            <w:r>
              <w:tab/>
              <w:t xml:space="preserve">die anhaltenden Bestrebungen Armeniens und Aserbaidschans, ihre Beziehungen zu normalisieren; fordert sie auf, unverzüglich ein umfassendes Friedensabkommen zu unterzeichnen; </w:t>
            </w:r>
            <w:r>
              <w:rPr>
                <w:b/>
                <w:i/>
              </w:rPr>
              <w:t>fordert Aserbaidschan auf, die territoriale Integrität Armeniens zu respektieren; fordert Aserbaidschan auf, die politischen Gefangenen freizulassen, die es festhält;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Armeniens und Aserbaidschans, ihre Beziehungen zu normalisieren; fordert </w:t>
            </w:r>
            <w:r w:rsidRPr="005B7B7C">
              <w:rPr>
                <w:b/>
                <w:i/>
              </w:rPr>
              <w:t>sie auf, unverzüglich</w:t>
            </w:r>
            <w:r w:rsidRPr="005B7B7C">
              <w:t xml:space="preserve"> ein umfassendes </w:t>
            </w:r>
            <w:r w:rsidRPr="005B7B7C">
              <w:lastRenderedPageBreak/>
              <w:t xml:space="preserve">Friedensabkommen </w:t>
            </w:r>
            <w:r w:rsidRPr="005B7B7C">
              <w:rPr>
                <w:b/>
                <w:i/>
              </w:rPr>
              <w:t>zu unterzeichnen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anhaltenden Bestrebungen Armeniens und Aserbaidschans, ihre Beziehungen zu normalisieren; fordert </w:t>
            </w:r>
            <w:r w:rsidRPr="005B7B7C">
              <w:rPr>
                <w:b/>
                <w:i/>
              </w:rPr>
              <w:t>fortlaufende Verhandlungen über</w:t>
            </w:r>
            <w:r w:rsidRPr="005B7B7C">
              <w:t xml:space="preserve"> ein umfassendes Friedensabkommen </w:t>
            </w:r>
            <w:r w:rsidRPr="005B7B7C">
              <w:rPr>
                <w:b/>
                <w:i/>
              </w:rPr>
              <w:t xml:space="preserve">und die </w:t>
            </w:r>
            <w:r w:rsidRPr="005B7B7C">
              <w:rPr>
                <w:b/>
                <w:i/>
              </w:rPr>
              <w:lastRenderedPageBreak/>
              <w:t>breite Einbeziehung der Zivilgesellschaft in jeglicher Form in die entsprechenden Verhandlungen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anhaltenden Bestrebungen Armeniens und Aserbaidschans, ihre Beziehungen zu normalisieren; fordert sie auf, </w:t>
            </w:r>
            <w:r w:rsidRPr="005B7B7C">
              <w:rPr>
                <w:b/>
                <w:i/>
              </w:rPr>
              <w:t xml:space="preserve">unverzüglich </w:t>
            </w:r>
            <w:r w:rsidRPr="005B7B7C">
              <w:t>ein umfassendes Friedensabkommen zu unterzeichnen;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anhaltenden Bestrebungen Armeniens und Aserbaidschans, ihre Beziehungen zu normalisieren; fordert sie auf, ein umfassendes Friedensabkommen zu unterzeichnen;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176</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 xml:space="preserve">bedauert, dass vor einem Jahr die ethnische Säuberung in Bergkarabach vollzogen wurde, was zur gewaltsamen Vertreibung von mindestens 140 000 Armeniern aus ihrer angestammten Heimat führte; verurteilt die militärische Unterstützung, die die Türkei Aserbaidschan zukommen ließ; weist darauf hin, dass die Aggression Aserbaidschans nicht unbeantwortet bleiben darf, und fordert Sanktionen gegen die aserbaidschanischen Behörden, die für die ethnische Säuberung verantwortlich sind; fordert die </w:t>
            </w:r>
            <w:r>
              <w:rPr>
                <w:b/>
                <w:i/>
              </w:rPr>
              <w:lastRenderedPageBreak/>
              <w:t>Aussetzung der Absichtserklärung über die Zusammenarbeit im Energiebereich; fordert, dass die Verhandlungen über eine neue Partnerschaft mit Aserbaidschan angesichts der inakzeptablen Menschenrechtslage im Land eingestellt werden;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Maßnahmen der zivilen Mission der Europäischen Union in Armenien (EUMA) im Rahmen der Gemeinsamen Sicherheits- und Verteidigungspolitik, die weiterhin dazu beiträgt, die Sicherheit in der Region zu verbessern, indem die Zahl der Vorfälle in Konflikt- und Grenzgebieten deutlich gesenkt wird und das Ausmaß der Gefahr für die Bevölkerung in diesen Gebieten gemindert wird; begrüßt die Unterstützung Armeniens für die Tätigkeit der EUMA in seinem Hoheitsgebiet; begrüßt die Entscheidung des Rates, die Zahl der entsandten Beobachter und die Kapazitäten der Mission zu erhöhen und ihren Einsatzzeitrahmen zu erweitern, und fordert eine weitere Ausweitung und stärkere Präsenz in der Region;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2 – Spiegelstrich 8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den Umstand, dass die EU und ihre Mitgliedstaaten nach wie vor zu den größten Unterstützern der Palästinensischen Behörde und des Hilfswerks der Vereinten Nationen für Palästinaflüchtlinge im Nahen Osten (UNRWA) zählen;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179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den Antrag des Anklägers des Internationalen Strafgerichtshofs bei der Vorverfahrenskammer des Gerichtshofs auf Haftbefehle gegen Funktionäre der Hamas und den Ministerpräsidenten und den Verteidigungsminister Israels wegen Kriegsverbrechen;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regelmäßigen Treffen im Rahmen des politischen und sicherheitspolitischen Dialogs zwischen Armenien und der EU und des </w:t>
            </w:r>
            <w:r w:rsidRPr="005B7B7C">
              <w:rPr>
                <w:b/>
                <w:i/>
              </w:rPr>
              <w:lastRenderedPageBreak/>
              <w:t>Partnerschaftsrats EU-Armenien; begrüßt außerdem die erste angenommene Unterstützungsmaßnahme für die armenischen Streitkräfte im Rahmen der Europäischen Friedensfazilität sowie die militärische Unterstützung mehrerer Mitgliedstaaten für Armenien;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Rechtssache 192 des IGH über die Anwendung der Konvention über die Verhütung und Bestrafung des Völkermordes im Gazastreifen (Südafrika gegen Israel);</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182</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fordert die Kommission und den Rat auf, jegliche militärische, technische und finanzielle Unterstützung für Aserbaidschan auszuschließen;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183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fortlaufenden Arbeiten des EAD in Bezug auf das Vorgehen gegen ausländische Informationsmanipulation und Einmischung und die Bekämpfung dieser Phänomene mithilfe des Instrumentariums der EU gegen ausländische Informationsmanipulation und Einmischung sowie die Einrichtung von STRATCOM-Taskforces durch enge Zusammenarbeit mit den Mitgliedstaaten, internationalen Partnern, der Zivilgesellschaft und anderen einschlägigen Akteuren;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das Gutachten des IGH zu den rechtlichen Folgen, die sich aus den Strategien und der Vorgehensweise Israels in den besetzten palästinensischen Gebieten, einschließlich Ost-Jerusalem, und aus der fortgesetzten rechtswidrigen Präsenz Israels in den besetzten palästinensischen Gebieten ergeben;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185</w:t>
      </w:r>
      <w:r>
        <w:rPr>
          <w:rStyle w:val="HideTWBExt"/>
        </w:rPr>
        <w:t>&lt;/NumAm&gt;</w:t>
      </w:r>
    </w:p>
    <w:p w:rsidR="00F30D4D" w:rsidRPr="00A004FF" w:rsidRDefault="00F30D4D" w:rsidP="00F30D4D">
      <w:pPr>
        <w:pStyle w:val="NormalBold"/>
      </w:pPr>
      <w:r>
        <w:rPr>
          <w:rStyle w:val="HideTWBExt"/>
          <w:b w:val="0"/>
        </w:rPr>
        <w:lastRenderedPageBreak/>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2 – Spiegelstrich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fordert die Kommission auf, Armenien bei der Minenräumung zu unterstützen;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2 – Spiegelstrich 8 d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jüngsten Berichte der Unabhängigen Internationalen Untersuchungskommission der Vereinten Nationen über die besetzten palästinensischen Gebiete, einschließlich Ost-Jerusalem, und Israel sowie ihre rechtliche Analyse und Empfehlungen zur Umsetzung des Internationalen Gerichtshofs;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Einleitung</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3.</w:t>
            </w:r>
            <w:r w:rsidRPr="005B7B7C">
              <w:tab/>
              <w:t xml:space="preserve">verurteilt </w:t>
            </w:r>
            <w:r w:rsidRPr="005B7B7C">
              <w:rPr>
                <w:b/>
                <w:i/>
              </w:rPr>
              <w:t>insbesondere Folgendes</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3.</w:t>
            </w:r>
            <w:r w:rsidRPr="005B7B7C">
              <w:tab/>
              <w:t xml:space="preserve">verurteilt </w:t>
            </w:r>
            <w:r w:rsidRPr="005B7B7C">
              <w:rPr>
                <w:b/>
                <w:i/>
              </w:rPr>
              <w:t>Folgendes aufs Schärfste</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Einleitung</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3.</w:t>
            </w:r>
            <w:r w:rsidRPr="005B7B7C">
              <w:tab/>
            </w:r>
            <w:r w:rsidRPr="005B7B7C">
              <w:rPr>
                <w:b/>
                <w:i/>
              </w:rPr>
              <w:t>verurteilt</w:t>
            </w:r>
            <w:r w:rsidRPr="005B7B7C">
              <w:t xml:space="preserve"> insbesondere Folgendes:</w:t>
            </w:r>
          </w:p>
        </w:tc>
        <w:tc>
          <w:tcPr>
            <w:tcW w:w="4876" w:type="dxa"/>
            <w:tcBorders>
              <w:top w:val="nil"/>
              <w:left w:val="nil"/>
              <w:bottom w:val="nil"/>
              <w:right w:val="nil"/>
            </w:tcBorders>
          </w:tcPr>
          <w:p w:rsidR="00F30D4D" w:rsidRPr="005B7B7C" w:rsidRDefault="00F30D4D" w:rsidP="008610E6">
            <w:pPr>
              <w:pStyle w:val="Normal6a"/>
            </w:pPr>
            <w:r w:rsidRPr="005B7B7C">
              <w:t>3.</w:t>
            </w:r>
            <w:r w:rsidRPr="005B7B7C">
              <w:tab/>
            </w:r>
            <w:r w:rsidRPr="005B7B7C">
              <w:rPr>
                <w:b/>
                <w:i/>
              </w:rPr>
              <w:t>stellt</w:t>
            </w:r>
            <w:r w:rsidRPr="005B7B7C">
              <w:t xml:space="preserve"> insbesondere Folgendes</w:t>
            </w:r>
            <w:r w:rsidRPr="005B7B7C">
              <w:rPr>
                <w:b/>
                <w:i/>
              </w:rPr>
              <w:t xml:space="preserve"> fest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189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Einleitung</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3.</w:t>
            </w:r>
            <w:r w:rsidRPr="005B7B7C">
              <w:tab/>
            </w:r>
            <w:r w:rsidRPr="005B7B7C">
              <w:rPr>
                <w:b/>
                <w:i/>
              </w:rPr>
              <w:t>verurteilt insbesondere</w:t>
            </w:r>
            <w:r w:rsidRPr="005B7B7C">
              <w:t xml:space="preserve"> Folgendes:</w:t>
            </w:r>
          </w:p>
        </w:tc>
        <w:tc>
          <w:tcPr>
            <w:tcW w:w="4876" w:type="dxa"/>
            <w:tcBorders>
              <w:top w:val="nil"/>
              <w:left w:val="nil"/>
              <w:bottom w:val="nil"/>
              <w:right w:val="nil"/>
            </w:tcBorders>
          </w:tcPr>
          <w:p w:rsidR="00F30D4D" w:rsidRPr="005B7B7C" w:rsidRDefault="00F30D4D" w:rsidP="008610E6">
            <w:pPr>
              <w:pStyle w:val="Normal6a"/>
            </w:pPr>
            <w:r w:rsidRPr="005B7B7C">
              <w:t>3.</w:t>
            </w:r>
            <w:r w:rsidRPr="005B7B7C">
              <w:tab/>
            </w:r>
            <w:r w:rsidRPr="005B7B7C">
              <w:rPr>
                <w:b/>
                <w:i/>
              </w:rPr>
              <w:t>bedauert</w:t>
            </w:r>
            <w:r w:rsidRPr="005B7B7C">
              <w:t xml:space="preserve"> Folgendes: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190</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Russlands anhaltenden Angriffskrieg gegen die Ukraine und die zunehmenden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w:t>
            </w:r>
            <w:r>
              <w:lastRenderedPageBreak/>
              <w:t>oder Teile davon es unrechtmäßig besetzt, abzieht;</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Russlands anhaltenden Angriffskrieg gegen die Ukraine und die zunehmenden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w:t>
            </w:r>
            <w:r>
              <w:lastRenderedPageBreak/>
              <w:t xml:space="preserve">oder Teile davon es unrechtmäßig besetzt, abzieht; </w:t>
            </w:r>
            <w:r>
              <w:rPr>
                <w:b/>
                <w:i/>
              </w:rPr>
              <w:t>ist äußerst besorgt über Berichte, wonach mehr als 10 000 nordkoreanische Soldaten in Russland stationiert sind; verurteilt nachdrücklich die Beteiligung Nordkoreas am Angriffskrieg Russlands gegen die Ukraine;</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191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Russlands</w:t>
            </w:r>
            <w:r w:rsidRPr="005B7B7C">
              <w:t xml:space="preserve"> anhaltenden </w:t>
            </w:r>
            <w:r w:rsidRPr="005B7B7C">
              <w:rPr>
                <w:b/>
                <w:i/>
              </w:rPr>
              <w:t>Angriffskrieg gegen die Ukraine und die zunehmenden Angriffe Russlands auf zivile Ziele und zivile Infrastruktur</w:t>
            </w:r>
            <w:r w:rsidRPr="005B7B7C">
              <w:t xml:space="preserve"> in der Ukraine</w:t>
            </w:r>
            <w:r w:rsidRPr="005B7B7C">
              <w:rPr>
                <w:b/>
                <w:i/>
              </w:rPr>
              <w:t>; fordert</w:t>
            </w:r>
            <w:r w:rsidRPr="005B7B7C">
              <w:t xml:space="preserve">, </w:t>
            </w:r>
            <w:r w:rsidRPr="005B7B7C">
              <w:rPr>
                <w:b/>
                <w:i/>
              </w:rPr>
              <w:t>dass Russland und seine Stellvertreterstreitkräfte alle militärischen Aktionen einstellen und dass die russische Führung ihre Truppen unverzüglich und bedingungslos aus</w:t>
            </w:r>
            <w:r w:rsidRPr="005B7B7C">
              <w:t xml:space="preserve"> der </w:t>
            </w:r>
            <w:r w:rsidRPr="005B7B7C">
              <w:rPr>
                <w:b/>
                <w:i/>
              </w:rPr>
              <w:t>Ukraine</w:t>
            </w:r>
            <w:r w:rsidRPr="005B7B7C">
              <w:t xml:space="preserve"> und </w:t>
            </w:r>
            <w:r w:rsidRPr="005B7B7C">
              <w:rPr>
                <w:b/>
                <w:i/>
              </w:rPr>
              <w:t>aus jedem anderen Land</w:t>
            </w:r>
            <w:r w:rsidRPr="005B7B7C">
              <w:t xml:space="preserve">, </w:t>
            </w:r>
            <w:r w:rsidRPr="005B7B7C">
              <w:rPr>
                <w:b/>
                <w:i/>
              </w:rPr>
              <w:t>dessen Hoheitsgebiet oder Teile davon es unrechtmäßig besetzt, abzieht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den</w:t>
            </w:r>
            <w:r w:rsidRPr="005B7B7C">
              <w:t xml:space="preserve"> anhaltenden </w:t>
            </w:r>
            <w:r w:rsidRPr="005B7B7C">
              <w:rPr>
                <w:b/>
                <w:i/>
              </w:rPr>
              <w:t>Krieg</w:t>
            </w:r>
            <w:r w:rsidRPr="005B7B7C">
              <w:t xml:space="preserve"> in der Ukraine, </w:t>
            </w:r>
            <w:r w:rsidRPr="005B7B7C">
              <w:rPr>
                <w:b/>
                <w:i/>
              </w:rPr>
              <w:t>fordert ein diplomatisches Vorgehen bei</w:t>
            </w:r>
            <w:r w:rsidRPr="005B7B7C">
              <w:t xml:space="preserve"> der </w:t>
            </w:r>
            <w:r w:rsidRPr="005B7B7C">
              <w:rPr>
                <w:b/>
                <w:i/>
              </w:rPr>
              <w:t>Konfliktbewältigung</w:t>
            </w:r>
            <w:r w:rsidRPr="005B7B7C">
              <w:t xml:space="preserve"> und </w:t>
            </w:r>
            <w:r w:rsidRPr="005B7B7C">
              <w:rPr>
                <w:b/>
                <w:i/>
              </w:rPr>
              <w:t>drängt auf Verhandlungen</w:t>
            </w:r>
            <w:r w:rsidRPr="005B7B7C">
              <w:t xml:space="preserve">, </w:t>
            </w:r>
            <w:r w:rsidRPr="005B7B7C">
              <w:rPr>
                <w:b/>
                <w:i/>
              </w:rPr>
              <w:t>um die Spannungen abzubauen, ohne dass der Militäreinsatz eskaliert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192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Russlands anhaltenden Angriffskrieg gegen die Ukraine und die zunehmenden Angriffe Russlands auf zivile Ziele und zivile Infrastruktur in der </w:t>
            </w:r>
            <w:r w:rsidRPr="005B7B7C">
              <w:lastRenderedPageBreak/>
              <w:t xml:space="preserve">Ukraine; fordert, dass Russland und seine Stellvertreterstreitkräfte alle militärischen Aktionen einstellen und dass </w:t>
            </w:r>
            <w:r w:rsidRPr="005B7B7C">
              <w:rPr>
                <w:b/>
                <w:i/>
              </w:rPr>
              <w:t>die russische Führung ihre Truppen</w:t>
            </w:r>
            <w:r w:rsidRPr="005B7B7C">
              <w:t xml:space="preserve"> unverzüglich und bedingungslos aus der Ukraine und aus jedem anderen Land, dessen Hoheitsgebiet oder Teile davon es unrechtmäßig besetzt, abzieht;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Russlands anhaltenden Angriffskrieg gegen die Ukraine und die zunehmenden Angriffe Russlands auf zivile Ziele und zivile </w:t>
            </w:r>
            <w:r w:rsidRPr="005B7B7C">
              <w:rPr>
                <w:b/>
                <w:i/>
              </w:rPr>
              <w:t xml:space="preserve">und kritische </w:t>
            </w:r>
            <w:r w:rsidRPr="005B7B7C">
              <w:lastRenderedPageBreak/>
              <w:t xml:space="preserve">Infrastruktur in der Ukraine; fordert, dass Russland und seine Stellvertreterstreitkräfte alle militärischen Aktionen einstellen und dass </w:t>
            </w:r>
            <w:r w:rsidRPr="005B7B7C">
              <w:rPr>
                <w:b/>
                <w:i/>
              </w:rPr>
              <w:t>Russland seine Truppen und Ausrüstung</w:t>
            </w:r>
            <w:r w:rsidRPr="005B7B7C">
              <w:t xml:space="preserve"> unverzüglich und bedingungslos aus der Ukraine und aus jedem anderen Land, dessen Hoheitsgebiet oder Teile davon es unrechtmäßig besetzt, abzieht; </w:t>
            </w:r>
            <w:r w:rsidRPr="005B7B7C">
              <w:rPr>
                <w:b/>
                <w:i/>
              </w:rPr>
              <w:t>verurteilt alle hybriden Angriffe Russlands in der Ukraine und prangert die Verbreitung der Propaganda Russlands über seinen Krieg in der Ukraine aufs Schärfste an;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193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Russlands anhaltenden Angriffskrieg gegen die Ukraine und die zunehmenden</w:t>
            </w:r>
            <w:r w:rsidRPr="005B7B7C">
              <w:t xml:space="preserve"> Angriffe</w:t>
            </w:r>
            <w:r w:rsidRPr="005B7B7C">
              <w:rPr>
                <w:b/>
                <w:i/>
              </w:rPr>
              <w:t xml:space="preserve"> Russlands</w:t>
            </w:r>
            <w:r w:rsidRPr="005B7B7C">
              <w:t xml:space="preserve"> auf zivile Ziele und zivile Infrastruktur in der Ukraine</w:t>
            </w:r>
            <w:r w:rsidRPr="005B7B7C">
              <w:rPr>
                <w:b/>
                <w:i/>
              </w:rPr>
              <w:t>; fordert, dass Russland</w:t>
            </w:r>
            <w:r w:rsidRPr="005B7B7C">
              <w:t xml:space="preserve"> und </w:t>
            </w:r>
            <w:r w:rsidRPr="005B7B7C">
              <w:rPr>
                <w:b/>
                <w:i/>
              </w:rPr>
              <w:t>seine Stellvertreterstreitkräfte alle militärischen Aktionen einstellen und dass die russische Führung ihre Truppen unverzüglich</w:t>
            </w:r>
            <w:r w:rsidRPr="005B7B7C">
              <w:t xml:space="preserve"> und </w:t>
            </w:r>
            <w:r w:rsidRPr="005B7B7C">
              <w:rPr>
                <w:b/>
                <w:i/>
              </w:rPr>
              <w:t>bedingungslos aus der Ukraine und aus jedem anderen Land, dessen Hoheitsgebiet oder Teile davon es unrechtmäßig besetzt, abzieht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Angriffe auf zivile Ziele und zivile Infrastruktur </w:t>
            </w:r>
            <w:r w:rsidRPr="005B7B7C">
              <w:rPr>
                <w:b/>
                <w:i/>
              </w:rPr>
              <w:t xml:space="preserve">im Krieg </w:t>
            </w:r>
            <w:r w:rsidRPr="005B7B7C">
              <w:t xml:space="preserve">in der Ukraine und </w:t>
            </w:r>
            <w:r w:rsidRPr="005B7B7C">
              <w:rPr>
                <w:b/>
                <w:i/>
              </w:rPr>
              <w:t>den Mangel an Initiativen zur Förderung des Friedens in der Ukraine durch Verhandlungen</w:t>
            </w:r>
            <w:r w:rsidRPr="005B7B7C">
              <w:t xml:space="preserve"> und </w:t>
            </w:r>
            <w:r w:rsidRPr="005B7B7C">
              <w:rPr>
                <w:b/>
                <w:i/>
              </w:rPr>
              <w:t>Diplomatie, um u. a. seiner von Zerstörung gezeichneten Bevölkerung beim Wiederaufbau nach dem jahrelangen Krieg zu helfen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194</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1</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lastRenderedPageBreak/>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r>
            <w:r w:rsidRPr="00A004FF">
              <w:rPr>
                <w:b/>
                <w:i/>
              </w:rPr>
              <w:t>Russlands</w:t>
            </w:r>
            <w:r w:rsidRPr="00A004FF">
              <w:t xml:space="preserve"> anhaltenden </w:t>
            </w:r>
            <w:r w:rsidRPr="00A004FF">
              <w:rPr>
                <w:b/>
                <w:i/>
              </w:rPr>
              <w:t>Angriffskrieg gegen die Ukraine</w:t>
            </w:r>
            <w:r w:rsidRPr="00A004FF">
              <w:t xml:space="preserve"> und die zunehmenden Angriffe </w:t>
            </w:r>
            <w:r w:rsidRPr="00A004FF">
              <w:rPr>
                <w:b/>
                <w:i/>
              </w:rPr>
              <w:t>Russlands</w:t>
            </w:r>
            <w:r w:rsidRPr="00A004FF">
              <w:t xml:space="preserve"> auf zivile Ziele und zivile Infrastruktur </w:t>
            </w:r>
            <w:r w:rsidRPr="00A004FF">
              <w:rPr>
                <w:b/>
                <w:i/>
              </w:rPr>
              <w:t>in der Ukraine</w:t>
            </w:r>
            <w:r w:rsidRPr="00A004FF">
              <w:t xml:space="preserve">; fordert, dass </w:t>
            </w:r>
            <w:r w:rsidRPr="00A004FF">
              <w:rPr>
                <w:b/>
                <w:i/>
              </w:rPr>
              <w:t>Russland und seine</w:t>
            </w:r>
            <w:r w:rsidRPr="00A004FF">
              <w:t xml:space="preserve"> Stellvertreterstreitkräfte alle militärischen Aktionen einstellen </w:t>
            </w:r>
            <w:r w:rsidRPr="00A004FF">
              <w:rPr>
                <w:b/>
                <w:i/>
              </w:rPr>
              <w:t>und dass die russische Führung ihre Truppen</w:t>
            </w:r>
            <w:r w:rsidRPr="00A004FF">
              <w:t xml:space="preserve"> unverzüglich </w:t>
            </w:r>
            <w:r w:rsidRPr="00A004FF">
              <w:rPr>
                <w:b/>
                <w:i/>
              </w:rPr>
              <w:t>und bedingungslos aus der Ukraine und aus jedem anderen Land, dessen Hoheitsgebiet oder Teile davon es unrechtmäßig besetzt, abzieht</w:t>
            </w:r>
            <w:r w:rsidRPr="00A004FF">
              <w:t>;</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r>
            <w:r w:rsidRPr="00A004FF">
              <w:rPr>
                <w:b/>
                <w:i/>
              </w:rPr>
              <w:t>die</w:t>
            </w:r>
            <w:r w:rsidRPr="00A004FF">
              <w:t xml:space="preserve"> anhaltenden </w:t>
            </w:r>
            <w:r w:rsidRPr="00A004FF">
              <w:rPr>
                <w:b/>
                <w:i/>
              </w:rPr>
              <w:t>Kampfhandlungen des Ukraine-Konflikts</w:t>
            </w:r>
            <w:r w:rsidRPr="00A004FF">
              <w:t xml:space="preserve"> und die zunehmenden Angriffe </w:t>
            </w:r>
            <w:r w:rsidRPr="00A004FF">
              <w:rPr>
                <w:b/>
                <w:i/>
              </w:rPr>
              <w:t>beider Konfliktparteien</w:t>
            </w:r>
            <w:r w:rsidRPr="00A004FF">
              <w:t xml:space="preserve"> auf zivile Ziele und zivile Infrastruktur; fordert, dass </w:t>
            </w:r>
            <w:r w:rsidRPr="00A004FF">
              <w:rPr>
                <w:b/>
                <w:i/>
              </w:rPr>
              <w:t>beide Konfliktparteien und ihre</w:t>
            </w:r>
            <w:r w:rsidRPr="00A004FF">
              <w:t xml:space="preserve"> Stellvertreterstreitkräfte alle militärischen Aktionen einstellen</w:t>
            </w:r>
            <w:r w:rsidRPr="00A004FF">
              <w:rPr>
                <w:b/>
                <w:i/>
              </w:rPr>
              <w:t>, so dass</w:t>
            </w:r>
            <w:r w:rsidRPr="00A004FF">
              <w:t xml:space="preserve"> unverzüglich </w:t>
            </w:r>
            <w:r w:rsidRPr="00A004FF">
              <w:rPr>
                <w:b/>
                <w:i/>
              </w:rPr>
              <w:t>ein diplomatischer Konfliktbeilegungsprozess beginnen kann</w:t>
            </w:r>
            <w:r w:rsidRPr="00A004FF">
              <w: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195</w:t>
      </w:r>
      <w:r>
        <w:rPr>
          <w:rStyle w:val="HideTWBExt"/>
        </w:rPr>
        <w:t>&lt;/NumAm&gt;</w:t>
      </w:r>
    </w:p>
    <w:p w:rsidR="00F30D4D" w:rsidRPr="00A004FF" w:rsidRDefault="00F30D4D" w:rsidP="00F30D4D">
      <w:pPr>
        <w:pStyle w:val="NormalBold"/>
      </w:pPr>
      <w:r>
        <w:rPr>
          <w:rStyle w:val="HideTWBExt"/>
          <w:b w:val="0"/>
        </w:rPr>
        <w:t>&lt;RepeatBlock-By&gt;&lt;Members&gt;</w:t>
      </w:r>
      <w:r>
        <w:t>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Russlands anhaltenden Angriffskrieg gegen die Ukraine und die zunehmenden Angriffe Russlands auf zivile Ziele und zivile Infrastruktur in der Ukraine; fordert</w:t>
            </w:r>
            <w:r>
              <w:rPr>
                <w:b/>
                <w:i/>
              </w:rPr>
              <w:t>, dass</w:t>
            </w:r>
            <w:r>
              <w:t xml:space="preserve"> Russland und seine Stellvertreterstreitkräfte alle militärischen Aktionen </w:t>
            </w:r>
            <w:r>
              <w:rPr>
                <w:b/>
                <w:i/>
              </w:rPr>
              <w:t>einstellen</w:t>
            </w:r>
            <w:r>
              <w:t xml:space="preserve"> und dass die russische Führung ihre Truppen unverzüglich und bedingungslos aus der Ukraine und aus jedem anderen Land, dessen Hoheitsgebiet oder Teile davon es unrechtmäßig besetzt, abzieht;</w:t>
            </w:r>
          </w:p>
        </w:tc>
        <w:tc>
          <w:tcPr>
            <w:tcW w:w="4876" w:type="dxa"/>
            <w:tcBorders>
              <w:top w:val="nil"/>
              <w:left w:val="nil"/>
              <w:bottom w:val="nil"/>
              <w:right w:val="nil"/>
            </w:tcBorders>
          </w:tcPr>
          <w:p w:rsidR="00F30D4D" w:rsidRPr="00A004FF" w:rsidRDefault="00F30D4D" w:rsidP="008610E6">
            <w:pPr>
              <w:pStyle w:val="Normal6a"/>
            </w:pPr>
            <w:r>
              <w:t>–</w:t>
            </w:r>
            <w:r>
              <w:tab/>
              <w:t xml:space="preserve">Russlands anhaltenden Angriffskrieg gegen die Ukraine und die zunehmenden Angriffe Russlands auf zivile Ziele und zivile Infrastruktur in der Ukraine; fordert Russland und seine Stellvertreterstreitkräfte </w:t>
            </w:r>
            <w:r>
              <w:rPr>
                <w:b/>
                <w:i/>
              </w:rPr>
              <w:t>auf, die nationale Souveränität der Ukraine zu achten und</w:t>
            </w:r>
            <w:r>
              <w:t xml:space="preserve"> alle militärischen Aktionen </w:t>
            </w:r>
            <w:r>
              <w:rPr>
                <w:b/>
                <w:i/>
              </w:rPr>
              <w:t>einzustellen,</w:t>
            </w:r>
            <w:r>
              <w:t xml:space="preserve"> und </w:t>
            </w:r>
            <w:r>
              <w:rPr>
                <w:b/>
                <w:bCs/>
                <w:i/>
                <w:iCs/>
              </w:rPr>
              <w:t>fordert,</w:t>
            </w:r>
            <w:r>
              <w:t xml:space="preserve"> dass die russische Führung ihre Truppen unverzüglich und bedingungslos aus der Ukraine und aus jedem anderen Land, dessen Hoheitsgebiet oder Teile davon es unrechtmäßig besetzt, abzieht;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196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Michał Dworczyk</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lastRenderedPageBreak/>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Russlands anhaltenden Angriffskrieg gegen die Ukraine und die zunehmenden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oder Teile davon es unrechtmäßig besetzt, abzieht;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Russlands </w:t>
            </w:r>
            <w:r w:rsidRPr="005B7B7C">
              <w:rPr>
                <w:b/>
                <w:i/>
              </w:rPr>
              <w:t xml:space="preserve">neue Welle des Imperialismus in seinem </w:t>
            </w:r>
            <w:r w:rsidRPr="005B7B7C">
              <w:t>anhaltenden Angriffskrieg gegen die Ukraine und die zunehmenden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oder Teile davon es unrechtmäßig besetzt, abzieht;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197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Russlands anhaltenden Angriffskrieg gegen die Ukraine und die zunehmenden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oder Teile davon es unrechtmäßig besetzt, abzieht;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Russlands anhaltenden </w:t>
            </w:r>
            <w:r w:rsidRPr="005B7B7C">
              <w:rPr>
                <w:b/>
                <w:i/>
              </w:rPr>
              <w:t xml:space="preserve">widerrechtlichen und unbegründbaren </w:t>
            </w:r>
            <w:r w:rsidRPr="005B7B7C">
              <w:t>Angriffskrieg gegen die Ukraine und die zunehmenden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oder Teile davon es unrechtmäßig besetzt, abzieht;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198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Russlands anhaltenden Angriffskrieg gegen die Ukraine und die </w:t>
            </w:r>
            <w:r w:rsidRPr="005B7B7C">
              <w:rPr>
                <w:b/>
                <w:i/>
              </w:rPr>
              <w:t xml:space="preserve">zunehmenden </w:t>
            </w:r>
            <w:r w:rsidRPr="005B7B7C">
              <w:t>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oder Teile davon es unrechtmäßig besetzt, abzieht;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Russlands anhaltenden Angriffskrieg gegen die Ukraine und die Angriffe Russlands auf zivile Ziele und zivile Infrastruktur in der Ukraine; fordert, dass Russland und seine Stellvertreterstreitkräfte alle militärischen Aktionen einstellen und dass die russische Führung ihre Truppen unverzüglich und bedingungslos aus der Ukraine und aus jedem anderen Land, dessen Hoheitsgebiet oder Teile davon es unrechtmäßig besetzt, abzieht;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199</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Afroditi Latinopoulou, Fernand Kartheiser, Charlie Weimers, Nikolaos Anadiotis, Nicolas Bay</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die inakzeptable anhaltende Besetzung von 37 % des Hoheitsgebiets der Republik Zypern, das gemäß dem ihrem Beitrittsvertrag beigefügten Protokoll Nr. 10 europäisches Hoheitsgebiet ist; fordert, dass die Türkei die Republik Zypern anerkennt, alle militärischen Handlungen einstellt und ihre Truppen unverzüglich und bedingungslos aus Zypern abzieht, dessen Hoheitsgebiet oder Teile davon sie illegal besetzt;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lastRenderedPageBreak/>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200</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2</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rPr>
                <w:b/>
                <w:i/>
              </w:rPr>
              <w:t>–</w:t>
            </w:r>
            <w:r w:rsidRPr="00A004FF">
              <w:tab/>
            </w:r>
            <w:r w:rsidRPr="00A004FF">
              <w:rPr>
                <w:b/>
                <w:i/>
              </w:rPr>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A004FF" w:rsidRDefault="00F30D4D" w:rsidP="008610E6">
            <w:pPr>
              <w:pStyle w:val="Normal6a"/>
            </w:pPr>
            <w:r w:rsidRPr="00A004FF">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Lucia Yar, Marie-Agnes Strack-Zimmermann,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Rolle des unrechtmäßigen </w:t>
            </w:r>
            <w:r w:rsidRPr="005B7B7C">
              <w:lastRenderedPageBreak/>
              <w:t>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Rolle des unrechtmäßigen </w:t>
            </w:r>
            <w:r w:rsidRPr="005B7B7C">
              <w:lastRenderedPageBreak/>
              <w:t>Regimes von Aljaksandr Lukaschenko bei der faktischen Abtretung der nationalen Souveränität durch das Regime an den Kreml, um seine totale Kontrolle über Belarus zu behalten</w:t>
            </w:r>
            <w:r w:rsidRPr="005B7B7C">
              <w:rPr>
                <w:b/>
                <w:i/>
              </w:rPr>
              <w:t>, und seine aktive Unterstützung des russischen Angriffskriegs gegen die Ukraine;</w:t>
            </w:r>
            <w:r w:rsidRPr="005B7B7C">
              <w:t xml:space="preserve"> </w:t>
            </w:r>
            <w:r w:rsidRPr="005B7B7C">
              <w:rPr>
                <w:b/>
                <w:i/>
              </w:rPr>
              <w:t>bekräftigt seine Forderung nach einer Ausweitung der EU-Sanktionen gegen Belarus durch Widerspiegeln der EU-Sanktionen gegen Russland; fordert die anhaltende Unterstützung der EU und ihrer Mitgliedstaaten für die belarussischen demokratischen Kräfte, politischen Gefangenen und ihre Familien; vertritt angesichts des repressiven Umfelds in Belarus nicht die Ansicht, dass die angekündigte Präsidentschaftswahl, die im Januar 2025 stattfinden soll, frei oder fair sein wird;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Rolle des unrechtmäßigen Regimes von Aljaksandr Lukaschenko bei der faktischen Abtretung der nationalen Souveränität durch das Regime an den Kreml, um seine totale Kontrolle über Belarus zu behalten; </w:t>
            </w:r>
            <w:r w:rsidRPr="005B7B7C">
              <w:rPr>
                <w:b/>
                <w:i/>
              </w:rPr>
              <w:t>stellt fest, dass ein freies und demokratisches Belarus von zentraler Bedeutung für die Sicherheit der Ukraine und der EU ist; fordert mehr Unterstützung für die belarussischen demokratischen Kräfte und fordert den EAD, den Rat und die Mitgliedstaaten auf, weiterhin auf die Freilassung aller politischen Gefangenen in Belarus zu drängen;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Rolle des unrechtmäßigen Regimes von Aljaksandr Lukaschenko bei der faktischen Abtretung der nationalen Souveränität durch das Regime an den Kreml, um seine totale Kontrolle über Belarus zu behalten;</w:t>
            </w:r>
            <w:r w:rsidRPr="005B7B7C">
              <w:rPr>
                <w:b/>
                <w:i/>
              </w:rPr>
              <w:t> die Rolle von Belarus bei der instrumentalisierten Migration, insbesondere angesichts der Einreise von Tausenden Migranten nach Polen, die Belarus steuert, um ihre Durchreise in die Europäische Union zu erzwingen;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 Michał Dworczyk</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Rolle des unrechtmäßigen Regimes von Aljaksandr Lukaschenko bei der faktischen Abtretung der nationalen Souveränität durch das Regime an den Kreml, um seine totale Kontrolle über Belarus zu behalten</w:t>
            </w:r>
            <w:r w:rsidRPr="005B7B7C">
              <w:rPr>
                <w:b/>
                <w:i/>
              </w:rPr>
              <w:t>, während es die belarussische Bevölkerung brutal unterdrückt, um an der Macht zu bleiben, und Migration als Waffe gegen die EU und ihre Mitgliedstaaten einsetzt</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206</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A004FF" w:rsidRDefault="00F30D4D" w:rsidP="008610E6">
            <w:pPr>
              <w:pStyle w:val="Normal6a"/>
            </w:pPr>
            <w:r>
              <w:t>–</w:t>
            </w:r>
            <w:r>
              <w:tab/>
              <w:t xml:space="preserve">die Rolle des unrechtmäßigen Regimes von Aljaksandr Lukaschenko bei der faktischen Abtretung der nationalen Souveränität durch das Regime an den Kreml, um seine totale Kontrolle über Belarus zu behalten; </w:t>
            </w:r>
            <w:r>
              <w:rPr>
                <w:b/>
                <w:i/>
              </w:rPr>
              <w:t>bekundet seine Unterstützung für die demokratische Opposition in Belarus und ihre Anführerin Swjatlana Zichanouskaja;</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Ana Miguel Pedro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Rolle des unrechtmäßigen Regimes von Aljaksandr Lukaschenko bei der faktischen Abtretung der nationalen Souveränität durch das Regime an den Kreml, um seine totale Kontrolle über Belarus zu behalten;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Rolle des unrechtmäßigen Regimes von Aljaksandr Lukaschenko bei der faktischen Abtretung der nationalen Souveränität durch das Regime an den Kreml, um seine totale Kontrolle über Belarus zu behalten; </w:t>
            </w:r>
            <w:r w:rsidRPr="005B7B7C">
              <w:rPr>
                <w:b/>
                <w:i/>
              </w:rPr>
              <w:t>und zu ermöglichen, dass das Land als russischer Militärstützpunkt dient;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208</w:t>
      </w:r>
      <w:r>
        <w:rPr>
          <w:rStyle w:val="HideTWBExt"/>
        </w:rPr>
        <w:t>&lt;/NumAm&gt;</w:t>
      </w:r>
    </w:p>
    <w:p w:rsidR="00F30D4D" w:rsidRPr="00A004FF" w:rsidRDefault="00F30D4D" w:rsidP="00F30D4D">
      <w:pPr>
        <w:pStyle w:val="NormalBold"/>
      </w:pPr>
      <w:r>
        <w:rPr>
          <w:rStyle w:val="HideTWBExt"/>
          <w:b w:val="0"/>
        </w:rPr>
        <w:t>&lt;RepeatBlock-By&gt;&lt;Members&gt;</w:t>
      </w:r>
      <w:r>
        <w:t xml:space="preserve">Geadis Geadi, Emmanouil Fragkos, Charlie </w:t>
      </w:r>
      <w:r>
        <w:lastRenderedPageBreak/>
        <w:t>Weimers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Rolle des unrechtmäßigen Regimes von Aljaksandr Lukaschenko bei der faktischen Abtretung der nationalen Souveränität durch das Regime an den Kreml, um seine totale Kontrolle über Belarus zu behalten</w:t>
            </w:r>
            <w:r>
              <w:rPr>
                <w:b/>
                <w:bCs/>
                <w:i/>
                <w:iCs/>
              </w:rPr>
              <w:t>;</w:t>
            </w:r>
          </w:p>
        </w:tc>
        <w:tc>
          <w:tcPr>
            <w:tcW w:w="4876" w:type="dxa"/>
            <w:tcBorders>
              <w:top w:val="nil"/>
              <w:left w:val="nil"/>
              <w:bottom w:val="nil"/>
              <w:right w:val="nil"/>
            </w:tcBorders>
          </w:tcPr>
          <w:p w:rsidR="00F30D4D" w:rsidRPr="00A004FF" w:rsidRDefault="00F30D4D" w:rsidP="008610E6">
            <w:pPr>
              <w:pStyle w:val="Normal6a"/>
            </w:pPr>
            <w:r>
              <w:t>–</w:t>
            </w:r>
            <w:r>
              <w:tab/>
              <w:t>die Rolle des unrechtmäßigen Regimes von Aljaksandr Lukaschenko bei der faktischen Abtretung der nationalen Souveränität durch das Regime an den Kreml, um seine totale Kontrolle über Belarus zu behalten</w:t>
            </w:r>
            <w:r>
              <w:rPr>
                <w:b/>
                <w:bCs/>
                <w:i/>
                <w:iCs/>
              </w:rPr>
              <w:t>,</w:t>
            </w:r>
            <w:r>
              <w:t xml:space="preserve"> </w:t>
            </w:r>
            <w:r>
              <w:rPr>
                <w:b/>
                <w:i/>
              </w:rPr>
              <w:t>sowie die Instrumentalisierung der Migration;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209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prangert die Instrumentalisierung der Migration durch Lukaschenko und Putin an, die die Migration als Hybridwaffe gegen die EU einsetzen; erklärt sich solidarisch mit den betroffenen EU-Mitgliedstaaten und fordert die Kommission auf, jegliche erforderliche Unterstützung zu bieten, auch durch die Errichtung von Überwachungsvorrichtungen und physischen Barrieren;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Urmas Paet, Hilde Vautmans, Petras Auštrevičius, Lucia Yar, Nathalie Loiseau, Ilhan Kyuchyuk, Marie-Agnes Strack-Zimmermann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2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Einmischung Nordkoreas in den russischen Angriffskrieg gegen die Ukraine, indem das Land Militärausrüstung und Munition an Russland sandte und Tausende Soldaten entsandte, damit sie in Ostrussland Militärübungen machen und sich dem Kampf gegen die Ukraine anschließen;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211</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3</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rPr>
                <w:b/>
                <w:i/>
              </w:rPr>
              <w:t>–</w:t>
            </w:r>
            <w:r w:rsidRPr="00A004FF">
              <w:tab/>
            </w:r>
            <w:r w:rsidRPr="00A004FF">
              <w:rPr>
                <w:b/>
                <w:i/>
              </w:rPr>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A004FF" w:rsidRDefault="00F30D4D" w:rsidP="008610E6">
            <w:pPr>
              <w:pStyle w:val="Normal6a"/>
            </w:pPr>
            <w:r w:rsidRPr="00A004FF">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zunehmenden böswilligen Aktivitäten, die Einmischung und die hybride Kriegsführung der Russischen Föderation, ihrer Institutionen und </w:t>
            </w:r>
            <w:r w:rsidRPr="005B7B7C">
              <w:rPr>
                <w:b/>
                <w:i/>
              </w:rPr>
              <w:lastRenderedPageBreak/>
              <w:t>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214</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A004FF" w:rsidRDefault="00F30D4D" w:rsidP="008610E6">
            <w:pPr>
              <w:pStyle w:val="Normal6a"/>
            </w:pPr>
            <w:r>
              <w:t>–</w:t>
            </w:r>
            <w:r>
              <w:tab/>
              <w:t xml:space="preserve">die zunehmenden böswilligen Aktivitäten, die Einmischung und die hybride Kriegsführung der Russischen Föderation, ihrer Institutionen und Stellvertreter mit dem Ziel der Untergrabung und Zerrüttung der demokratischen Stabilität und Souveränität der Republik Moldau; </w:t>
            </w:r>
            <w:r>
              <w:rPr>
                <w:b/>
                <w:i/>
              </w:rPr>
              <w:t xml:space="preserve">nimmt mit Besorgnis die mutmaßliche Einmischung Russlands in die Wahlen in Georgien und Moldau zur Kenntnis und fordert eine </w:t>
            </w:r>
            <w:r>
              <w:rPr>
                <w:b/>
                <w:i/>
              </w:rPr>
              <w:lastRenderedPageBreak/>
              <w:t>gründliche und transparente Untersuchung der Fälle;</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Ilhan Kyuchyuk, Lucia Yar,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r w:rsidRPr="005B7B7C">
              <w:rPr>
                <w:b/>
                <w:i/>
              </w:rPr>
              <w:t>, einschließlich der jüngsten Einmischung in das Verfassungsreferendum zum EU-Beitritt und in die Präsidentschaftswahl</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w:t>
            </w:r>
            <w:r w:rsidRPr="005B7B7C">
              <w:rPr>
                <w:b/>
                <w:i/>
              </w:rPr>
              <w:t>, einschließlich Informationsmanipulation und Einmischung aus dem Ausland,</w:t>
            </w:r>
            <w:r w:rsidRPr="005B7B7C">
              <w:t xml:space="preserve"> und die hybride Kriegsführung der Russischen Föderation, ihrer Institutionen und Stellvertreter mit dem Ziel der Untergrabung und Zerrüttung der demokratischen Stabilität und Souveränität </w:t>
            </w:r>
            <w:r w:rsidRPr="005B7B7C">
              <w:lastRenderedPageBreak/>
              <w:t>der Republik Moldau;</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Antonio López-Istúriz White</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r w:rsidRPr="005B7B7C">
              <w:rPr>
                <w:b/>
                <w:i/>
              </w:rPr>
              <w:t xml:space="preserve"> und Georgiens</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 Michał Dworczyk</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r w:rsidRPr="005B7B7C">
              <w:rPr>
                <w:b/>
                <w:i/>
              </w:rPr>
              <w:t xml:space="preserve"> und analog in Georgien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219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Cristian Terheş</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zunehmenden böswilligen Aktivitäten, die Einmischung und die hybride Kriegsführung der Russischen Föderation, ihrer Institutionen und Stellvertreter mit dem Ziel der Untergrabung und Zerrüttung der demokratischen Stabilität und Souveränität der Republik Moldau;</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zunehmenden böswilligen Aktivitäten, die Einmischung und die hybride Kriegsführung der Russischen Föderation, ihrer Institutionen und Stellvertreter mit dem Ziel der Untergrabung und Zerrüttung </w:t>
            </w:r>
            <w:r w:rsidRPr="005B7B7C">
              <w:rPr>
                <w:b/>
                <w:i/>
              </w:rPr>
              <w:t xml:space="preserve">des Wahlprozesses, </w:t>
            </w:r>
            <w:r w:rsidRPr="005B7B7C">
              <w:t>der demokratischen Stabilität und</w:t>
            </w:r>
            <w:r w:rsidRPr="005B7B7C">
              <w:rPr>
                <w:b/>
                <w:i/>
              </w:rPr>
              <w:t xml:space="preserve"> der</w:t>
            </w:r>
            <w:r w:rsidRPr="005B7B7C">
              <w:t xml:space="preserve"> Souveränität der Republik Moldau;</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„Wäsche“ von Gas aus Russland durch Aserbaidschan und den Umstand, dass die Staatsorgane Aserbaidschans die Umgehung der EU-Sanktionen durch Russland ermöglichen;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3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den Anschlag auf kosovarische Polizeibeamte durch gut organisierte serbische paramilitärische Truppen in Banjska im Norden des Kosovo vom 24. September 2023, aufgrund dessen der kosovarische Polizeibeamte Afrim Bunjaku getötet und zwei weitere kosovarische Polizeibeamte verletzt wurden; betont, dass die für diesen schändlichen Angriff Verantwortlichen unverzüglich zur Rechenschaft gezogen und vor Gericht gestellt werden müssen;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Hilde Vautmans, Lucia Yar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zu </w:t>
            </w:r>
            <w:r w:rsidRPr="005B7B7C">
              <w:rPr>
                <w:b/>
                <w:i/>
              </w:rPr>
              <w:t>einem Konflikt im Gazastreifen</w:t>
            </w:r>
            <w:r w:rsidRPr="005B7B7C">
              <w:t xml:space="preserve"> geführt </w:t>
            </w:r>
            <w:r w:rsidRPr="005B7B7C">
              <w:rPr>
                <w:b/>
                <w:i/>
              </w:rPr>
              <w:t>haben</w:t>
            </w:r>
            <w:r w:rsidRPr="005B7B7C">
              <w:t xml:space="preserve">, der </w:t>
            </w:r>
            <w:r w:rsidRPr="005B7B7C">
              <w:rPr>
                <w:b/>
                <w:i/>
              </w:rPr>
              <w:t>unverhältnismäßig große Auswirkungen</w:t>
            </w:r>
            <w:r w:rsidRPr="005B7B7C">
              <w:t xml:space="preserve"> auf die </w:t>
            </w:r>
            <w:r w:rsidRPr="005B7B7C">
              <w:rPr>
                <w:b/>
                <w:i/>
              </w:rPr>
              <w:t>Zivilbevölkerung hat</w:t>
            </w:r>
            <w:r w:rsidRPr="005B7B7C">
              <w:t xml:space="preserve"> und </w:t>
            </w:r>
            <w:r w:rsidRPr="005B7B7C">
              <w:rPr>
                <w:b/>
                <w:i/>
              </w:rPr>
              <w:t>zu einer katastrophalen humanitären Lage geführt 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w:t>
            </w:r>
            <w:r w:rsidRPr="005B7B7C">
              <w:t xml:space="preserve"> und </w:t>
            </w:r>
            <w:r w:rsidRPr="005B7B7C">
              <w:rPr>
                <w:b/>
                <w:i/>
              </w:rPr>
              <w:t xml:space="preserve">Israels unverhältnismäßige Reaktion im Gazastreifen, </w:t>
            </w:r>
            <w:r w:rsidRPr="005B7B7C">
              <w:t xml:space="preserve">die zu </w:t>
            </w:r>
            <w:r w:rsidRPr="005B7B7C">
              <w:rPr>
                <w:b/>
                <w:i/>
              </w:rPr>
              <w:t>einer übermäßig hohen Zahl an zivilen Opfern und einer katastrophalen humanitären Lage</w:t>
            </w:r>
            <w:r w:rsidRPr="005B7B7C">
              <w:t xml:space="preserve"> geführt </w:t>
            </w:r>
            <w:r w:rsidRPr="005B7B7C">
              <w:rPr>
                <w:b/>
                <w:i/>
              </w:rPr>
              <w:t>hat</w:t>
            </w:r>
            <w:r w:rsidRPr="005B7B7C">
              <w:t xml:space="preserve">, </w:t>
            </w:r>
            <w:r w:rsidRPr="005B7B7C">
              <w:rPr>
                <w:b/>
                <w:i/>
              </w:rPr>
              <w:t xml:space="preserve">wobei </w:t>
            </w:r>
            <w:r w:rsidRPr="005B7B7C">
              <w:t xml:space="preserve">der </w:t>
            </w:r>
            <w:r w:rsidRPr="005B7B7C">
              <w:rPr>
                <w:b/>
                <w:i/>
              </w:rPr>
              <w:t>Verdacht auf schwere Völkerrechtsverletzungen im großen Maßstab begründet ist;</w:t>
            </w:r>
            <w:r w:rsidRPr="005B7B7C">
              <w:t xml:space="preserve"> </w:t>
            </w:r>
            <w:r w:rsidRPr="005B7B7C">
              <w:rPr>
                <w:b/>
                <w:i/>
              </w:rPr>
              <w:t xml:space="preserve">die mutwillige und böswillige Befeuerung einer außergewöhnlich angespannten Lage durch wiederholte Angriffe auf Israel seit dem 7. Oktober 2023 durch staatliche und regierungsunabhängige Akteure in der Region, wobei Iran Hauptanstifter ist und die Huthi im Jemen und die Hisbollah im Libanon als Hilfstruppen fungieren; die Entscheidung Israels, am 30. September 2024 eine groß angelegte Militäroperation im Libanon als Vergeltungsmaßnahme </w:t>
            </w:r>
            <w:r w:rsidRPr="005B7B7C">
              <w:rPr>
                <w:b/>
                <w:i/>
              </w:rPr>
              <w:lastRenderedPageBreak/>
              <w:t>für die Angriffe der Hisbollah durchzuführen, wodurch der Konflikt sich weiter zuspitzte;</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zu einem Konflikt </w:t>
            </w:r>
            <w:r w:rsidRPr="005B7B7C">
              <w:rPr>
                <w:b/>
                <w:i/>
              </w:rPr>
              <w:t>im Gazastreifen</w:t>
            </w:r>
            <w:r w:rsidRPr="005B7B7C">
              <w:t xml:space="preserve"> geführt haben</w:t>
            </w:r>
            <w:r w:rsidRPr="005B7B7C">
              <w:rPr>
                <w:b/>
                <w:i/>
              </w:rPr>
              <w:t>, der</w:t>
            </w:r>
            <w:r w:rsidRPr="005B7B7C">
              <w:t xml:space="preserve"> unverhältnismäßig große Auswirkungen auf die Zivilbevölkerung </w:t>
            </w:r>
            <w:r w:rsidRPr="005B7B7C">
              <w:rPr>
                <w:b/>
                <w:i/>
              </w:rPr>
              <w:t>hat</w:t>
            </w:r>
            <w:r w:rsidRPr="005B7B7C">
              <w:t xml:space="preserve"> und zu einer katastrophalen humanitären Lage geführt </w:t>
            </w:r>
            <w:r w:rsidRPr="005B7B7C">
              <w:rPr>
                <w:b/>
                <w:i/>
              </w:rPr>
              <w:t>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w:t>
            </w:r>
            <w:r w:rsidRPr="005B7B7C">
              <w:t xml:space="preserve"> und die </w:t>
            </w:r>
            <w:r w:rsidRPr="005B7B7C">
              <w:rPr>
                <w:b/>
                <w:i/>
              </w:rPr>
              <w:t xml:space="preserve">anhaltende Geiselnahme durch die Hamas und andere palästinensische Terrorgruppen im Gazastreifen, die </w:t>
            </w:r>
            <w:r w:rsidRPr="005B7B7C">
              <w:t xml:space="preserve">zu einem Konflikt </w:t>
            </w:r>
            <w:r w:rsidRPr="005B7B7C">
              <w:rPr>
                <w:b/>
                <w:i/>
              </w:rPr>
              <w:t>zwischen der Hamas und Israel</w:t>
            </w:r>
            <w:r w:rsidRPr="005B7B7C">
              <w:t xml:space="preserve"> geführt haben</w:t>
            </w:r>
            <w:r w:rsidRPr="005B7B7C">
              <w:rPr>
                <w:b/>
                <w:i/>
              </w:rPr>
              <w:t xml:space="preserve"> und</w:t>
            </w:r>
            <w:r w:rsidRPr="005B7B7C">
              <w:t xml:space="preserve"> unverhältnismäßig große Auswirkungen auf die Zivilbevölkerung </w:t>
            </w:r>
            <w:r w:rsidRPr="005B7B7C">
              <w:rPr>
                <w:b/>
                <w:i/>
              </w:rPr>
              <w:t>auf beiden Seiten hatten</w:t>
            </w:r>
            <w:r w:rsidRPr="005B7B7C">
              <w:t xml:space="preserve"> und zu einer katastrophalen humanitären Lage </w:t>
            </w:r>
            <w:r w:rsidRPr="005B7B7C">
              <w:rPr>
                <w:b/>
                <w:i/>
              </w:rPr>
              <w:t xml:space="preserve">im Gazastreifen </w:t>
            </w:r>
            <w:r w:rsidRPr="005B7B7C">
              <w:t xml:space="preserve">geführt </w:t>
            </w:r>
            <w:r w:rsidRPr="005B7B7C">
              <w:rPr>
                <w:b/>
                <w:i/>
              </w:rPr>
              <w:t>haben, die von der Hamas, einer in den EU-Listen geführten Terrororganisation, zusätzlich ausgenutzt wurde</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224</w:t>
      </w:r>
      <w:r>
        <w:rPr>
          <w:rStyle w:val="HideTWBExt"/>
        </w:rPr>
        <w:t>&lt;/NumAm&gt;</w:t>
      </w:r>
    </w:p>
    <w:p w:rsidR="00F30D4D" w:rsidRPr="00A004FF" w:rsidRDefault="00F30D4D" w:rsidP="00F30D4D">
      <w:pPr>
        <w:pStyle w:val="NormalBold"/>
      </w:pPr>
      <w:r>
        <w:rPr>
          <w:rStyle w:val="HideTWBExt"/>
          <w:b w:val="0"/>
        </w:rPr>
        <w:t>&lt;RepeatBlock-By&gt;&lt;Members&gt;</w:t>
      </w:r>
      <w:r>
        <w:t>Alice Teodorescu Måwe</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brutalen und willkürlichen Terroranschläge, die die Hamas am 7. Oktober 2023 in ganz Israel verübt hat und die zu einem Konflikt im Gazastreifen geführt haben, der unverhältnismäßig </w:t>
            </w:r>
            <w:r>
              <w:lastRenderedPageBreak/>
              <w:t>große Auswirkungen auf die Zivilbevölkerung hat und zu einer katastrophalen humanitären Lage geführt hat;</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brutalen und willkürlichen Terroranschläge, die die Hamas am 7. Oktober 2023 in ganz Israel verübt hat und die zu einem Konflikt im Gazastreifen geführt haben, der schreckliche </w:t>
            </w:r>
            <w:r>
              <w:lastRenderedPageBreak/>
              <w:t xml:space="preserve">Auswirkungen auf die Zivilbevölkerung hat und zu einer katastrophalen humanitären Lage geführt hat; </w:t>
            </w:r>
            <w:r>
              <w:rPr>
                <w:b/>
                <w:i/>
              </w:rPr>
              <w:t>verurteilt aufs Schärfste, dass die Hamas unschuldige Menschen, darunter Frauen und Kinder, als Geiseln genommen hat und weiterhin festhält, und fordert die bedingungslose und unverzügliche Freilassung der Geiseln;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{SV}</w:t>
      </w:r>
      <w:r w:rsidRPr="00A004FF">
        <w:t>sv</w:t>
      </w:r>
      <w:r w:rsidRPr="00A004FF">
        <w:rPr>
          <w:rStyle w:val="HideTWBExt"/>
        </w:rPr>
        <w:t>&lt;/Original&gt;</w:t>
      </w:r>
    </w:p>
    <w:p w:rsidR="00F30D4D" w:rsidRPr="00A004FF" w:rsidRDefault="00F30D4D" w:rsidP="00F30D4D">
      <w:r>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225</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 Roberto Vannacci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brutalen und willkürlichen Terroranschläge, die die Hamas am 7. Oktober 2023 in ganz Israel verübt hat und die zu einem Konflikt im Gazastreifen geführt haben, der unverhältnismäßig große Auswirkungen auf die Zivilbevölkerung hat und zu einer katastrophalen humanitären Lage geführt hat;</w:t>
            </w:r>
          </w:p>
        </w:tc>
        <w:tc>
          <w:tcPr>
            <w:tcW w:w="4876" w:type="dxa"/>
            <w:tcBorders>
              <w:top w:val="nil"/>
              <w:left w:val="nil"/>
              <w:bottom w:val="nil"/>
              <w:right w:val="nil"/>
            </w:tcBorders>
          </w:tcPr>
          <w:p w:rsidR="00F30D4D" w:rsidRPr="00A004FF" w:rsidRDefault="00F30D4D" w:rsidP="008610E6">
            <w:pPr>
              <w:pStyle w:val="Normal6a"/>
            </w:pPr>
            <w:r>
              <w:t>–</w:t>
            </w:r>
            <w:r>
              <w:tab/>
              <w:t xml:space="preserve">die brutalen und willkürlichen Terroranschläge, die die Hamas am 7. Oktober 2023 in ganz Israel verübt hat und die zu einem Konflikt im Gazastreifen geführt haben, der unverhältnismäßig große Auswirkungen auf die Zivilbevölkerung hat und zu einer katastrophalen humanitären Lage geführt hat; </w:t>
            </w:r>
            <w:r>
              <w:rPr>
                <w:b/>
                <w:i/>
              </w:rPr>
              <w:t>fordert die Kommission auf, die Auszahlung von EU-Mitteln an palästinensische Einrichtungen besser zu kontrollieren, da sie unter Umständen eine Verbindung zu den Amtsträgern der Hamas aufweisen;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 Jordan Bardella, Matthieu Valet, Pierre-Romain Thionnet</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zu einem Konflikt im Gazastreifen geführt </w:t>
            </w:r>
            <w:r w:rsidRPr="005B7B7C">
              <w:rPr>
                <w:b/>
                <w:i/>
              </w:rPr>
              <w:t>haben</w:t>
            </w:r>
            <w:r w:rsidRPr="005B7B7C">
              <w:t>, der unverhältnismäßig große Auswirkungen auf die Zivilbevölkerung hat und zu einer katastrophalen humanitären Lage geführt hat;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w:t>
            </w:r>
            <w:r w:rsidRPr="005B7B7C">
              <w:rPr>
                <w:b/>
                <w:i/>
              </w:rPr>
              <w:t xml:space="preserve">zur regelrechten Abschlachtung von mehr als 1 200 israelischen Bürgerinnen und Bürgern, darunter auch Frauen und Kinder, und über 250 Geiselnahmen geführt haben, was wiederum </w:t>
            </w:r>
            <w:r w:rsidRPr="005B7B7C">
              <w:t xml:space="preserve">zu einem Konflikt im Gazastreifen geführt </w:t>
            </w:r>
            <w:r w:rsidRPr="005B7B7C">
              <w:rPr>
                <w:b/>
                <w:i/>
              </w:rPr>
              <w:t>hat</w:t>
            </w:r>
            <w:r w:rsidRPr="005B7B7C">
              <w:t>, der unverhältnismäßig große Auswirkungen auf die Zivilbevölkerung hat und zu einer katastrophalen humanitären Lage geführt hat;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Sven Mikser, Thijs Reuten, Alessandra Moretti,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 xml:space="preserve"> und die zu einem Konflikt im Gazastreifen geführt haben, der unverhältnismäßig große Auswirkungen auf die Zivilbevölkerung hat und zu einer katastrophalen humanitären Lage geführt 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brutalen und willkürlichen Terroranschläge, die die Hamas am</w:t>
            </w:r>
            <w:r w:rsidRPr="005B7B7C">
              <w:t xml:space="preserve"> 7. Oktober 2023</w:t>
            </w:r>
            <w:r w:rsidRPr="005B7B7C">
              <w:rPr>
                <w:b/>
                <w:i/>
              </w:rPr>
              <w:t xml:space="preserve"> in ganz</w:t>
            </w:r>
            <w:r w:rsidRPr="005B7B7C">
              <w:t xml:space="preserve"> Israel </w:t>
            </w:r>
            <w:r w:rsidRPr="005B7B7C">
              <w:rPr>
                <w:b/>
                <w:i/>
              </w:rPr>
              <w:t>verübt</w:t>
            </w:r>
            <w:r w:rsidRPr="005B7B7C">
              <w:t xml:space="preserve"> hat und die </w:t>
            </w:r>
            <w:r w:rsidRPr="005B7B7C">
              <w:rPr>
                <w:b/>
                <w:i/>
              </w:rPr>
              <w:t>zu einem Konflikt</w:t>
            </w:r>
            <w:r w:rsidRPr="005B7B7C">
              <w:t xml:space="preserve"> im </w:t>
            </w:r>
            <w:r w:rsidRPr="005B7B7C">
              <w:rPr>
                <w:b/>
                <w:i/>
              </w:rPr>
              <w:t>Gazastreifen geführt haben</w:t>
            </w:r>
            <w:r w:rsidRPr="005B7B7C">
              <w:t xml:space="preserve">, </w:t>
            </w:r>
            <w:r w:rsidRPr="005B7B7C">
              <w:rPr>
                <w:b/>
                <w:i/>
              </w:rPr>
              <w:t>der unverhältnismäßig große Auswirkungen auf</w:t>
            </w:r>
            <w:r w:rsidRPr="005B7B7C">
              <w:t xml:space="preserve"> die </w:t>
            </w:r>
            <w:r w:rsidRPr="005B7B7C">
              <w:rPr>
                <w:b/>
                <w:i/>
              </w:rPr>
              <w:t>Zivilbevölkerung hat</w:t>
            </w:r>
            <w:r w:rsidRPr="005B7B7C">
              <w:t xml:space="preserve"> und </w:t>
            </w:r>
            <w:r w:rsidRPr="005B7B7C">
              <w:rPr>
                <w:b/>
                <w:i/>
              </w:rPr>
              <w:t>zu einer katastrophalen humanitären Lage geführt 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zivilen Todesopfer bei den Anschlägen vom</w:t>
            </w:r>
            <w:r w:rsidRPr="005B7B7C">
              <w:t xml:space="preserve"> 7. Oktober 2023</w:t>
            </w:r>
            <w:r w:rsidRPr="005B7B7C">
              <w:rPr>
                <w:b/>
                <w:i/>
              </w:rPr>
              <w:t>; die unglaublich hohe Zahl an Todesopfern und beispiellose Zerstörung, die</w:t>
            </w:r>
            <w:r w:rsidRPr="005B7B7C">
              <w:t xml:space="preserve"> Israel </w:t>
            </w:r>
            <w:r w:rsidRPr="005B7B7C">
              <w:rPr>
                <w:b/>
                <w:i/>
              </w:rPr>
              <w:t>im Gazastreifen verursacht</w:t>
            </w:r>
            <w:r w:rsidRPr="005B7B7C">
              <w:t xml:space="preserve"> hat</w:t>
            </w:r>
            <w:r w:rsidRPr="005B7B7C">
              <w:rPr>
                <w:b/>
                <w:i/>
              </w:rPr>
              <w:t>,</w:t>
            </w:r>
            <w:r w:rsidRPr="005B7B7C">
              <w:t xml:space="preserve"> und die </w:t>
            </w:r>
            <w:r w:rsidRPr="005B7B7C">
              <w:rPr>
                <w:b/>
                <w:i/>
              </w:rPr>
              <w:t>anhaltende Eskalation des Kriegs</w:t>
            </w:r>
            <w:r w:rsidRPr="005B7B7C">
              <w:t xml:space="preserve"> im </w:t>
            </w:r>
            <w:r w:rsidRPr="005B7B7C">
              <w:rPr>
                <w:b/>
                <w:i/>
              </w:rPr>
              <w:t>Nahen Osten; betont</w:t>
            </w:r>
            <w:r w:rsidRPr="005B7B7C">
              <w:t xml:space="preserve">, </w:t>
            </w:r>
            <w:r w:rsidRPr="005B7B7C">
              <w:rPr>
                <w:b/>
                <w:i/>
              </w:rPr>
              <w:t>dass umgehend ein Waffenstillstand verhängt werden muss,</w:t>
            </w:r>
            <w:r w:rsidRPr="005B7B7C">
              <w:t xml:space="preserve"> die </w:t>
            </w:r>
            <w:r w:rsidRPr="005B7B7C">
              <w:rPr>
                <w:b/>
                <w:i/>
              </w:rPr>
              <w:t>Geiseln freigelassen werden müssen</w:t>
            </w:r>
            <w:r w:rsidRPr="005B7B7C">
              <w:t xml:space="preserve"> und </w:t>
            </w:r>
            <w:r w:rsidRPr="005B7B7C">
              <w:rPr>
                <w:b/>
                <w:i/>
              </w:rPr>
              <w:t>eine langfristige und gerechte diplomatische Beilegung des Konflikts erforderlich ist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229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Hermann Tertsch, Jorge Martín Frías, 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 und die zu einem Konflikt im Gazastreifen geführt haben</w:t>
            </w:r>
            <w:r w:rsidRPr="005B7B7C">
              <w:rPr>
                <w:b/>
                <w:i/>
              </w:rPr>
              <w:t>, der unverhältnismäßig große Auswirkungen auf die Zivilbevölkerung hat und zu einer katastrophalen humanitären Lage geführt 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 und die zu einem Konflikt im Gazastreifen geführt haben;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230</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Charlie Weimers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brutalen und willkürlichen Terroranschläge, die die Hamas am 7. Oktober 2023 in </w:t>
            </w:r>
            <w:r>
              <w:rPr>
                <w:b/>
                <w:i/>
              </w:rPr>
              <w:t>ganz</w:t>
            </w:r>
            <w:r>
              <w:t xml:space="preserve"> Israel verübt hat und die zu einem Konflikt im Gazastreifen geführt haben, der unverhältnismäßig große Auswirkungen auf die Zivilbevölkerung hat und zu einer katastrophalen humanitären Lage geführt hat;</w:t>
            </w:r>
          </w:p>
        </w:tc>
        <w:tc>
          <w:tcPr>
            <w:tcW w:w="4876" w:type="dxa"/>
            <w:tcBorders>
              <w:top w:val="nil"/>
              <w:left w:val="nil"/>
              <w:bottom w:val="nil"/>
              <w:right w:val="nil"/>
            </w:tcBorders>
          </w:tcPr>
          <w:p w:rsidR="00F30D4D" w:rsidRPr="00A004FF" w:rsidRDefault="00F30D4D" w:rsidP="008610E6">
            <w:pPr>
              <w:pStyle w:val="Normal6a"/>
            </w:pPr>
            <w:r>
              <w:t>–</w:t>
            </w:r>
            <w:r>
              <w:tab/>
              <w:t xml:space="preserve">die brutalen und willkürlichen Terroranschläge, die die Hamas am 7. Oktober 2023 </w:t>
            </w:r>
            <w:r>
              <w:rPr>
                <w:b/>
                <w:i/>
              </w:rPr>
              <w:t>gegen die Zivilbevölkerung</w:t>
            </w:r>
            <w:r>
              <w:t xml:space="preserve"> in Israel verübt hat</w:t>
            </w:r>
            <w:r>
              <w:rPr>
                <w:b/>
                <w:i/>
              </w:rPr>
              <w:t>, die Verbrechen gegen die Menschlichkeit darstellen</w:t>
            </w:r>
            <w:r>
              <w:t xml:space="preserve"> und die zu einem Konflikt im Gazastreifen geführt haben, der unverhältnismäßig große Auswirkungen auf die Zivilbevölkerung hat und zu einer katastrophalen humanitären Lage geführt hat;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Seán Kelly</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w:t>
            </w:r>
            <w:r w:rsidRPr="005B7B7C">
              <w:rPr>
                <w:b/>
                <w:i/>
              </w:rPr>
              <w:t>zu einem Konflikt</w:t>
            </w:r>
            <w:r w:rsidRPr="005B7B7C">
              <w:t xml:space="preserve"> im Gazastreifen </w:t>
            </w:r>
            <w:r w:rsidRPr="005B7B7C">
              <w:rPr>
                <w:b/>
                <w:i/>
              </w:rPr>
              <w:t>geführt haben</w:t>
            </w:r>
            <w:r w:rsidRPr="005B7B7C">
              <w:t xml:space="preserve">, </w:t>
            </w:r>
            <w:r w:rsidRPr="005B7B7C">
              <w:rPr>
                <w:b/>
                <w:i/>
              </w:rPr>
              <w:t>der</w:t>
            </w:r>
            <w:r w:rsidRPr="005B7B7C">
              <w:t xml:space="preserve"> unverhältnismäßig große Auswirkungen auf die Zivilbevölkerung </w:t>
            </w:r>
            <w:r w:rsidRPr="005B7B7C">
              <w:rPr>
                <w:b/>
                <w:i/>
              </w:rPr>
              <w:t>hat</w:t>
            </w:r>
            <w:r w:rsidRPr="005B7B7C">
              <w:t xml:space="preserve"> und zu einer katastrophalen humanitären Lage geführt hat;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w:t>
            </w:r>
            <w:r w:rsidRPr="005B7B7C">
              <w:t xml:space="preserve"> und die </w:t>
            </w:r>
            <w:r w:rsidRPr="005B7B7C">
              <w:rPr>
                <w:b/>
                <w:i/>
              </w:rPr>
              <w:t>Reaktion der israelischen Behörden</w:t>
            </w:r>
            <w:r w:rsidRPr="005B7B7C">
              <w:t xml:space="preserve"> im Gazastreifen </w:t>
            </w:r>
            <w:r w:rsidRPr="005B7B7C">
              <w:rPr>
                <w:b/>
                <w:i/>
              </w:rPr>
              <w:t>und im Westjordanland</w:t>
            </w:r>
            <w:r w:rsidRPr="005B7B7C">
              <w:t xml:space="preserve">, </w:t>
            </w:r>
            <w:r w:rsidRPr="005B7B7C">
              <w:rPr>
                <w:b/>
                <w:i/>
              </w:rPr>
              <w:t>die</w:t>
            </w:r>
            <w:r w:rsidRPr="005B7B7C">
              <w:t xml:space="preserve"> unverhältnismäßig große Auswirkungen auf die Zivilbevölkerung </w:t>
            </w:r>
            <w:r w:rsidRPr="005B7B7C">
              <w:rPr>
                <w:b/>
                <w:i/>
              </w:rPr>
              <w:t>hatte</w:t>
            </w:r>
            <w:r w:rsidRPr="005B7B7C">
              <w:t xml:space="preserve"> und zu einer katastrophalen humanitären Lage geführt hat;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w:t>
            </w:r>
            <w:r w:rsidRPr="005B7B7C">
              <w:rPr>
                <w:b/>
                <w:i/>
              </w:rPr>
              <w:t>zu einem Konflikt</w:t>
            </w:r>
            <w:r w:rsidRPr="005B7B7C">
              <w:t xml:space="preserve"> im Gazastreifen </w:t>
            </w:r>
            <w:r w:rsidRPr="005B7B7C">
              <w:rPr>
                <w:b/>
                <w:i/>
              </w:rPr>
              <w:t>geführt haben</w:t>
            </w:r>
            <w:r w:rsidRPr="005B7B7C">
              <w:t xml:space="preserve">, </w:t>
            </w:r>
            <w:r w:rsidRPr="005B7B7C">
              <w:rPr>
                <w:b/>
                <w:i/>
              </w:rPr>
              <w:t xml:space="preserve">der unverhältnismäßig große Auswirkungen auf </w:t>
            </w:r>
            <w:r w:rsidRPr="005B7B7C">
              <w:t>die</w:t>
            </w:r>
            <w:r w:rsidRPr="005B7B7C">
              <w:rPr>
                <w:b/>
                <w:i/>
              </w:rPr>
              <w:t xml:space="preserve"> Zivilbevölkerung hat und</w:t>
            </w:r>
            <w:r w:rsidRPr="005B7B7C">
              <w:t xml:space="preserve"> zu einer katastrophalen humanitären Lage geführt hat;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w:t>
            </w:r>
            <w:r w:rsidRPr="005B7B7C">
              <w:t xml:space="preserve"> und die </w:t>
            </w:r>
            <w:r w:rsidRPr="005B7B7C">
              <w:rPr>
                <w:b/>
                <w:i/>
              </w:rPr>
              <w:t>unverhältnismäßige Vergeltungsmaßnahme der israelischen Verteidigungskräfte</w:t>
            </w:r>
            <w:r w:rsidRPr="005B7B7C">
              <w:t xml:space="preserve"> im Gazastreifen </w:t>
            </w:r>
            <w:r w:rsidRPr="005B7B7C">
              <w:rPr>
                <w:b/>
                <w:i/>
              </w:rPr>
              <w:t>und im Westjordanland</w:t>
            </w:r>
            <w:r w:rsidRPr="005B7B7C">
              <w:t>, die zu einer katastrophalen humanitären Lage geführt hat;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w:t>
            </w:r>
            <w:r w:rsidRPr="005B7B7C">
              <w:rPr>
                <w:b/>
                <w:i/>
              </w:rPr>
              <w:t>zu einem Konflikt im Gazastreifen geführt haben</w:t>
            </w:r>
            <w:r w:rsidRPr="005B7B7C">
              <w:t xml:space="preserve">, </w:t>
            </w:r>
            <w:r w:rsidRPr="005B7B7C">
              <w:rPr>
                <w:b/>
                <w:i/>
              </w:rPr>
              <w:t>der unverhältnismäßig große</w:t>
            </w:r>
            <w:r w:rsidRPr="005B7B7C">
              <w:t xml:space="preserve"> Auswirkungen auf die Zivilbevölkerung </w:t>
            </w:r>
            <w:r w:rsidRPr="005B7B7C">
              <w:rPr>
                <w:b/>
                <w:i/>
              </w:rPr>
              <w:t>hat</w:t>
            </w:r>
            <w:r w:rsidRPr="005B7B7C">
              <w:t xml:space="preserve"> und zu einer katastrophalen humanitären </w:t>
            </w:r>
            <w:r w:rsidRPr="005B7B7C">
              <w:rPr>
                <w:b/>
                <w:i/>
              </w:rPr>
              <w:t>Lage</w:t>
            </w:r>
            <w:r w:rsidRPr="005B7B7C">
              <w:t xml:space="preserve"> geführt </w:t>
            </w:r>
            <w:r w:rsidRPr="005B7B7C">
              <w:rPr>
                <w:b/>
                <w:i/>
              </w:rPr>
              <w:t>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w:t>
            </w:r>
            <w:r w:rsidRPr="005B7B7C">
              <w:t xml:space="preserve"> und die </w:t>
            </w:r>
            <w:r w:rsidRPr="005B7B7C">
              <w:rPr>
                <w:b/>
                <w:i/>
              </w:rPr>
              <w:t>unverhältnismäßige Militärreaktion Israels auf diese Anschläge</w:t>
            </w:r>
            <w:r w:rsidRPr="005B7B7C">
              <w:t xml:space="preserve">, </w:t>
            </w:r>
            <w:r w:rsidRPr="005B7B7C">
              <w:rPr>
                <w:b/>
                <w:i/>
              </w:rPr>
              <w:t>die dramatische</w:t>
            </w:r>
            <w:r w:rsidRPr="005B7B7C">
              <w:t xml:space="preserve"> Auswirkungen auf die Zivilbevölkerung </w:t>
            </w:r>
            <w:r w:rsidRPr="005B7B7C">
              <w:rPr>
                <w:b/>
                <w:i/>
              </w:rPr>
              <w:t>haben</w:t>
            </w:r>
            <w:r w:rsidRPr="005B7B7C">
              <w:t xml:space="preserve"> und zu einer katastrophalen humanitären </w:t>
            </w:r>
            <w:r w:rsidRPr="005B7B7C">
              <w:rPr>
                <w:b/>
                <w:i/>
              </w:rPr>
              <w:t>Krise im Gazastreifen</w:t>
            </w:r>
            <w:r w:rsidRPr="005B7B7C">
              <w:t xml:space="preserve"> geführt </w:t>
            </w:r>
            <w:r w:rsidRPr="005B7B7C">
              <w:rPr>
                <w:b/>
                <w:i/>
              </w:rPr>
              <w:t>haben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brutalen und willkürlichen Terroranschläge, die die Hamas am 7. Oktober 2023 in ganz Israel verübt hat und die </w:t>
            </w:r>
            <w:r w:rsidRPr="005B7B7C">
              <w:rPr>
                <w:b/>
                <w:i/>
              </w:rPr>
              <w:t>zu einem Konflikt im</w:t>
            </w:r>
            <w:r w:rsidRPr="005B7B7C">
              <w:t xml:space="preserve"> Gazastreifen</w:t>
            </w:r>
            <w:r w:rsidRPr="005B7B7C">
              <w:rPr>
                <w:b/>
                <w:i/>
              </w:rPr>
              <w:t xml:space="preserve"> geführt haben</w:t>
            </w:r>
            <w:r w:rsidRPr="005B7B7C">
              <w:t xml:space="preserve">, </w:t>
            </w:r>
            <w:r w:rsidRPr="005B7B7C">
              <w:rPr>
                <w:b/>
                <w:i/>
              </w:rPr>
              <w:t>der</w:t>
            </w:r>
            <w:r w:rsidRPr="005B7B7C">
              <w:t xml:space="preserve"> unverhältnismäßig große Auswirkungen auf die Zivilbevölkerung </w:t>
            </w:r>
            <w:r w:rsidRPr="005B7B7C">
              <w:rPr>
                <w:b/>
                <w:i/>
              </w:rPr>
              <w:t>hat</w:t>
            </w:r>
            <w:r w:rsidRPr="005B7B7C">
              <w:t xml:space="preserve"> und zu einer katastrophalen humanitären Lage geführt </w:t>
            </w:r>
            <w:r w:rsidRPr="005B7B7C">
              <w:rPr>
                <w:b/>
                <w:i/>
              </w:rPr>
              <w:t>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w:t>
            </w:r>
            <w:r w:rsidRPr="005B7B7C">
              <w:t xml:space="preserve"> und die </w:t>
            </w:r>
            <w:r w:rsidRPr="005B7B7C">
              <w:rPr>
                <w:b/>
                <w:i/>
              </w:rPr>
              <w:t>israelischen Militärmaßnahmen gegen den</w:t>
            </w:r>
            <w:r w:rsidRPr="005B7B7C">
              <w:t xml:space="preserve"> Gazastreifen, </w:t>
            </w:r>
            <w:r w:rsidRPr="005B7B7C">
              <w:rPr>
                <w:b/>
                <w:i/>
              </w:rPr>
              <w:t>die</w:t>
            </w:r>
            <w:r w:rsidRPr="005B7B7C">
              <w:t xml:space="preserve"> unverhältnismäßig große Auswirkungen auf die Zivilbevölkerung </w:t>
            </w:r>
            <w:r w:rsidRPr="005B7B7C">
              <w:rPr>
                <w:b/>
                <w:i/>
              </w:rPr>
              <w:t>hatten</w:t>
            </w:r>
            <w:r w:rsidRPr="005B7B7C">
              <w:t xml:space="preserve"> und zu einer katastrophalen humanitären Lage geführt </w:t>
            </w:r>
            <w:r w:rsidRPr="005B7B7C">
              <w:rPr>
                <w:b/>
                <w:i/>
              </w:rPr>
              <w:t>haben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Marc Botenga, Rima Hassan, Özlem Demirel</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{The Left}</w:t>
      </w:r>
      <w:r w:rsidRPr="005B7B7C">
        <w:t>im Namen der Fraktion The Left</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w:t>
            </w:r>
            <w:r w:rsidRPr="005B7B7C">
              <w:rPr>
                <w:b/>
                <w:i/>
              </w:rPr>
              <w:t>und</w:t>
            </w:r>
            <w:r w:rsidRPr="005B7B7C">
              <w:t xml:space="preserve"> die </w:t>
            </w:r>
            <w:r w:rsidRPr="005B7B7C">
              <w:rPr>
                <w:b/>
                <w:i/>
              </w:rPr>
              <w:t>zu einem Konflikt im Gazastreifen geführt haben, der unverhältnismäßig große Auswirkungen auf</w:t>
            </w:r>
            <w:r w:rsidRPr="005B7B7C">
              <w:t xml:space="preserve"> die </w:t>
            </w:r>
            <w:r w:rsidRPr="005B7B7C">
              <w:rPr>
                <w:b/>
                <w:i/>
              </w:rPr>
              <w:t>Zivilbevölkerung hat und zu einer katastrophalen humanitären Lage geführt hat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brutalen und willkürlichen Terroranschläge, die die Hamas am 7. Oktober 2023 in ganz Israel verübt hat</w:t>
            </w:r>
            <w:r w:rsidRPr="005B7B7C">
              <w:rPr>
                <w:b/>
                <w:i/>
              </w:rPr>
              <w:t>, auf</w:t>
            </w:r>
            <w:r w:rsidRPr="005B7B7C">
              <w:t xml:space="preserve"> die </w:t>
            </w:r>
            <w:r w:rsidRPr="005B7B7C">
              <w:rPr>
                <w:b/>
                <w:i/>
              </w:rPr>
              <w:t>ein mutwilliger Völkermord an palästinensischen Menschen im Gazastreifen durch</w:t>
            </w:r>
            <w:r w:rsidRPr="005B7B7C">
              <w:t xml:space="preserve"> die </w:t>
            </w:r>
            <w:r w:rsidRPr="005B7B7C">
              <w:rPr>
                <w:b/>
                <w:i/>
              </w:rPr>
              <w:t>Armee Israels folgte</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Cristian Terheş</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brutalen und willkürlichen Terroranschläge, die die Hamas am 7. Oktober 2023 in ganz Israel verübt hat und die zu einem Konflikt im Gazastreifen </w:t>
            </w:r>
            <w:r w:rsidRPr="005B7B7C">
              <w:lastRenderedPageBreak/>
              <w:t xml:space="preserve">geführt haben, der </w:t>
            </w:r>
            <w:r w:rsidRPr="005B7B7C">
              <w:rPr>
                <w:b/>
                <w:i/>
              </w:rPr>
              <w:t>unverhältnismäßig große</w:t>
            </w:r>
            <w:r w:rsidRPr="005B7B7C">
              <w:t xml:space="preserve"> Auswirkungen auf die Zivilbevölkerung hat und zu einer katastrophalen humanitären Lage geführt hat;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brutalen und willkürlichen Terroranschläge, die die Hamas am 7. Oktober 2023 in ganz Israel verübt hat und die zu einem Konflikt im Gazastreifen </w:t>
            </w:r>
            <w:r w:rsidRPr="005B7B7C">
              <w:lastRenderedPageBreak/>
              <w:t xml:space="preserve">geführt haben, der </w:t>
            </w:r>
            <w:r w:rsidRPr="005B7B7C">
              <w:rPr>
                <w:b/>
                <w:i/>
              </w:rPr>
              <w:t>schwere</w:t>
            </w:r>
            <w:r w:rsidRPr="005B7B7C">
              <w:t xml:space="preserve"> Auswirkungen auf die Zivilbevölkerung hat und zu einer katastrophalen humanitären Lage geführt hat;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alle Formen von Gewalt gegen Zivilpersonen in der anhaltenden Krise im Nahen Osten; prangert Maßnahmen der Hisbollah und Israels im Libanon an, die den Konflikt verschärfen; fordert alle beteiligten Parteien auf, das humanitäre Völkerrecht zu wahren und umgehenden Deeskalierungsmaßnahmen zur Rettung ziviler Menschenleben Vorrang einzuräumen; fordert mit Nachdruck die Entwaffnung der Hisbollah als Teil breiter angelegter Maßnahmen zur Eindämmung der Feindseligkeiten und Gewährleistung der regionalen Stabilität;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vom israelischen Parlament gebilligten Rechtsvorschriften, denen </w:t>
            </w:r>
            <w:r w:rsidRPr="005B7B7C">
              <w:rPr>
                <w:b/>
                <w:i/>
              </w:rPr>
              <w:lastRenderedPageBreak/>
              <w:t>zufolge der Kontakt zwischen staatlichen Einrichtungen Israels und dem Hilfswerk der Vereinten Nationen für Palästinaflüchtlinge (UNRWA) verboten ist, was gegen das Völkerrecht und die grundlegenden humanitären Grundsätze verstößt;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239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anhaltenden Raketen- und Drohnenangriffe auf Israel durch die Hisbollah im Libanon sowie die Huthi im Jemen und von Iran unterstützte Milizen in Irak und Syrien, die alle auf Anstachelung der Islamischen Republik Iran begangen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240</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Charlie Weimers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die Drohungen des türkischen Präsidenten, Recep Tayyip Erdoğan, gegen Israel, die zu einer weiteren Eskalation im Nahen und Mittleren Osten führen;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Sven Mikser,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den derzeitigen Konflikt im Gazastreifen und im Libanon, der unverhältnismäßige Auswirkungen auf die Zivilbevölkerung hat und zu einer katastrophalen humanitären Lage geführt hat;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anhaltende Einrichtung und Ausweitung rechtswidriger israelischer Niederlassungen im Westjordanland; diese Niederlassungen verstoßen gegen das Völkerrecht, untergraben Maßnahmen mit Blick auf eine Zwei-Staaten-Lösung und stellen ein großes Hindernis für dauerhaften Frieden dar; fordert Israel auf, diese Maßnahmen umgehend zu stoppen und umzukehren, damit ein Umfeld gefördert wird, das konstruktivem Dialog und Konfliktlösung zuträglich ist; fordert, dass Siedlern mit doppelter Staatsangehörigkeit im Westjordanland und in Ost-Jerusalem die Staatsbürgerschaft entzogen wird;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direkten Raketen- und Drohnenangriffe Irans auf Israel, wodurch der bereits angespannte Konflikt im Nahen Osten geschürt wird; fordert die Islamische Republik Iran auf, die Steigerung des Konflikts zu beenden und keine Terrorhilfstruppen in der Region mehr zu finanzieren;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Sven Mikser,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ständigen Versuche der israelischen Staatsorgane, die Vereinten Nationen, ihren Generalsekretär und insbesondere das UNRWA zu untergraben und zu diskreditieren, sowie ihre Angriffe auf die UNIFIL;</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3 – Spiegelstrich 4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Erklärung der israelischen Regierung, den Generalsekretär der Vereinten Nationen, Antonio Guterres, als „Persona non grata“ zu betrachten;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jüngsten Entwicklungen in Tunesien, die zu Besorgnis über die Menschenrechte und demokratischen Normen geführt haben, wobei Berichten zufolge Hinweise auf eingeschränkte Transparenz, eingeschränkte Teilhabe der Opposition und verringerten politischen Wettbewerb bei der Präsidentschaftswahl vorliegen; führt den Einsatz und die Unterstützung der EU für Tunesien in dieser politisch und sozioökonomisch heiklen Zeit fort und hält den Kontakt auf verschiedenen Ebenen;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Sven Mikser, Thijs Reuten, Alessandra Moretti, Yannis Maniatis, Marco Tarquinio,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von der Knesset </w:t>
            </w:r>
            <w:r w:rsidRPr="005B7B7C">
              <w:rPr>
                <w:b/>
                <w:i/>
              </w:rPr>
              <w:lastRenderedPageBreak/>
              <w:t>verabschiedeten Rechtsvorschriften, mit denen die Tätigkeit des UNRWA verboten und seine Beziehungen zu den israelischen Behörden eingestellt werden; bedauert die katastrophalen Folgen, die dies für die Region haben wird, da das UNRWA die wichtigste Struktur der humanitären Hilfe im Gazastreifen und im Westjordanland ist, auf dessen lebenswichtige Dienste Millionen Menschen angewiesen sind; weist darauf hin, dass diese Rechtsvorschriften gegen das Völkerrecht verstoßen;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von Mitgliedern der israelischen Regierung getroffenen Maßnahmen, um dem Westjordanland den Zugang zu finanziellen Mitteln zu verwehren, wie am 25. Oktober in einem Schreiben der US-amerikanischen Finanzministerin Janet Yellen, von Ministern der G7-Länder und dem für Finanzdienste zuständigen Kommissionsmitglied an den israelischen Ministerpräsidenten Netanjahu festgestellt wurde;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249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 xml:space="preserve">Sven Mikser, Lucia Annunziata, Nicola Zingaretti, Thijs Reuten, Alessandra Moretti, Giorgio Gori, Tobias Cremer, Yannis Maniatis, Marco </w:t>
      </w:r>
      <w:r w:rsidRPr="005B7B7C">
        <w:lastRenderedPageBreak/>
        <w:t>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4 d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militärische Eskalation in Libanon, die nicht hinnehmbare Zahl ziviler Opfer, die Vertreibungen als Folge der eskalierenden Gewalt und die anhaltende Anwendung militärischer Gewalt;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anhaltende Nichteinhaltung der gesetzlichen Schutzverpflichtungen Irans im Rahmen der Atomvereinbarung mit Iran (JCPOA) und die Fortführung seines Nuklearprogramms über jede überzeugende zivile Rechtfertigung hinaus;</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Lucia Yar, Marie-Agnes Strack-Zimmermann,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 Nichteinhaltung der gesetzlichen Schutzverpflichtungen Irans </w:t>
            </w:r>
            <w:r w:rsidRPr="005B7B7C">
              <w:lastRenderedPageBreak/>
              <w:t>im Rahmen der Atomvereinbarung mit Iran (JCPOA) und die Fortführung seines Nuklearprogramms über jede überzeugende zivile Rechtfertigung hinaus;</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anhaltende Nichteinhaltung der gesetzlichen Schutzverpflichtungen Irans </w:t>
            </w:r>
            <w:r w:rsidRPr="005B7B7C">
              <w:lastRenderedPageBreak/>
              <w:t xml:space="preserve">im Rahmen der Atomvereinbarung mit Iran (JCPOA) und die Fortführung seines Nuklearprogramms über jede überzeugende zivile Rechtfertigung hinaus; </w:t>
            </w:r>
            <w:r w:rsidRPr="005B7B7C">
              <w:rPr>
                <w:b/>
                <w:i/>
              </w:rPr>
              <w:t>ist besorgt über die wachsende militärische Zusammenarbeit zwischen Iran und Russland, insbesondere die Absicht, einen Vertrag über eine umfassende strategische Partnerschaft zu schließen, und verurteilt die Bereitstellung von Drohnen und ballistischen Flugkörpern durch Iran an Russland für den Einsatz gegen die Ukraine und ihre Bevölkerung;</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Marc Botenga, Rima Hassan, Özlem Demirel</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{The Left}</w:t>
      </w:r>
      <w:r w:rsidRPr="005B7B7C">
        <w:t>im Namen der Fraktion The Left</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 Nichteinhaltung der gesetzlichen Schutzverpflichtungen Irans im Rahmen der Atomvereinbarung mit Iran (JCPOA) und die Fortführung seines Nuklearprogramms über jede überzeugende zivile Rechtfertigung hinaus;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 Nichteinhaltung der gesetzlichen Schutzverpflichtungen Irans im Rahmen der Atomvereinbarung mit Iran (JCPOA) und die Fortführung seines Nuklearprogramms über jede überzeugende zivile Rechtfertigung hinaus; </w:t>
            </w:r>
            <w:r w:rsidRPr="005B7B7C">
              <w:rPr>
                <w:b/>
                <w:i/>
              </w:rPr>
              <w:t>die mangelnde Bereitschaft der USA, sich an sinnvollen und konstruktiven Gesprächen mit Iran im Einklang mit dem Völkerrecht zu beteiligen; begrüßt die Maßnahmen der E3-Gruppe, ihre Verpflichtung zu der JCPOA über die Zweckgesellschaft unter Beweis zu stellen;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253</w:t>
      </w:r>
      <w:r w:rsidRPr="005B7B7C">
        <w:rPr>
          <w:rStyle w:val="HideTWBExt"/>
        </w:rPr>
        <w:t>&lt;/NumAm&gt;</w:t>
      </w:r>
    </w:p>
    <w:p w:rsidR="00F30D4D" w:rsidRPr="005B7B7C" w:rsidRDefault="00F30D4D" w:rsidP="00F30D4D">
      <w:pPr>
        <w:pStyle w:val="NormalBold"/>
      </w:pPr>
      <w:r w:rsidRPr="005B7B7C">
        <w:rPr>
          <w:rStyle w:val="HideTWBExt"/>
          <w:b w:val="0"/>
        </w:rPr>
        <w:lastRenderedPageBreak/>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 Nichteinhaltung der gesetzlichen Schutzverpflichtungen Irans im Rahmen der Atomvereinbarung mit Iran (JCPOA) und die Fortführung seines Nuklearprogramms über jede überzeugende zivile Rechtfertigung hinaus;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 Nichteinhaltung der gesetzlichen Schutzverpflichtungen Irans im Rahmen der Atomvereinbarung mit Iran (JCPOA) und die Fortführung seines Nuklearprogramms über jede überzeugende zivile Rechtfertigung hinaus</w:t>
            </w:r>
            <w:r w:rsidRPr="005B7B7C">
              <w:rPr>
                <w:b/>
                <w:i/>
              </w:rPr>
              <w:t xml:space="preserve"> und die Destabilisierung im Nahen Osten, auch durch Hilfstruppen, Angriffe auf Israel und das Sponsoring von Terrorismus und zivilen Konflikten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 Nichteinhaltung der gesetzlichen Schutzverpflichtungen Irans im Rahmen der Atomvereinbarung mit Iran (JCPOA) und die Fortführung seines Nuklearprogramms über jede überzeugende zivile Rechtfertigung hinaus;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 Nichteinhaltung der gesetzlichen Schutzverpflichtungen Irans im Rahmen der Atomvereinbarung mit Iran (JCPOA) und die Fortführung seines Nuklearprogramms über jede überzeugende zivile Rechtfertigung hinaus; </w:t>
            </w:r>
            <w:r w:rsidRPr="005B7B7C">
              <w:rPr>
                <w:b/>
                <w:i/>
              </w:rPr>
              <w:t>die in der Europäischen Union von Terrororganisationen und Netzwerken, die Iran angeschlossen sind, begangenen Anschläge oder Anschlagsversuche;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255</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lastRenderedPageBreak/>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5</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r>
            <w:r w:rsidRPr="00A004FF">
              <w:rPr>
                <w:b/>
                <w:i/>
              </w:rPr>
              <w:t>die</w:t>
            </w:r>
            <w:r w:rsidRPr="00A004FF">
              <w:t xml:space="preserve"> anhaltende Nichteinhaltung der gesetzlichen Schutzverpflichtungen Irans im Rahmen </w:t>
            </w:r>
            <w:r w:rsidRPr="00A004FF">
              <w:rPr>
                <w:b/>
                <w:i/>
              </w:rPr>
              <w:t>der Atomvereinbarung mit Iran (JCPOA) und</w:t>
            </w:r>
            <w:r w:rsidRPr="00A004FF">
              <w:t xml:space="preserve"> die Fortführung seines Nuklearprogramms über jede überzeugende zivile Rechtfertigung hinaus;</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r>
            <w:r w:rsidRPr="00A004FF">
              <w:rPr>
                <w:b/>
                <w:i/>
              </w:rPr>
              <w:t>den einseitigen Austritt der USA aus der Atomvereinbarung mit dem Iran (JCPOA) und die damit verbundene</w:t>
            </w:r>
            <w:r w:rsidRPr="00A004FF">
              <w:t xml:space="preserve"> anhaltende Nichteinhaltung der gesetzlichen Schutzverpflichtungen Irans im Rahmen </w:t>
            </w:r>
            <w:r w:rsidRPr="00A004FF">
              <w:rPr>
                <w:b/>
                <w:i/>
              </w:rPr>
              <w:t>im Rahmen dieser Vereinbarung, insbesondere</w:t>
            </w:r>
            <w:r w:rsidRPr="00A004FF">
              <w:t xml:space="preserve"> die Fortführung seines Nuklearprogramms über jede überzeugende zivile Rechtfertigung hinaus;</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anhaltende Nichteinhaltung der gesetzlichen Schutzverpflichtungen Irans im Rahmen der Atomvereinbarung mit Iran (JCPOA) und die Fortführung seines Nuklearprogramms über jede überzeugende zivile Rechtfertigung hinaus;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anhaltende Nichteinhaltung der gesetzlichen Schutzverpflichtungen Irans im Rahmen </w:t>
            </w:r>
            <w:r w:rsidRPr="005B7B7C">
              <w:rPr>
                <w:b/>
                <w:i/>
              </w:rPr>
              <w:t xml:space="preserve">seines umfassenden Sicherungsabkommens sowie seiner Verpflichtungen im Rahmen </w:t>
            </w:r>
            <w:r w:rsidRPr="005B7B7C">
              <w:t>der Atomvereinbarung mit Iran (JCPOA) und die Fortführung seines Nuklearprogramms über jede überzeugende zivile Rechtfertigung hinaus;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unrechtmäßige Inhaftierung von EU-Bürgern in Iran; fordert den HR/VP nachdrücklich auf, alles in seiner Macht Stehende zu tun, damit diese Bürger freigelassen werden und der Praxis der iranischen Geiseldiplomatie ein Ende gesetzt wird;</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 Hermann Tertsch, Jorge Martín Frías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unrechtmäßige Inhaftierung von EU-Bürgern in Iran; </w:t>
            </w:r>
            <w:r w:rsidRPr="005B7B7C">
              <w:rPr>
                <w:b/>
                <w:i/>
              </w:rPr>
              <w:t>fordert den HR/VP nachdrücklich</w:t>
            </w:r>
            <w:r w:rsidRPr="005B7B7C">
              <w:t xml:space="preserve"> auf</w:t>
            </w:r>
            <w:r w:rsidRPr="005B7B7C">
              <w:rPr>
                <w:b/>
                <w:i/>
              </w:rPr>
              <w:t>, alles in seiner Macht Stehende</w:t>
            </w:r>
            <w:r w:rsidRPr="005B7B7C">
              <w:t xml:space="preserve"> zu </w:t>
            </w:r>
            <w:r w:rsidRPr="005B7B7C">
              <w:rPr>
                <w:b/>
                <w:i/>
              </w:rPr>
              <w:t>tun, damit diese Bürger freigelassen werden</w:t>
            </w:r>
            <w:r w:rsidRPr="005B7B7C">
              <w:t xml:space="preserve"> und </w:t>
            </w:r>
            <w:r w:rsidRPr="005B7B7C">
              <w:rPr>
                <w:b/>
                <w:i/>
              </w:rPr>
              <w:t>der Praxis der iranischen Geiseldiplomatie ein Ende gesetzt wird</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unrechtmäßige Inhaftierung von EU-Bürgern in Iran; </w:t>
            </w:r>
            <w:r w:rsidRPr="005B7B7C">
              <w:rPr>
                <w:b/>
                <w:i/>
              </w:rPr>
              <w:t>die Verantwortung des Korps der Iranischen Revolutionsgarde für mindestens elf versuchte Anschläge</w:t>
            </w:r>
            <w:r w:rsidRPr="005B7B7C">
              <w:t xml:space="preserve"> auf</w:t>
            </w:r>
            <w:r w:rsidRPr="005B7B7C">
              <w:rPr>
                <w:b/>
                <w:i/>
              </w:rPr>
              <w:t xml:space="preserve"> europäischem Boden zwischen 2018 und 2024, die Europa</w:t>
            </w:r>
            <w:r w:rsidRPr="005B7B7C">
              <w:t xml:space="preserve"> zu </w:t>
            </w:r>
            <w:r w:rsidRPr="005B7B7C">
              <w:rPr>
                <w:b/>
                <w:i/>
              </w:rPr>
              <w:t>einem der Schlachtfelder in seinem Kampf gegen Israel</w:t>
            </w:r>
            <w:r w:rsidRPr="005B7B7C">
              <w:t xml:space="preserve"> und </w:t>
            </w:r>
            <w:r w:rsidRPr="005B7B7C">
              <w:rPr>
                <w:b/>
                <w:i/>
              </w:rPr>
              <w:t>den Westen machten und eine ernstzunehmende Gefahr für die europäische Sicherheit darstellen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259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unrechtmäßige Inhaftierung von EU-Bürgern in Iran</w:t>
            </w:r>
            <w:r w:rsidRPr="005B7B7C">
              <w:rPr>
                <w:b/>
                <w:i/>
              </w:rPr>
              <w:t>;</w:t>
            </w:r>
            <w:r w:rsidRPr="005B7B7C">
              <w:t xml:space="preserve"> fordert den HR/VP </w:t>
            </w:r>
            <w:r w:rsidRPr="005B7B7C">
              <w:lastRenderedPageBreak/>
              <w:t>nachdrücklich auf, alles in seiner Macht Stehende zu tun, damit diese Bürger freigelassen werden und der Praxis der iranischen Geiseldiplomatie ein Ende gesetzt wird;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die unrechtmäßige Inhaftierung von EU-Bürgern in Iran</w:t>
            </w:r>
            <w:r w:rsidRPr="005B7B7C">
              <w:rPr>
                <w:b/>
                <w:i/>
              </w:rPr>
              <w:t xml:space="preserve"> und die Hinrichtung </w:t>
            </w:r>
            <w:r w:rsidRPr="005B7B7C">
              <w:rPr>
                <w:b/>
                <w:i/>
              </w:rPr>
              <w:lastRenderedPageBreak/>
              <w:t>des deutsch-iranischen Staatsangehörigen Jamshid Sharmahd in Iran;</w:t>
            </w:r>
            <w:r w:rsidRPr="005B7B7C">
              <w:t> fordert den HR/VP nachdrücklich auf, alles in seiner Macht Stehende zu tun, damit diese Bürger freigelassen werden und der Praxis der iranischen Geiseldiplomatie ein Ende gesetzt wird</w:t>
            </w:r>
            <w:r w:rsidRPr="005B7B7C">
              <w:rPr>
                <w:b/>
                <w:i/>
              </w:rPr>
              <w:t>, bei der ausländische Zivilpersonen und Menschen mit doppelter Staatsangehörigkeit festgehalten werden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unrechtmäßige Inhaftierung von EU-Bürgern in Iran; fordert den HR/VP nachdrücklich auf, alles in seiner Macht Stehende zu tun, damit diese Bürger freigelassen werden und der Praxis der iranischen Geiseldiplomatie ein Ende gesetzt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unrechtmäßige Inhaftierung von EU-Bürgern in Iran</w:t>
            </w:r>
            <w:r w:rsidRPr="005B7B7C">
              <w:rPr>
                <w:b/>
                <w:i/>
              </w:rPr>
              <w:t xml:space="preserve"> und die jüngst vollzogene Todesstrafe gegen einen europäischen Bürger</w:t>
            </w:r>
            <w:r w:rsidRPr="005B7B7C">
              <w:t>; fordert den HR/VP nachdrücklich auf, alles in seiner Macht Stehende zu tun, damit diese Bürger freigelassen werden und der Praxis der iranischen Geiseldiplomatie ein Ende gesetzt wird;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unrechtmäßige Inhaftierung von EU-Bürgern in Iran; fordert den HR/VP </w:t>
            </w:r>
            <w:r w:rsidRPr="005B7B7C">
              <w:lastRenderedPageBreak/>
              <w:t>nachdrücklich auf, alles in seiner Macht Stehende zu tun, damit diese Bürger freigelassen werden und der Praxis der iranischen Geiseldiplomatie ein Ende gesetzt wird;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r>
            <w:r w:rsidRPr="005B7B7C">
              <w:rPr>
                <w:b/>
                <w:i/>
              </w:rPr>
              <w:t xml:space="preserve">die brutale Unterdrückung der Menschen in Iran, insbesondere von </w:t>
            </w:r>
            <w:r w:rsidRPr="005B7B7C">
              <w:rPr>
                <w:b/>
                <w:i/>
              </w:rPr>
              <w:lastRenderedPageBreak/>
              <w:t>Frauen, und</w:t>
            </w:r>
            <w:r w:rsidRPr="005B7B7C">
              <w:t xml:space="preserve"> die unrechtmäßige Inhaftierung von EU-Bürgern in Iran; fordert den HR/VP nachdrücklich auf, alles in seiner Macht Stehende zu tun, damit diese Bürger freigelassen werden und der Praxis der iranischen Geiseldiplomatie ein Ende gesetzt wird;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Unterzeichnung des Moratoriums für eine strategische und globale Partnerschaft zwischen der Europäischen Union und Tunesien ohne ordnungsgemäße demokratische Kontrolle des Europäischen Parlaments; bedauert ferner den gesamten Prozess der Kommission, die finanzielle Unterstützung in Höhe von 105 Mio. EUR an Tunesien für Migrationszwecke gezahlt hat, wobei das Ziel letztendlich darin besteht, die EU-Migrationspolitik ohne ordnungsgemäße Menschenrechtsgarantien für Migranten auszulagern;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anhaltende Unterdrückung der Menschenrechte und Rechte der Frauen in Iran sowie die Verhängung der Todesstrafe gegen unschuldige Zivilpersonen und Regierungsgegner; weist erneut darauf hin, dass ein Moratorium für die Anwendung der Todesstrafe erforderlich ist;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den Zugang zur Gesundheitsversorgung ohne Begleitung durch einen männlichen Verwandten sowie zu Bildung über die sechste Klasse hinaus verwehrt wird;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w:t>
            </w:r>
            <w:r w:rsidRPr="005B7B7C">
              <w:rPr>
                <w:b/>
                <w:i/>
              </w:rPr>
              <w:lastRenderedPageBreak/>
              <w:t>Maßstäbe für die Zusammenarbeit mit der De-facto-Regierung aufrechterhalten wird und diejenigen, die diese schweren Verletzungen der Rechte von Mädchen und Frauen begangen haben, unter anderem durch restriktive Maßnahmen zur Verantwortung gezogen werden;</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265</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7</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t>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den Zugang zur Gesundheitsversorgung Begleitung durch einen männlichen Verwandten, sowie zu Bildung über die sechste Klasse hinaus verwehrt wird; fordert von dem De-facto-Regime Afghanistans, dass alle geschlechtsspezifischen Beschränkungen für Frauen aufgehoben werden</w:t>
            </w:r>
            <w:r w:rsidRPr="00A004FF">
              <w:rPr>
                <w:b/>
                <w:i/>
              </w:rPr>
              <w:t>, und betont, dass dies eine wesentliche Voraussetzung für jegliche Kontakte der internationalen Gemeinschaft mit den Taliban sein muss</w:t>
            </w:r>
            <w:r w:rsidRPr="00A004FF">
              <w:t xml:space="preserve">; </w:t>
            </w:r>
            <w:r w:rsidRPr="00A004FF">
              <w:rPr>
                <w:b/>
                <w:i/>
              </w:rPr>
              <w:t xml:space="preserve">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w:t>
            </w:r>
            <w:r w:rsidRPr="00A004FF">
              <w:rPr>
                <w:b/>
                <w:i/>
              </w:rPr>
              <w:lastRenderedPageBreak/>
              <w:t>und Frauen begangen haben, unter anderem durch restriktive Maßnahmen zur Verantwortung gezogen werden;</w:t>
            </w:r>
          </w:p>
        </w:tc>
        <w:tc>
          <w:tcPr>
            <w:tcW w:w="4876" w:type="dxa"/>
            <w:tcBorders>
              <w:top w:val="nil"/>
              <w:left w:val="nil"/>
              <w:bottom w:val="nil"/>
              <w:right w:val="nil"/>
            </w:tcBorders>
          </w:tcPr>
          <w:p w:rsidR="00F30D4D" w:rsidRPr="00A004FF" w:rsidRDefault="00F30D4D" w:rsidP="008610E6">
            <w:pPr>
              <w:pStyle w:val="Normal6a"/>
            </w:pPr>
            <w:r w:rsidRPr="00A004FF">
              <w:lastRenderedPageBreak/>
              <w:t>–</w:t>
            </w:r>
            <w:r w:rsidRPr="00A004FF">
              <w:tab/>
              <w:t>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den Zugang zur Gesundheitsversorgung Begleitung durch einen männlichen Verwandten, sowie zu Bildung über die sechste Klasse hinaus verwehrt wird; fordert von dem De-facto-Regime Afghanistans, dass alle geschlechtsspezifischen Beschränkungen für Frauen aufgehoben werden;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den Zugang zur Gesundheitsversorgung ohne Begleitung durch einen männlichen Verwandten sowie zu Bildung über die sechste Klasse hinaus verwehrt wird;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der</w:t>
            </w:r>
            <w:r w:rsidRPr="005B7B7C">
              <w:t xml:space="preserve"> Zugang zur Gesundheitsversorgung</w:t>
            </w:r>
            <w:r w:rsidRPr="005B7B7C">
              <w:rPr>
                <w:b/>
                <w:i/>
              </w:rPr>
              <w:t xml:space="preserve"> ohne</w:t>
            </w:r>
            <w:r w:rsidRPr="005B7B7C">
              <w:t xml:space="preserve"> Begleitung durch einen männlichen Verwandten sowie zu Bildung über die sechste Klasse hinaus verwehrt wird; fordert von dem De-facto-Regime Afghanistans, dass alle geschlechtsspezifischen Beschränkungen für Frauen</w:t>
            </w:r>
            <w:r w:rsidRPr="005B7B7C">
              <w:rPr>
                <w:b/>
                <w:i/>
              </w:rPr>
              <w:t xml:space="preserve"> und alle Formen der geschlechtsspezifischen Apartheid</w:t>
            </w:r>
            <w:r w:rsidRPr="005B7B7C">
              <w:t xml:space="preserve">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w:t>
            </w:r>
            <w:r w:rsidRPr="005B7B7C">
              <w:lastRenderedPageBreak/>
              <w:t>durch restriktive Maßnahmen zur Verantwortung gezogen werden;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den</w:t>
            </w:r>
            <w:r w:rsidRPr="005B7B7C">
              <w:t xml:space="preserve"> Zugang zur Gesundheitsversorgung Begleitung durch einen männlichen Verwandten</w:t>
            </w:r>
            <w:r w:rsidRPr="005B7B7C">
              <w:rPr>
                <w:b/>
                <w:i/>
              </w:rPr>
              <w:t>,</w:t>
            </w:r>
            <w:r w:rsidRPr="005B7B7C">
              <w:t xml:space="preserve"> sowie zu Bildung über die sechste Klasse hinaus verwehrt wird;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der</w:t>
            </w:r>
            <w:r w:rsidRPr="005B7B7C">
              <w:t xml:space="preserve"> Zugang zur Gesundheitsversorgung</w:t>
            </w:r>
            <w:r w:rsidRPr="005B7B7C">
              <w:rPr>
                <w:b/>
                <w:i/>
              </w:rPr>
              <w:t xml:space="preserve"> ohne</w:t>
            </w:r>
            <w:r w:rsidRPr="005B7B7C">
              <w:t xml:space="preserve"> Begleitung durch einen männlichen Verwandten sowie zu Bildung über die sechste Klasse hinaus verwehrt wird</w:t>
            </w:r>
            <w:r w:rsidRPr="005B7B7C">
              <w:rPr>
                <w:b/>
                <w:i/>
              </w:rPr>
              <w:t>, was schon an geschlechtsspezifische Apartheit grenzt</w:t>
            </w:r>
            <w:r w:rsidRPr="005B7B7C">
              <w:t xml:space="preserve">;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w:t>
            </w:r>
            <w:r w:rsidRPr="005B7B7C">
              <w:lastRenderedPageBreak/>
              <w:t>Verantwortung gezogen werden;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den</w:t>
            </w:r>
            <w:r w:rsidRPr="005B7B7C">
              <w:t xml:space="preserve"> Zugang zur Gesundheitsversorgung Begleitung durch einen männlichen Verwandten</w:t>
            </w:r>
            <w:r w:rsidRPr="005B7B7C">
              <w:rPr>
                <w:b/>
                <w:i/>
              </w:rPr>
              <w:t>,</w:t>
            </w:r>
            <w:r w:rsidRPr="005B7B7C">
              <w:t xml:space="preserve"> sowie zu Bildung über die sechste Klasse hinaus verwehrt wird;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der</w:t>
            </w:r>
            <w:r w:rsidRPr="005B7B7C">
              <w:t xml:space="preserve"> Zugang zur Gesundheitsversorgung</w:t>
            </w:r>
            <w:r w:rsidRPr="005B7B7C">
              <w:rPr>
                <w:b/>
                <w:i/>
              </w:rPr>
              <w:t xml:space="preserve"> ohne</w:t>
            </w:r>
            <w:r w:rsidRPr="005B7B7C">
              <w:t xml:space="preserve"> Begleitung durch einen männlichen Verwandten sowie zu Bildung über die sechste Klasse hinaus verwehrt wird; fordert von dem De-facto-Regime Afghanistans, dass alle geschlechtsspezifischen Beschränkungen für Frauen</w:t>
            </w:r>
            <w:r w:rsidRPr="005B7B7C">
              <w:rPr>
                <w:b/>
                <w:i/>
              </w:rPr>
              <w:t xml:space="preserve"> und Mädchen</w:t>
            </w:r>
            <w:r w:rsidRPr="005B7B7C">
              <w:t xml:space="preserve">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269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den</w:t>
            </w:r>
            <w:r w:rsidRPr="005B7B7C">
              <w:t xml:space="preserve"> Zugang </w:t>
            </w:r>
            <w:r w:rsidRPr="005B7B7C">
              <w:rPr>
                <w:b/>
                <w:i/>
              </w:rPr>
              <w:t>zur Gesundheitsversorgung</w:t>
            </w:r>
            <w:r w:rsidRPr="005B7B7C">
              <w:t xml:space="preserve"> Begleitung durch einen männlichen Verwandten</w:t>
            </w:r>
            <w:r w:rsidRPr="005B7B7C">
              <w:rPr>
                <w:b/>
                <w:i/>
              </w:rPr>
              <w:t>,</w:t>
            </w:r>
            <w:r w:rsidRPr="005B7B7C">
              <w:t xml:space="preserve"> sowie zu Bildung über die sechste Klasse hinaus verwehrt wird;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w:t>
            </w:r>
            <w:r w:rsidRPr="005B7B7C">
              <w:rPr>
                <w:b/>
                <w:i/>
              </w:rPr>
              <w:t>der</w:t>
            </w:r>
            <w:r w:rsidRPr="005B7B7C">
              <w:t xml:space="preserve"> Zugang </w:t>
            </w:r>
            <w:r w:rsidRPr="005B7B7C">
              <w:rPr>
                <w:b/>
                <w:i/>
              </w:rPr>
              <w:t>zu allen öffentlichen Orten ohne</w:t>
            </w:r>
            <w:r w:rsidRPr="005B7B7C">
              <w:t xml:space="preserve"> Begleitung durch einen männlichen Verwandten sowie zu Bildung über die sechste Klasse hinaus verwehrt wird; fordert von dem De-facto-Regime Afghanistans, dass alle geschlechtsspezifischen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lastRenderedPageBreak/>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den Zugang zur Gesundheitsversorgung Begleitung durch einen männlichen Verwandten, sowie zu Bildung über die sechste Klasse hinaus verwehrt wird; fordert von dem De-facto-Regime Afghanistans, dass alle </w:t>
            </w:r>
            <w:r w:rsidRPr="005B7B7C">
              <w:rPr>
                <w:b/>
                <w:bCs/>
                <w:i/>
                <w:iCs/>
              </w:rPr>
              <w:t>geschlechtsspezifischen</w:t>
            </w:r>
            <w:r w:rsidRPr="005B7B7C">
              <w:t xml:space="preserve"> Beschränkungen für Frauen aufgehoben werden, und betont, dass dies eine wesentliche Voraussetzung für jegliche Kontakte der internationalen Gemeinschaf</w:t>
            </w:r>
            <w:r w:rsidRPr="005B7B7C">
              <w:br/>
              <w:t>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kürzlich erfolgte Annahme des Gesetzes über die „Förderung der Tugend und der Verhinderung des Lasters“ in Afghanistan sowie die systematische Verletzung der Menschenrechte und Grundfreiheiten, insbesondere die extreme Auslegung der Scharia, wodurch Frauen aus dem öffentlichen Leben ausgeschlossen werden, keinen Beruf ergreifen dürfen und ihnen den Zugang zur Gesundheitsversorgung Begleitung durch einen männlichen Verwandten, sowie zu Bildung über die sechste Klasse hinaus verwehrt wird; fordert von dem De-facto-Regime Afghanistans, dass alle Beschränkungen für Frauen aufgehoben werden, und betont, dass dies eine wesentliche Voraussetzung für jegliche Kontakte der internationalen Gemeinschaft mit den Taliban sein muss; besteht darauf, dass eine strikte, an Bedingungen geknüpfte Zusammenarbeit mit den Taliban auf der Grundlage der fünf vom Rat festgelegten Maßstäbe für die Zusammenarbeit mit der De-facto-Regierung aufrechterhalten wird und diejenigen, die diese schweren Verletzungen der Rechte von Mädchen und Frauen begangen haben, unter anderem durch restriktive Maßnahmen zur Verantwortung gezogen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3 – Spiegelstrich 7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anhaltenden Menschenrechtsverletzungen der VR China in Festlandchina gegen Menschen in Tibet, Hongkong und Macau und die grenzüberschreitenden Repressionen, die sich gegen chinesische Dissidenten richten, sowie die anhaltende Präsenz chinesischer Polizeidienststellen auf dem Gebiet der EU;</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Anwendung von Scharia- und Blasphemiegesetzen gegen religiöse Minderheiten wie Christen im Nahen Osten, die dazu dienen, sie zu verfolgen und ihre Religions- und Glaubensfreiheit zu unterdrücken;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Tatsache, dass die VR China die Empfehlungen des Amtes des Hohen Kommissars für Menschenrechte </w:t>
            </w:r>
            <w:r w:rsidRPr="005B7B7C">
              <w:rPr>
                <w:b/>
                <w:i/>
              </w:rPr>
              <w:lastRenderedPageBreak/>
              <w:t>(OHCHR) nicht umgesetzt hat; fordert die VR China auf, dem OHCHR unabhängigen Zugang zu Xinjiang zu gewähren, und fordert das OHCHR auf, eine umfassende Aktualisierung der Einschätzung der dortigen Lage und einen Aktionsplan vorzulegen, damit die VR China zur Rechenschaft gezogen wird;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zahlreichen sogenannten „Ehrenmorde“ im Nahen Osten und in Südostasien, von denen Frauen und Mädchen unverhältnismäßig stark betroffen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7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der anhaltende Krieg im Sudan, von dem unschuldige Zivilisten, insbesondere in Darfur, in erheblichem Maße betroffen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276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der zunehmende Radius und die Intensität der Einsätze von Schiffen und Flugzeugen der chinesischen Regierung, mit denen Chinas Nachbarn eingeschüchtert werden; das von der Regierung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der zunehmende Radius und die Intensität der Einsätze von Schiffen und Flugzeugen der chinesischen Regierung, mit denen Chinas Nachbarn eingeschüchtert werden; das </w:t>
            </w:r>
            <w:r w:rsidRPr="005B7B7C">
              <w:rPr>
                <w:b/>
                <w:i/>
              </w:rPr>
              <w:t>von</w:t>
            </w:r>
            <w:r w:rsidRPr="005B7B7C">
              <w:t xml:space="preserve"> der </w:t>
            </w:r>
            <w:r w:rsidRPr="005B7B7C">
              <w:rPr>
                <w:b/>
                <w:i/>
              </w:rPr>
              <w:t>Regierung</w:t>
            </w:r>
            <w:r w:rsidRPr="005B7B7C">
              <w:t xml:space="preserve">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der zunehmende Radius und die Intensität der Einsätze von Schiffen und Flugzeugen der chinesischen Regierung, mit denen Chinas Nachbarn eingeschüchtert werden; </w:t>
            </w:r>
            <w:r w:rsidRPr="005B7B7C">
              <w:rPr>
                <w:b/>
                <w:i/>
              </w:rPr>
              <w:t xml:space="preserve">verurteilt aufs Schärfste die unvertretbaren Militärmanöver der VR China vom 14. Oktober 2024, ihre anhaltenden militärischen Provokationen gegen Taiwan und ihre fortgesetzte militärische Aufrüstung, durch die sich das Kräftegleichgewicht im indopazifischen Raum verschoben hat, und bekräftigt seine entschiedene Ablehnung einer einseitigen Änderung des Status quo in der Taiwanstraße; begrüßt die Zurückhaltung und die besonnene Reaktion der taiwanesischen Behörden und fordert einen regelmäßigen Austausch zwischen der EU und ihren </w:t>
            </w:r>
            <w:r w:rsidRPr="005B7B7C">
              <w:rPr>
                <w:b/>
                <w:i/>
              </w:rPr>
              <w:lastRenderedPageBreak/>
              <w:t>taiwanesischen Partnern zu wichtigen Sicherheitsfragen;</w:t>
            </w:r>
            <w:r w:rsidRPr="005B7B7C">
              <w:t xml:space="preserve"> </w:t>
            </w:r>
            <w:r w:rsidRPr="005B7B7C">
              <w:rPr>
                <w:b/>
                <w:i/>
              </w:rPr>
              <w:t>verurteilt das vom Regime</w:t>
            </w:r>
            <w:r w:rsidRPr="005B7B7C">
              <w:t xml:space="preserve"> betriebene System der Zwangsarbeit und seine Verbrechen gegen die Menschlichkeit in Xinjiang</w:t>
            </w:r>
            <w:r w:rsidRPr="005B7B7C">
              <w:rPr>
                <w:b/>
                <w:i/>
              </w:rPr>
              <w:t xml:space="preserve"> und Tibet sowie Terror, Unterdrückung und systematische Menschenrechtsverletzungen auf dem chinesischen Festland, in Hongkong und Macau</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Gahler, 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 das von der Regierung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w:t>
            </w:r>
            <w:r w:rsidRPr="005B7B7C">
              <w:rPr>
                <w:b/>
                <w:i/>
              </w:rPr>
              <w:t>, was den Frieden und die Stabilität in der Taiwanstraße und den angrenzenden internationalen Gewässern verletzt und die Rechte aller anderen Parteien hinsichtlich der Freiheit der Schifffahrt beeinträchtigt; verurteilt aufs Schärfste die Erklärungen des chinesischen Präsidenten, wonach die Volksrepublik China niemals auf das Recht, gegenüber Taiwan Gewalt anzuwenden, verzichten wird, und beharrt darauf, dass der Einsatz von Zwangsmaßnahmen zur Vereinigung eines Landes im Widerspruch zum Völkerrecht steht</w:t>
            </w:r>
            <w:r w:rsidRPr="005B7B7C">
              <w:t>; das von der Regierung betriebene System der Zwangsarbeit und seine Verbrechen gegen die Menschlichkeit in Xinjiang;</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279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Michał Dworczyk</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der</w:t>
            </w:r>
            <w:r w:rsidRPr="005B7B7C">
              <w:t xml:space="preserve"> zunehmende </w:t>
            </w:r>
            <w:r w:rsidRPr="005B7B7C">
              <w:rPr>
                <w:b/>
                <w:i/>
              </w:rPr>
              <w:t>Radius</w:t>
            </w:r>
            <w:r w:rsidRPr="005B7B7C">
              <w:t xml:space="preserve"> und</w:t>
            </w:r>
            <w:r w:rsidRPr="005B7B7C">
              <w:rPr>
                <w:b/>
                <w:i/>
              </w:rPr>
              <w:t xml:space="preserve"> die</w:t>
            </w:r>
            <w:r w:rsidRPr="005B7B7C">
              <w:t xml:space="preserve"> Intensität der Einsätze von Schiffen und Flugzeugen der chinesischen Regierung, mit denen Chinas Nachbarn eingeschüchtert werden; das von der Regierung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w:t>
            </w:r>
            <w:r w:rsidRPr="005B7B7C">
              <w:t xml:space="preserve"> zunehmende </w:t>
            </w:r>
            <w:r w:rsidRPr="005B7B7C">
              <w:rPr>
                <w:b/>
                <w:i/>
              </w:rPr>
              <w:t>Reichweite</w:t>
            </w:r>
            <w:r w:rsidRPr="005B7B7C">
              <w:t xml:space="preserve"> und Intensität der Einsätze von Schiffen und Flugzeugen der chinesischen Regierung, mit denen Chinas Nachbarn eingeschüchtert werden; </w:t>
            </w:r>
            <w:r w:rsidRPr="005B7B7C">
              <w:rPr>
                <w:b/>
                <w:i/>
              </w:rPr>
              <w:t>warnt vor Chinas militärisch-ziviler Fusion, die darauf abzielt, die zivile und die Rüstungswirtschaft zusammen mit ihren jeweiligen technologischen Wirkungsfeldern miteinander zu verschmelzen;</w:t>
            </w:r>
            <w:r w:rsidRPr="005B7B7C">
              <w:t xml:space="preserve"> </w:t>
            </w:r>
            <w:r w:rsidRPr="005B7B7C">
              <w:rPr>
                <w:b/>
                <w:i/>
              </w:rPr>
              <w:t xml:space="preserve">verurteilt </w:t>
            </w:r>
            <w:r w:rsidRPr="005B7B7C">
              <w:t>das von der Regierung betriebene System der Zwangsarbeit und seine Verbrechen gegen die Menschlichkeit in Xinjiang</w:t>
            </w:r>
            <w:r w:rsidRPr="005B7B7C">
              <w:rPr>
                <w:b/>
                <w:i/>
              </w:rPr>
              <w:t>, die sich gegen Uiguren richten, sowie die Verfolgung anderer Minderheiten, darunter Tibeter, Christen und Falun-Gong-Anhänger</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280</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der zunehmende Radius und die Intensität der Einsätze von Schiffen und Flugzeugen der chinesischen Regierung, mit denen Chinas Nachbarn eingeschüchtert werden; das von der Regierung betriebene System der Zwangsarbeit und seine Verbrechen gegen </w:t>
            </w:r>
            <w:r>
              <w:lastRenderedPageBreak/>
              <w:t>die Menschlichkeit in Xinjiang;</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der zunehmende Radius und die Intensität der Einsätze von Schiffen und Flugzeugen der chinesischen Regierung, mit denen Chinas Nachbarn eingeschüchtert werden; das von der Regierung betriebene System der Zwangsarbeit und seine Verbrechen gegen </w:t>
            </w:r>
            <w:r>
              <w:lastRenderedPageBreak/>
              <w:t xml:space="preserve">die Menschlichkeit in Xinjiang; </w:t>
            </w:r>
            <w:r>
              <w:rPr>
                <w:b/>
                <w:i/>
              </w:rPr>
              <w:t>fordert die chinesischen Staatsorgane auf, ihren Einfluss auf Russland zu nutzen, um das Land dazu zu bewegen, seinen brutalen Angriffskrieg zu beenden und seine Truppen aus dem ukrainischen Hoheitsgebiet abzuziehen, was eine Voraussetzung für einen gerechten Frieden ist;</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w:t>
            </w:r>
            <w:r w:rsidRPr="005B7B7C">
              <w:rPr>
                <w:b/>
                <w:i/>
              </w:rPr>
              <w:t xml:space="preserve"> das von</w:t>
            </w:r>
            <w:r w:rsidRPr="005B7B7C">
              <w:t xml:space="preserve"> der </w:t>
            </w:r>
            <w:r w:rsidRPr="005B7B7C">
              <w:rPr>
                <w:b/>
                <w:i/>
              </w:rPr>
              <w:t>Regierung betriebene System</w:t>
            </w:r>
            <w:r w:rsidRPr="005B7B7C">
              <w:t xml:space="preserve"> der </w:t>
            </w:r>
            <w:r w:rsidRPr="005B7B7C">
              <w:rPr>
                <w:b/>
                <w:i/>
              </w:rPr>
              <w:t>Zwangsarbeit</w:t>
            </w:r>
            <w:r w:rsidRPr="005B7B7C">
              <w:t xml:space="preserve"> und </w:t>
            </w:r>
            <w:r w:rsidRPr="005B7B7C">
              <w:rPr>
                <w:b/>
                <w:i/>
              </w:rPr>
              <w:t>seine Verbrechen gegen</w:t>
            </w:r>
            <w:r w:rsidRPr="005B7B7C">
              <w:t xml:space="preserve"> die </w:t>
            </w:r>
            <w:r w:rsidRPr="005B7B7C">
              <w:rPr>
                <w:b/>
                <w:i/>
              </w:rPr>
              <w:t>Menschlichkeit in Xinjiang</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der zunehmende Radius und die Intensität der Einsätze von Schiffen und Flugzeugen der chinesischen Regierung, mit denen Chinas Nachbarn </w:t>
            </w:r>
            <w:r w:rsidRPr="005B7B7C">
              <w:rPr>
                <w:b/>
                <w:i/>
              </w:rPr>
              <w:t xml:space="preserve">und vor allem Taiwan </w:t>
            </w:r>
            <w:r w:rsidRPr="005B7B7C">
              <w:t>eingeschüchtert werden;</w:t>
            </w:r>
            <w:r w:rsidRPr="005B7B7C">
              <w:rPr>
                <w:b/>
                <w:i/>
              </w:rPr>
              <w:t xml:space="preserve"> weist diesbezüglich darauf hin, dass</w:t>
            </w:r>
            <w:r w:rsidRPr="005B7B7C">
              <w:t xml:space="preserve"> der </w:t>
            </w:r>
            <w:r w:rsidRPr="005B7B7C">
              <w:rPr>
                <w:b/>
                <w:i/>
              </w:rPr>
              <w:t>Status quo in</w:t>
            </w:r>
            <w:r w:rsidRPr="005B7B7C">
              <w:t xml:space="preserve"> der </w:t>
            </w:r>
            <w:r w:rsidRPr="005B7B7C">
              <w:rPr>
                <w:b/>
                <w:i/>
              </w:rPr>
              <w:t>Taiwanstraße gewahrt werden muss, unilaterale Maßnahmen mittels Gewalt oder durch Zwang abzulehnen sind,</w:t>
            </w:r>
            <w:r w:rsidRPr="005B7B7C">
              <w:t xml:space="preserve"> und </w:t>
            </w:r>
            <w:r w:rsidRPr="005B7B7C">
              <w:rPr>
                <w:b/>
                <w:i/>
              </w:rPr>
              <w:t>ruft alle Parteien auf, Zurückhaltung an den Tag zu lagen und alles zu unterlassen, was</w:t>
            </w:r>
            <w:r w:rsidRPr="005B7B7C">
              <w:t xml:space="preserve"> die </w:t>
            </w:r>
            <w:r w:rsidRPr="005B7B7C">
              <w:rPr>
                <w:b/>
                <w:i/>
              </w:rPr>
              <w:t>Spannungen an der Taiwanstraße weiter eskalieren lassen könnte</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282</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8</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lastRenderedPageBreak/>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der zunehmende Radius und die Intensität der Einsätze von Schiffen und Flugzeugen </w:t>
            </w:r>
            <w:r w:rsidRPr="00A004FF">
              <w:rPr>
                <w:b/>
                <w:i/>
              </w:rPr>
              <w:t>der chinesischen Regierung, mit denen Chinas Nachbarn eingeschüchtert werden</w:t>
            </w:r>
            <w:r w:rsidRPr="00A004FF">
              <w:t xml:space="preserve">; </w:t>
            </w:r>
            <w:r w:rsidRPr="00A004FF">
              <w:rPr>
                <w:b/>
                <w:i/>
              </w:rPr>
              <w:t>das von der Regierung betriebene System der Zwangsarbeit und seine Verbrechen gegen die Menschlichkeit in Xinjiang;</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der zunehmende Radius und die Intensität der Einsätze von Schiffen und Flugzeugen </w:t>
            </w:r>
            <w:r w:rsidRPr="00A004FF">
              <w:rPr>
                <w:b/>
                <w:i/>
              </w:rPr>
              <w:t>aller Akteure im indopazifischen Raum</w:t>
            </w:r>
            <w:r w:rsidRPr="00A004FF">
              <w: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Seán Kelly</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 das von der Regierung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 das von der Regierung betriebene System der Zwangsarbeit und seine Verbrechen gegen die Menschlichkeit in Xinjiang</w:t>
            </w:r>
            <w:r w:rsidRPr="005B7B7C">
              <w:rPr>
                <w:b/>
                <w:i/>
              </w:rPr>
              <w:t xml:space="preserve"> sowie die massive Unterdrückung ethnischer Minderheiten in Tibet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Lucia Yar, Marie-Agnes Strack-Zimmermann,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der zunehmende Radius und die Intensität der Einsätze von Schiffen und </w:t>
            </w:r>
            <w:r w:rsidRPr="005B7B7C">
              <w:lastRenderedPageBreak/>
              <w:t>Flugzeugen der chinesischen Regierung, mit denen Chinas Nachbarn eingeschüchtert werden; das von der Regierung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der zunehmende Radius und die Intensität der Einsätze von Schiffen und </w:t>
            </w:r>
            <w:r w:rsidRPr="005B7B7C">
              <w:lastRenderedPageBreak/>
              <w:t xml:space="preserve">Flugzeugen der chinesischen Regierung, </w:t>
            </w:r>
            <w:r w:rsidRPr="005B7B7C">
              <w:rPr>
                <w:b/>
                <w:i/>
              </w:rPr>
              <w:cr/>
            </w:r>
            <w:r w:rsidRPr="005B7B7C">
              <w:rPr>
                <w:b/>
                <w:i/>
              </w:rPr>
              <w:br/>
              <w:t xml:space="preserve">Informationsmanipulation und Einflussnahme aus dem Ausland und Cyberangriffe, </w:t>
            </w:r>
            <w:r w:rsidRPr="005B7B7C">
              <w:t>mit denen Chinas Nachbarn eingeschüchtert werden; das von der Regierung betriebene System der Zwangsarbeit und seine Verbrechen gegen die Menschlichkeit in Xinjiang;</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 das von der Regierung betriebene System der Zwangsarbeit und seine Verbrechen gegen die Menschlichkeit in Xinjiang;</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der zunehmende Radius und die Intensität der Einsätze von Schiffen und Flugzeugen der chinesischen Regierung, mit denen Chinas Nachbarn eingeschüchtert werden</w:t>
            </w:r>
            <w:r w:rsidRPr="005B7B7C">
              <w:rPr>
                <w:b/>
                <w:i/>
              </w:rPr>
              <w:t xml:space="preserve"> sollen</w:t>
            </w:r>
            <w:r w:rsidRPr="005B7B7C">
              <w:t>; das von der Regierung betriebene System der Zwangsarbeit und seine Verbrechen gegen die Menschlichkeit in Xinjiang;</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Pekka Toveri</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Ausweitung der militärischen Zusammenarbeit zwischen Nordkorea und Russland mit Berichten über die Lieferung von Artilleriemunition und ballistischen Flugkörpern sowie der Entsendung von und über 10 000 Soldaten zur Unterstützung von </w:t>
            </w:r>
            <w:r w:rsidRPr="005B7B7C">
              <w:rPr>
                <w:b/>
                <w:i/>
              </w:rPr>
              <w:lastRenderedPageBreak/>
              <w:t>Russlands Angriffskrieg gegen die Ukraine; ist besorgt über die Entwicklung der Kooperation zwischen diesen beiden autoritären Staaten;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Ilhan Kyuchyuk, Lucia Yar,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fortgesetzten Waffentests Nordkoreas und die Weiterentwicklung seines Atomprogramms, wodurch sich die Spannungen in der Region weiter verschärfen, und die jüngste Entsendung Tausender nordkoreanischer Soldaten nach Russland, um dessen Kriegsanstrengungen gegen die Ukraine zu unterstützen;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verurteilt die „unbegrenzten“ Beziehungen der VR China zu Russland, die anhaltende Unterstützung seiner Kriegsmaschine und die Umgehung der Sanktionen, die gegen Russland infolge seines Angriffskriegs gegen die Ukraine verhängt wurden;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289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betont, dass die komplexe und mehrdimensionale sicherheitspolitische Herausforderung, die die Volksrepublik China darstellt, einschließlich militärischer, hybrider und wirtschaftlicher Bedrohungen, angegangen werden muss;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fordert die Kommission und den Rat auf, den Status des Wirtschafts- und Handelsbüros Hongkongs in Brüssel sowie den Autonomiestatus Hongkongs angesichts des Gesetzes über die nationale Sicherheit und der von der VR China nicht eingehaltenen völkerrechtlichen Verpflichtungen, einschließlich der Verstöße gegen die chinesisch-britische gemeinsame Erklärung, gegen den Grundsatz „Ein Land, zwei Systeme“, der Abschaffung von Hongkongs Autonomie, des harten Vorgehens gegen Oppositionelle und der Aushöhlung der Rechtsstaatlichkeit, zu überprüfen; fordert den EAD auf, die Gerichtsverfahren gegen politische Gefangene in Hongkong genau zu überwachen und die Freilassung </w:t>
            </w:r>
            <w:r w:rsidRPr="005B7B7C">
              <w:rPr>
                <w:b/>
                <w:i/>
              </w:rPr>
              <w:lastRenderedPageBreak/>
              <w:t>sämtlicher politischen Gefangenen, einschließlich des Gründers von „Apple Daily“, Jimmy Lai, zu fordern;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8 d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verurteilt erneut die Abschaffung der politischen Freiheiten und der Autonomie Hongkongs durch China, die gegen die Verpflichtungen des Landes verstoßen, sowie die daraus resultierenden Menschenrechtsverletzungen, einschließlich der grenzüberschreitenden Unterdrückung von Personen außerhalb Hongkongs; ist besorgt über die Rolle Hongkongs, das Russland bei der Umgehung der geltenden Sanktionen und bei der Beschaffung unverzichtbarer Komponenten für die Herstellung von Waffen unterstützt, was eine direkte Folge der Abschaffung der Freiheiten, der Autonomie und der Rechtsstaatlichkeit durch China ist; fordert die Kommission und die Mitgliedstaaten auf, in Abstimmung mit den transatlantischen Verbündeten unverzüglich gegen die Umgehung von Sanktionen über Festlandchina und Hongkong vorzugehen;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Marc Botenga, Rima Hassan, Özlem Demirel</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{The Left}</w:t>
      </w:r>
      <w:r w:rsidRPr="005B7B7C">
        <w:t>im Namen der Fraktion The Left</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294</w:t>
      </w:r>
      <w:r w:rsidRPr="005B7B7C">
        <w:rPr>
          <w:rStyle w:val="HideTWBExt"/>
        </w:rPr>
        <w:t>&lt;/NumAm&gt;</w:t>
      </w:r>
    </w:p>
    <w:p w:rsidR="00F30D4D" w:rsidRPr="005B7B7C" w:rsidRDefault="00F30D4D" w:rsidP="00F30D4D">
      <w:pPr>
        <w:pStyle w:val="NormalBold"/>
      </w:pPr>
      <w:r w:rsidRPr="005B7B7C">
        <w:rPr>
          <w:rStyle w:val="HideTWBExt"/>
          <w:b w:val="0"/>
        </w:rPr>
        <w:lastRenderedPageBreak/>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Entscheidung der Militärregime der zentralen Sahelzone in Burkina Faso, Mali und Niger, die Wirtschaftsgemeinschaft der westafrikanischen Staaten (ECOWAS) zu verlassen, wodurch diese Organisation in eine tiefe politische Krise geraten ist; </w:t>
            </w:r>
            <w:r w:rsidRPr="005B7B7C">
              <w:rPr>
                <w:b/>
                <w:i/>
              </w:rPr>
              <w:t>nimmt</w:t>
            </w:r>
            <w:r w:rsidRPr="005B7B7C">
              <w:t xml:space="preserve"> die </w:t>
            </w:r>
            <w:r w:rsidRPr="005B7B7C">
              <w:rPr>
                <w:b/>
                <w:i/>
              </w:rPr>
              <w:t>de facto vollzogene</w:t>
            </w:r>
            <w:r w:rsidRPr="005B7B7C">
              <w:t xml:space="preserve"> Schließung der GSVP-Mission der Europäischen Union in Niger (EUCAP Sahel Niger) </w:t>
            </w:r>
            <w:r w:rsidRPr="005B7B7C">
              <w:rPr>
                <w:b/>
                <w:i/>
              </w:rPr>
              <w:t>und</w:t>
            </w:r>
            <w:r w:rsidRPr="005B7B7C">
              <w:t xml:space="preserve">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Entscheidung der Militärregime der zentralen Sahelzone in Burkina Faso, Mali und Niger, die Wirtschaftsgemeinschaft der westafrikanischen Staaten (ECOWAS) zu verlassen, wodurch diese Organisation in eine tiefe politische Krise geraten ist; </w:t>
            </w:r>
            <w:r w:rsidRPr="005B7B7C">
              <w:rPr>
                <w:b/>
                <w:i/>
              </w:rPr>
              <w:t>verurteilt darüber hinaus den tätlichen Angriff vom 29. September 2024 auf einen Abgeordneten des ECOWAS-Parlaments und andere Teilnehmer einer offiziell angemeldeten Oppositionskundgebung in der togolesischen Hauptstadt Lomé; fordert die Staatsorgane Togos auf, für die Förderung und den Schutz der in Artikel 4 des überarbeiteten ECOWAS-Vertrags verankerten Grundprinzipien der Menschenrechte und der Rechte der Völker zu sorgen, wie das Recht, sich friedlich zu versammeln, und die Vereinigungs-, Glaubens- und Meinungsfreiheit; fordert die Behörden und Mitgliedstaaten der ECOWAS auf, die Anstrengungen zu unterstützen, die erforderlich sind, um die Grundsätze der Afrikanischen Charta der Menschenrechte und Rechte der Völker in der gesamten Teilregion zu wahren;</w:t>
            </w:r>
            <w:r w:rsidRPr="005B7B7C">
              <w:t xml:space="preserve"> </w:t>
            </w:r>
            <w:r w:rsidRPr="005B7B7C">
              <w:rPr>
                <w:b/>
                <w:i/>
              </w:rPr>
              <w:t>nimmt die</w:t>
            </w:r>
            <w:r w:rsidRPr="005B7B7C">
              <w:t xml:space="preserve"> Schließung der </w:t>
            </w:r>
            <w:r w:rsidRPr="005B7B7C">
              <w:rPr>
                <w:b/>
                <w:i/>
              </w:rPr>
              <w:t xml:space="preserve">militärischen Partnerschaftsmission der Europäischen Union in Niger (EUMPM Niger) und der </w:t>
            </w:r>
            <w:r w:rsidRPr="005B7B7C">
              <w:t xml:space="preserve">GSVP-Mission der Europäischen Union in Niger (EUCAP Sahel Niger) </w:t>
            </w:r>
            <w:r w:rsidRPr="005B7B7C">
              <w:rPr>
                <w:b/>
                <w:i/>
              </w:rPr>
              <w:t>sowie</w:t>
            </w:r>
            <w:r w:rsidRPr="005B7B7C">
              <w:t xml:space="preserve"> die ausbleibeende Erneuerung der Ausbildungsmission der Europäischen Union in Mali (EUTM) zur Kenntnis; </w:t>
            </w:r>
            <w:r w:rsidRPr="005B7B7C">
              <w:rPr>
                <w:b/>
                <w:i/>
              </w:rPr>
              <w:t xml:space="preserve">stellt mit Besorgnis fest, dass Russland die Entwicklung zwischenstaatlicher Beziehungen und Kooperationsinitiativen mit afrikanischen Ländern durch </w:t>
            </w:r>
            <w:r w:rsidRPr="005B7B7C">
              <w:rPr>
                <w:b/>
                <w:i/>
              </w:rPr>
              <w:lastRenderedPageBreak/>
              <w:t>militärische Zusammenarbeit und die Zusage, bei der Entwicklung der Kernenergie zusammenzuarbeiten, intensiviert hat;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r w:rsidRPr="005B7B7C">
              <w:rPr>
                <w:b/>
                <w:i/>
              </w:rPr>
              <w:t xml:space="preserve"> die Übergriffe verschiedener dschihadistischer Gruppierungen, lokaler Armeen und der Wagner-Gruppe, die sich in der Sahelzone in immer größerer Zahl ausbreiten; ist zutiefst besorgt über die Vertreibung der Bevölkerung und den Zustrom von Flüchtlingen, der auf die Instabilität in der Region zurückzuführen ist; fordert, dass Europa in der Region mehr Engagement zeigt und mehr Unterstützung und Hilfe leistet, wobei unter anderem die Rolle, die Sichtbarkeit und die Handlungsfähigkeit der GSVP-Missionen und -Operationen gestärkt werden müssen; würdigt die Aktivitäten und die Rolle der laufenden zivilen und militärischen EU-Missionen in der Sahelzone, wie EUCAP Sahel Mali, deren </w:t>
            </w:r>
            <w:r w:rsidRPr="005B7B7C">
              <w:rPr>
                <w:b/>
                <w:i/>
              </w:rPr>
              <w:lastRenderedPageBreak/>
              <w:t>Präsenz erheblich zur Sicherheit in der Region beiträgt;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Eszter Lakos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 </w:t>
            </w:r>
            <w:r w:rsidRPr="005B7B7C">
              <w:rPr>
                <w:b/>
                <w:i/>
              </w:rPr>
              <w:t>bedauert den unkoordinierten Ansatz der Mitgliedstaaten in Afrika, der ein Grund für die Beendigung mehrerer GSVP-Missionen und entsprechenden Einsätze auf dem afrikanischen Kontinent beigetragen hat; bedauert, dass einige Mitgliedstaaten, die einen verschwindend geringen Beitrag zu den GSVP-Missionen und entsprechenden Einsätzen der EU in Zentral- und Westafrika geleistet haben, derzeit auf unilateralem Wege Truppen und Mittel zugesagt haben; ist beunruhigt über die zunehmende Präsenz und Schlagkraft der militärischen und paramilitärischen Truppen von Drittstaaten in Ländern, in denen EU-Mitgliedstaaten mit unilateralen militärischen Missionen begonnen haben;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 Staatsstreiche in Burkina Faso und Niger, wo Präsident Bazoum inhaftiert und die Verfassung bis auf weiteres außer Kraft gesetzt wurde; verurteilt des Weiteren</w:t>
            </w:r>
            <w:r w:rsidRPr="005B7B7C">
              <w:t xml:space="preserve"> 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 </w:t>
            </w:r>
            <w:r w:rsidRPr="005B7B7C">
              <w:rPr>
                <w:b/>
                <w:i/>
              </w:rPr>
              <w:t>beklagt, dass die französischen Truppen und die Friedenstruppen der Vereinten Nationen das Land verlassen haben und durch Söldner der Wagner-Gruppe, russisches und türkisches Militär, ersetzt wurden, deren Industrien Waffen an die Hauptstädte in der Sahelzone liefern;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298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 </w:t>
            </w:r>
            <w:r w:rsidRPr="005B7B7C">
              <w:rPr>
                <w:b/>
                <w:i/>
              </w:rPr>
              <w:t>verurteilt die zunehmenden Terroranschläge und schweren Verluste unter der Zivilbevölkerung in der Region sowie die Präsenz und räuberischen Umtriebe russischer Paramilitärs;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299</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3 – Spiegelstrich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w:t>
            </w:r>
          </w:p>
        </w:tc>
        <w:tc>
          <w:tcPr>
            <w:tcW w:w="4876" w:type="dxa"/>
            <w:tcBorders>
              <w:top w:val="nil"/>
              <w:left w:val="nil"/>
              <w:bottom w:val="nil"/>
              <w:right w:val="nil"/>
            </w:tcBorders>
          </w:tcPr>
          <w:p w:rsidR="00F30D4D" w:rsidRPr="00A004FF" w:rsidRDefault="00F30D4D" w:rsidP="008610E6">
            <w:pPr>
              <w:pStyle w:val="Normal6a"/>
            </w:pPr>
            <w:r>
              <w:t>–</w:t>
            </w:r>
            <w:r>
              <w:tab/>
              <w:t xml:space="preserve">die Entscheidung der Militärregime der zentralen Sahelzone in Burkina Faso, Mali und Niger, die Wirtschaftsgemeinschaft der westafrikanischen Staaten (ECOWAS) zu verlassen, wodurch diese Organisation in eine tiefe politische Krise geraten ist; nimmt die de facto vollzogene Schließung der GSVP-Mission der Europäischen Union in Niger (EUCAP Sahel Niger) und die ausbleibeende Erneuerung der Ausbildungsmission der Europäischen Union in Mali (EUTM) zur Kenntnis; </w:t>
            </w:r>
            <w:r>
              <w:rPr>
                <w:b/>
                <w:i/>
              </w:rPr>
              <w:t xml:space="preserve">nimmt die intensive Tätigkeit der Türkei </w:t>
            </w:r>
            <w:r>
              <w:rPr>
                <w:b/>
                <w:i/>
              </w:rPr>
              <w:lastRenderedPageBreak/>
              <w:t>in der Region durch das Schüren von antieuropäischem Hass mittels des religiösen Fanatismus zur Kenntnis;</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Tatsache, dass die Volksrepublik China, Russland, Iran und andere totalitäre oder autoritäre Regime Informationsmanipulation und böswillige Einmischung als integrale Instrumente nutzen, um Druck auf multilaterale Institutionen und demokratische Werte und Normen auszuüben, Machtmissbrauch zu betreiben, immer häufigeren und schwereren Menschenrechtsverletzungen Vorschub zu leisten, den Raum für die Zivilgesellschaft, unabhängige Medien und demokratische Oppositionsbewegungen einzuschränken und antiwestliche Desinformation zu verbreiten sowie grenzüberschreitende Repressionen aller Art einzusetzen, um die Zivilgesellschaft, unabhängige Medien und demokratische Oppositionsbewegungen im Exil einzuschüchtern und ihre Betätigungsfelder einzuschränken;;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 xml:space="preserve">Sven Mikser, Lucia Annunziata, Nicola Zingaretti, Thijs Reuten, Alessandra Moretti, Giorgio Gori, Tobias Cremer, Yannis Maniatis, Marco </w:t>
      </w:r>
      <w:r w:rsidRPr="005B7B7C">
        <w:lastRenderedPageBreak/>
        <w:t>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der Bürgerkrieg zwischen der sudanesischen Militärregierung, den sudanesischen Streitkräften und den paramilitärischen </w:t>
            </w:r>
            <w:r w:rsidRPr="005B7B7C">
              <w:rPr>
                <w:b/>
                <w:i/>
              </w:rPr>
              <w:cr/>
            </w:r>
            <w:r w:rsidRPr="005B7B7C">
              <w:rPr>
                <w:b/>
                <w:i/>
              </w:rPr>
              <w:br/>
              <w:t>Rapid Support Forces im Sudan und die verheerenden Folgen für die Zivilbevölkerung und die an ihr verübten Gräueltaten; betont, dass die EU ihre regionale Strategie für die Sahelzone dringend überprüfen sollte;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der abscheuliche massive Rückgriff auf Vergewaltigungen als Kriegswaffe und die drastische Verschlechterung der humanitären Lage im Sudan;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weltweit zunehmenden Angriffe, Schikanen, willkürlichen Inhaftierungen, Folter und Tötungen von Menschenrechtsverteidigern, insbesondere derjenigen, die sich in den Bereichen Umweltschutz, Rechte von Indigenen, Frauen und LGBTQI+ sowie Korruptionsbekämpfung einsetzen; nimmt ferner die zunehmend ausgefeilteren Taktiken staatlicher und nichtstaatlicher Akteure zur Kenntnis, wozu digitale Überwachungs- und Verleumdungskampagnen gehören, die darauf abzielen, Menschenrechtsverteidiger zum Schweigen zu bringen;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von den staatlichen Stellen der Demokratischen Republik Kongo in letzter Minute verfügten taktischen und technischen Beschränkungen, die die EU-Wahlbeobachtungsmission daran gehindert haben, die Präsidentschaftswahlen zu überwachen; verurteilt die anhaltenden schweren Zusammenstöße zwischen dem Militär und der Rebellenbewegung M23, die den Osten der Demokratischen Republik Kongo destabilisieren; fordert die Überprüfung der EU-Strategie für die afrikanische Region der Großen Seen;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Gefahr eines Zusammenbruchs der staatlichen Strukturen und die schwierige humanitäre Lage in Haiti aufgrund der um sich greifenden Bandengewalt;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9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Versuche, EU-Sanktionen und internationale Sanktionen zu umgehen, wobei diese Strategien als direkte Bedrohung der internationalen regelbasierten Ordnung zu betrachten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307</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3 – </w:t>
      </w:r>
      <w:r w:rsidRPr="006416CF">
        <w:t>Spiegelstrich</w:t>
      </w:r>
      <w:r w:rsidRPr="00A004FF">
        <w:t xml:space="preserve"> 10</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lastRenderedPageBreak/>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rPr>
                <w:b/>
                <w:i/>
              </w:rPr>
              <w:t>–</w:t>
            </w:r>
            <w:r w:rsidRPr="00A004FF">
              <w:tab/>
            </w:r>
            <w:r w:rsidRPr="00A004FF">
              <w:rPr>
                <w:b/>
                <w:i/>
              </w:rPr>
              <w:t>das autoritäre Regime von Daniel Ortega und Rosario Murillo, die die demokratischen Strukturen Nicaraguas systematisch untergraben; weist darauf hin, dass das Regime in Nicaragua enge Verbindungen zu anderen Autokratien wie denen in Iran, Venezuela und Kuba unterhält; verurteilt aufs Schärfste die vom kubanischen Regime verübten systematischen Menschenrechtsverletzungen und -verstöße; verurteilt den vom Regime in Venezuela orchestrierten Wahlbetrug aufs Schärfste, lehnt ihn entschieden ab und fordert die Regierung von Maduro auf, ihre Repressionspolitik und Angriffe auf die Zivilgesellschaft und die Opposition einzustellen;</w:t>
            </w:r>
          </w:p>
        </w:tc>
        <w:tc>
          <w:tcPr>
            <w:tcW w:w="4876" w:type="dxa"/>
            <w:tcBorders>
              <w:top w:val="nil"/>
              <w:left w:val="nil"/>
              <w:bottom w:val="nil"/>
              <w:right w:val="nil"/>
            </w:tcBorders>
          </w:tcPr>
          <w:p w:rsidR="00F30D4D" w:rsidRPr="00A004FF" w:rsidRDefault="00F30D4D" w:rsidP="008610E6">
            <w:pPr>
              <w:pStyle w:val="Normal6a"/>
            </w:pPr>
            <w:r w:rsidRPr="00A004FF">
              <w:rPr>
                <w:b/>
                <w:i/>
              </w:rPr>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das autoritäre Regime von Daniel Ortega und Rosario Murillo, die die demokratischen Strukturen Nicaraguas systematisch untergraben; weist darauf hin, dass das Regime in Nicaragua enge Verbindungen zu anderen Autokratien wie denen in Iran, Venezuela und Kuba unterhält; verurteilt aufs Schärfste die vom kubanischen Regime verübten systematischen Menschenrechtsverletzungen und -verstöße; verurteilt den vom Regime in Venezuela orchestrierten Wahlbetrug aufs Schärfste, lehnt ihn entschieden ab und fordert die Regierung von Maduro auf, </w:t>
            </w:r>
            <w:r w:rsidRPr="005B7B7C">
              <w:rPr>
                <w:b/>
                <w:i/>
              </w:rPr>
              <w:lastRenderedPageBreak/>
              <w:t>ihre Repressionspolitik und Angriffe auf die Zivilgesellschaft und die Opposition einzustellen;</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309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Hermann Tertsch, Jorge Martín Frías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das autoritäre Regime von Daniel Ortega und Rosario Murillo</w:t>
            </w:r>
            <w:r w:rsidRPr="005B7B7C">
              <w:rPr>
                <w:b/>
                <w:i/>
              </w:rPr>
              <w:t>, die die demokratischen Strukturen Nicaraguas systematisch untergraben</w:t>
            </w:r>
            <w:r w:rsidRPr="005B7B7C">
              <w:t xml:space="preserve">; weist darauf hin, dass das Regime in Nicaragua enge Verbindungen zu anderen Autokratien wie denen in Iran, Venezuela und Kuba unterhält; verurteilt aufs Schärfste die vom kubanischen Regime verübten systematischen Menschenrechtsverletzungen und -verstöße; verurteilt den vom Regime in Venezuela orchestrierten Wahlbetrug aufs Schärfste, lehnt ihn entschieden ab und fordert die Regierung von Maduro auf, </w:t>
            </w:r>
            <w:r w:rsidRPr="005B7B7C">
              <w:rPr>
                <w:b/>
                <w:i/>
              </w:rPr>
              <w:t>ihre Repressionspolitik</w:t>
            </w:r>
            <w:r w:rsidRPr="005B7B7C">
              <w:t xml:space="preserve"> und </w:t>
            </w:r>
            <w:r w:rsidRPr="005B7B7C">
              <w:rPr>
                <w:b/>
                <w:i/>
              </w:rPr>
              <w:t>Angriffe auf</w:t>
            </w:r>
            <w:r w:rsidRPr="005B7B7C">
              <w:t xml:space="preserve"> die </w:t>
            </w:r>
            <w:r w:rsidRPr="005B7B7C">
              <w:rPr>
                <w:b/>
                <w:i/>
              </w:rPr>
              <w:t>Zivilgesellschaft</w:t>
            </w:r>
            <w:r w:rsidRPr="005B7B7C">
              <w:t xml:space="preserve"> und die </w:t>
            </w:r>
            <w:r w:rsidRPr="005B7B7C">
              <w:rPr>
                <w:b/>
                <w:i/>
              </w:rPr>
              <w:t>Opposition einzustellen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 anhaltende und dramatische Erosion der Grundrechte und Grundfreiheiten und sich verschlechternden Sicherheitslage und Lebensbedingungen in vielen iberoamerikanischen Ländern infolge der Ausbreitung des Sozialismus; verurteilt</w:t>
            </w:r>
            <w:r w:rsidRPr="005B7B7C">
              <w:t xml:space="preserve"> das autoritäre Regime von Daniel Ortega und Rosario Murillo; weist darauf hin, dass das Regime in Nicaragua enge Verbindungen zu anderen Autokratien wie denen in Iran, Venezuela und Kuba unterhält; verurteilt aufs Schärfste die </w:t>
            </w:r>
            <w:r w:rsidRPr="005B7B7C">
              <w:rPr>
                <w:b/>
                <w:i/>
              </w:rPr>
              <w:t xml:space="preserve">seit Jahrzehnten </w:t>
            </w:r>
            <w:r w:rsidRPr="005B7B7C">
              <w:t xml:space="preserve">vom kubanischen Regime </w:t>
            </w:r>
            <w:r w:rsidRPr="005B7B7C">
              <w:rPr>
                <w:b/>
                <w:i/>
              </w:rPr>
              <w:t xml:space="preserve">unter der Führung von Miguel Díaz-Canel und Mitgliedern der Familie Castro </w:t>
            </w:r>
            <w:r w:rsidRPr="005B7B7C">
              <w:t>verübten systematischen Menschenrechtsverletzungen und -verstöße</w:t>
            </w:r>
            <w:r w:rsidRPr="005B7B7C">
              <w:rPr>
                <w:b/>
                <w:i/>
              </w:rPr>
              <w:t xml:space="preserve"> sowie die Bemühungen des Regimes, sein diktatorisches Modell in der gesamten Region insbesondere durch zwei Tarnorganisationen (das São-Paulo-Forum und die Puebla-Gruppe) zu verbreiten;</w:t>
            </w:r>
            <w:r w:rsidRPr="005B7B7C">
              <w:t xml:space="preserve"> verurteilt den vom Regime in Venezuela orchestrierten Wahlbetrug aufs Schärfste, lehnt ihn entschieden ab und fordert die Regierung von Maduro auf, </w:t>
            </w:r>
            <w:r w:rsidRPr="005B7B7C">
              <w:rPr>
                <w:b/>
                <w:i/>
              </w:rPr>
              <w:t>unverzüglich zurückzutreten</w:t>
            </w:r>
            <w:r w:rsidRPr="005B7B7C">
              <w:t xml:space="preserve"> und </w:t>
            </w:r>
            <w:r w:rsidRPr="005B7B7C">
              <w:rPr>
                <w:b/>
                <w:i/>
              </w:rPr>
              <w:t xml:space="preserve">in friedlicher Weise den Weg für eine neue Exekutive unter der Leitung des rechtmäßigen und demokratisch gewählten Präsidenten Edmundo </w:t>
            </w:r>
            <w:r w:rsidRPr="005B7B7C">
              <w:rPr>
                <w:b/>
                <w:i/>
              </w:rPr>
              <w:lastRenderedPageBreak/>
              <w:t>González Urrutia zu ebnen; verurteilt die Bemühungen des Richters am brasilianischen Obersten Gerichtshof Alexandre de Moraes, die freie Meinungsäußerung in Brasilien einzuschränken, um das zunehmend repressive Regime von Lula da Silva insbesondere durch ein Verbot der Social-Media-Plattform X (ehemals Twitter) zu stützen; verurteilt, dass die mexikanische Präsidentin Claudia Sheinbaum die Entdeckung und Eroberung Nord- und Südamerikas durch die europäischen Entdecker in eklatanter Weise falsch dargestellt hat, sowie ihre gehässige</w:t>
            </w:r>
            <w:r w:rsidRPr="005B7B7C">
              <w:t xml:space="preserve"> und </w:t>
            </w:r>
            <w:r w:rsidRPr="005B7B7C">
              <w:rPr>
                <w:b/>
                <w:i/>
              </w:rPr>
              <w:t xml:space="preserve">irreführende Rhetorik gegen das spanische Volk und insbesondere </w:t>
            </w:r>
            <w:r w:rsidRPr="005B7B7C">
              <w:t xml:space="preserve">die </w:t>
            </w:r>
            <w:r w:rsidRPr="005B7B7C">
              <w:rPr>
                <w:b/>
                <w:i/>
              </w:rPr>
              <w:t>spanische Krone als direkten Angriff auf einen Mitgliedstaat und seine Institutionen</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Marc Botenga, Rima Hassan, Özlem Demirel</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{The Left}</w:t>
      </w:r>
      <w:r w:rsidRPr="005B7B7C">
        <w:t>im Namen der Fraktion The Left</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das autoritäre Regime von Daniel Ortega und Rosario Murillo, die die demokratischen Strukturen Nicaraguas systematisch untergraben; </w:t>
            </w:r>
            <w:r w:rsidRPr="005B7B7C">
              <w:rPr>
                <w:b/>
                <w:i/>
              </w:rPr>
              <w:t>weist darauf hin, dass das Regime in Nicaragua enge Verbindungen zu anderen Autokratien wie denen in Iran, Venezuela und Kuba unterhält;</w:t>
            </w:r>
            <w:r w:rsidRPr="005B7B7C">
              <w:t xml:space="preserve"> verurteilt </w:t>
            </w:r>
            <w:r w:rsidRPr="005B7B7C">
              <w:rPr>
                <w:b/>
                <w:i/>
              </w:rPr>
              <w:t>aufs Schärfste</w:t>
            </w:r>
            <w:r w:rsidRPr="005B7B7C">
              <w:t xml:space="preserve"> die </w:t>
            </w:r>
            <w:r w:rsidRPr="005B7B7C">
              <w:rPr>
                <w:b/>
                <w:i/>
              </w:rPr>
              <w:t>vom kubanischen Regime verübten systematischen Menschenrechtsverletzungen und -verstöße; verurteilt den vom Regime</w:t>
            </w:r>
            <w:r w:rsidRPr="005B7B7C">
              <w:t xml:space="preserve"> in </w:t>
            </w:r>
            <w:r w:rsidRPr="005B7B7C">
              <w:rPr>
                <w:b/>
                <w:i/>
              </w:rPr>
              <w:t>Venezuela orchestrierten Wahlbetrug aufs Schärfste, lehnt ihn entschieden ab</w:t>
            </w:r>
            <w:r w:rsidRPr="005B7B7C">
              <w:t xml:space="preserve"> und </w:t>
            </w:r>
            <w:r w:rsidRPr="005B7B7C">
              <w:lastRenderedPageBreak/>
              <w:t xml:space="preserve">fordert </w:t>
            </w:r>
            <w:r w:rsidRPr="005B7B7C">
              <w:rPr>
                <w:b/>
                <w:i/>
              </w:rPr>
              <w:t>die Regierung von Maduro</w:t>
            </w:r>
            <w:r w:rsidRPr="005B7B7C">
              <w:t xml:space="preserve"> auf, </w:t>
            </w:r>
            <w:r w:rsidRPr="005B7B7C">
              <w:rPr>
                <w:b/>
                <w:i/>
              </w:rPr>
              <w:t>ihre Repressionspolitik und Angriffe</w:t>
            </w:r>
            <w:r w:rsidRPr="005B7B7C">
              <w:t xml:space="preserve"> auf </w:t>
            </w:r>
            <w:r w:rsidRPr="005B7B7C">
              <w:rPr>
                <w:b/>
                <w:i/>
              </w:rPr>
              <w:t>die Zivilgesellschaft und die Opposition einzustellen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das autoritäre Regime von Daniel Ortega und Rosario Murillo, die die demokratischen Strukturen Nicaraguas systematisch untergraben; </w:t>
            </w:r>
            <w:r w:rsidRPr="005B7B7C">
              <w:rPr>
                <w:b/>
                <w:i/>
              </w:rPr>
              <w:t>verurteilt aufs Schärfste die durch</w:t>
            </w:r>
            <w:r w:rsidRPr="005B7B7C">
              <w:t xml:space="preserve"> das </w:t>
            </w:r>
            <w:r w:rsidRPr="005B7B7C">
              <w:rPr>
                <w:b/>
                <w:i/>
              </w:rPr>
              <w:t>Wirtschaftsembargo und die durch nichts</w:t>
            </w:r>
            <w:r w:rsidRPr="005B7B7C">
              <w:t xml:space="preserve"> zu </w:t>
            </w:r>
            <w:r w:rsidRPr="005B7B7C">
              <w:rPr>
                <w:b/>
                <w:i/>
              </w:rPr>
              <w:t>rechtfertigenden Sanktionen der USA am kubanischen Volk verübten systematischen Menschenrechtsverletzungen</w:t>
            </w:r>
            <w:r w:rsidRPr="005B7B7C">
              <w:t>;</w:t>
            </w:r>
            <w:r w:rsidRPr="005B7B7C">
              <w:rPr>
                <w:b/>
                <w:i/>
              </w:rPr>
              <w:t xml:space="preserve"> </w:t>
            </w:r>
            <w:r w:rsidRPr="005B7B7C">
              <w:t xml:space="preserve">verurteilt </w:t>
            </w:r>
            <w:r w:rsidRPr="005B7B7C">
              <w:rPr>
                <w:b/>
                <w:i/>
              </w:rPr>
              <w:t>die von den USA gegen Venezuela verhängten Sanktionen,</w:t>
            </w:r>
            <w:r w:rsidRPr="005B7B7C">
              <w:t xml:space="preserve"> die </w:t>
            </w:r>
            <w:r w:rsidRPr="005B7B7C">
              <w:rPr>
                <w:b/>
                <w:i/>
              </w:rPr>
              <w:t xml:space="preserve">zu einer beispiellosen Wirtschaftskrise geführt haben, die die schlimmste Krise in </w:t>
            </w:r>
            <w:r w:rsidRPr="005B7B7C">
              <w:rPr>
                <w:b/>
                <w:i/>
              </w:rPr>
              <w:lastRenderedPageBreak/>
              <w:t>Friedenszeiten</w:t>
            </w:r>
            <w:r w:rsidRPr="005B7B7C">
              <w:t xml:space="preserve"> in </w:t>
            </w:r>
            <w:r w:rsidRPr="005B7B7C">
              <w:rPr>
                <w:b/>
                <w:i/>
              </w:rPr>
              <w:t>der modernen Geschichte ist und zu einer katastrophalen Inflation</w:t>
            </w:r>
            <w:r w:rsidRPr="005B7B7C">
              <w:t xml:space="preserve"> und </w:t>
            </w:r>
            <w:r w:rsidRPr="005B7B7C">
              <w:rPr>
                <w:b/>
                <w:i/>
              </w:rPr>
              <w:t xml:space="preserve">einer drastischen Verschlechterung der Lebensbedingungen geführt hat; </w:t>
            </w:r>
            <w:r w:rsidRPr="005B7B7C">
              <w:t xml:space="preserve">fordert </w:t>
            </w:r>
            <w:r w:rsidRPr="005B7B7C">
              <w:rPr>
                <w:b/>
                <w:i/>
              </w:rPr>
              <w:t>alle an der venezolanischen Präsidentschaftswahl vom Juli 2024 beteiligten Parteien</w:t>
            </w:r>
            <w:r w:rsidRPr="005B7B7C">
              <w:t xml:space="preserve"> auf, </w:t>
            </w:r>
            <w:r w:rsidRPr="005B7B7C">
              <w:rPr>
                <w:b/>
                <w:i/>
              </w:rPr>
              <w:t>alle Vorgänge in Bezug</w:t>
            </w:r>
            <w:r w:rsidRPr="005B7B7C">
              <w:t xml:space="preserve"> auf </w:t>
            </w:r>
            <w:r w:rsidRPr="005B7B7C">
              <w:rPr>
                <w:b/>
                <w:i/>
              </w:rPr>
              <w:t>das Endergebnis zu veröffentlichen;</w:t>
            </w:r>
            <w:r w:rsidRPr="005B7B7C">
              <w:t xml:space="preserve"> </w:t>
            </w:r>
            <w:r w:rsidRPr="005B7B7C">
              <w:rPr>
                <w:b/>
                <w:i/>
              </w:rPr>
              <w:t>verurteilt Gewalt als inakzeptables Mittel zur Lösung dieses Konflikts;</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Antonio López-Istúriz White</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das autoritäre Regime von Daniel Ortega und Rosario Murillo, die die demokratischen Strukturen Nicaraguas systematisch untergraben; weist darauf hin, dass das Regime in Nicaragua enge Verbindungen zu anderen Autokratien wie denen in Iran, Venezuela und Kuba unterhält; verurteilt aufs Schärfste die vom kubanischen Regime verübten systematischen Menschenrechtsverletzungen und -verstöße; verurteilt den vom Regime in Venezuela orchestrierten Wahlbetrug aufs Schärfste, lehnt ihn entschieden ab und fordert die Regierung von Maduro auf, ihre Repressionspolitik und Angriffe auf die Zivilgesellschaft und die Opposition einzustellen;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das autoritäre Regime von Daniel Ortega und Rosario Murillo, die die demokratischen Strukturen Nicaraguas systematisch untergraben; weist darauf hin, dass das Regime in Nicaragua enge Verbindungen zu anderen Autokratien wie denen in Iran, Venezuela und Kuba unterhält; verurteilt aufs Schärfste die vom kubanischen Regime verübten systematischen Menschenrechtsverletzungen und -verstöße; </w:t>
            </w:r>
            <w:r w:rsidRPr="005B7B7C">
              <w:rPr>
                <w:b/>
                <w:i/>
              </w:rPr>
              <w:t>hebt insbesondere die „kubanische Medizinbrigade“ hervor, die in einigen europäischen Ländern die mittels der Beschneidung der Grundrechte und Grundfreiheiten als Form der Sklaverei und Zwangsarbeit tätig ist;</w:t>
            </w:r>
            <w:r w:rsidRPr="005B7B7C">
              <w:t xml:space="preserve"> verurteilt den vom Regime in Venezuela orchestrierten Wahlbetrug aufs Schärfste, lehnt ihn entschieden ab und fordert die Regierung von Maduro auf, ihre Repressionspolitik und Angriffe auf die Zivilgesellschaft und die Opposition </w:t>
            </w:r>
            <w:r w:rsidRPr="005B7B7C">
              <w:lastRenderedPageBreak/>
              <w:t>einzustellen;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Carlo Fidanza, Alberico Gambino, 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das autoritäre Regime von Daniel Ortega und Rosario Murillo, die die demokratischen Strukturen Nicaraguas systematisch untergraben; weist darauf hin, dass das Regime in Nicaragua enge Verbindungen zu anderen Autokratien wie denen in Iran, Venezuela und Kuba unterhält; verurteilt aufs Schärfste die vom kubanischen Regime verübten systematischen Menschenrechtsverletzungen und -verstöße; verurteilt den vom Regime in Venezuela orchestrierten Wahlbetrug aufs Schärfste, </w:t>
            </w:r>
            <w:r w:rsidRPr="005B7B7C">
              <w:rPr>
                <w:b/>
                <w:i/>
              </w:rPr>
              <w:t>lehnt ihn entschieden ab</w:t>
            </w:r>
            <w:r w:rsidRPr="005B7B7C">
              <w:t xml:space="preserve"> und fordert die Regierung</w:t>
            </w:r>
            <w:r w:rsidRPr="005B7B7C">
              <w:rPr>
                <w:b/>
                <w:i/>
              </w:rPr>
              <w:t xml:space="preserve"> von</w:t>
            </w:r>
            <w:r w:rsidRPr="005B7B7C">
              <w:t xml:space="preserve"> Maduro auf, ihre Repressionspolitik und Angriffe auf die Zivilgesellschaft und die Opposition einzustellen;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das autoritäre Regime von Daniel Ortega und Rosario Murillo, die die demokratischen Strukturen Nicaraguas systematisch untergraben; weist darauf hin, dass das Regime in Nicaragua enge Verbindungen zu anderen Autokratien wie denen in Iran, Venezuela und Kuba unterhält; verurteilt aufs Schärfste die vom kubanischen Regime verübten systematischen Menschenrechtsverletzungen und -verstöße; verurteilt den vom Regime in Venezuela orchestrierten Wahlbetrug aufs Schärfste, lehnt ihn entschieden ab</w:t>
            </w:r>
            <w:r w:rsidRPr="005B7B7C">
              <w:rPr>
                <w:b/>
                <w:i/>
              </w:rPr>
              <w:t xml:space="preserve"> und fordert die EU und ihre Mitgliedstaaten nachdrücklich auf</w:t>
            </w:r>
            <w:r w:rsidRPr="005B7B7C">
              <w:t xml:space="preserve">, </w:t>
            </w:r>
            <w:r w:rsidRPr="005B7B7C">
              <w:rPr>
                <w:b/>
                <w:i/>
              </w:rPr>
              <w:t>Edmundo González Urrutia als rechtmäßigen</w:t>
            </w:r>
            <w:r w:rsidRPr="005B7B7C">
              <w:t xml:space="preserve"> und </w:t>
            </w:r>
            <w:r w:rsidRPr="005B7B7C">
              <w:rPr>
                <w:b/>
                <w:i/>
              </w:rPr>
              <w:t>demokratisch gewählten Präsidenten Venezuelas anzuerkennen;</w:t>
            </w:r>
            <w:r w:rsidRPr="005B7B7C">
              <w:t xml:space="preserve"> fordert die Regierung Maduro auf, ihre Repressionspolitik </w:t>
            </w:r>
            <w:r w:rsidRPr="005B7B7C">
              <w:rPr>
                <w:b/>
                <w:i/>
              </w:rPr>
              <w:t xml:space="preserve">zu beenden </w:t>
            </w:r>
            <w:r w:rsidRPr="005B7B7C">
              <w:t>und</w:t>
            </w:r>
            <w:r w:rsidRPr="005B7B7C">
              <w:rPr>
                <w:b/>
                <w:i/>
              </w:rPr>
              <w:t xml:space="preserve"> ihre</w:t>
            </w:r>
            <w:r w:rsidRPr="005B7B7C">
              <w:t xml:space="preserve"> Angriffe auf die Zivilgesellschaft und die Opposition einzustellen;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das autoritäre Regime von Daniel Ortega und Rosario Murillo, die die demokratischen Strukturen Nicaraguas systematisch untergraben; weist darauf hin, dass das Regime in Nicaragua enge Verbindungen zu anderen Autokratien wie denen in Iran</w:t>
            </w:r>
            <w:r w:rsidRPr="005B7B7C">
              <w:rPr>
                <w:b/>
                <w:i/>
              </w:rPr>
              <w:t>, Venezuela</w:t>
            </w:r>
            <w:r w:rsidRPr="005B7B7C">
              <w:t xml:space="preserve"> und </w:t>
            </w:r>
            <w:r w:rsidRPr="005B7B7C">
              <w:rPr>
                <w:b/>
                <w:i/>
              </w:rPr>
              <w:t>Kuba</w:t>
            </w:r>
            <w:r w:rsidRPr="005B7B7C">
              <w:t xml:space="preserve"> unterhält; verurteilt </w:t>
            </w:r>
            <w:r w:rsidRPr="005B7B7C">
              <w:rPr>
                <w:b/>
                <w:i/>
              </w:rPr>
              <w:t>aufs Schärfste die</w:t>
            </w:r>
            <w:r w:rsidRPr="005B7B7C">
              <w:t xml:space="preserve"> vom kubanischen Regime verübten systematischen Menschenrechtsverletzungen und -verstöße; verurteilt den </w:t>
            </w:r>
            <w:r w:rsidRPr="005B7B7C">
              <w:rPr>
                <w:b/>
                <w:i/>
              </w:rPr>
              <w:t>vom</w:t>
            </w:r>
            <w:r w:rsidRPr="005B7B7C">
              <w:t xml:space="preserve"> Regime in Venezuela orchestrierten Wahlbetrug aufs Schärfste</w:t>
            </w:r>
            <w:r w:rsidRPr="005B7B7C">
              <w:rPr>
                <w:b/>
                <w:i/>
              </w:rPr>
              <w:t>, lehnt ihn entschieden ab</w:t>
            </w:r>
            <w:r w:rsidRPr="005B7B7C">
              <w:t xml:space="preserve"> und fordert die Regierung von Maduro auf, </w:t>
            </w:r>
            <w:r w:rsidRPr="005B7B7C">
              <w:rPr>
                <w:b/>
                <w:i/>
              </w:rPr>
              <w:t xml:space="preserve">ihre Repressionspolitik und Angriffe auf </w:t>
            </w:r>
            <w:r w:rsidRPr="005B7B7C">
              <w:t xml:space="preserve">die </w:t>
            </w:r>
            <w:r w:rsidRPr="005B7B7C">
              <w:rPr>
                <w:b/>
                <w:i/>
              </w:rPr>
              <w:t>Zivilgesellschaft</w:t>
            </w:r>
            <w:r w:rsidRPr="005B7B7C">
              <w:t xml:space="preserve"> und </w:t>
            </w:r>
            <w:r w:rsidRPr="005B7B7C">
              <w:rPr>
                <w:b/>
                <w:i/>
              </w:rPr>
              <w:t>die Opposition einzustellen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das autoritäre Regime von Daniel Ortega und Rosario Murillo, die die demokratischen Strukturen Nicaraguas systematisch untergraben; weist darauf hin, dass das Regime in Nicaragua enge Verbindungen zu anderen Autokratien wie denen in Iran und </w:t>
            </w:r>
            <w:r w:rsidRPr="005B7B7C">
              <w:rPr>
                <w:b/>
                <w:i/>
              </w:rPr>
              <w:t>Venezuela</w:t>
            </w:r>
            <w:r w:rsidRPr="005B7B7C">
              <w:t xml:space="preserve"> unterhält; verurteilt </w:t>
            </w:r>
            <w:r w:rsidRPr="005B7B7C">
              <w:rPr>
                <w:b/>
                <w:i/>
              </w:rPr>
              <w:t>die Berichten zufolge</w:t>
            </w:r>
            <w:r w:rsidRPr="005B7B7C">
              <w:t xml:space="preserve"> vom kubanischen Regime verübten systematischen Menschenrechtsverletzungen und -verstöße; verurteilt den </w:t>
            </w:r>
            <w:r w:rsidRPr="005B7B7C">
              <w:rPr>
                <w:b/>
                <w:i/>
              </w:rPr>
              <w:t>dem</w:t>
            </w:r>
            <w:r w:rsidRPr="005B7B7C">
              <w:t xml:space="preserve"> Regime in Venezuela </w:t>
            </w:r>
            <w:r w:rsidRPr="005B7B7C">
              <w:rPr>
                <w:b/>
                <w:i/>
              </w:rPr>
              <w:t xml:space="preserve">vorgeworfenen </w:t>
            </w:r>
            <w:r w:rsidRPr="005B7B7C">
              <w:t xml:space="preserve">orchestrierten Wahlbetrug aufs Schärfste und fordert die Regierung von Maduro auf, die </w:t>
            </w:r>
            <w:r w:rsidRPr="005B7B7C">
              <w:rPr>
                <w:b/>
                <w:i/>
              </w:rPr>
              <w:t>Versammlungs-</w:t>
            </w:r>
            <w:r w:rsidRPr="005B7B7C">
              <w:t xml:space="preserve"> und </w:t>
            </w:r>
            <w:r w:rsidRPr="005B7B7C">
              <w:rPr>
                <w:b/>
                <w:i/>
              </w:rPr>
              <w:t>Vereinigungsfreiheit zu fördern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das autoritäre Regime von Daniel Ortega und Rosario Murillo, die die demokratischen Strukturen Nicaraguas systematisch untergraben; weist darauf hin, dass das Regime in Nicaragua enge Verbindungen zu anderen Autokratien wie denen in Iran, Venezuela und Kuba unterhält; verurteilt </w:t>
            </w:r>
            <w:r w:rsidRPr="005B7B7C">
              <w:rPr>
                <w:b/>
                <w:i/>
              </w:rPr>
              <w:t xml:space="preserve">aufs Schärfste </w:t>
            </w:r>
            <w:r w:rsidRPr="005B7B7C">
              <w:t xml:space="preserve">die vom kubanischen Regime verübten systematischen Menschenrechtsverletzungen und -verstöße; verurteilt den vom Regime in Venezuela orchestrierten Wahlbetrug aufs Schärfste, lehnt ihn entschieden ab und </w:t>
            </w:r>
            <w:r w:rsidRPr="005B7B7C">
              <w:lastRenderedPageBreak/>
              <w:t>fordert die Regierung von Maduro auf, ihre Repressionspolitik und Angriffe auf die Zivilgesellschaft und die Opposition einzustellen;</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das autoritäre Regime von Daniel Ortega und Rosario Murillo, die die demokratischen Strukturen Nicaraguas systematisch untergraben; weist darauf hin, dass das Regime in Nicaragua enge Verbindungen zu anderen Autokratien wie denen in Iran, Venezuela und Kuba unterhält; verurteilt die vom kubanischen Regime verübten systematischen Menschenrechtsverletzungen und -verstöße; verurteilt den vom Regime in Venezuela orchestrierten Wahlbetrug aufs Schärfste, lehnt ihn entschieden ab und fordert die Regierung von Maduro auf, ihre </w:t>
            </w:r>
            <w:r w:rsidRPr="005B7B7C">
              <w:lastRenderedPageBreak/>
              <w:t>Repressionspolitik und Angriffe auf die Zivilgesellschaft und die Opposition einzustellen;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Hilde Vautmans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das Versäumnis Aserbaidschans, dem Beschluss des Internationalen Gerichtshofs vom 17. November 2023 nachzukommen, in dem vorläufige Maßnahmen in Bezug auf die sichere, ungehinderte und zügige Rückkehr der 100 000 armenischstämmigen Menschen aufgeführt sind, die nach dem im Voraus geplanten, ungerechtfertigten militärischen Angriff Aserbaidschans vom September 2023, der einer ethnischen Säuberung gleichkommt, aus Bergkarabach geflohen sind, sowie die Weigerung der Staatsorgane Aserbaidschans, alle 23 armenischen Kriegsgefangenen freizulassen, die in dem Land derzeit inhaftiert sind; betont, dass alle Initiativen und Aktivitäten unterstützt werden müssen, die zur Schaffung von Frieden zwischen Armenien und Aserbaidschan und zur Unterzeichnung eines seit langem erwarteten Friedensabkommens führen könnten, und fordert Aserbaidschan auf, echte Anstrengungen in diesem Sinne unter Beweis zu stellen; warnt Aserbaidschan davor, dass jede Militäraktion gegen Armenien inakzeptabel wäre und mit schwerwiegenden Folgen für die Partnerschaft zwischen Aserbaidschan und der EU einherginge; betont, dass die </w:t>
            </w:r>
            <w:r w:rsidRPr="005B7B7C">
              <w:rPr>
                <w:b/>
                <w:i/>
              </w:rPr>
              <w:lastRenderedPageBreak/>
              <w:t>Probleme Aserbaidschans bei der Anbindung seiner Exklave Naxçıvan unter uneingeschränkter Achtung der Souveränität und der territorialen Unversehrtheit Armeniens gelöst werden sollten; bekräftigt seinen Standpunkt, dass die EU bereit sein sollte, Sanktionen gegen Personen und Organisationen zu verhängen, die Drohungen in Bezug auf die Souveränität, Unabhängigkeit und territoriale Unversehrtheit Armeniens aussprechen; betont, dass die wiederholten mahnenden Hinweise des Europäischen Parlaments in Bezug auf die Lage keine Änderung der EU-Politik gegenüber Aserbaidschan bewirkt haben; fordert die EU auf, ihrer Abhängigkeit von Erdgaseinfuhren aus Aserbaidschan ein Ende zu setzen; fordert die Kommission auf, die Vereinbarung von 2022 über eine strategische Partnerschaft im Energiebereich auszusetzen und entsprechend zu handeln; fordert die EU auf, jegliche technische und finanzielle Unterstützung für Aserbaidschan einzustellen, mit der dazu beigetragen werden könnte, die militärischen und sicherheitsbezogenen Fähigkeiten des Landes zu stärken; fordert die Mitgliedstaaten auf, die Ausfuhren sämtlicher Militär- und Sicherheitsgüter nach Aserbaidschan einzufrieren; verurteilt, dass Aserbaidschan wiederholt versucht hat, Mitgliedstaaten zu verunglimpfen und zu destabilisieren, unter anderem durch die sogenannte Baku-Initiativegruppe;</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sich immer deutlicher abzeichnende Tendenz, die Urteile des Internationalen Gerichtshofs (IGH) und des Internationalen Strafgerichtshofs (IStGH) zu untergraben, wobei betont wird, dass solche Handlungen eine unmittelbare Bedrohung für die Grundprinzipien der internationalen Gerichtsbarkeit darstellen; bekräftigt das unermüdliche Engagement der Europäischen Union für den Schutz und die Beibehaltung des Internationalen Gerichtshofs und des Internationalen Strafgerichtshofs (IStGH), insbesondere angesichts des zunehmenden Drucks, der ihre Unabhängigkeit bedroht; fordert die EU nachdrücklich auf, die finanzielle Unterstützung zu verstärken, um die dauerhafte Autonomie und Unparteilichkeit dieser Institutionen sicherzustellen; bringt seine tiefe Besorgnis über die mögliche Verabschiedung von Rechtsvorschriften zum Ausdruck, die im US-Repräsentantenhaus anhängig sind und darauf abzielen, gezielte Sanktionen gegen Richter, Beamte und Rechtsexperten des IStGH zu verhängen;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Ivaylo Valchev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3 – Spiegelstrich 10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russische Intervention in Mali, Niger und der dortigen Region zur Unterstützung von Militärregimen; verurteilt aufs Schärfste den Einsatz von Söldnern und die zunehmende Gewalt in </w:t>
            </w:r>
            <w:r w:rsidRPr="005B7B7C">
              <w:rPr>
                <w:b/>
                <w:i/>
              </w:rPr>
              <w:lastRenderedPageBreak/>
              <w:t>der Region und fordert eine entschlossene internationale Reaktion und Schritte zur Deeskalation von Konflikten mit Hilfe der gesamten internationalen Gemeinschaft;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Costas Mavrides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w:t>
            </w:r>
            <w:r w:rsidRPr="005B7B7C">
              <w:rPr>
                <w:b/>
                <w:i/>
              </w:rPr>
              <w:t xml:space="preserve"> begrüßt</w:t>
            </w:r>
            <w:r w:rsidRPr="005B7B7C">
              <w:t xml:space="preserve">, dass die der Spannungen im östlichen Mittelmeerraum und in der Ägäis </w:t>
            </w:r>
            <w:r w:rsidRPr="005B7B7C">
              <w:rPr>
                <w:b/>
                <w:i/>
              </w:rPr>
              <w:t>teilweise abgebaut wurden</w:t>
            </w:r>
            <w:r w:rsidRPr="005B7B7C">
              <w:t>;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w:t>
            </w:r>
            <w:r w:rsidRPr="005B7B7C">
              <w:rPr>
                <w:b/>
                <w:i/>
              </w:rPr>
              <w:t>was von der konstruktiven Zusammenarbeit der Türkei selbst mit greifbaren Ergebnissen in den gesamten Beziehungen zwischen der EU und der Türkei abhängt, insbesondere in Bezug auf die Zypernfrage; bedauert</w:t>
            </w:r>
            <w:r w:rsidRPr="005B7B7C">
              <w:t>, dass die</w:t>
            </w:r>
            <w:r w:rsidRPr="005B7B7C">
              <w:rPr>
                <w:b/>
                <w:i/>
              </w:rPr>
              <w:t xml:space="preserve"> Türkei trotz eines gewissen Abbaus</w:t>
            </w:r>
            <w:r w:rsidRPr="005B7B7C">
              <w:t xml:space="preserve"> der Spannungen im östlichen Mittelmeerraum und in der Ägäis </w:t>
            </w:r>
            <w:r w:rsidRPr="005B7B7C">
              <w:rPr>
                <w:b/>
                <w:i/>
              </w:rPr>
              <w:t>ihre aggressive Politik fortsetzt und die Souveränität und die souveränen Rechte der EU-Mitgliedstaaten in der Region ohne jegliche Grundlage in Frage stellt; verurteilt in diesem Zusammenhang Unterzeichnung der Absichtserklärungen zwischen der Türkei und Libyen über eine umfassende sicherheitspolitische und militärische Zusammenarbeit und über die Abgrenzung der Meeresgebiete und die Berufung der türkischen Regierung darauf, wobei diese Erklärungen miteinander verknüpft sind und eindeutig gegen das Völkerrecht, gegen einschlägige Resolutionen des Sicherheitsrats der Vereinten Nationen und gegen die souveränen Rechte von EU-Mitgliedstaaten verstoßen</w:t>
            </w:r>
            <w:r w:rsidRPr="005B7B7C">
              <w:t xml:space="preserve">; bekräftigt seine Besorgnis darüber, dass die Außenpolitik der Türkei weiterhin im </w:t>
            </w:r>
            <w:r w:rsidRPr="005B7B7C">
              <w:lastRenderedPageBreak/>
              <w:t>Widerspruch zu den Prioritäten der EU im Rahmen der GASP steht;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319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w:t>
            </w:r>
            <w:r w:rsidRPr="005B7B7C">
              <w:rPr>
                <w:b/>
                <w:i/>
              </w:rPr>
              <w:t>begrüßt</w:t>
            </w:r>
            <w:r w:rsidRPr="005B7B7C">
              <w:t xml:space="preserve">, dass die der Spannungen im östlichen Mittelmeerraum und in der Ägäis </w:t>
            </w:r>
            <w:r w:rsidRPr="005B7B7C">
              <w:rPr>
                <w:b/>
                <w:i/>
              </w:rPr>
              <w:t>teilweise abgebaut wurden</w:t>
            </w:r>
            <w:r w:rsidRPr="005B7B7C">
              <w:t>;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w:t>
            </w:r>
            <w:r w:rsidRPr="005B7B7C">
              <w:rPr>
                <w:b/>
                <w:i/>
              </w:rPr>
              <w:t>bedauert</w:t>
            </w:r>
            <w:r w:rsidRPr="005B7B7C">
              <w:t xml:space="preserve">, dass die </w:t>
            </w:r>
            <w:r w:rsidRPr="005B7B7C">
              <w:rPr>
                <w:b/>
                <w:i/>
              </w:rPr>
              <w:t xml:space="preserve">Türkei trotz eines gewissen Abbaus </w:t>
            </w:r>
            <w:r w:rsidRPr="005B7B7C">
              <w:t xml:space="preserve">der Spannungen im östlichen Mittelmeerraum und in der Ägäis </w:t>
            </w:r>
            <w:r w:rsidRPr="005B7B7C">
              <w:rPr>
                <w:b/>
                <w:i/>
              </w:rPr>
              <w:t>die Souveränität und die souveränen Rechte der EU-Mitgliedstaaten in der Region weiterhin ohne jegliche Grundlage in Frage stellt; verurteilt in diesem Zusammenhang Unterzeichnung der Absichtserklärungen zwischen der Türkei und Libyen über eine umfassende sicherheitspolitische und militärische Zusammenarbeit und über die Abgrenzung der Meeresgebiete und die Berufung der türkischen Regierung darauf, wobei diese Erklärungen miteinander verknüpft sind und eindeutig gegen das Völkerrecht, gegen einschlägige Resolutionen des Sicherheitsrats der Vereinten Nationen und gegen die souveränen Rechte von EU-Mitgliedstaaten verstoßen</w:t>
            </w:r>
            <w:r w:rsidRPr="005B7B7C">
              <w:t>; bekräftigt seine Besorgnis darüber, dass die Außenpolitik der Türkei weiterhin im Widerspruch zu den Prioritäten der EU im Rahmen der GASP steht;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320</w:t>
      </w:r>
      <w:r w:rsidRPr="005B7B7C">
        <w:rPr>
          <w:rStyle w:val="HideTWBExt"/>
        </w:rPr>
        <w:t>&lt;/NumAm&gt;</w:t>
      </w:r>
    </w:p>
    <w:p w:rsidR="00F30D4D" w:rsidRPr="005B7B7C" w:rsidRDefault="00F30D4D" w:rsidP="00F30D4D">
      <w:pPr>
        <w:pStyle w:val="NormalBold"/>
      </w:pPr>
      <w:r w:rsidRPr="005B7B7C">
        <w:rPr>
          <w:rStyle w:val="HideTWBExt"/>
          <w:b w:val="0"/>
        </w:rPr>
        <w:lastRenderedPageBreak/>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 </w:t>
            </w:r>
            <w:r w:rsidRPr="005B7B7C">
              <w:rPr>
                <w:b/>
                <w:i/>
              </w:rPr>
              <w:t>ist besorgt über die anhaltende Besetzung eines Teils von Zypern durch die Türkei und betont, dass jede Verbesserung der Beziehungen zwischen der EU und der Türkei vom Rückzug der Türkei aus dem Hoheitsgebiet Zyperns und der Achtung der Souveränität der Mitgliedstaaten abhängig gemacht werden muss;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321</w:t>
      </w:r>
      <w:r>
        <w:rPr>
          <w:rStyle w:val="HideTWBExt"/>
        </w:rPr>
        <w:t>&lt;/NumAm&gt;</w:t>
      </w:r>
    </w:p>
    <w:p w:rsidR="00F30D4D" w:rsidRPr="00A004FF" w:rsidRDefault="00F30D4D" w:rsidP="00F30D4D">
      <w:pPr>
        <w:pStyle w:val="NormalBold"/>
      </w:pPr>
      <w:r>
        <w:rPr>
          <w:rStyle w:val="HideTWBExt"/>
          <w:b w:val="0"/>
        </w:rPr>
        <w:t>&lt;RepeatBlock-By&gt;&lt;Members&gt;</w:t>
      </w:r>
      <w:r>
        <w:t>Alice Teodorescu Måwe</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überdenken, begrüßt, dass die der Spannungen im östlichen Mittelmeerraum und in der Ägäis teilweise abgebaut wurden; bekräftigt seine Besorgnis darüber, dass die Außenpolitik der Türkei weiterhin im Widerspruch zu den Prioritäten der EU im Rahmen der GASP steht; </w:t>
            </w:r>
            <w:r>
              <w:rPr>
                <w:b/>
                <w:i/>
              </w:rPr>
              <w:t xml:space="preserve">betont ferner, dass der Türkei der Weg in die EU verwehrt bleibt, bis die Außenpolitik der Türkei mit der GASP im Einklang steht und die türkische </w:t>
            </w:r>
            <w:r>
              <w:rPr>
                <w:b/>
                <w:i/>
              </w:rPr>
              <w:lastRenderedPageBreak/>
              <w:t>Regierung und die türkischen Behörden für die Achtung der Grundsätze der Rechtsstaatlichkeit sowie der Grundrechte und Grundfreiheiten sorgen;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{SV}</w:t>
      </w:r>
      <w:r w:rsidRPr="00A004FF">
        <w:t>sv</w:t>
      </w:r>
      <w:r w:rsidRPr="00A004FF">
        <w:rPr>
          <w:rStyle w:val="HideTWBExt"/>
        </w:rPr>
        <w:t>&lt;/Original&gt;</w:t>
      </w:r>
    </w:p>
    <w:p w:rsidR="00F30D4D" w:rsidRPr="00A004FF" w:rsidRDefault="00F30D4D" w:rsidP="00F30D4D">
      <w:r>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322</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 </w:t>
            </w:r>
            <w:r>
              <w:rPr>
                <w:b/>
                <w:i/>
              </w:rPr>
              <w:t>ist der Auffassung, dass jede Behinderung der Ausübung der Souveränität und der sich aus dem Völkerrecht ergebenden souveränen Rechte der Mitgliedstaaten völlig inakzeptabel ist.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323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w:t>
            </w:r>
            <w:r w:rsidRPr="005B7B7C">
              <w:lastRenderedPageBreak/>
              <w:t xml:space="preserve">teilweise abgebaut wurden; bekräftigt seine Besorgnis darüber, dass </w:t>
            </w:r>
            <w:r w:rsidRPr="005B7B7C">
              <w:rPr>
                <w:b/>
                <w:i/>
              </w:rPr>
              <w:t>die</w:t>
            </w:r>
            <w:r w:rsidRPr="005B7B7C">
              <w:t xml:space="preserve"> Außenpolitik der Türkei </w:t>
            </w:r>
            <w:r w:rsidRPr="005B7B7C">
              <w:rPr>
                <w:b/>
                <w:i/>
              </w:rPr>
              <w:t>weiterhin im Widerspruch zu den</w:t>
            </w:r>
            <w:r w:rsidRPr="005B7B7C">
              <w:t xml:space="preserve"> Prioritäten der EU im Rahmen der GASP </w:t>
            </w:r>
            <w:r w:rsidRPr="005B7B7C">
              <w:rPr>
                <w:b/>
                <w:i/>
              </w:rPr>
              <w:t>steht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Notwendigkeit, die Beziehungen zur Türkei zu verbessern, begrüßt, dass die der Spannungen im östlichen Mittelmeerraum und in der Ägäis </w:t>
            </w:r>
            <w:r w:rsidRPr="005B7B7C">
              <w:lastRenderedPageBreak/>
              <w:t xml:space="preserve">teilweise abgebaut wurden; bekräftigt seine Besorgnis darüber, dass </w:t>
            </w:r>
            <w:r w:rsidRPr="005B7B7C">
              <w:rPr>
                <w:b/>
                <w:i/>
              </w:rPr>
              <w:t>bei der</w:t>
            </w:r>
            <w:r w:rsidRPr="005B7B7C">
              <w:t xml:space="preserve"> Außenpolitik der Türkei </w:t>
            </w:r>
            <w:r w:rsidRPr="005B7B7C">
              <w:rPr>
                <w:b/>
                <w:i/>
              </w:rPr>
              <w:t>nicht nur eine sehr geringe Angleichung an die</w:t>
            </w:r>
            <w:r w:rsidRPr="005B7B7C">
              <w:t xml:space="preserve"> Prioritäten der EU im Rahmen der GASP </w:t>
            </w:r>
            <w:r w:rsidRPr="005B7B7C">
              <w:rPr>
                <w:b/>
                <w:i/>
              </w:rPr>
              <w:t>zu erkennen ist, sondern dass sich das Land dadurch sogar noch weiter von der GASP der EU entfernt</w:t>
            </w:r>
            <w:r w:rsidRPr="005B7B7C">
              <w:t xml:space="preserve">; </w:t>
            </w:r>
            <w:r w:rsidRPr="005B7B7C">
              <w:rPr>
                <w:b/>
                <w:i/>
              </w:rPr>
              <w:t>bedauert, dass in der Türkei in einigen wichtigen Bereichen wie den Grundrechten keine Fortschritte erzielt wurden; </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324</w:t>
      </w:r>
      <w:r>
        <w:rPr>
          <w:rStyle w:val="HideTWBExt"/>
        </w:rPr>
        <w:t>&lt;/NumAm&gt;</w:t>
      </w:r>
    </w:p>
    <w:p w:rsidR="00F30D4D" w:rsidRPr="00A004FF" w:rsidRDefault="00F30D4D" w:rsidP="00F30D4D">
      <w:pPr>
        <w:pStyle w:val="NormalBold"/>
      </w:pPr>
      <w:r>
        <w:rPr>
          <w:rStyle w:val="HideTWBExt"/>
          <w:b w:val="0"/>
        </w:rPr>
        <w:t>&lt;RepeatBlock-By&gt;&lt;Members&gt;</w:t>
      </w:r>
      <w:r>
        <w:t>Marion Maréchal</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w:t>
            </w:r>
            <w:r>
              <w:rPr>
                <w:b/>
                <w:i/>
              </w:rPr>
              <w:t>verbessern</w:t>
            </w:r>
            <w:r>
              <w:t>,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w:t>
            </w:r>
            <w:r>
              <w:rPr>
                <w:b/>
                <w:i/>
              </w:rPr>
              <w:t>klären und hierbei den Prozess des Beitritts der Türkei zur Europäischen Union endgültig zu beenden</w:t>
            </w:r>
            <w:r>
              <w:t>,</w:t>
            </w:r>
            <w:r>
              <w:rPr>
                <w:b/>
                <w:i/>
              </w:rPr>
              <w:t xml:space="preserve"> der bislang aufrechterhalten wurde, obwohl mehrere Kapitel des gemeinschaftlichen Besitzstands eingefroren wurden;</w:t>
            </w:r>
            <w:r>
              <w:t xml:space="preserve"> begrüßt, dass die der Spannungen im östlichen Mittelmeerraum und in der Ägäis teilweise abgebaut wurden; bekräftigt seine Besorgnis darüber, dass die Außenpolitik der Türkei weiterhin im Widerspruch zu den Prioritäten der EU im Rahmen der GASP steht;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325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Emmanouil Kefalogiannis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teilweise abgebaut wurden; </w:t>
            </w:r>
            <w:r w:rsidRPr="005B7B7C">
              <w:rPr>
                <w:b/>
                <w:i/>
              </w:rPr>
              <w:t xml:space="preserve">stellt gleichzeitig mit Besorgnis fest, dass die Türkei nach wie vor unbegründete Ansprüche gegen die Souveränität und die souveränen Rechte der EU-Mitgliedstaaten erhebt, und </w:t>
            </w:r>
            <w:r w:rsidRPr="005B7B7C">
              <w:t>bekräftigt seine Besorgnis darüber, dass die Außenpolitik der Türkei weiterhin im Widerspruch zu den Prioritäten der EU im Rahmen der GASP steht;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326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Vangelis Meimarakis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 begrüßt, dass die der Spannungen im östlichen Mittelmeerraum und in der Ägäis teilweise abgebaut wurden;</w:t>
            </w:r>
            <w:r w:rsidRPr="005B7B7C">
              <w:rPr>
                <w:b/>
                <w:i/>
              </w:rPr>
              <w:t>, stellt jedoch mit Besorgnis fest, dass die Türkei nach wie vor unbegründete Ansprüche gegen die Souveränität und die Hoheitsrechte der EU-Mitgliedstaaten erhebt;</w:t>
            </w:r>
            <w:r w:rsidRPr="005B7B7C">
              <w:t xml:space="preserve"> bekräftigt seine Besorgnis darüber, dass die Außenpolitik der Türkei weiterhin im Widerspruch zu den Prioritäten der EU im Rahmen der GASP steht;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327</w:t>
      </w:r>
      <w:r>
        <w:rPr>
          <w:rStyle w:val="HideTWBExt"/>
        </w:rPr>
        <w:t>&lt;/NumAm&gt;</w:t>
      </w:r>
    </w:p>
    <w:p w:rsidR="00F30D4D" w:rsidRPr="00A004FF" w:rsidRDefault="00F30D4D" w:rsidP="00F30D4D">
      <w:pPr>
        <w:pStyle w:val="NormalBold"/>
      </w:pPr>
      <w:r>
        <w:rPr>
          <w:rStyle w:val="HideTWBExt"/>
          <w:b w:val="0"/>
        </w:rPr>
        <w:lastRenderedPageBreak/>
        <w:t>&lt;RepeatBlock-By&gt;&lt;Members&gt;</w:t>
      </w:r>
      <w:r>
        <w:t>Jordan Bardella, Pierre-Romain Thionnet, Matthieu Valet, Jorge Martín Frías, Hermann Tertsch, Roberto Vannacci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r>
            <w:r>
              <w:rPr>
                <w:b/>
                <w:i/>
              </w:rPr>
              <w:t>die Notwendigkeit, die Beziehungen zur Türkei zu verbessern,</w:t>
            </w:r>
            <w:r>
              <w:t xml:space="preserve">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t>–</w:t>
            </w:r>
            <w:r>
              <w:tab/>
              <w:t xml:space="preserve">begrüßt, dass die der Spannungen im östlichen Mittelmeerraum und in der Ägäis teilweise abgebaut wurden; bekräftigt seine Besorgnis darüber, dass die Außenpolitik der Türkei weiterhin im Widerspruch zu den Prioritäten der EU im Rahmen der GASP steht; </w:t>
            </w:r>
            <w:r>
              <w:rPr>
                <w:b/>
                <w:i/>
              </w:rPr>
              <w:t>weist auf die Angriffshandlungen der Türkei im östlichen Mittelmeerraum hin, die sich gegen die beiden Mitgliedstaaten der EU Griechenland und Zypern richten;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328</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4 – </w:t>
      </w:r>
      <w:r w:rsidRPr="006416CF">
        <w:t>Spiegelstrich</w:t>
      </w:r>
      <w:r w:rsidRPr="00A004FF">
        <w:t xml:space="preserve"> 1</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die Notwendigkeit, die Beziehungen zur Türkei zu verbessern, begrüßt, dass die </w:t>
            </w:r>
            <w:r w:rsidRPr="00A004FF">
              <w:rPr>
                <w:b/>
                <w:i/>
              </w:rPr>
              <w:t>der</w:t>
            </w:r>
            <w:r w:rsidRPr="00A004FF">
              <w:t xml:space="preserve"> Spannungen im östlichen Mittelmeerraum und in der Ägäis teilweise abgebaut wurden; </w:t>
            </w:r>
            <w:r w:rsidRPr="00A004FF">
              <w:rPr>
                <w:b/>
                <w:i/>
              </w:rPr>
              <w:t>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die Notwendigkeit, die Beziehungen zur Türkei zu verbessern, begrüßt, dass die Spannungen im östlichen Mittelmeerraum und in der Ägäis teilweise abgebaut wurden;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329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Hermann Tertsch, Jorge Martín Frías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lastRenderedPageBreak/>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 xml:space="preserve">Notwendigkeit, die Beziehungen zur Türkei zu verbessern, begrüßt, dass die der Spannungen im östlichen Mittelmeerraum und in der Ägäis teilweise abgebaut wurden; bekräftigt seine </w:t>
            </w:r>
            <w:r w:rsidRPr="005B7B7C">
              <w:t>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Besorgnis darüber, dass die Außenpolitik der Türkei weiterhin im Widerspruch zu den Prioritäten der EU im Rahmen der GASP steht;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330</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 </w:t>
            </w:r>
            <w:r>
              <w:rPr>
                <w:b/>
                <w:i/>
              </w:rPr>
              <w:t>erkennt an, dass ein Voranbringen der EU-Beitrittsverhandlungen der Türkei an keine Bedingungen geknüpft ist;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331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teilweise abgebaut wurden; </w:t>
            </w:r>
            <w:r w:rsidRPr="005B7B7C">
              <w:rPr>
                <w:b/>
                <w:i/>
              </w:rPr>
              <w:t>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 begrüßt, dass die der Spannungen im östlichen Mittelmeerraum und in der Ägäis teilweise abgebaut wurden;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332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teilweise abgebaut wurden; </w:t>
            </w:r>
            <w:r w:rsidRPr="005B7B7C">
              <w:rPr>
                <w:b/>
                <w:i/>
              </w:rPr>
              <w:t>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Notwendigkeit, die Beziehungen zur Türkei zu verbessern, begrüßt, dass die der Spannungen im östlichen Mittelmeerraum und in der Ägäis teilweise abgebaut wurden; </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333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Loucas Fourlas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 Notwendigkeit</w:t>
            </w:r>
            <w:r w:rsidRPr="005B7B7C">
              <w:t xml:space="preserve">, </w:t>
            </w:r>
            <w:r w:rsidRPr="005B7B7C">
              <w:rPr>
                <w:b/>
                <w:i/>
              </w:rPr>
              <w:t xml:space="preserve">die Beziehungen zur Türkei zu verbessern, </w:t>
            </w:r>
            <w:r w:rsidRPr="005B7B7C">
              <w:rPr>
                <w:b/>
                <w:i/>
              </w:rPr>
              <w:lastRenderedPageBreak/>
              <w:t>begrüßt, dass die</w:t>
            </w:r>
            <w:r w:rsidRPr="005B7B7C">
              <w:t xml:space="preserve"> der </w:t>
            </w:r>
            <w:r w:rsidRPr="005B7B7C">
              <w:rPr>
                <w:b/>
                <w:i/>
              </w:rPr>
              <w:t>Spannungen im östlichen Mittelmeerraum</w:t>
            </w:r>
            <w:r w:rsidRPr="005B7B7C">
              <w:t xml:space="preserve"> und </w:t>
            </w:r>
            <w:r w:rsidRPr="005B7B7C">
              <w:rPr>
                <w:b/>
                <w:i/>
              </w:rPr>
              <w:t>in</w:t>
            </w:r>
            <w:r w:rsidRPr="005B7B7C">
              <w:t xml:space="preserve"> der </w:t>
            </w:r>
            <w:r w:rsidRPr="005B7B7C">
              <w:rPr>
                <w:b/>
                <w:i/>
              </w:rPr>
              <w:t>Ägäis teilweise abgebaut wurden</w:t>
            </w:r>
            <w:r w:rsidRPr="005B7B7C">
              <w:t>;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r>
            <w:r w:rsidRPr="005B7B7C">
              <w:rPr>
                <w:b/>
                <w:i/>
              </w:rPr>
              <w:t>betont</w:t>
            </w:r>
            <w:r w:rsidRPr="005B7B7C">
              <w:t xml:space="preserve">, </w:t>
            </w:r>
            <w:r w:rsidRPr="005B7B7C">
              <w:rPr>
                <w:b/>
                <w:i/>
              </w:rPr>
              <w:t>dass der etwaige Beitritt der Türkei zur EU von</w:t>
            </w:r>
            <w:r w:rsidRPr="005B7B7C">
              <w:t xml:space="preserve"> der </w:t>
            </w:r>
            <w:r w:rsidRPr="005B7B7C">
              <w:rPr>
                <w:b/>
                <w:i/>
              </w:rPr>
              <w:t xml:space="preserve">vollständigen </w:t>
            </w:r>
            <w:r w:rsidRPr="005B7B7C">
              <w:rPr>
                <w:b/>
                <w:i/>
              </w:rPr>
              <w:lastRenderedPageBreak/>
              <w:t>Einhaltung der Kopenhagener Kriterien</w:t>
            </w:r>
            <w:r w:rsidRPr="005B7B7C">
              <w:t xml:space="preserve"> und </w:t>
            </w:r>
            <w:r w:rsidRPr="005B7B7C">
              <w:rPr>
                <w:b/>
                <w:i/>
              </w:rPr>
              <w:t>von ihrer Normalisierung</w:t>
            </w:r>
            <w:r w:rsidRPr="005B7B7C">
              <w:t xml:space="preserve"> der </w:t>
            </w:r>
            <w:r w:rsidRPr="005B7B7C">
              <w:rPr>
                <w:b/>
                <w:i/>
              </w:rPr>
              <w:t>Beziehungen zu allen EU-Mitgliedstaaten, einschließlich der Republik Zypern, abhängt</w:t>
            </w:r>
            <w:r w:rsidRPr="005B7B7C">
              <w:t>; bekräftigt seine Besorgnis darüber, dass die Außenpolitik der Türkei weiterhin im Widerspruch zu den Prioritäten der EU im Rahmen der GASP steht;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334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Kinga Gál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teilweise abgebaut wurden; bekräftigt </w:t>
            </w:r>
            <w:r w:rsidRPr="005B7B7C">
              <w:rPr>
                <w:b/>
                <w:i/>
              </w:rPr>
              <w:t>seine Besorgnis darüber</w:t>
            </w:r>
            <w:r w:rsidRPr="005B7B7C">
              <w:t xml:space="preserve">, dass die </w:t>
            </w:r>
            <w:r w:rsidRPr="005B7B7C">
              <w:rPr>
                <w:b/>
                <w:i/>
              </w:rPr>
              <w:t>Außenpolitik der Türkei weiterhin im Widerspruch zu den Prioritäten der</w:t>
            </w:r>
            <w:r w:rsidRPr="005B7B7C">
              <w:t xml:space="preserve"> EU im </w:t>
            </w:r>
            <w:r w:rsidRPr="005B7B7C">
              <w:rPr>
                <w:b/>
                <w:i/>
              </w:rPr>
              <w:t>Rahmen der GASP steht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begrüßt, dass die der Spannungen im östlichen Mittelmeerraum und in der Ägäis teilweise abgebaut wurden; bekräftigt </w:t>
            </w:r>
            <w:r w:rsidRPr="005B7B7C">
              <w:rPr>
                <w:b/>
                <w:i/>
              </w:rPr>
              <w:t>seinen Standpunkt</w:t>
            </w:r>
            <w:r w:rsidRPr="005B7B7C">
              <w:t xml:space="preserve">, dass die </w:t>
            </w:r>
            <w:r w:rsidRPr="005B7B7C">
              <w:rPr>
                <w:b/>
                <w:i/>
              </w:rPr>
              <w:t>Türkei ein strategischer Partner ist, insbesondere wenn es darum geht, die illegale Migration in die</w:t>
            </w:r>
            <w:r w:rsidRPr="005B7B7C">
              <w:t xml:space="preserve"> EU </w:t>
            </w:r>
            <w:r w:rsidRPr="005B7B7C">
              <w:rPr>
                <w:b/>
                <w:i/>
              </w:rPr>
              <w:t xml:space="preserve">zu unterbinden sowie </w:t>
            </w:r>
            <w:r w:rsidRPr="005B7B7C">
              <w:t xml:space="preserve">im </w:t>
            </w:r>
            <w:r w:rsidRPr="005B7B7C">
              <w:rPr>
                <w:b/>
                <w:i/>
              </w:rPr>
              <w:t>Hinblick auf die militärische, wirtschaftliche und energiepolitische Zusammenarbeit zu stoppen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335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Hilde Vautmans, Lucia Yar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Beziehungen zur Türkei zu verbessern, </w:t>
            </w:r>
            <w:r w:rsidRPr="005B7B7C">
              <w:lastRenderedPageBreak/>
              <w:t>begrüßt, dass die der Spannungen im östlichen Mittelmeerraum und in der Ägäis teilweise abgebaut wurden;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r>
            <w:r w:rsidRPr="005B7B7C">
              <w:rPr>
                <w:b/>
                <w:i/>
              </w:rPr>
              <w:t xml:space="preserve">die Unsicherheiten im Hinblick auf die außenpolitischen Prioritäten der </w:t>
            </w:r>
            <w:r w:rsidRPr="005B7B7C">
              <w:rPr>
                <w:b/>
                <w:i/>
              </w:rPr>
              <w:lastRenderedPageBreak/>
              <w:t>Türkei;</w:t>
            </w:r>
            <w:r w:rsidRPr="005B7B7C">
              <w:t xml:space="preserve"> die Notwendigkeit, die Beziehungen zur Türkei zu verbessern, begrüßt, dass die der Spannungen im östlichen Mittelmeerraum und in der Ägäis teilweise abgebaut wurden; bekräftigt seine Besorgnis darüber, dass die Außenpolitik der Türkei weiterhin im Widerspruch zu den Prioritäten der EU im Rahmen der GASP steht;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336</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verbessern, begrüßt, dass die </w:t>
            </w:r>
            <w:r>
              <w:rPr>
                <w:b/>
                <w:i/>
              </w:rPr>
              <w:t>der Spannungen</w:t>
            </w:r>
            <w:r>
              <w:t xml:space="preserve"> im östlichen Mittelmeerraum und in der Ägäis teilweise abgebaut </w:t>
            </w:r>
            <w:r>
              <w:rPr>
                <w:b/>
                <w:bCs/>
                <w:i/>
                <w:iCs/>
              </w:rPr>
              <w:t>wurden</w:t>
            </w:r>
            <w:r>
              <w:t>; bekräftigt seine Besorgnis darüber, dass die Außenpolitik der Türkei weiterhin im Widerspruch zu den Prioritäten der EU im Rahmen der GASP steht;</w:t>
            </w:r>
          </w:p>
        </w:tc>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verbessern, begrüßt, dass die </w:t>
            </w:r>
            <w:r>
              <w:rPr>
                <w:b/>
                <w:i/>
              </w:rPr>
              <w:t>Aggression der Türkei</w:t>
            </w:r>
            <w:r>
              <w:t xml:space="preserve"> im östlichen Mittelmeerraum und in der Ägäis teilweise abgebaut </w:t>
            </w:r>
            <w:r>
              <w:rPr>
                <w:b/>
                <w:bCs/>
                <w:i/>
                <w:iCs/>
              </w:rPr>
              <w:t>wurde</w:t>
            </w:r>
            <w:r>
              <w:t xml:space="preserve">; bekräftigt seine Besorgnis darüber, dass die Außenpolitik der Türkei weiterhin </w:t>
            </w:r>
            <w:r>
              <w:rPr>
                <w:b/>
                <w:i/>
              </w:rPr>
              <w:t>von expansionistischen Ambitionen geleitet wird und</w:t>
            </w:r>
            <w:r>
              <w:t xml:space="preserve"> im Widerspruch zu den Prioritäten der EU im Rahmen der GASP steht;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337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Notwendigkeit, die </w:t>
            </w:r>
            <w:r w:rsidRPr="005B7B7C">
              <w:lastRenderedPageBreak/>
              <w:t xml:space="preserve">Beziehungen zur Türkei zu verbessern, begrüßt, dass die der Spannungen im östlichen Mittelmeerraum und in der Ägäis teilweise abgebaut wurden; bekräftigt seine Besorgnis darüber, dass die Außenpolitik der Türkei </w:t>
            </w:r>
            <w:r w:rsidRPr="005B7B7C">
              <w:rPr>
                <w:b/>
                <w:i/>
              </w:rPr>
              <w:t>weiterhin im Widerspruch zu den</w:t>
            </w:r>
            <w:r w:rsidRPr="005B7B7C">
              <w:t xml:space="preserve"> Prioritäten der EU im Rahmen der GASP </w:t>
            </w:r>
            <w:r w:rsidRPr="005B7B7C">
              <w:rPr>
                <w:b/>
                <w:i/>
              </w:rPr>
              <w:t>steht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Notwendigkeit, die </w:t>
            </w:r>
            <w:r w:rsidRPr="005B7B7C">
              <w:lastRenderedPageBreak/>
              <w:t xml:space="preserve">Beziehungen zur Türkei zu verbessern, begrüßt, dass die der Spannungen im östlichen Mittelmeerraum und in der Ägäis teilweise abgebaut wurden; bekräftigt seine Besorgnis darüber, dass die Außenpolitik der Türkei </w:t>
            </w:r>
            <w:r w:rsidRPr="005B7B7C">
              <w:rPr>
                <w:b/>
                <w:i/>
              </w:rPr>
              <w:t>nach wie vor nicht an die</w:t>
            </w:r>
            <w:r w:rsidRPr="005B7B7C">
              <w:t xml:space="preserve"> Prioritäten der EU im Rahmen der GASP </w:t>
            </w:r>
            <w:r w:rsidRPr="005B7B7C">
              <w:rPr>
                <w:b/>
                <w:i/>
              </w:rPr>
              <w:t>angeglichen wurde</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338</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verbessern, </w:t>
            </w:r>
            <w:r>
              <w:rPr>
                <w:b/>
                <w:i/>
              </w:rPr>
              <w:t>begrüßt, dass die der Spannungen im östlichen Mittelmeerraum und in der Ägäis teilweise abgebaut wurden; bekräftigt seine Besorgnis darüber, dass die Außenpolitik der Türkei weiterhin im Widerspruch zu den Prioritäten der EU im Rahmen der GASP steht</w:t>
            </w:r>
            <w:r>
              <w:t>;</w:t>
            </w:r>
          </w:p>
        </w:tc>
        <w:tc>
          <w:tcPr>
            <w:tcW w:w="4876" w:type="dxa"/>
            <w:tcBorders>
              <w:top w:val="nil"/>
              <w:left w:val="nil"/>
              <w:bottom w:val="nil"/>
              <w:right w:val="nil"/>
            </w:tcBorders>
          </w:tcPr>
          <w:p w:rsidR="00F30D4D" w:rsidRPr="00A004FF" w:rsidRDefault="00F30D4D" w:rsidP="008610E6">
            <w:pPr>
              <w:pStyle w:val="Normal6a"/>
            </w:pPr>
            <w:r>
              <w:t>–</w:t>
            </w:r>
            <w:r>
              <w:tab/>
              <w:t xml:space="preserve">die Notwendigkeit, die Beziehungen zur Türkei zu verbessern, </w:t>
            </w:r>
            <w:r>
              <w:rPr>
                <w:b/>
                <w:i/>
              </w:rPr>
              <w:t>die aufgrund ihrer revisionistischen Haltung das Völkerrecht, das Seerecht und den europäischen Besitzstand entgegen den Prioritäten der EU im Rahmen der GASP bedauerlicherweise nach wie vor missachtet, was zu anhaltenden Problemen in Griechenland und Zypern führt</w:t>
            </w:r>
            <w:r>
              <w:t>; ·</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339</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 xml:space="preserve">verurteilt die Ausfuhr von militärischem Material und militärischem Know-how in die Türkei, die gegen das </w:t>
            </w:r>
            <w:r>
              <w:rPr>
                <w:b/>
                <w:i/>
              </w:rPr>
              <w:lastRenderedPageBreak/>
              <w:t>Völkerrecht verstößt, indem sie</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- 38 % der Fläche der Republik Zypern besetzt hält;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 die Souveränität und die Hoheitsrechte Griechenlands und der Republik Zypern auf See und in der Luft verletzt;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 Truppen in Syrien und im Irak stationiert und dort militärische Operationen durchführt, wobei sie insbesondere ethnische Säuberungen vornimmt und genozidale Handlungen an Bevölkerungsgruppen begeht, wobei insbesondere auf die anhaltenden genozidalen Handlungen gegen die Kurden in der Türkei, in Syrien und im Irak hingewiesen sei;</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 die anhaltende Aggression Aserbaidschans gegen Armenien unterstützt;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Loucas Fourlas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fordert, dass der Status der Pufferzone und das Mandat der Friedenssicherungstruppen der Vereinten Nationen in Zypern geachtet werden; fordert die Türkei und die türkisch-zyprische Führung nachdrücklich auf, alle derartigen einseitigen Aktivitäten einzustellen bzw. rückgängig zu machen und von weiteren Maßnahmen und Provokationen einschließlich der zunehmenden Militarisierung der besetzten Gebiete der Republik Zypern durch die Türkei Abstand zu nehmen, die die Wiederaufnahme der Verhandlungen unter der Leitung der Vereinten Nationen </w:t>
            </w:r>
            <w:r w:rsidRPr="005B7B7C">
              <w:rPr>
                <w:b/>
                <w:i/>
              </w:rPr>
              <w:lastRenderedPageBreak/>
              <w:t>beeinträchtigen; fordert ein Engagement für friedliche Verhandlungen und einen echten Dialog im Einklang mit dem Rahmen der Vereinten Nationen;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Alberico Gambino, Carlo Fidanza, 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Notwendigkeit, die Probleme im Mittelmeerraum und den südlichen Nachbarländern, die auf den europäischen Kontinent übergreifen und eine eindeutige Bedrohung für die Sicherheit und Stabilität der euro-atlantischen Region darstellen, sorgfältiger zu prüfen;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342</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verurteilt das Fehlen von Initiativen zur Unterbindung der türkischen Aggression gegen die Republik Zypern, Griechenland, Syrien, Irak und Armenien sowie die anhaltenden genozidalen Handlungen der Türkei gegen 18 Millionen Kurden in der Türkei, Syrien und Irak;</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Loucas Fourlas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1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betont, dass der EU-Beitrittsprozess der Türkei ohne eine drastische Kursänderung durch die türkische Regierung nicht wieder aufgenommen werden kann; </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344</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p>
        </w:tc>
        <w:tc>
          <w:tcPr>
            <w:tcW w:w="4876" w:type="dxa"/>
            <w:tcBorders>
              <w:top w:val="nil"/>
              <w:left w:val="nil"/>
              <w:bottom w:val="nil"/>
              <w:right w:val="nil"/>
            </w:tcBorders>
          </w:tcPr>
          <w:p w:rsidR="00F30D4D" w:rsidRPr="00A004FF" w:rsidRDefault="00F30D4D" w:rsidP="008610E6">
            <w:pPr>
              <w:pStyle w:val="Normal6a"/>
            </w:pPr>
            <w:r>
              <w:rPr>
                <w:b/>
                <w:i/>
              </w:rPr>
              <w:t>–</w:t>
            </w:r>
            <w:r>
              <w:tab/>
            </w:r>
            <w:r>
              <w:rPr>
                <w:b/>
                <w:i/>
              </w:rPr>
              <w:t>fordert die Kommission auf, als Lösung für den Kurdenkonflikt die Umwandlung der Türkei in eine Föderation von zwei Gemeinschaften und zwei Gebieten, nämlich einem türkischen und einem kurdischen Föderalstaat, die politisch gleichberechtigt sind, in Erwägung zu ziehen, um die uneingeschränkte Achtung der Rechte der Kurden sicherzustellen;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Hermann Tertsch, Jorge Martín Frías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Dringlichkeit, dass die EU und die türkische Regierung einen gemeinsamen Reflexionsprozess voranbringen, der zu einer für beide Seiten vorteilhaften, dynamischeren und stärker strategisch ausgerichteten Partnerschaft führt,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Loucas Fourlas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Dringlichkeit, dass die EU und die türkische Regierung einen gemeinsamen Reflexionsprozess voranbringen, der zu einer für beide Seiten vorteilhaften, dynamischeren und stärker strategisch ausgerichteten Partnerschaft führt,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Hilde Vautmans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w:t>
            </w:r>
            <w:r w:rsidRPr="005B7B7C">
              <w:tab/>
            </w:r>
            <w:r w:rsidRPr="005B7B7C">
              <w:rPr>
                <w:b/>
                <w:i/>
              </w:rPr>
              <w:t>die Dringlichkeit, dass die EU und die türkische Regierung einen gemeinsamen Reflexionsprozess voranbringen, der zu einer für beide Seiten vorteilhaften, dynamischeren und stärker strategisch ausgerichteten Partnerschaft führt,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348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Costas Mavrides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Dringlichkeit, dass die EU und die türkische Regierung einen gemeinsamen Reflexionsprozess voranbringen, der zu einer für beide Seiten vorteilhaften, dynamischeren und stärker strategisch ausgerichteten Partnerschaft führt,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349</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Dringlichkeit, dass die EU und die türkische Regierung einen </w:t>
            </w:r>
            <w:r>
              <w:lastRenderedPageBreak/>
              <w:t xml:space="preserve">gemeinsamen Reflexionsprozess voranbringen, der zu einer für beide Seiten vorteilhaften, dynamischeren und stärker strategisch ausgerichteten Partnerschaft führt, wobei die Schlüsselrolle der Türkei in der Region </w:t>
            </w:r>
            <w:r>
              <w:rPr>
                <w:b/>
                <w:i/>
              </w:rPr>
              <w:t>und ihre Bedeutung als NATO-Verbündeter</w:t>
            </w:r>
            <w:r>
              <w:t xml:space="preserve"> zu berücksichtigen </w:t>
            </w:r>
            <w:r>
              <w:rPr>
                <w:b/>
                <w:i/>
              </w:rPr>
              <w:t>sind</w:t>
            </w:r>
            <w:r>
              <w:t>;</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Dringlichkeit, dass </w:t>
            </w:r>
            <w:r>
              <w:rPr>
                <w:b/>
                <w:i/>
              </w:rPr>
              <w:t xml:space="preserve">die Türkei die Republik Zypern anerkennt und ihre </w:t>
            </w:r>
            <w:r>
              <w:rPr>
                <w:b/>
                <w:i/>
              </w:rPr>
              <w:lastRenderedPageBreak/>
              <w:t>Verpflichtungen gegenüber Zypern zur ordnungsgemäßen Beilegung der Zypernfrage und zur Beendigung der illegalen Besetzung zyprischer Gebiete erfüllt, bevor</w:t>
            </w:r>
            <w:r>
              <w:t xml:space="preserve"> die EU und die türkische Regierung einen gemeinsamen Reflexionsprozess voranbringen, der zu einer für beide Seiten vorteilhaften, dynamischeren und stärker strategisch ausgerichteten Partnerschaft führt, wobei die Schlüsselrolle der Türkei in der Region zu berücksichtigen </w:t>
            </w:r>
            <w:r>
              <w:rPr>
                <w:b/>
                <w:bCs/>
                <w:i/>
                <w:iCs/>
              </w:rPr>
              <w:t>ist</w:t>
            </w:r>
            <w:r>
              <w:t>;</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Dringlichkeit, dass die EU und die türkische Regierung einen gemeinsamen Reflexionsprozess voranbringen, der zu einer für beide Seiten vorteilhaften, dynamischeren und </w:t>
            </w:r>
            <w:r w:rsidRPr="005B7B7C">
              <w:rPr>
                <w:b/>
                <w:i/>
              </w:rPr>
              <w:t>stärker strategisch ausgerichteten</w:t>
            </w:r>
            <w:r w:rsidRPr="005B7B7C">
              <w:t xml:space="preserve"> Partnerschaft führt</w:t>
            </w:r>
            <w:r w:rsidRPr="005B7B7C">
              <w:rPr>
                <w:b/>
                <w:i/>
              </w:rPr>
              <w:t>, wobei die Schlüsselrolle der Türkei in der Region und ihre Bedeutung als NATO-Verbündeter zu berücksichtigen sind</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Dringlichkeit, dass die EU und die türkische Regierung einen gemeinsamen Reflexionsprozess voranbringen, der zu einer für beide Seiten vorteilhaften, dynamischeren und </w:t>
            </w:r>
            <w:r w:rsidRPr="005B7B7C">
              <w:rPr>
                <w:b/>
                <w:i/>
              </w:rPr>
              <w:t>produktiveren</w:t>
            </w:r>
            <w:r w:rsidRPr="005B7B7C">
              <w:t xml:space="preserve"> Partnerschaft führt;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Vangelis Meimarakis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Dringlichkeit, dass</w:t>
            </w:r>
            <w:r w:rsidRPr="005B7B7C">
              <w:t xml:space="preserve"> die EU und </w:t>
            </w:r>
            <w:r w:rsidRPr="005B7B7C">
              <w:lastRenderedPageBreak/>
              <w:t>die türkische Regierung</w:t>
            </w:r>
            <w:r w:rsidRPr="005B7B7C">
              <w:rPr>
                <w:b/>
                <w:i/>
              </w:rPr>
              <w:t xml:space="preserve"> einen gemeinsamen Reflexionsprozess voranbringen, der zu einer</w:t>
            </w:r>
            <w:r w:rsidRPr="005B7B7C">
              <w:t xml:space="preserve"> für beide Seiten vorteilhaften, </w:t>
            </w:r>
            <w:r w:rsidRPr="005B7B7C">
              <w:rPr>
                <w:b/>
                <w:i/>
              </w:rPr>
              <w:t>dynamischeren</w:t>
            </w:r>
            <w:r w:rsidRPr="005B7B7C">
              <w:t xml:space="preserve"> und </w:t>
            </w:r>
            <w:r w:rsidRPr="005B7B7C">
              <w:rPr>
                <w:b/>
                <w:i/>
              </w:rPr>
              <w:t>stärker strategisch ausgerichteten Partnerschaft führt</w:t>
            </w:r>
            <w:r w:rsidRPr="005B7B7C">
              <w: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w:t>
            </w:r>
            <w:r w:rsidRPr="005B7B7C">
              <w:rPr>
                <w:b/>
                <w:i/>
              </w:rPr>
              <w:t>Bedeutung für</w:t>
            </w:r>
            <w:r w:rsidRPr="005B7B7C">
              <w:t xml:space="preserve"> die EU und die </w:t>
            </w:r>
            <w:r w:rsidRPr="005B7B7C">
              <w:lastRenderedPageBreak/>
              <w:t>türkische Regierung</w:t>
            </w:r>
            <w:r w:rsidRPr="005B7B7C">
              <w:rPr>
                <w:b/>
                <w:i/>
              </w:rPr>
              <w:t>, über Möglichkeiten zur Entwicklung einer kooperativen und</w:t>
            </w:r>
            <w:r w:rsidRPr="005B7B7C">
              <w:t xml:space="preserve"> für beide Seiten vorteilhaften</w:t>
            </w:r>
            <w:r w:rsidRPr="005B7B7C">
              <w:rPr>
                <w:b/>
                <w:i/>
              </w:rPr>
              <w:t xml:space="preserve"> strategischen Partnerschaft nachzudenken</w:t>
            </w:r>
            <w:r w:rsidRPr="005B7B7C">
              <w:t xml:space="preserve">, </w:t>
            </w:r>
            <w:r w:rsidRPr="005B7B7C">
              <w:rPr>
                <w:b/>
                <w:i/>
              </w:rPr>
              <w:t>wie dies zuletzt in den Schlussfolgerungen des Europäischen Rates vom 17.</w:t>
            </w:r>
            <w:r w:rsidRPr="005B7B7C">
              <w:t xml:space="preserve"> und </w:t>
            </w:r>
            <w:r w:rsidRPr="005B7B7C">
              <w:rPr>
                <w:b/>
                <w:i/>
              </w:rPr>
              <w:t>18. April 2024 zum Ausdruck gebracht wurde</w:t>
            </w:r>
            <w:r w:rsidRPr="005B7B7C">
              <w:t>, wobei die Schlüsselrolle der Türkei in der Region und ihre Bedeutung als NATO-Verbündeter zu berücksichtigen sind;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Emmanouil Kefalogiannis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Dringlichkeit, dass</w:t>
            </w:r>
            <w:r w:rsidRPr="005B7B7C">
              <w:t xml:space="preserve"> die EU und die türkische Regierung </w:t>
            </w:r>
            <w:r w:rsidRPr="005B7B7C">
              <w:rPr>
                <w:b/>
                <w:i/>
              </w:rPr>
              <w:t>einen gemeinsamen Reflexionsprozess voranbringen</w:t>
            </w:r>
            <w:r w:rsidRPr="005B7B7C">
              <w:t xml:space="preserve">, </w:t>
            </w:r>
            <w:r w:rsidRPr="005B7B7C">
              <w:rPr>
                <w:b/>
                <w:i/>
              </w:rPr>
              <w:t>der zu einer</w:t>
            </w:r>
            <w:r w:rsidRPr="005B7B7C">
              <w:t xml:space="preserve"> für beide Seiten </w:t>
            </w:r>
            <w:r w:rsidRPr="005B7B7C">
              <w:rPr>
                <w:b/>
                <w:i/>
              </w:rPr>
              <w:t>vorteilhaften</w:t>
            </w:r>
            <w:r w:rsidRPr="005B7B7C">
              <w:t xml:space="preserve">, </w:t>
            </w:r>
            <w:r w:rsidRPr="005B7B7C">
              <w:rPr>
                <w:b/>
                <w:i/>
              </w:rPr>
              <w:t>dynamischeren</w:t>
            </w:r>
            <w:r w:rsidRPr="005B7B7C">
              <w:t xml:space="preserve"> und </w:t>
            </w:r>
            <w:r w:rsidRPr="005B7B7C">
              <w:rPr>
                <w:b/>
                <w:i/>
              </w:rPr>
              <w:t>stärker strategisch ausgerichteten Partnerschaft führt</w:t>
            </w:r>
            <w:r w:rsidRPr="005B7B7C">
              <w: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Bedeutung für</w:t>
            </w:r>
            <w:r w:rsidRPr="005B7B7C">
              <w:t xml:space="preserve"> die EU und die türkische Regierung </w:t>
            </w:r>
            <w:r w:rsidRPr="005B7B7C">
              <w:rPr>
                <w:b/>
                <w:i/>
              </w:rPr>
              <w:t>darüber nachdenken</w:t>
            </w:r>
            <w:r w:rsidRPr="005B7B7C">
              <w:t xml:space="preserve">, </w:t>
            </w:r>
            <w:r w:rsidRPr="005B7B7C">
              <w:rPr>
                <w:b/>
                <w:i/>
              </w:rPr>
              <w:t>wie eine kooperative und</w:t>
            </w:r>
            <w:r w:rsidRPr="005B7B7C">
              <w:t xml:space="preserve"> für beide Seiten </w:t>
            </w:r>
            <w:r w:rsidRPr="005B7B7C">
              <w:rPr>
                <w:b/>
                <w:i/>
              </w:rPr>
              <w:t>vorteilhafte strategische Partnerschaft entwickelt werden kann</w:t>
            </w:r>
            <w:r w:rsidRPr="005B7B7C">
              <w:t xml:space="preserve">, </w:t>
            </w:r>
            <w:r w:rsidRPr="005B7B7C">
              <w:rPr>
                <w:b/>
                <w:i/>
              </w:rPr>
              <w:t>wie dies zuletzt in den Schlussfolgerungen des Europäischen Rates vom 17.</w:t>
            </w:r>
            <w:r w:rsidRPr="005B7B7C">
              <w:t xml:space="preserve"> und </w:t>
            </w:r>
            <w:r w:rsidRPr="005B7B7C">
              <w:rPr>
                <w:b/>
                <w:i/>
              </w:rPr>
              <w:t>18. April 2024 zum Ausdruck gebracht wurde</w:t>
            </w:r>
            <w:r w:rsidRPr="005B7B7C">
              <w:t>, wobei die Schlüsselrolle der Türkei in der Region und ihre Bedeutung als NATO-Verbündeter zu berücksichtigen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Dringlichkeit, dass</w:t>
            </w:r>
            <w:r w:rsidRPr="005B7B7C">
              <w:t xml:space="preserve"> die </w:t>
            </w:r>
            <w:r w:rsidRPr="005B7B7C">
              <w:rPr>
                <w:b/>
                <w:i/>
              </w:rPr>
              <w:t>EU und</w:t>
            </w:r>
            <w:r w:rsidRPr="005B7B7C">
              <w:t xml:space="preserve"> die </w:t>
            </w:r>
            <w:r w:rsidRPr="005B7B7C">
              <w:rPr>
                <w:b/>
                <w:i/>
              </w:rPr>
              <w:t xml:space="preserve">türkische Regierung einen </w:t>
            </w:r>
            <w:r w:rsidRPr="005B7B7C">
              <w:rPr>
                <w:b/>
                <w:i/>
              </w:rPr>
              <w:lastRenderedPageBreak/>
              <w:t>gemeinsamen Reflexionsprozess voranbringen, der zu</w:t>
            </w:r>
            <w:r w:rsidRPr="005B7B7C">
              <w:t xml:space="preserve"> einer für beide Seiten vorteilhaften</w:t>
            </w:r>
            <w:r w:rsidRPr="005B7B7C">
              <w:rPr>
                <w:b/>
                <w:i/>
              </w:rPr>
              <w:t>, dynamischeren</w:t>
            </w:r>
            <w:r w:rsidRPr="005B7B7C">
              <w:t xml:space="preserve"> und </w:t>
            </w:r>
            <w:r w:rsidRPr="005B7B7C">
              <w:rPr>
                <w:b/>
                <w:i/>
              </w:rPr>
              <w:t>stärker strategisch ausgerichteten</w:t>
            </w:r>
            <w:r w:rsidRPr="005B7B7C">
              <w:t xml:space="preserve"> Partnerschaft </w:t>
            </w:r>
            <w:r w:rsidRPr="005B7B7C">
              <w:rPr>
                <w:b/>
                <w:i/>
              </w:rPr>
              <w:t>führt, wobei die Schlüsselrolle der Türkei in der Region</w:t>
            </w:r>
            <w:r w:rsidRPr="005B7B7C">
              <w:t xml:space="preserve"> und </w:t>
            </w:r>
            <w:r w:rsidRPr="005B7B7C">
              <w:rPr>
                <w:b/>
                <w:i/>
              </w:rPr>
              <w:t>ihre Bedeutung als NATO-Verbündeter</w:t>
            </w:r>
            <w:r w:rsidRPr="005B7B7C">
              <w:t xml:space="preserve"> zu berücksichtigen </w:t>
            </w:r>
            <w:r w:rsidRPr="005B7B7C">
              <w:rPr>
                <w:b/>
                <w:i/>
              </w:rPr>
              <w:t>sind</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w:t>
            </w:r>
            <w:r w:rsidRPr="005B7B7C">
              <w:rPr>
                <w:b/>
                <w:i/>
              </w:rPr>
              <w:t>Notwendigkeit für</w:t>
            </w:r>
            <w:r w:rsidRPr="005B7B7C">
              <w:t xml:space="preserve"> die </w:t>
            </w:r>
            <w:r w:rsidRPr="005B7B7C">
              <w:rPr>
                <w:b/>
                <w:i/>
              </w:rPr>
              <w:t>türkische Regierung,</w:t>
            </w:r>
            <w:r w:rsidRPr="005B7B7C">
              <w:t xml:space="preserve"> die </w:t>
            </w:r>
            <w:r w:rsidRPr="005B7B7C">
              <w:rPr>
                <w:b/>
                <w:i/>
              </w:rPr>
              <w:t xml:space="preserve">Beziehungen zur </w:t>
            </w:r>
            <w:r w:rsidRPr="005B7B7C">
              <w:rPr>
                <w:b/>
                <w:i/>
              </w:rPr>
              <w:lastRenderedPageBreak/>
              <w:t>EU und ihren Mitgliedstaaten in</w:t>
            </w:r>
            <w:r w:rsidRPr="005B7B7C">
              <w:t xml:space="preserve"> einer für beide Seiten vorteilhaften</w:t>
            </w:r>
            <w:r w:rsidRPr="005B7B7C">
              <w:rPr>
                <w:b/>
                <w:i/>
              </w:rPr>
              <w:t xml:space="preserve"> Weise zu verbessern</w:t>
            </w:r>
            <w:r w:rsidRPr="005B7B7C">
              <w:t xml:space="preserve"> und </w:t>
            </w:r>
            <w:r w:rsidRPr="005B7B7C">
              <w:rPr>
                <w:b/>
                <w:i/>
              </w:rPr>
              <w:t>eine kooperative strategische</w:t>
            </w:r>
            <w:r w:rsidRPr="005B7B7C">
              <w:t xml:space="preserve"> Partnerschaft </w:t>
            </w:r>
            <w:r w:rsidRPr="005B7B7C">
              <w:rPr>
                <w:b/>
                <w:i/>
              </w:rPr>
              <w:t>gemäß dem Völkerrecht und den Schlussfolgerungen des Europäischen Rates vom 17.</w:t>
            </w:r>
            <w:r w:rsidRPr="005B7B7C">
              <w:t xml:space="preserve"> und </w:t>
            </w:r>
            <w:r w:rsidRPr="005B7B7C">
              <w:rPr>
                <w:b/>
                <w:i/>
              </w:rPr>
              <w:t>18. April 2024 zu entwickeln, wobei</w:t>
            </w:r>
            <w:r w:rsidRPr="005B7B7C">
              <w:t xml:space="preserve"> zu berücksichtigen </w:t>
            </w:r>
            <w:r w:rsidRPr="005B7B7C">
              <w:rPr>
                <w:b/>
                <w:i/>
              </w:rPr>
              <w:t>ist, dass die Türkei ein Mitglied der NATO ist</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Dringlichkeit, dass die EU und die türkische Regierung einen gemeinsamen Reflexionsprozess voranbringen, der zu einer für beide Seiten vorteilhaften, dynamischeren und stärker strategisch ausgerichteten Partnerschaft führt, wobei die Schlüsselrolle der Türkei in der </w:t>
            </w:r>
            <w:r w:rsidRPr="005B7B7C">
              <w:rPr>
                <w:b/>
                <w:i/>
              </w:rPr>
              <w:t>Region</w:t>
            </w:r>
            <w:r w:rsidRPr="005B7B7C">
              <w:t xml:space="preserve">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Dringlichkeit, dass die EU und die türkische Regierung einen gemeinsamen Reflexionsprozess voranbringen, der zu einer für beide Seiten vorteilhaften, dynamischeren und stärker strategisch ausgerichteten Partnerschaft führt, wobei die Schlüsselrolle der Türkei </w:t>
            </w:r>
            <w:r w:rsidRPr="005B7B7C">
              <w:rPr>
                <w:b/>
                <w:i/>
              </w:rPr>
              <w:t xml:space="preserve">zum Beispiel </w:t>
            </w:r>
            <w:r w:rsidRPr="005B7B7C">
              <w:t xml:space="preserve">in der </w:t>
            </w:r>
            <w:r w:rsidRPr="005B7B7C">
              <w:rPr>
                <w:b/>
                <w:i/>
              </w:rPr>
              <w:t>Schwarzmeerregion</w:t>
            </w:r>
            <w:r w:rsidRPr="005B7B7C">
              <w:t xml:space="preserve"> und ihre Bedeutung als NATO-Verbündeter zu berücksichtigen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w:t>
            </w:r>
            <w:r w:rsidRPr="005B7B7C">
              <w:rPr>
                <w:b/>
                <w:i/>
              </w:rPr>
              <w:t>Dringlichkeit</w:t>
            </w:r>
            <w:r w:rsidRPr="005B7B7C">
              <w:t xml:space="preserve">, dass die EU und die türkische Regierung einen gemeinsamen Reflexionsprozess voranbringen, der zu einer für beide Seiten </w:t>
            </w:r>
            <w:r w:rsidRPr="005B7B7C">
              <w:lastRenderedPageBreak/>
              <w:t>vorteilhaften, dynamischeren und stärker strategisch ausgerichteten Partnerschaft führt, wobei die Schlüsselrolle der Türkei in der Region und ihre Bedeutung als NATO-Verbündeter zu berücksichtigen sind;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w:t>
            </w:r>
            <w:r w:rsidRPr="005B7B7C">
              <w:rPr>
                <w:b/>
                <w:i/>
              </w:rPr>
              <w:t>Notwendigkeit</w:t>
            </w:r>
            <w:r w:rsidRPr="005B7B7C">
              <w:t xml:space="preserve">, dass die EU und die türkische Regierung einen gemeinsamen Reflexionsprozess voranbringen, der zu einer für beide Seiten </w:t>
            </w:r>
            <w:r w:rsidRPr="005B7B7C">
              <w:lastRenderedPageBreak/>
              <w:t>vorteilhaften, dynamischeren und stärker strategisch ausgerichteten Partnerschaft führt, wobei die Schlüsselrolle der Türkei in der Region und ihre Bedeutung als NATO-Verbündeter zu berücksichtigen sind;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Vangelis Meimarakis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das strategische Interesse der EU an einem stabilen und sicheren Umfeld im östlichen Mittelmeerraum und an der schrittweisen Entwicklung kooperativer und für beide Seiten vorteilhafter Beziehungen zur Türkei in verhältnismäßiger und umkehrbarer Weise, vorbehaltlich der in den Schlussfolgerungen des Europäischen Rates festgelegten Bedingungen;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Vangelis Meimarakis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2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besondere Bedeutung, die die Europäische Union in diesem Zusammenhang der Wiederaufnahme von Gesprächen zur Lösung der Zypernfrage und diesbezüglichen Fortschritten im Hinblick auf die weitere Verbesserung der Zusammenarbeit zwischen der EU und </w:t>
            </w:r>
            <w:r w:rsidRPr="005B7B7C">
              <w:rPr>
                <w:b/>
                <w:i/>
              </w:rPr>
              <w:lastRenderedPageBreak/>
              <w:t>der Türkei beimisst;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358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359</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 Roberto Vannacci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Tatsache, dass die Türkei unzureichende Anstrengungen unternimmt, um sich an die GASP der EU anzupassen, auch in Bezug auf Sanktionen und die Bekämpfung der Umgehung von Sanktionen, und dass die Türkei eng mit dem Sonderbeauftragten für die </w:t>
            </w:r>
            <w:r>
              <w:lastRenderedPageBreak/>
              <w:t>Umsetzung von EU-Sanktionen zusammenarbeiten muss; verurteilt die 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Tatsache, dass die Türkei unzureichende Anstrengungen unternimmt, um sich an die GASP der EU anzupassen, auch in Bezug auf Sanktionen und die Bekämpfung der Umgehung von Sanktionen, und dass die Türkei eng mit dem Sonderbeauftragten für die </w:t>
            </w:r>
            <w:r>
              <w:lastRenderedPageBreak/>
              <w:t xml:space="preserve">Umsetzung von EU-Sanktionen zusammenarbeiten muss; verurteilt die unakzeptable öffentlich bekundete Solidarität mit der terroristischen Organisation Hamas und ihre Unterstützung durch den türkischen Präsidenten; </w:t>
            </w:r>
            <w:r>
              <w:rPr>
                <w:b/>
                <w:i/>
              </w:rPr>
              <w:t>fordert den Rat auf, das feindselige geopolitische Verhalten der Türkei in der Region aufs Schärfste zu verurteilen und die EU-Beitrittsverhandlungen mit der Türkei sowie sämtliche mit dem Beitritt der Türkei verknüpften Finanzierungen und Programme der Union einzustellen;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360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 </w:t>
            </w:r>
            <w:r w:rsidRPr="005B7B7C">
              <w:rPr>
                <w:b/>
                <w:i/>
              </w:rPr>
              <w:t xml:space="preserve">bekräftigt seine Besorgnis über die anhaltende Verschlechterung der demokratischen Standards in der Türkei; weist darauf hin, dass auch die Türkei die EU mit ausländischer Manipulation von Informationen und Einflussnahme ins Visier nimmt und dass ihre Regierung die </w:t>
            </w:r>
            <w:r w:rsidRPr="005B7B7C">
              <w:rPr>
                <w:b/>
                <w:i/>
              </w:rPr>
              <w:lastRenderedPageBreak/>
              <w:t>Einführung eines Gesetzes über ausländische Agenten nach russischem Vorbild in Erwägung zieht;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361</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4 – </w:t>
      </w:r>
      <w:r w:rsidRPr="006416CF">
        <w:t>Spiegelstrich</w:t>
      </w:r>
      <w:r w:rsidRPr="00A004FF">
        <w:t xml:space="preserve"> 3</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r>
            <w:r w:rsidRPr="00A004FF">
              <w:rPr>
                <w:b/>
                <w:i/>
              </w:rPr>
              <w:t>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w:t>
            </w:r>
            <w:r w:rsidRPr="00A004FF">
              <w:t xml:space="preserve"> verurteilt die 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verurteilt die unakzeptable öffentlich bekundete Solidarität mit der terroristischen Organisation Hamas und ihre Unterstützung durch den türkischen Präsidenten;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362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 xml:space="preserve">die Tatsache, dass die Türkei unzureichende Anstrengungen unternimmt, um sich an die GASP der EU anzupassen, auch in Bezug auf Sanktionen und die Bekämpfung der Umgehung von Sanktionen, und dass die </w:t>
            </w:r>
            <w:r w:rsidRPr="005B7B7C">
              <w:rPr>
                <w:b/>
                <w:i/>
              </w:rPr>
              <w:lastRenderedPageBreak/>
              <w:t>Türkei eng mit dem Sonderbeauftragten für die Umsetzung von EU-Sanktionen zusammenarbeiten muss;</w:t>
            </w:r>
            <w:r w:rsidRPr="005B7B7C">
              <w:t xml:space="preserve"> verurteilt die</w:t>
            </w:r>
            <w:r w:rsidRPr="005B7B7C">
              <w:rPr>
                <w:b/>
                <w:i/>
              </w:rPr>
              <w:t xml:space="preserve"> unakzeptable</w:t>
            </w:r>
            <w:r w:rsidRPr="005B7B7C">
              <w:t xml:space="preserv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verurteilt die öffentlich bekundete Solidarität mit der terroristischen Organisation Hamas und ihre Unterstützung durch den türkischen Präsidenten;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363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Costas Mavrides,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w:t>
            </w:r>
            <w:r w:rsidRPr="005B7B7C">
              <w:rPr>
                <w:b/>
                <w:i/>
              </w:rPr>
              <w:t>betont in diesem Zusammenhang, dass das Europäische Amt für Betrugsbekämpfung der Europäischen Union (OLAF) die Untersuchung eines Schlupflochs eingeleitet hat, das es Ländern wie der Türkei ermöglicht, russisches Erdöl umzuetikettieren und in die EU auszuführen;</w:t>
            </w:r>
            <w:r w:rsidRPr="005B7B7C">
              <w:t xml:space="preserve"> verurteilt die unakzeptable öffentlich bekundete Solidarität mit der terroristischen Organisation Hamas und ihre Unterstützung durch den türkischen Präsidenten;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364</w:t>
      </w:r>
      <w:r>
        <w:rPr>
          <w:rStyle w:val="HideTWBExt"/>
        </w:rPr>
        <w:t>&lt;/NumAm&gt;</w:t>
      </w:r>
    </w:p>
    <w:p w:rsidR="00F30D4D" w:rsidRPr="00A004FF" w:rsidRDefault="00F30D4D" w:rsidP="00F30D4D">
      <w:pPr>
        <w:pStyle w:val="NormalBold"/>
      </w:pPr>
      <w:r>
        <w:rPr>
          <w:rStyle w:val="HideTWBExt"/>
          <w:b w:val="0"/>
        </w:rPr>
        <w:lastRenderedPageBreak/>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A004FF" w:rsidRDefault="00F30D4D" w:rsidP="008610E6">
            <w:pPr>
              <w:pStyle w:val="Normal6a"/>
            </w:pPr>
            <w:r>
              <w:t>–</w:t>
            </w:r>
            <w:r>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w:t>
            </w:r>
            <w:r>
              <w:rPr>
                <w:b/>
                <w:i/>
              </w:rPr>
              <w:t>begrüßt Berichte, wonach die Türkei die Ausfuhr von aus den USA stammenden Produkten nach Russland blockiert hat, die Russlands militärischen Operationen zugutekommen;</w:t>
            </w:r>
            <w:r>
              <w:t xml:space="preserve"> verurteilt die unakzeptable öffentlich bekundete Solidarität mit der terroristischen Organisation Hamas und ihre Unterstützung durch den türkischen Präsidenten;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365</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w:t>
            </w:r>
            <w:r>
              <w:lastRenderedPageBreak/>
              <w:t>unakzeptable öffentlich bekundete Solidarität mit der terroristischen Organisation Hamas und ihre Unterstützung durch den türkischen Präsidenten;</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w:t>
            </w:r>
            <w:r>
              <w:lastRenderedPageBreak/>
              <w:t>unakzeptable öffentlich bekundete Solidarität mit der terroristischen Organisation Hamas und ihre Unterstützung durch den türkischen Präsidenten</w:t>
            </w:r>
            <w:r>
              <w:rPr>
                <w:b/>
                <w:i/>
              </w:rPr>
              <w:t>, wobei die Hamas auf türkischem Gebiet aufgenommen wird</w:t>
            </w:r>
            <w:r>
              <w:t>;</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366</w:t>
      </w:r>
      <w:r>
        <w:rPr>
          <w:rStyle w:val="HideTWBExt"/>
        </w:rPr>
        <w:t>&lt;/NumAm&gt;</w:t>
      </w:r>
    </w:p>
    <w:p w:rsidR="00F30D4D" w:rsidRPr="00A004FF" w:rsidRDefault="00F30D4D" w:rsidP="00F30D4D">
      <w:pPr>
        <w:pStyle w:val="NormalBold"/>
      </w:pPr>
      <w:r>
        <w:rPr>
          <w:rStyle w:val="HideTWBExt"/>
          <w:b w:val="0"/>
        </w:rPr>
        <w:t>&lt;RepeatBlock-By&gt;&lt;Members&gt;</w:t>
      </w:r>
      <w:r>
        <w:t>Geadis Geadi, Emmanouil Fragkos, Fernand Kartheiser, Charlie Weimers</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w:t>
            </w:r>
            <w:r>
              <w:rPr>
                <w:b/>
                <w:bCs/>
                <w:i/>
                <w:iCs/>
              </w:rPr>
              <w:t>;</w:t>
            </w:r>
          </w:p>
        </w:tc>
        <w:tc>
          <w:tcPr>
            <w:tcW w:w="4876" w:type="dxa"/>
            <w:tcBorders>
              <w:top w:val="nil"/>
              <w:left w:val="nil"/>
              <w:bottom w:val="nil"/>
              <w:right w:val="nil"/>
            </w:tcBorders>
          </w:tcPr>
          <w:p w:rsidR="00F30D4D" w:rsidRPr="00A004FF" w:rsidRDefault="00F30D4D" w:rsidP="008610E6">
            <w:pPr>
              <w:pStyle w:val="Normal6a"/>
            </w:pPr>
            <w:r>
              <w:t>–</w:t>
            </w:r>
            <w:r>
              <w:tab/>
              <w:t xml:space="preserve">die Tatsache, dass die Türkei unzureichende Anstrengungen unternimmt, um sich an die GASP der EU anzupassen, auch in Bezug auf Sanktionen und die Bekämpfung der Umgehung von Sanktionen, und dass die Türkei eng mit dem Sonderbeauftragten für die Umsetzung von EU-Sanktionen zusammenarbeiten muss; verurteilt die unakzeptable öffentlich bekundete Solidarität mit der terroristischen Organisation Hamas und ihre Unterstützung durch den türkischen Präsidenten </w:t>
            </w:r>
            <w:r>
              <w:rPr>
                <w:b/>
                <w:i/>
              </w:rPr>
              <w:t>sowie die Drohungen gegen den Staat Israel;</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367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Emmanouil Kefalogiannis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3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das strategische Interesse der EU an einem stabilen und sicheren Umfeld im östlichen Mittelmeerraum und an der schrittweisen Entwicklung kooperativer und für beide Seiten vorteilhafter Beziehungen zur Türkei in verhältnismäßiger und umkehrbarer Weise, vorbehaltlich der in den Schlussfolgerungen des Europäischen Rates festgelegten Bedingungen;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368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Sebastiaan Stöteler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3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weist darauf hin, dass die Türkei die Kopenhagener Kriterien nicht erfüllt; fordert den Rat in diesem Sinne auf, die EU-Beitrittsverhandlungen mit der Türkei sowie alle mit einem potenziellen EU-Beitritt der Türkei verbundenen EU-Finanzierungen und -Programme einzustellen;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369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Aufforderung an die Türkei, in ihrer Nachbarschaft an einem konstruktiven und weder nach Dominanz strebenden noch aggressiven Ansatz zu </w:t>
            </w:r>
            <w:r w:rsidRPr="005B7B7C">
              <w:rPr>
                <w:b/>
                <w:i/>
              </w:rPr>
              <w:lastRenderedPageBreak/>
              <w:t>arbeiten;</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Loucas Fourlas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Aufforderung an die Türkei, die Grundsätze gutnachbarlicher Beziehungen uneingeschränkt einzuhalten und alle Handlungen einzustellen, die Spannungen im östlichen Mittelmeerraum verursachen, und zwar im Einklang mit dem Völkerrecht, einschließlich des Seerechtsübereinkommens der Vereinten Nationen (SRÜ); </w:t>
            </w:r>
            <w:r w:rsidRPr="005B7B7C">
              <w:rPr>
                <w:b/>
                <w:i/>
              </w:rPr>
              <w:t>betont die Notwendigkeit einer verstärkten Solidarität und Zusammenarbeit der EU beim Schutz der souveränen Rechte der Mitgliedstaaten in dieser strategisch wichtigen Region;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r w:rsidRPr="005B7B7C">
              <w:rPr>
                <w:b/>
                <w:i/>
              </w:rPr>
              <w:t>, wobei betont wird, dass die Beziehungen zu Armenien als Schritt zur Normalisierung der Beziehungen im Südkaukasus normalisiert werden müssen;</w:t>
            </w:r>
            <w:r w:rsidRPr="005B7B7C">
              <w:t xml:space="preserve"> </w:t>
            </w:r>
            <w:r w:rsidRPr="005B7B7C">
              <w:rPr>
                <w:b/>
                <w:i/>
              </w:rPr>
              <w:t xml:space="preserve">fordert die Türkei nachdrücklich </w:t>
            </w:r>
            <w:r w:rsidRPr="005B7B7C">
              <w:rPr>
                <w:b/>
                <w:i/>
              </w:rPr>
              <w:lastRenderedPageBreak/>
              <w:t>auf, keine Vorbedingungen für die Normalisierung im Zusammenhang mit ihrer Unterstützung Aserbaidschans zu schaffen und die Grenze zwischen Armenien und der Türkei zu öffnen;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Yannis Maniatis, Costas Mavrides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r w:rsidRPr="005B7B7C">
              <w:rPr>
                <w:b/>
                <w:i/>
              </w:rPr>
              <w:t xml:space="preserve"> und ihre Bemühungen um eine Aufwertung des abtrünnigen Gebildes im rechtswidrig besetzten Gebiet der Republik Zypern einzustellen, was die Anstrengungen zur Wiederaufnahme Verhandlungen unter der Leitung der Vereinten Nationen gefährdet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373</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 Jorge Martín Frías, Hermann Tertsch, Roberto Vannacci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Aufforderung an die Türkei, in ihrer Nachbarschaft an einem konstruktiven und weder nach Dominanz strebenden noch aggressiven Ansatz zu arbeiten;</w:t>
            </w:r>
          </w:p>
        </w:tc>
        <w:tc>
          <w:tcPr>
            <w:tcW w:w="4876" w:type="dxa"/>
            <w:tcBorders>
              <w:top w:val="nil"/>
              <w:left w:val="nil"/>
              <w:bottom w:val="nil"/>
              <w:right w:val="nil"/>
            </w:tcBorders>
          </w:tcPr>
          <w:p w:rsidR="00F30D4D" w:rsidRPr="00A004FF" w:rsidRDefault="00F30D4D" w:rsidP="008610E6">
            <w:pPr>
              <w:pStyle w:val="Normal6a"/>
            </w:pPr>
            <w:r>
              <w:t>–</w:t>
            </w:r>
            <w:r>
              <w:tab/>
              <w:t xml:space="preserve">die Aufforderung an die Türkei, in ihrer Nachbarschaft an einem konstruktiven und weder nach Dominanz strebenden noch aggressiven Ansatz zu arbeiten; </w:t>
            </w:r>
            <w:r>
              <w:rPr>
                <w:b/>
                <w:i/>
              </w:rPr>
              <w:t xml:space="preserve">verurteilt in diesem Zusammenhang die Rolle der Türkei im </w:t>
            </w:r>
            <w:r>
              <w:rPr>
                <w:b/>
                <w:i/>
              </w:rPr>
              <w:lastRenderedPageBreak/>
              <w:t>Konflikt zwischen Armenien und Aserbaidschan, die unter anderem auf syrische Dschihadisten gesetzt hat, um das Regime von İntiqam Əliyev zu unterstützen;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Aufforderung an die Türkei, in ihrer Nachbarschaft an einem konstruktiven und weder nach Dominanz strebenden noch aggressiven Ansatz zu arbeiten</w:t>
            </w:r>
            <w:r w:rsidRPr="005B7B7C">
              <w:rPr>
                <w:b/>
                <w:bCs/>
                <w:i/>
                <w:iCs/>
              </w:rPr>
              <w:t>, und gleichzeitig Verständnis für die Sicherheitsbedenken der Türkei, insbesondere die vom Terrorismus ausgehenden Bedrohungen, aufzubringen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Costas Mavrides,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Forderung, dass der Status der Pufferzone und das Mandat der Friedenssicherungstruppen der Vereinten Nationen in Zypern geachtet werden; fordert die Türkei und die türkisch-zyprische Führung nachdrücklich auf, alle derartigen einseitigen Aktivitäten einzustellen bzw. rückgängig zu machen </w:t>
            </w:r>
            <w:r w:rsidRPr="005B7B7C">
              <w:rPr>
                <w:b/>
                <w:i/>
              </w:rPr>
              <w:lastRenderedPageBreak/>
              <w:t>und von weiteren Maßnahmen und Provokationen einschließlich der zunehmenden Militarisierung der besetzten Gebiete der Republik Zypern durch die Türkei Abstand zu nehmen, die die Wiederaufnahme der Verhandlungen unter der Leitung der Vereinten Nationen beeinträchtigen; fordert ein Engagement für friedliche Verhandlungen und einen echten Dialog im Einklang mit dem Rahmen der Vereinten Nationen;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Yannis Maniatis, Costas Mavrides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das strategische Interesse an einem stabilen und sicheren östlichen Mittelmeerraum mit für beide Seiten vorteilhaften Beziehungen zu allen Akteuren auf der Grundlage der Achtung der Menschenrechte, des Völkerrechts und des </w:t>
            </w:r>
            <w:r w:rsidRPr="005B7B7C">
              <w:rPr>
                <w:b/>
                <w:i/>
              </w:rPr>
              <w:cr/>
            </w:r>
            <w:r w:rsidRPr="005B7B7C">
              <w:rPr>
                <w:b/>
                <w:i/>
              </w:rPr>
              <w:br/>
              <w:t>Seerechtsübereinkommens der Vereinten Nationen in den Bereichen ökologischer Wandel, Energieversorgungssicherheit, Bekämpfung von Extremismus und Terrorismus sowie des illegalen Waffenhandels und Menschenhandels;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Emmanouil Kefalogiannis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besondere Bedeutung, die die Europäische Union in diesem Zusammenhang der Wiederaufnahme von Gesprächen zur Lösung der Zypernfrage und diesbezüglichen Fortschritten im Hinblick auf die weitere Verbesserung der Zusammenarbeit zwischen der EU und der Türkei beimisst;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Sven Mikser, Alessandra Moretti, Yannis Maniatis, 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fordert, dass die Unvereinbarkeiten zwischen der Kandidatur der Türkei für den Beitritt zu den BRICS±-Ländern und der GASP der EU sorgfältig analysiert werden;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379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Tatsache, dass das Gesetz über die Transparenz ausländischer Einflussnahme, das Gesetz zu Familienwerten und zum Schutz Minderjähriger sowie die Änderungen des Wahlgesetzes in Georgien nicht mit den Werten und demokratischen Grundsätzen </w:t>
            </w:r>
            <w:r w:rsidRPr="005B7B7C">
              <w:rPr>
                <w:b/>
                <w:i/>
              </w:rPr>
              <w:lastRenderedPageBreak/>
              <w:t>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rPr>
                <w:b/>
                <w:i/>
              </w:rPr>
              <w:lastRenderedPageBreak/>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Nathalie Loiseau, Urmas Paet, Hilde Vautmans, Lucia Yar, Petras Auštrevičius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 anhaltenden Rückschritte bei den demokratischen Standards in Georgien trotz und parallel zur Zuerkennung des EU-Bewerberstatus am 14. Dezember 2023, wie dies die Einschüchterungen und Unregelmäßigkeiten bei der Parlamentswahl vom 26. Oktober 2024 deutlich gemacht haben;</w:t>
            </w:r>
            <w:r w:rsidRPr="005B7B7C">
              <w:t xml:space="preserve"> 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 </w:t>
            </w:r>
            <w:r w:rsidRPr="005B7B7C">
              <w:rPr>
                <w:b/>
                <w:i/>
              </w:rPr>
              <w:t xml:space="preserve">stimmt mit den Schlussfolgerungen des Europäischen Rates vom 27. Juni 2024 überein, wonach eine Fortsetzung des derzeitiges Vorgehens Georgiens Weg in die EU gefährdet und de facto zum </w:t>
            </w:r>
            <w:r w:rsidRPr="005B7B7C">
              <w:rPr>
                <w:b/>
                <w:i/>
              </w:rPr>
              <w:lastRenderedPageBreak/>
              <w:t>Aussetzen des Beitrittsprozesses führt; fordert die EU auf, sinnvoll auf die richtungsweisenden Auswirkungen der jüngsten unfairen Wahlen auf Demokratie und Rechtsstaatlichkeit in Georgien zu reagieren;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Petras Auštrevičius, Dan Barna, Urmas Paet, Ilhan Kyuchyuk, Lucia Yar, Marie-Agnes Strack-Zimmermann, Nathalie Loiseau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 </w:t>
            </w:r>
            <w:r w:rsidRPr="005B7B7C">
              <w:rPr>
                <w:b/>
                <w:i/>
              </w:rPr>
              <w:t xml:space="preserve">bedauert zutiefst die ungleichen Ausgangsbedingungen bei den jüngsten Parlamentswahlen, die spaltende Wahlkampfrhetorik, die die Bevölkerung weiter polarisiert hat, und die gemeldeten Unregelmäßigkeiten, die Bedenken hinsichtlich der Möglichkeit einiger Wähler aufkommen lassen, ihre Stimme abzugeben, ohne Vergeltungsmaßnahmen befürchten zu müssen; fordert die staatlichen Stellen Georgiens auf, dem Willen des georgischen Volkes Rechnung zu tragen, der EU beizutreten, und daher für freie und faire Wahlen zu sorgen, </w:t>
            </w:r>
            <w:r w:rsidRPr="005B7B7C">
              <w:rPr>
                <w:b/>
                <w:i/>
              </w:rPr>
              <w:lastRenderedPageBreak/>
              <w:t>demokratische Rückschritte zu stoppen, Gesetze wieder abzuschaffen, die die europäische Zukunft Georgiens gefährden, und proeuropäische demokratische Reformen voranzutreiben;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382</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A004FF" w:rsidRDefault="00F30D4D" w:rsidP="008610E6">
            <w:pPr>
              <w:pStyle w:val="Normal6a"/>
            </w:pPr>
            <w:r>
              <w:t>–</w:t>
            </w:r>
            <w:r>
              <w:tab/>
              <w:t xml:space="preserve">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 </w:t>
            </w:r>
            <w:r>
              <w:rPr>
                <w:b/>
                <w:i/>
              </w:rPr>
              <w:t>ist äußerst besorgt über die jüngsten Erklärungen des ehemaligen georgischen Premierministers und Oligarchen Bidzina Iwanischwili, der unter anderem die Auflösung der Oppositionsparteien des Landes im Falle eines Wahlsiegs der Partei „Georgischer Traum“ ankündigte; ist der Ansicht, dass es angesichts dieser Umstände derzeit nicht möglich ist, die EU-Mitgliedschaft Georgiens voranzubringen;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383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Nacho Sánchez Amor, Sven Mikser, Alessandra Moretti, Yannis Maniatis, Vasile Dîncu, Hana Jalloul Muro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 </w:t>
            </w:r>
            <w:r w:rsidRPr="005B7B7C">
              <w:rPr>
                <w:b/>
                <w:i/>
              </w:rPr>
              <w:t>stellt fest, dass die Bürger Georgiens unter Beweis gestellt haben, dass sie den demokratischen Werten verpflichtet sind und dass ihr Land Fortschritte bei der Integration in die EU erzielt hat; betont, dass die Rückschritte bei der Demokratie in Georgien rückgängig gemacht werden müssen und ein günstiges Umfeld für die Medien, die Zivilgesellschaft und die Opposition gewährleistet werden muss;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Urmas Paet, Hilde Vautmans, Petras Auštrevičius, Lucia Yar, Nathalie Loiseau, Ilhan Kyuchyuk</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das Gesetz über die Transparenz ausländischer </w:t>
            </w:r>
            <w:r w:rsidRPr="005B7B7C">
              <w:lastRenderedPageBreak/>
              <w:t>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Tatsache, dass das Gesetz über die Transparenz ausländischer </w:t>
            </w:r>
            <w:r w:rsidRPr="005B7B7C">
              <w:lastRenderedPageBreak/>
              <w:t xml:space="preserve">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 </w:t>
            </w:r>
            <w:r w:rsidRPr="005B7B7C">
              <w:rPr>
                <w:b/>
                <w:i/>
              </w:rPr>
              <w:t>hält es für äußerst bedauerlich, dass die georgischen Staatsorgane es den Bürgern des Landes bei den Parlamentswahlen nicht gestattet haben, zwischen der Rückkehr auf den Weg zum Beitritt zur Europäischen Union und einer Vertiefung des Autoritarismus frei zu wählen;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 </w:t>
            </w:r>
            <w:r w:rsidRPr="005B7B7C">
              <w:rPr>
                <w:b/>
                <w:i/>
              </w:rPr>
              <w:t xml:space="preserve">hat mit Besorgnis den angespanntem und stark polarisierten Wahlkampf im Vorfeld der </w:t>
            </w:r>
            <w:r w:rsidRPr="005B7B7C">
              <w:rPr>
                <w:b/>
                <w:i/>
              </w:rPr>
              <w:lastRenderedPageBreak/>
              <w:t>Parlamentswahl in Georgien im Oktober 2024 beobachtet und ist besorgt über die Rückschritte im Land in Bezug auf die Demokratie;</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 Tatsache, dass das Gesetz über die Transparenz ausländischer Einflussnahme, das Gesetz zu Familienwerten und zum Schutz Minderjähriger sowie die Änderungen des Wahlgesetzes in Georgien nicht mit den Werten und demokratischen Grundsätzen der EU vereinbar sind;</w:t>
            </w:r>
            <w:r w:rsidRPr="005B7B7C">
              <w:t xml:space="preserve">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weist darauf hin, dass Georgiens Bewerbung um den Beitritt zur EU weiterhin auf der Grundlage seiner eigenen Verdienste und des Erfolgs des Landes im Hinblick auf die Erfüllung der Kopenhagener Kriterien für die EU-Mitgliedschaft bewertet wird;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Kinga Gál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 xml:space="preserve">die Tatsache, dass das Gesetz über die Transparenz ausländischer Einflussnahme, das Gesetz zu Familienwerten und zum Schutz Minderjähriger sowie die Änderungen des </w:t>
            </w:r>
            <w:r w:rsidRPr="005B7B7C">
              <w:rPr>
                <w:b/>
                <w:i/>
              </w:rPr>
              <w:lastRenderedPageBreak/>
              <w:t>Wahlgesetzes in Georgien nicht mit den Werten und demokratischen Grundsätzen der EU vereinbar sind;</w:t>
            </w:r>
            <w:r w:rsidRPr="005B7B7C">
              <w:t xml:space="preserve">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weist darauf hin, dass Georgiens Bewerbung um den Beitritt zur EU weiterhin auf der Grundlage seiner eigenen Verdienste und des Erfolgs des Landes im Hinblick auf die Erfüllung der </w:t>
            </w:r>
            <w:r w:rsidRPr="005B7B7C">
              <w:lastRenderedPageBreak/>
              <w:t>Kopenhagener Kriterien für die EU-Mitgliedschaft bewertet wird;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Cristian Terheş</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i/>
              </w:rPr>
              <w:t>die Tatsache, dass das Gesetz über die Transparenz ausländischer Einflussnahme, das Gesetz zu Familienwerten und zum Schutz Minderjähriger sowie die Änderungen des Wahlgesetzes in Georgien nicht mit den Werten und demokratischen Grundsätzen der EU vereinbar sind;</w:t>
            </w:r>
            <w:r w:rsidRPr="005B7B7C">
              <w:t xml:space="preserve">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weist darauf hin, dass Georgiens Bewerbung um den Beitritt zur EU weiterhin auf der Grundlage seiner eigenen Verdienste und des Erfolgs des Landes im Hinblick auf die Erfüllung der Kopenhagener Kriterien für die EU-Mitgliedschaft bewertet wird;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389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 Michał Dworczyk</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an die EU gerichtete Bewerbung weiterhin auf der Grundlage seiner eigenen Verdienste und des Erfolgs des Landes im Hinblick auf die Erfüllung der Kopenhagener Kriterien für die EU-Mitgliedschaft bewertet wird; </w:t>
            </w:r>
            <w:r w:rsidRPr="005B7B7C">
              <w:rPr>
                <w:b/>
                <w:i/>
              </w:rPr>
              <w:t>weist darauf hin, dass sich Georgien gleichzeitig an die zentralen außenpolitischen und sicherheitspolitischen Grundsätze der EU, einschließlich der Einhaltung der Sanktionen gegen Russland, anpassen sollte;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w:t>
            </w:r>
            <w:r w:rsidRPr="005B7B7C">
              <w:lastRenderedPageBreak/>
              <w:t>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die Tatsache, dass das Gesetz über die Transparenz ausländischer Einflussnahme, das Gesetz zu Familienwerten und zum Schutz Minderjähriger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w:t>
            </w:r>
            <w:r w:rsidRPr="005B7B7C">
              <w:lastRenderedPageBreak/>
              <w:t xml:space="preserve">Mitgliedschaft bewertet wird; </w:t>
            </w:r>
            <w:r w:rsidRPr="005B7B7C">
              <w:rPr>
                <w:b/>
                <w:i/>
              </w:rPr>
              <w:t>ist besorgt über die Unregelmäßigkeiten bei den Wahlen vom 27. Oktober 2024 und der Wende in Richtung illiberaler Verhältnisse in Georgien;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w:t>
            </w:r>
            <w:r w:rsidRPr="005B7B7C">
              <w:rPr>
                <w:b/>
                <w:i/>
              </w:rPr>
              <w:t>, das Gesetz zu Familienwerten und zum Schutz Minderjähriger</w:t>
            </w:r>
            <w:r w:rsidRPr="005B7B7C">
              <w:t xml:space="preserve">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Tatsache, dass das Gesetz über die Transparenz ausländischer Einflussnahme sowie die Änderungen des Wahlgesetzes in Georgien nicht mit den Werten und demokratischen Grundsätzen der EU vereinbar sind; weist darauf hin, dass Georgiens Bewerbung um den Beitritt zur EU weiterhin auf der Grundlage seiner eigenen Verdienste und des Erfolgs des Landes im Hinblick auf die Erfüllung der Kopenhagener Kriterien für die EU-Mitgliedschaft bewertet wird;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das Gesetz über die Transparenz ausländischer Einflussnahme, das Gesetz zu Familienwerten und zum Schutz </w:t>
            </w:r>
            <w:r w:rsidRPr="005B7B7C">
              <w:lastRenderedPageBreak/>
              <w:t xml:space="preserve">Minderjähriger sowie die Änderungen des Wahlgesetzes in Georgien </w:t>
            </w:r>
            <w:r w:rsidRPr="005B7B7C">
              <w:rPr>
                <w:b/>
                <w:i/>
              </w:rPr>
              <w:t>nicht</w:t>
            </w:r>
            <w:r w:rsidRPr="005B7B7C">
              <w:t xml:space="preserve"> mit den Werten und demokratischen Grundsätzen der EU </w:t>
            </w:r>
            <w:r w:rsidRPr="005B7B7C">
              <w:rPr>
                <w:b/>
                <w:i/>
              </w:rPr>
              <w:t>vereinbar</w:t>
            </w:r>
            <w:r w:rsidRPr="005B7B7C">
              <w:t xml:space="preserve"> sind;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Tatsache, dass das Gesetz über die Transparenz ausländischer Einflussnahme, das Gesetz zu Familienwerten und zum Schutz </w:t>
            </w:r>
            <w:r w:rsidRPr="005B7B7C">
              <w:lastRenderedPageBreak/>
              <w:t xml:space="preserve">Minderjähriger sowie die Änderungen des Wahlgesetzes in Georgien mit den Werten und demokratischen Grundsätzen der EU </w:t>
            </w:r>
            <w:r w:rsidRPr="005B7B7C">
              <w:rPr>
                <w:b/>
                <w:i/>
              </w:rPr>
              <w:t>nicht unvereinbar</w:t>
            </w:r>
            <w:r w:rsidRPr="005B7B7C">
              <w:t xml:space="preserve"> sind; weist darauf hin, dass Georgiens Bewerbung um den Beitritt zur EU weiterhin auf der Grundlage seiner eigenen Verdienste und des Erfolgs des Landes im Hinblick auf die Erfüllung der Kopenhagener Kriterien für die EU-Mitgliedschaft bewertet wird;</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393</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4 – </w:t>
      </w:r>
      <w:r w:rsidRPr="006416CF">
        <w:t>Spiegelstrich</w:t>
      </w:r>
      <w:r w:rsidRPr="00A004FF">
        <w:t xml:space="preserve"> 5</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die Tatsache, dass </w:t>
            </w:r>
            <w:r w:rsidRPr="00A004FF">
              <w:rPr>
                <w:b/>
                <w:i/>
              </w:rPr>
              <w:t>das Gesetz</w:t>
            </w:r>
            <w:r w:rsidRPr="00A004FF">
              <w:t xml:space="preserve"> über die Transparenz ausländischer Einflussnahme, </w:t>
            </w:r>
            <w:r w:rsidRPr="00A004FF">
              <w:rPr>
                <w:b/>
                <w:i/>
              </w:rPr>
              <w:t>das Gesetz</w:t>
            </w:r>
            <w:r w:rsidRPr="00A004FF">
              <w:t xml:space="preserve"> zu Familienwerten und zum Schutz Minderjähriger sowie die Änderungen des Wahlgesetzes in Georgien </w:t>
            </w:r>
            <w:r w:rsidRPr="00A004FF">
              <w:rPr>
                <w:b/>
                <w:i/>
              </w:rPr>
              <w:t>nicht mit den Werten und demokratischen Grundsätzen der EU vereinbar sind</w:t>
            </w:r>
            <w:r w:rsidRPr="00A004FF">
              <w:t>; weist darauf hin, dass Georgiens Bewerbung um den Beitritt zur EU weiterhin auf der Grundlage seiner eigenen Verdienste und des Erfolgs des Landes im Hinblick auf die Erfüllung der Kopenhagener Kriterien für die EU-Mitgliedschaft bewertet wird;</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die Tatsache, dass </w:t>
            </w:r>
            <w:r w:rsidRPr="00A004FF">
              <w:rPr>
                <w:b/>
                <w:i/>
              </w:rPr>
              <w:t>die Verabschiedung des Gesetzes</w:t>
            </w:r>
            <w:r w:rsidRPr="00A004FF">
              <w:t xml:space="preserve"> über die Transparenz ausländischer Einflussnahme, </w:t>
            </w:r>
            <w:r w:rsidRPr="00A004FF">
              <w:rPr>
                <w:b/>
                <w:i/>
              </w:rPr>
              <w:t>des Gesetzes</w:t>
            </w:r>
            <w:r w:rsidRPr="00A004FF">
              <w:t xml:space="preserve"> zu Familienwerten und zum Schutz Minderjähriger sowie die Änderungen des Wahlgesetzes in Georgien </w:t>
            </w:r>
            <w:r w:rsidRPr="00A004FF">
              <w:rPr>
                <w:b/>
                <w:i/>
              </w:rPr>
              <w:t>ein souveränes Recht Georgiens ist</w:t>
            </w:r>
            <w:r w:rsidRPr="00A004FF">
              <w:t>; weist darauf hin, dass Georgiens Bewerbung um den Beitritt zur EU weiterhin auf der Grundlage seiner eigenen Verdienste und des Erfolgs des Landes im Hinblick auf die Erfüllung der Kopenhagener Kriterien für die EU-Mitgliedschaft bewertet wird;</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5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Beobachtung, dass Russland und China zu wichtigen Akteuren in der südlichen Nachbarschaft, insbesondere Nordafrika, geworden sind, während die Türkei und die Golfstaaten, darunter das Königreich Saudi-Arabien, Katar und die Vereinigten Arabischen Emirate, sich zu regionalen Kräften entwickelt haben; vertritt die Auffassung, dass bei der Idee einer einzigen „Nachbarschaft“ die jeweils unterschiedlichen Herausforderungen für Ost- und Südeuropa außer Acht gelassen werden; fordert den HR/VP und die Kommission auf, angemessene Ressourcen für die rechtzeitige und wirksame Umsetzung des neuen Pakts für den Mittelmeerraum sicherzustellen; bekräftigt, dass ein dynamisches Netz strategischer Partnerschaften, das jeweils auf die spezifischen Bedürfnisse und Erwartungen jedes Landes in unserer südlichen Nachbarschaft zugeschnitten ist, im Mittelpunkt dieses neuen Pakts stehen sollte; ist in diesem Zusammenhang der Ansicht, dass die EU eine gründliche Überprüfung der derzeitigen Anreizstruktur vornehmen sollte, bei der das Versprechen von finanzieller Unterstützung und Handelsvorteilen mit im Gegenzug betriebenen politischen und wirtschaftlichen Reformen kombiniert wird; dafür zu sorgen, dass dies mit den weiter gefassten Zielen der EU, einschließlich der Förderung der Menschenrechte und der demokratischen Werte, im Einklang steht; betont, dass die EU nicht nur der bilateralen Zusammenarbeit Vorrang einräumen sollte, sondern auch weiterhin die regionale Zusammenarbeit durch bestehende Rahmen wie die Union für den Mittelmeerraum fördern sollte, die eine wertvolle Plattform für die Förderung des Dialogs und des </w:t>
            </w:r>
            <w:r w:rsidRPr="005B7B7C">
              <w:rPr>
                <w:b/>
                <w:i/>
              </w:rPr>
              <w:lastRenderedPageBreak/>
              <w:t>gemeinsamen Handelns in Fragen von gemeinsamem Interesse bietet;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396</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 Jorge Martín Frías, Hermann Tertsch</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w:t>
            </w:r>
            <w:r>
              <w:lastRenderedPageBreak/>
              <w:t>intensivieren, unter anderem, um die Umgehung der Sanktionen gegen Russland und Belarus anzugehen;</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w:t>
            </w:r>
            <w:r>
              <w:lastRenderedPageBreak/>
              <w:t xml:space="preserve">intensivieren, unter anderem, um die Umgehung der Sanktionen gegen Russland und Belarus anzugehen; </w:t>
            </w:r>
            <w:r>
              <w:rPr>
                <w:b/>
                <w:i/>
              </w:rPr>
              <w:t>betont, dass die zentralasiatischen Länder wichtige Wirtschaftspartner sind, wenn es darum geht, die Energieautonomie der EU durch die Versorgung mit kritischen Metallen sicherzustellen, da diese für die Energiewende auf dem Kontinent unerlässlich sind;</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 </w:t>
            </w:r>
            <w:r w:rsidRPr="005B7B7C">
              <w:rPr>
                <w:b/>
                <w:i/>
              </w:rPr>
              <w:t>fordert ein erneuertes europäisches Engagement gegenüber unseren Partnern in der Region, damit der Druck Russlands und Chinas von ihnen genommen wird; verweist auf die Bedeutung der Region für die europäische Energiesicherheit und den Handel mit wichtigen Rohstoffen;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398</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lastRenderedPageBreak/>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4 – </w:t>
      </w:r>
      <w:r w:rsidRPr="006416CF">
        <w:t>Spiegelstrich</w:t>
      </w:r>
      <w:r w:rsidRPr="00A004FF">
        <w:t xml:space="preserve"> 6</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r>
            <w:r w:rsidRPr="00A004FF">
              <w:rPr>
                <w:b/>
                <w:i/>
              </w:rPr>
              <w:t>die Sorge über den von Russland und China in Zentralasien ausgeübten Druck und betont, dass die dortige Präsenz der EU als Reaktion darauf verstärkt werden muss;</w:t>
            </w:r>
            <w:r w:rsidRPr="00A004FF">
              <w:t xml:space="preserve"> betont, dass die EU daran interessiert ist, die Wirtschaftsbeziehungen zu stärken und die politischen Beziehungen zu den Ländern Zentralasiens zu intensivieren</w:t>
            </w:r>
            <w:r w:rsidRPr="00A004FF">
              <w:rPr>
                <w:b/>
                <w:i/>
              </w:rPr>
              <w:t>, unter anderem, um die Umgehung der Sanktionen gegen Russland und Belarus anzugehen</w:t>
            </w:r>
            <w:r w:rsidRPr="00A004FF">
              <w:t>;</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betont, dass die EU daran interessiert ist, die Wirtschaftsbeziehungen zu stärken und die politischen Beziehungen zu den Ländern Zentralasiens zu intensivieren;</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399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Sorge über den von Russland und China in </w:t>
            </w:r>
            <w:r w:rsidRPr="005B7B7C">
              <w:rPr>
                <w:b/>
                <w:i/>
              </w:rPr>
              <w:t>Zentralasien</w:t>
            </w:r>
            <w:r w:rsidRPr="005B7B7C">
              <w:t xml:space="preserve">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Sorge über den von Russland und China in </w:t>
            </w:r>
            <w:r w:rsidRPr="005B7B7C">
              <w:rPr>
                <w:b/>
                <w:i/>
              </w:rPr>
              <w:t>der Region</w:t>
            </w:r>
            <w:r w:rsidRPr="005B7B7C">
              <w:t xml:space="preserve"> ausgeübten Druck und betont, dass die dortige Präsenz der EU als Reaktion darauf verstärkt werden muss; betont, dass die EU daran interessiert ist, die Wirtschaftsbeziehungen zu stärken und die politischen Beziehungen zu den Ländern Zentralasiens</w:t>
            </w:r>
            <w:r w:rsidRPr="005B7B7C">
              <w:rPr>
                <w:b/>
                <w:i/>
              </w:rPr>
              <w:t xml:space="preserve"> und des Südkaukasus sowie zu den Golfstaaten</w:t>
            </w:r>
            <w:r w:rsidRPr="005B7B7C">
              <w:t xml:space="preserve"> zu intensivieren, unter anderem, um die Umgehung der Sanktionen gegen Russland und Belarus anzugehen;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400</w:t>
      </w:r>
      <w:r w:rsidRPr="005B7B7C">
        <w:rPr>
          <w:rStyle w:val="HideTWBExt"/>
        </w:rPr>
        <w:t>&lt;/NumAm&gt;</w:t>
      </w:r>
    </w:p>
    <w:p w:rsidR="00F30D4D" w:rsidRPr="005B7B7C" w:rsidRDefault="00F30D4D" w:rsidP="00F30D4D">
      <w:pPr>
        <w:pStyle w:val="NormalBold"/>
      </w:pPr>
      <w:r w:rsidRPr="005B7B7C">
        <w:rPr>
          <w:rStyle w:val="HideTWBExt"/>
          <w:b w:val="0"/>
        </w:rPr>
        <w:lastRenderedPageBreak/>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bCs/>
                <w:i/>
                <w:iCs/>
              </w:rPr>
              <w:t>die Sorge über den von Russland und China in Zentralasien ausgeübten Druck</w:t>
            </w:r>
            <w:r w:rsidRPr="005B7B7C">
              <w:t xml:space="preserve"> und betont, </w:t>
            </w:r>
            <w:r w:rsidRPr="005B7B7C">
              <w:rPr>
                <w:b/>
                <w:bCs/>
                <w:i/>
                <w:iCs/>
              </w:rPr>
              <w:t>dass die dortige Präsenz der EU als Reaktion darauf verstärkt werden muss</w:t>
            </w:r>
            <w:r w:rsidRPr="005B7B7C">
              <w:t>;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r>
            <w:r w:rsidRPr="005B7B7C">
              <w:rPr>
                <w:b/>
                <w:bCs/>
                <w:i/>
                <w:iCs/>
              </w:rPr>
              <w:t>das Bewusstsein für den Druck, den Russland und China in Zentralasien ausüben,</w:t>
            </w:r>
            <w:r w:rsidRPr="005B7B7C">
              <w:t xml:space="preserve"> und betont</w:t>
            </w:r>
            <w:r w:rsidRPr="005B7B7C">
              <w:rPr>
                <w:b/>
                <w:bCs/>
                <w:i/>
                <w:iCs/>
              </w:rPr>
              <w:t>, dass bei jedem Engagement der EU in der Region die Souveränität der zentralasiatischen Länder geachtet werden muss und politische Maßnahmen vermieden werden müssen, die als Einmischung von außen wahrgenommen werden könnten</w:t>
            </w:r>
            <w:r w:rsidRPr="005B7B7C">
              <w:t>; betont, dass die EU daran interessiert ist, die Wirtschaftsbeziehungen zu stärken und die politischen Beziehungen zu den Ländern Zentralasiens zu intensivieren, unter anderem, um die Umgehung der Sanktionen gegen Russland und Belarus anzugehen;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Sorge über den von Russland und China in Zentralasien ausgeübten Druck</w:t>
            </w:r>
            <w:r w:rsidRPr="005B7B7C">
              <w:rPr>
                <w:b/>
                <w:i/>
              </w:rPr>
              <w:t xml:space="preserve"> und betont, dass die dortige Präsenz der EU als Reaktion darauf verstärkt werden muss</w:t>
            </w:r>
            <w:r w:rsidRPr="005B7B7C">
              <w:t>;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Sorge über den von Russland und China in Zentralasien ausgeübten Druck; betont, dass die EU daran interessiert ist, die Wirtschaftsbeziehungen zu stärken und die politischen Beziehungen zu den Ländern Zentralasiens zu intensivieren, unter anderem, um die Umgehung der Sanktionen gegen Russland und Belarus anzugehen;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Sorge über den von Russland und China in Zentralasien ausgeübten Druck und betont, dass die dortige Präsenz der EU </w:t>
            </w:r>
            <w:r w:rsidRPr="005B7B7C">
              <w:rPr>
                <w:b/>
                <w:i/>
              </w:rPr>
              <w:t xml:space="preserve">angesichts der geostrategischen Bedeutung der Region </w:t>
            </w:r>
            <w:r w:rsidRPr="005B7B7C">
              <w:t>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403</w:t>
      </w:r>
      <w:r>
        <w:rPr>
          <w:rStyle w:val="HideTWBExt"/>
        </w:rPr>
        <w:t>&lt;/NumAm&gt;</w:t>
      </w:r>
    </w:p>
    <w:p w:rsidR="00F30D4D" w:rsidRPr="00A004FF" w:rsidRDefault="00F30D4D" w:rsidP="00F30D4D">
      <w:pPr>
        <w:pStyle w:val="NormalBold"/>
      </w:pPr>
      <w:r>
        <w:rPr>
          <w:rStyle w:val="HideTWBExt"/>
          <w:b w:val="0"/>
        </w:rPr>
        <w:t>&lt;RepeatBlock-By&gt;&lt;Members&gt;</w:t>
      </w:r>
      <w:r>
        <w:t>Emmanouil Fragkos, Galato Alexandraki, Geadis Geadi</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4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w:t>
            </w:r>
            <w:r>
              <w:tab/>
              <w:t xml:space="preserve">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w:t>
            </w:r>
            <w:r>
              <w:lastRenderedPageBreak/>
              <w:t>Umgehung der Sanktionen gegen Russland und Belarus anzugehen;</w:t>
            </w:r>
          </w:p>
        </w:tc>
        <w:tc>
          <w:tcPr>
            <w:tcW w:w="4876" w:type="dxa"/>
            <w:tcBorders>
              <w:top w:val="nil"/>
              <w:left w:val="nil"/>
              <w:bottom w:val="nil"/>
              <w:right w:val="nil"/>
            </w:tcBorders>
          </w:tcPr>
          <w:p w:rsidR="00F30D4D" w:rsidRPr="00A004FF" w:rsidRDefault="00F30D4D" w:rsidP="008610E6">
            <w:pPr>
              <w:pStyle w:val="Normal6a"/>
            </w:pPr>
            <w:r>
              <w:lastRenderedPageBreak/>
              <w:t>–</w:t>
            </w:r>
            <w:r>
              <w:tab/>
              <w:t xml:space="preserve">die Sorge über den von </w:t>
            </w:r>
            <w:r>
              <w:rPr>
                <w:b/>
                <w:i/>
              </w:rPr>
              <w:t>der Türkei,</w:t>
            </w:r>
            <w:r>
              <w:t xml:space="preserve">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w:t>
            </w:r>
            <w:r>
              <w:lastRenderedPageBreak/>
              <w:t>anderem, um die Umgehung der Sanktionen gegen Russland und Belarus anzugehen;</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{EL}</w:t>
      </w:r>
      <w:r w:rsidRPr="00A004FF">
        <w:t>el</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David McAllister</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die Sorge über den von Russland und China in Zentralasien ausgeübten Druck und betont, dass die dortige Präsenz der EU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Antonio López-Istúriz White</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Bedeutung der strategischen Relevanz der südlichen Nachbarschaft, ihrer Stabilität, ihrer wirtschaftlichen Entwicklung und ihres Wohlstands; weist auf deren Relevanz und auf die Einmischung strategischer Wettbewerber in diesem Gebiet hin und fordert die Europäische Union nachdrücklich auf, eine solide und klare politische Botschaft </w:t>
            </w:r>
            <w:r w:rsidRPr="005B7B7C">
              <w:rPr>
                <w:b/>
                <w:i/>
              </w:rPr>
              <w:lastRenderedPageBreak/>
              <w:t>zu senden, wie wichtig ein erneuertes Modell der Zusammenarbeit mit diesen Ländern ist; weist erneut darauf hin, dass die Instabilität und Unsicherheit in der europäischen Nachbarschaft im Süden eine fortwährende Herausforderung für den Schutz der europäischen Außengrenzen darstellt;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Gahler, 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strategische Bedeutung der Taiwanstraße und des indopazifischen Raums angesichts der zunehmenden chinesischen Einschüchterungsversuche, die in der Region – auch mit militärischen und hybriden Mitteln – unternommen werden, und betont, dass die Präsenz der EU in den Regionen als Reaktion darauf gestärkt werden muss; unterstreicht das Interesse der EU an einer Intensivierung der Wirtschaftsbeziehungen und substanzieller Verbindungen zu gleichgesinnten Partnern in der Region, einschließlich Taiwans;</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Vasile Dîncu</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der Schwerpunkt auf der Verwirklichung der Rechenschaftspflicht im Cyberraum durch die Nutzung des Instrumentariums der EU für die digitale Diplomatie und die Aufmerksamkeit, die der weltweite Stärkung der Cyberabwehrfähigkeit gewidmet wird; fordert, dass der Schwerpunkt verstärkt auf den Aufbau der Cyberabwehrfähigkeit in den sich entwickelnden Demokratien gelegt wird, die mit hybriden Herausforderungen für ihre Wahlsysteme konfrontiert sind;</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Kinga Gál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betont, dass die Länder Zentralasiens wichtige Wirtschaftspartner sind, wenn es darum geht, die Energieautonomie der EU sicherzustellen;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409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Antonio López-Istúriz White</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6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 xml:space="preserve">die Wirksamkeit der Umsetzung einer Golfstrategie, mit dem Ziel, Fortschritte bei strategischen Partnerschaftsabkommen mit jedem der Golfstaaten zu erzielen und mit ihnen </w:t>
            </w:r>
            <w:r w:rsidRPr="005B7B7C">
              <w:rPr>
                <w:b/>
                <w:i/>
              </w:rPr>
              <w:lastRenderedPageBreak/>
              <w:t>zusammenzuarbeiten, um die Sicherheit und den Wohlstand in der Region und der ganzen Welt zu fördern;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Michał Dworczyk</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die Arktis von geostrategischer ist, was die Ausweitung </w:t>
            </w:r>
            <w:r w:rsidRPr="005B7B7C">
              <w:rPr>
                <w:b/>
                <w:i/>
              </w:rPr>
              <w:t>möglicher</w:t>
            </w:r>
            <w:r w:rsidRPr="005B7B7C">
              <w:t xml:space="preserve"> Seerouten, den Zugang zu natürlichen Ressourcen, den Klimaschutz, Gebietsansprüche, unter anderem aufgrund der militärischen Expansion Russlands im hohen Norden, und die Freiheit und Sicherheit der Schifffahrt betrifft;</w:t>
            </w:r>
          </w:p>
        </w:tc>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die Arktis von geostrategischer </w:t>
            </w:r>
            <w:r w:rsidRPr="005B7B7C">
              <w:rPr>
                <w:b/>
                <w:i/>
              </w:rPr>
              <w:t xml:space="preserve">Bedeutung </w:t>
            </w:r>
            <w:r w:rsidRPr="005B7B7C">
              <w:t xml:space="preserve">ist, was die Ausweitung </w:t>
            </w:r>
            <w:r w:rsidRPr="005B7B7C">
              <w:rPr>
                <w:b/>
                <w:i/>
              </w:rPr>
              <w:t>potenzieller</w:t>
            </w:r>
            <w:r w:rsidRPr="005B7B7C">
              <w:t xml:space="preserve"> Seerouten, den Zugang zu natürlichen Ressourcen, den Klimaschutz, Gebietsansprüche, unter anderem aufgrund der militärischen Expansion Russlands im hohen Norden, und die Freiheit und Sicherheit der Schifffahrt </w:t>
            </w:r>
            <w:r w:rsidRPr="005B7B7C">
              <w:rPr>
                <w:b/>
                <w:i/>
              </w:rPr>
              <w:t xml:space="preserve">sowie die Tatsache </w:t>
            </w:r>
            <w:r w:rsidRPr="005B7B7C">
              <w:t>betrifft</w:t>
            </w:r>
            <w:r w:rsidRPr="005B7B7C">
              <w:rPr>
                <w:b/>
                <w:i/>
              </w:rPr>
              <w:t>, dass sich China Selbstausrufung zu einem „arktisnahen Staat“ proklamiert hat sich in enger Partnerschaft mit Russland darum bemüht, eine polare Seidenstraße zu entwickeln;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Ana Miguel Pedro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die Arktis von geostrategischer ist, was die Ausweitung möglicher Seerouten, den Zugang zu natürlichen Ressourcen, den Klimaschutz, Gebietsansprüche, </w:t>
            </w:r>
            <w:r w:rsidRPr="005B7B7C">
              <w:rPr>
                <w:b/>
                <w:i/>
              </w:rPr>
              <w:t xml:space="preserve">unter anderem </w:t>
            </w:r>
            <w:r w:rsidRPr="005B7B7C">
              <w:rPr>
                <w:b/>
                <w:i/>
              </w:rPr>
              <w:lastRenderedPageBreak/>
              <w:t>aufgrund der militärischen</w:t>
            </w:r>
            <w:r w:rsidRPr="005B7B7C">
              <w:t xml:space="preserve"> Expansion Russlands im hohen Norden, und die Freiheit und Sicherheit der Schifffahrt </w:t>
            </w:r>
            <w:r w:rsidRPr="005B7B7C">
              <w:rPr>
                <w:b/>
                <w:i/>
              </w:rPr>
              <w:t>betrifft</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die Tatsache, dass die Arktis von geostrategischer ist, was die Ausweitung möglicher Seerouten, den Zugang zu natürlichen Ressourcen, den Klimaschutz, Gebietsansprüche</w:t>
            </w:r>
            <w:r w:rsidRPr="005B7B7C">
              <w:rPr>
                <w:b/>
                <w:i/>
              </w:rPr>
              <w:t>; betont</w:t>
            </w:r>
            <w:r w:rsidRPr="005B7B7C">
              <w:t xml:space="preserve">, </w:t>
            </w:r>
            <w:r w:rsidRPr="005B7B7C">
              <w:rPr>
                <w:b/>
                <w:i/>
              </w:rPr>
              <w:t xml:space="preserve">dass diese </w:t>
            </w:r>
            <w:r w:rsidRPr="005B7B7C">
              <w:rPr>
                <w:b/>
                <w:i/>
              </w:rPr>
              <w:lastRenderedPageBreak/>
              <w:t>Bedeutung nicht nur durch die militärische</w:t>
            </w:r>
            <w:r w:rsidRPr="005B7B7C">
              <w:t xml:space="preserve"> Expansion Russlands im hohen Norden, </w:t>
            </w:r>
            <w:r w:rsidRPr="005B7B7C">
              <w:rPr>
                <w:b/>
                <w:i/>
              </w:rPr>
              <w:t xml:space="preserve">sondern auch durch die zunehmende Präsenz </w:t>
            </w:r>
            <w:r w:rsidRPr="005B7B7C">
              <w:t xml:space="preserve">und </w:t>
            </w:r>
            <w:r w:rsidRPr="005B7B7C">
              <w:rPr>
                <w:b/>
                <w:i/>
              </w:rPr>
              <w:t xml:space="preserve">das wachsende Interesse Chinas an der Region deutlich wird; betont, dass </w:t>
            </w:r>
            <w:r w:rsidRPr="005B7B7C">
              <w:t xml:space="preserve">die Freiheit und Sicherheit der Schifffahrt </w:t>
            </w:r>
            <w:r w:rsidRPr="005B7B7C">
              <w:rPr>
                <w:b/>
                <w:i/>
              </w:rPr>
              <w:t>angesichts des zunehmenden Einflusses und der Militarisierung beider Staaten gewährleistet werden muss</w:t>
            </w:r>
            <w:r w:rsidRPr="005B7B7C">
              <w: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412</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4 – </w:t>
      </w:r>
      <w:r w:rsidRPr="006416CF">
        <w:t>Spiegelstrich</w:t>
      </w:r>
      <w:r w:rsidRPr="00A004FF">
        <w:t xml:space="preserve"> 7</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w:t>
            </w:r>
            <w:r w:rsidRPr="00A004FF">
              <w:tab/>
              <w:t>die Tatsache, dass die Arktis von geostrategischer ist, was die Ausweitung möglicher Seerouten, den Zugang zu natürlichen Ressourcen, den Klimaschutz</w:t>
            </w:r>
            <w:r w:rsidRPr="00A004FF">
              <w:rPr>
                <w:b/>
                <w:i/>
              </w:rPr>
              <w:t>, Gebietsansprüche, unter anderem aufgrund der militärischen Expansion Russlands im hohen Norden,</w:t>
            </w:r>
            <w:r w:rsidRPr="00A004FF">
              <w:t xml:space="preserve"> und die Freiheit und Sicherheit der Schifffahrt betrifft;</w:t>
            </w:r>
          </w:p>
        </w:tc>
        <w:tc>
          <w:tcPr>
            <w:tcW w:w="4876" w:type="dxa"/>
            <w:tcBorders>
              <w:top w:val="nil"/>
              <w:left w:val="nil"/>
              <w:bottom w:val="nil"/>
              <w:right w:val="nil"/>
            </w:tcBorders>
          </w:tcPr>
          <w:p w:rsidR="00F30D4D" w:rsidRPr="00A004FF" w:rsidRDefault="00F30D4D" w:rsidP="008610E6">
            <w:pPr>
              <w:pStyle w:val="Normal6a"/>
            </w:pPr>
            <w:r w:rsidRPr="00A004FF">
              <w:t>–</w:t>
            </w:r>
            <w:r w:rsidRPr="00A004FF">
              <w:tab/>
              <w:t xml:space="preserve">die Tatsache, dass die Arktis von geostrategischer </w:t>
            </w:r>
            <w:r w:rsidRPr="00A004FF">
              <w:rPr>
                <w:b/>
                <w:i/>
              </w:rPr>
              <w:t>Bedeutung</w:t>
            </w:r>
            <w:r w:rsidRPr="00A004FF">
              <w:t xml:space="preserve"> ist, was die Ausweitung möglicher Seerouten, den Zugang zu natürlichen Ressourcen, den Klimaschutz und die Freiheit und Sicherheit der Schifffahrt betrifft;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w:t>
            </w:r>
            <w:r w:rsidRPr="005B7B7C">
              <w:tab/>
              <w:t xml:space="preserve">die Tatsache, dass die Arktis von geostrategischer ist, was die Ausweitung möglicher Seerouten, den Zugang zu natürlichen Ressourcen, den Klimaschutz, </w:t>
            </w:r>
            <w:r w:rsidRPr="005B7B7C">
              <w:lastRenderedPageBreak/>
              <w:t>Gebietsansprüche</w:t>
            </w:r>
            <w:r w:rsidRPr="005B7B7C">
              <w:rPr>
                <w:b/>
                <w:i/>
              </w:rPr>
              <w:t>, unter anderem aufgrund der militärischen Expansion Russlands im hohen Norden,</w:t>
            </w:r>
            <w:r w:rsidRPr="005B7B7C">
              <w:t xml:space="preserve"> und die Freiheit und Sicherheit der Schifffahrt betrifft;</w:t>
            </w:r>
          </w:p>
        </w:tc>
        <w:tc>
          <w:tcPr>
            <w:tcW w:w="4876" w:type="dxa"/>
            <w:tcBorders>
              <w:top w:val="nil"/>
              <w:left w:val="nil"/>
              <w:bottom w:val="nil"/>
              <w:right w:val="nil"/>
            </w:tcBorders>
          </w:tcPr>
          <w:p w:rsidR="00F30D4D" w:rsidRPr="005B7B7C" w:rsidRDefault="00F30D4D" w:rsidP="008610E6">
            <w:pPr>
              <w:pStyle w:val="Normal6a"/>
            </w:pPr>
            <w:r w:rsidRPr="005B7B7C">
              <w:lastRenderedPageBreak/>
              <w:t>–</w:t>
            </w:r>
            <w:r w:rsidRPr="005B7B7C">
              <w:tab/>
              <w:t xml:space="preserve">die Tatsache, dass die Arktis von geostrategischer ist, was die Ausweitung möglicher Seerouten, den Zugang zu natürlichen Ressourcen, den Klimaschutz, </w:t>
            </w:r>
            <w:r w:rsidRPr="005B7B7C">
              <w:lastRenderedPageBreak/>
              <w:t>Gebietsansprüche und die Freiheit und Sicherheit der Schifffahrt betrifft;</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Sven Mikser, Lucia Annunziata, Nicola Zingaretti, Thijs Reuten, Alessandra Moretti, Giorgio Gori, Tobias Cremer, Yannis Maniatis,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7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Notwendigkeit, gegen Straflosigkeit vorzugehen und die Rechenschaftspflicht weltweit auch durch den Internationalen Strafgerichtshof (IStGH) zu stärken und sich für das Völkerrecht und das humanitäre Völkerrecht einzusetzen; ist nach wie vor zutiefst besorgt wegen der beunruhigenden und zunehmende Tendenz, die Entscheidungen internationaler Institutionen und ihrer Mitarbeiter durch Vertreter staatlicher Stellen zu untergraben; bedauert, dass einige IStGH-Mitgliedstaaten die Haftbefehle des IStGH nicht vollstrecken und damit die Arbeit des Gerichtshofs untergraben;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7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dringende und anhaltende Notwendigkeit, die Gleichstellung der Geschlechter und die Stärkung der Rolle der Frau durch das gesamte auswärtige Handeln der EU gemäß dem Aktionsplan für die Gleichstellung 2021–2025 zu fördern, insbesondere vor dem Hintergrund der derzeitigen weltweiten Rückschritte im Bereich der Frauenrechte; weist darauf hin, dass bei dem derzeitigen Fortschrittstempo die weltweite Verwirklichung der Gleichstellung der Geschlechter weitere 131 Jahre benötigen wird, und betont, dass es von entscheidender Bedeutung ist, die Bemühungen um den Schutz und die Förderung der Rechte und Chancen von Frauen zu beschleunigen;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Christophe Gomart</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 Spiegelstrich 7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Bedeutung, dass die EU-Kandidatenländer die Erweiterungsstandards einhalten, insbesondere in den Bereichen Umwelt- und Landwirtschaftsnormen und Korruptionsbekämpfung;</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4 – Spiegelstrich 7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w:t>
            </w:r>
            <w:r w:rsidRPr="005B7B7C">
              <w:tab/>
            </w:r>
            <w:r w:rsidRPr="005B7B7C">
              <w:rPr>
                <w:b/>
                <w:i/>
              </w:rPr>
              <w:t>die dringende Notwendigkeit, Menschenrechtsverteidiger zu schützen, die weltweit eine entscheidende Rolle bei der Wahrung der Menschenrechte, der Demokratie und der Rechtsstaatlichkeit spielen; fordert verstärkte Unterstützungs- und Schutzmechanismen für Menschenrechtsverteidiger, die Bedrohungen, Drangsalierungen und Gewalt ausgesetzt sind, insbesondere in Hochrisikogebieten oder bei der Beschäftigung mit sensiblen Fragen wie Umwelt-, Indigenen- und Frauenrechte;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Marc Botenga, Rima Hassan, Özlem Demirel</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{The Left}</w:t>
      </w:r>
      <w:r w:rsidRPr="005B7B7C">
        <w:t>im Namen der Fraktion The Left</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4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4a.</w:t>
            </w:r>
            <w:r w:rsidRPr="005B7B7C">
              <w:tab/>
            </w:r>
            <w:r w:rsidRPr="005B7B7C">
              <w:rPr>
                <w:b/>
                <w:i/>
              </w:rPr>
              <w:t>betont, dass die Erweiterung zu einer Aufwärtsspirale im sozialen Beriech führen sollte; weist darauf hin, dass der Mindestlohn in den Ländern, die sich um eine EU-Mitgliedschaft bewerben, derzeit deutlich unter dem EU-Durchschnitt liegt und dass unter diesen Umständen die Erweiterung die Arbeitnehmer verstärkt einem Sozialdumping aussetzen würde;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419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lastRenderedPageBreak/>
        <w:t>&lt;Article&gt;</w:t>
      </w:r>
      <w:r w:rsidRPr="005B7B7C">
        <w:t>Ziffer 5</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5.</w:t>
            </w:r>
            <w:r w:rsidRPr="005B7B7C">
              <w:tab/>
              <w:t>nennt im folgenden Abschnitt die GASP-Ziele des Parlaments für 2025</w:t>
            </w:r>
            <w:r w:rsidRPr="005B7B7C">
              <w:rPr>
                <w:b/>
                <w:i/>
              </w:rPr>
              <w:t xml:space="preserve"> und ergänzt damit die im GASP-Jahresbericht des HR/VP zum Ausdruck gebrachten Ansichten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5.</w:t>
            </w:r>
            <w:r w:rsidRPr="005B7B7C">
              <w:tab/>
              <w:t>nennt im folgenden Abschnitt die GASP-Ziele des Parlaments für 2025;</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420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5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5a.</w:t>
            </w:r>
            <w:r w:rsidRPr="005B7B7C">
              <w:tab/>
            </w:r>
            <w:r w:rsidRPr="005B7B7C">
              <w:rPr>
                <w:b/>
                <w:i/>
              </w:rPr>
              <w:t xml:space="preserve">ist der Ansicht, dass der Chinas Aufstieg nach wie vor eine der größten geopolitischen Herausforderungen des 21. Jahrhunderts ist, und stellt fest, dass die Beziehungen zwischen der EU und der VR China zunehmend durch wirtschaftlichen Wettbewerb und systemische Rivalität gekennzeichnet sind; bekräftigt seine Forderung nach einer erneuerten, durchsetzungsfähigeren, umfassenderen und kohärenteren EU-Strategie gegenüber China, mit der die Beziehungen zur VR China im Interesse der EU als Ganzes gestaltet werden und die den Herausforderungen in vollem Umfang Rechnung trägt, die sich aus dem Aufstieg der VR China zu einem globalen Akteur sowie der zunehmend repressiven Innenpolitik und nach Dominanz strebenden Außenpolitik des Landes ergeben; betont, dass die Glaubwürdigkeit des Ansatzes der EU gegenüber China in hohem Maße von der Bereitschaft der Mitgliedstaaten abhängt, eine </w:t>
            </w:r>
            <w:r w:rsidRPr="005B7B7C">
              <w:rPr>
                <w:b/>
                <w:i/>
              </w:rPr>
              <w:lastRenderedPageBreak/>
              <w:t>gemeinsame Position einzunehmen;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421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5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5b.</w:t>
            </w:r>
            <w:r w:rsidRPr="005B7B7C">
              <w:tab/>
            </w:r>
            <w:r w:rsidRPr="005B7B7C">
              <w:rPr>
                <w:b/>
                <w:i/>
              </w:rPr>
              <w:t>fordert den HR/VP auf, ein überzeugendes, dauerhaftes und zielgerichtetes demokratisches Narrativ zu fördern, das zeigt, dass die Demokratie dem Einzelnen und der Gesellschaft in aller Welt nützt und in der Lage ist, autokratischem Druck und Einfluss zu widerstehen; fordert in diesem Zusammenhang, die Widerstandsfähigkeit der Demokratien in den EU-Mitgliedstaaten durch die Bekämpfung der Informationsmanipulation und Einflussnahme aus dem Ausland und die anschließende Verbesserung des Instrumentariums der EU für die strategische Kommunikation weiter zu stärken, und begrüßt in diesem Zusammenhang die Investitionen in die Widerstandsfähigkeit der Demokratien in den Mitgliedstaaten sowie in die strategische Kommunikation und die Bekämpfung der Einflussnahme aus dem Ausland und der Verbreitung von Desinformation, und begrüßt die Zusammenarbeit des EAD mit den Vereinten Nationen hinsichtlich eines weltweit geltenden Verhaltenskodex für die Verlässlichkeit von Informationen;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422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Mariusz Kamiński, Adam Bielan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{ECR}</w:t>
      </w:r>
      <w:r w:rsidRPr="005B7B7C">
        <w:t>im Namen der ECR-Fraktion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Zwischenüberschrift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Bewältigung der weltweiten Folgen des Angriffskriegs</w:t>
            </w:r>
            <w:r w:rsidRPr="005B7B7C">
              <w:t xml:space="preserve"> Russlands gegen die Ukraine,</w:t>
            </w:r>
          </w:p>
        </w:tc>
        <w:tc>
          <w:tcPr>
            <w:tcW w:w="4876" w:type="dxa"/>
            <w:tcBorders>
              <w:top w:val="nil"/>
              <w:left w:val="nil"/>
              <w:bottom w:val="nil"/>
              <w:right w:val="nil"/>
            </w:tcBorders>
          </w:tcPr>
          <w:p w:rsidR="00F30D4D" w:rsidRPr="005B7B7C" w:rsidRDefault="00F30D4D" w:rsidP="008610E6">
            <w:pPr>
              <w:pStyle w:val="Normal6a"/>
            </w:pPr>
            <w:r w:rsidRPr="005B7B7C">
              <w:rPr>
                <w:b/>
                <w:i/>
              </w:rPr>
              <w:t>die Bewältigung von</w:t>
            </w:r>
            <w:r w:rsidRPr="005B7B7C">
              <w:t xml:space="preserve"> Russlands</w:t>
            </w:r>
            <w:r w:rsidRPr="005B7B7C">
              <w:rPr>
                <w:b/>
                <w:i/>
              </w:rPr>
              <w:t xml:space="preserve"> Angriffskrieg</w:t>
            </w:r>
            <w:r w:rsidRPr="005B7B7C">
              <w:t xml:space="preserve"> gegen die Ukraine</w:t>
            </w:r>
            <w:r w:rsidRPr="005B7B7C">
              <w:rPr>
                <w:b/>
                <w:i/>
              </w:rPr>
              <w:t xml:space="preserve"> und seine weltweiten Folgen</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423</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t>Zwischenüberschrift</w:t>
      </w:r>
      <w:r w:rsidRPr="00A004FF">
        <w:t xml:space="preserve"> 3</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 xml:space="preserve">Bewältigung der weltweiten Folgen des </w:t>
            </w:r>
            <w:r w:rsidRPr="00A004FF">
              <w:rPr>
                <w:b/>
                <w:i/>
              </w:rPr>
              <w:t>Angriffskriegs Russlands gegen die Ukraine</w:t>
            </w:r>
            <w:r w:rsidRPr="00A004FF">
              <w:t>,</w:t>
            </w:r>
          </w:p>
        </w:tc>
        <w:tc>
          <w:tcPr>
            <w:tcW w:w="4876" w:type="dxa"/>
            <w:tcBorders>
              <w:top w:val="nil"/>
              <w:left w:val="nil"/>
              <w:bottom w:val="nil"/>
              <w:right w:val="nil"/>
            </w:tcBorders>
          </w:tcPr>
          <w:p w:rsidR="00F30D4D" w:rsidRPr="00A004FF" w:rsidRDefault="00F30D4D" w:rsidP="008610E6">
            <w:pPr>
              <w:pStyle w:val="Normal6a"/>
            </w:pPr>
            <w:r w:rsidRPr="00A004FF">
              <w:t xml:space="preserve">Bewältigung der weltweiten Folgen des </w:t>
            </w:r>
            <w:r w:rsidRPr="00A004FF">
              <w:rPr>
                <w:b/>
                <w:i/>
              </w:rPr>
              <w:t>Ukraine-Konflikts</w:t>
            </w:r>
            <w:r w:rsidRPr="00A004FF">
              <w: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424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Zwischenüberschrift 3</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Bewältigung</w:t>
            </w:r>
            <w:r w:rsidRPr="005B7B7C">
              <w:t xml:space="preserve"> der </w:t>
            </w:r>
            <w:r w:rsidRPr="005B7B7C">
              <w:rPr>
                <w:b/>
                <w:i/>
              </w:rPr>
              <w:t>weltweiten Folgen des Angriffskriegs Russlands gegen die</w:t>
            </w:r>
            <w:r w:rsidRPr="005B7B7C">
              <w:t xml:space="preserve"> Ukraine</w:t>
            </w:r>
            <w:r w:rsidRPr="005B7B7C">
              <w:rPr>
                <w:b/>
                <w:i/>
              </w:rPr>
              <w:t>,</w:t>
            </w:r>
          </w:p>
        </w:tc>
        <w:tc>
          <w:tcPr>
            <w:tcW w:w="4876" w:type="dxa"/>
            <w:tcBorders>
              <w:top w:val="nil"/>
              <w:left w:val="nil"/>
              <w:bottom w:val="nil"/>
              <w:right w:val="nil"/>
            </w:tcBorders>
          </w:tcPr>
          <w:p w:rsidR="00F30D4D" w:rsidRPr="005B7B7C" w:rsidRDefault="00F30D4D" w:rsidP="008610E6">
            <w:pPr>
              <w:pStyle w:val="Normal6a"/>
            </w:pPr>
            <w:r w:rsidRPr="005B7B7C">
              <w:rPr>
                <w:b/>
                <w:i/>
              </w:rPr>
              <w:t>die Beschäftigung mit</w:t>
            </w:r>
            <w:r w:rsidRPr="005B7B7C">
              <w:t xml:space="preserve"> der </w:t>
            </w:r>
            <w:r w:rsidRPr="005B7B7C">
              <w:rPr>
                <w:b/>
                <w:i/>
              </w:rPr>
              <w:t>Notwendigkeit eines gerechten und dauerhaften Friedens in der</w:t>
            </w:r>
            <w:r w:rsidRPr="005B7B7C">
              <w:t xml:space="preserve"> Ukraine</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lastRenderedPageBreak/>
        <w:t>&lt;Amend&gt;</w:t>
      </w:r>
      <w:r w:rsidRPr="005B7B7C">
        <w:t>Änderungsantrag</w:t>
      </w:r>
      <w:r w:rsidRPr="005B7B7C">
        <w:tab/>
      </w:r>
      <w:r w:rsidRPr="005B7B7C">
        <w:tab/>
      </w:r>
      <w:r w:rsidRPr="005B7B7C">
        <w:rPr>
          <w:rStyle w:val="HideTWBExt"/>
        </w:rPr>
        <w:t>&lt;NumAm&gt;</w:t>
      </w:r>
      <w:r w:rsidRPr="005B7B7C">
        <w:t>425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6.</w:t>
            </w:r>
            <w:r w:rsidRPr="005B7B7C">
              <w:tab/>
              <w:t>stellt fest, dass die Reaktion der EU auf den Angriffskrieg Russlands gegen die Ukraine von vielen autokratischen Akteuren in der ganzen Welt genau beobachtet wird und einen entscheidenden Einfluss auf ihr Verhalten auf der internationalen Bühne haben wird;</w:t>
            </w:r>
          </w:p>
        </w:tc>
        <w:tc>
          <w:tcPr>
            <w:tcW w:w="4876" w:type="dxa"/>
            <w:tcBorders>
              <w:top w:val="nil"/>
              <w:left w:val="nil"/>
              <w:bottom w:val="nil"/>
              <w:right w:val="nil"/>
            </w:tcBorders>
          </w:tcPr>
          <w:p w:rsidR="00F30D4D" w:rsidRPr="005B7B7C" w:rsidRDefault="00F30D4D" w:rsidP="008610E6">
            <w:pPr>
              <w:pStyle w:val="Normal6a"/>
            </w:pPr>
            <w:r w:rsidRPr="005B7B7C">
              <w:t>6.</w:t>
            </w:r>
            <w:r w:rsidRPr="005B7B7C">
              <w:tab/>
              <w:t xml:space="preserve">stellt fest, dass die Reaktion der EU auf den Angriffskrieg Russlands gegen die Ukraine nicht nur von vielen autokratischen Regimen weltweit aufmerksam verfolgt, sondern eingehend analysiert wird, die danach trachten, die regelbasierte internationale Ordnung zu untergraben, indem sie die durch den Konflikt aufgedeckten Schwachstellen ermitteln und für sich ausnutzen; </w:t>
            </w:r>
            <w:r w:rsidRPr="005B7B7C">
              <w:rPr>
                <w:b/>
                <w:i/>
              </w:rPr>
              <w:t>stellt fest, dass der Krieg in der Ukraine zu einem kritischen Prüfstand für die Widerstandsfähigkeit westlicher Bündnisse geworden ist, wobei sich autokratische Mächte durch wahrgenommene Schwachstellen ermutigt fühlen, ihren Einfluss, insbesondere im Globalen Süden, auszuweiten; betont, dass jüngste Entwicklungen wie das BRICS-Gipfeltreffen vom 22. bis 24. Oktober 2024 in Kasan, in Russland, gezeigt haben, wie Putin internationale Plattformen nutzt, um der Isolierung entgegenzuwirken und Bündnisse zu schmieden, wodurch eine geschlossene und strategische Reaktion der EU zur Wahrung der Grundsätze der internationalen Ordnung umso notwendiger geworden ist;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426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Željana Zovko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lastRenderedPageBreak/>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6.</w:t>
            </w:r>
            <w:r w:rsidRPr="005B7B7C">
              <w:tab/>
              <w:t>stellt fest, dass die Reaktion der EU auf den Angriffskrieg Russlands gegen die Ukraine von vielen autokratischen Akteuren in der ganzen Welt genau beobachtet wird und einen entscheidenden Einfluss auf ihr Verhalten auf der internationalen Bühne haben wird;</w:t>
            </w:r>
          </w:p>
        </w:tc>
        <w:tc>
          <w:tcPr>
            <w:tcW w:w="4876" w:type="dxa"/>
            <w:tcBorders>
              <w:top w:val="nil"/>
              <w:left w:val="nil"/>
              <w:bottom w:val="nil"/>
              <w:right w:val="nil"/>
            </w:tcBorders>
          </w:tcPr>
          <w:p w:rsidR="00F30D4D" w:rsidRPr="005B7B7C" w:rsidRDefault="00F30D4D" w:rsidP="008610E6">
            <w:pPr>
              <w:pStyle w:val="Normal6a"/>
            </w:pPr>
            <w:r w:rsidRPr="005B7B7C">
              <w:t>6.</w:t>
            </w:r>
            <w:r w:rsidRPr="005B7B7C">
              <w:tab/>
              <w:t>stellt fest, dass die Reaktion der EU auf den Angriffskrieg Russlands gegen die Ukraine von vielen autokratischen Akteuren in der ganzen Welt genau beobachtet wird und einen entscheidenden Einfluss auf ihr Verhalten auf der internationalen Bühne haben wird;</w:t>
            </w:r>
            <w:r w:rsidRPr="005B7B7C">
              <w:rPr>
                <w:b/>
                <w:i/>
              </w:rPr>
              <w:t> stellt fest, dass Russlands Aggression die europäische und weltweite Sicherheit ernsthaft untergraben und zu wirtschaftlicher Unsicherheit, Ernährungsunsicherheit und hohen Energiepreisen geführt hat; weist darauf hin, dass Russlands Angriffskrieg gegen die Ukraine sowohl die östliche Nachbarschaft als auch den Westbalkan destabilisiert und eine unmittelbare Bedrohung für die Sicherheit und Stabilität der EU darstellt; ist der Ansicht, dass es für die EU angesichts dieser immer größer werdenden Risiken oberste Priorität sein muss, den Erweiterungsprozess zu beschleunigen;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427</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Miriam Lexmann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6.</w:t>
            </w:r>
            <w:r w:rsidRPr="005B7B7C">
              <w:tab/>
              <w:t>stellt fest, dass die Reaktion der EU auf den Angriffskrieg Russlands gegen die Ukraine von vielen autokratischen Akteuren in der ganzen Welt genau beobachtet wird und einen entscheidenden Einfluss auf ihr Verhalten auf der internationalen Bühne haben wird;</w:t>
            </w:r>
          </w:p>
        </w:tc>
        <w:tc>
          <w:tcPr>
            <w:tcW w:w="4876" w:type="dxa"/>
            <w:tcBorders>
              <w:top w:val="nil"/>
              <w:left w:val="nil"/>
              <w:bottom w:val="nil"/>
              <w:right w:val="nil"/>
            </w:tcBorders>
          </w:tcPr>
          <w:p w:rsidR="00F30D4D" w:rsidRPr="005B7B7C" w:rsidRDefault="00F30D4D" w:rsidP="008610E6">
            <w:pPr>
              <w:pStyle w:val="Normal6a"/>
            </w:pPr>
            <w:r w:rsidRPr="005B7B7C">
              <w:t>6.</w:t>
            </w:r>
            <w:r w:rsidRPr="005B7B7C">
              <w:tab/>
              <w:t xml:space="preserve">stellt fest, dass die Reaktion der EU auf den Angriffskrieg Russlands gegen die Ukraine von vielen autokratischen Akteuren in der ganzen Welt genau beobachtet wird und einen entscheidenden Einfluss auf ihr Verhalten auf der internationalen Bühne, so auch in der Meerenge von Taiwan, haben wird; </w:t>
            </w:r>
            <w:r w:rsidRPr="005B7B7C">
              <w:rPr>
                <w:b/>
                <w:i/>
              </w:rPr>
              <w:t xml:space="preserve">ist besorgt über die zunehmende Zusammenarbeit und Abstimmung </w:t>
            </w:r>
            <w:r w:rsidRPr="005B7B7C">
              <w:rPr>
                <w:b/>
                <w:i/>
              </w:rPr>
              <w:lastRenderedPageBreak/>
              <w:t>zwischen autokratischen Regimen, unter anderem durch ihre materielle oder anderweitige Unterstützung für Russlands Angriffskrieg gegen die Ukraine;</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428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Hannah Neumann</w:t>
      </w:r>
      <w:r w:rsidRPr="005B7B7C">
        <w:rPr>
          <w:rStyle w:val="HideTWBExt"/>
          <w:b w:val="0"/>
        </w:rPr>
        <w:t>&lt;/Members&gt;</w:t>
      </w:r>
    </w:p>
    <w:p w:rsidR="00F30D4D" w:rsidRPr="005B7B7C" w:rsidRDefault="00F30D4D" w:rsidP="00F30D4D">
      <w:r w:rsidRPr="005B7B7C">
        <w:rPr>
          <w:rStyle w:val="HideTWBExt"/>
        </w:rPr>
        <w:t>&lt;AuNomDe&gt;</w:t>
      </w:r>
      <w:r w:rsidRPr="005B7B7C">
        <w:rPr>
          <w:rStyle w:val="HideTWBInt"/>
        </w:rPr>
        <w:t>{Greens/EFA}</w:t>
      </w:r>
      <w:r w:rsidRPr="005B7B7C">
        <w:t>im Namen der Verts/ALE-Fraktion</w:t>
      </w:r>
      <w:r w:rsidRPr="005B7B7C">
        <w:rPr>
          <w:rStyle w:val="HideTWBExt"/>
        </w:rPr>
        <w:t>&lt;/AuNomDe&gt;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6.</w:t>
            </w:r>
            <w:r w:rsidRPr="005B7B7C">
              <w:tab/>
              <w:t>stellt fest, dass die Reaktion der EU auf den Angriffskrieg Russlands gegen die Ukraine von vielen autokratischen Akteuren in der ganzen Welt genau beobachtet wird und einen entscheidenden Einfluss auf ihr Verhalten auf der internationalen Bühne haben wird;</w:t>
            </w:r>
          </w:p>
        </w:tc>
        <w:tc>
          <w:tcPr>
            <w:tcW w:w="4876" w:type="dxa"/>
            <w:tcBorders>
              <w:top w:val="nil"/>
              <w:left w:val="nil"/>
              <w:bottom w:val="nil"/>
              <w:right w:val="nil"/>
            </w:tcBorders>
          </w:tcPr>
          <w:p w:rsidR="00F30D4D" w:rsidRPr="005B7B7C" w:rsidRDefault="00F30D4D" w:rsidP="008610E6">
            <w:pPr>
              <w:pStyle w:val="Normal6a"/>
            </w:pPr>
            <w:r w:rsidRPr="005B7B7C">
              <w:t>6.</w:t>
            </w:r>
            <w:r w:rsidRPr="005B7B7C">
              <w:tab/>
              <w:t xml:space="preserve">stellt fest, dass die Reaktion der EU auf den Angriffskrieg Russlands gegen die Ukraine von vielen autokratischen Akteuren in der ganzen Welt genau beobachtet wird und einen entscheidenden Einfluss auf ihr Verhalten auf der internationalen Bühne haben wird; </w:t>
            </w:r>
            <w:r w:rsidRPr="005B7B7C">
              <w:rPr>
                <w:b/>
                <w:i/>
              </w:rPr>
              <w:t>betont, dass Russlands Angriffskrieg gegen die Ukraine einen Verstoß gegen die regelbasierte internationale Ordnung, gegen die Grundprinzipien des Völkerrechts, wie sie in der Charta der Vereinten Nationen verankert sind, und gegen zentrale Übereinkommen und Resolutionen darstellt;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429</w:t>
      </w:r>
      <w:r>
        <w:rPr>
          <w:rStyle w:val="HideTWBExt"/>
        </w:rPr>
        <w:t>&lt;/NumAm&gt;</w:t>
      </w:r>
    </w:p>
    <w:p w:rsidR="00F30D4D" w:rsidRPr="00A004FF" w:rsidRDefault="00F30D4D" w:rsidP="00F30D4D">
      <w:pPr>
        <w:pStyle w:val="NormalBold"/>
      </w:pPr>
      <w:r>
        <w:rPr>
          <w:rStyle w:val="HideTWBExt"/>
          <w:b w:val="0"/>
        </w:rPr>
        <w:t>&lt;RepeatBlock-By&gt;&lt;Members&gt;</w:t>
      </w:r>
      <w:r>
        <w:t>Sebastian Tynkkynen</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6.</w:t>
            </w:r>
            <w:r>
              <w:tab/>
              <w:t xml:space="preserve">stellt fest, dass die Reaktion der EU auf den Angriffskrieg Russlands gegen die Ukraine von vielen autokratischen </w:t>
            </w:r>
            <w:r>
              <w:lastRenderedPageBreak/>
              <w:t>Akteuren in der ganzen Welt genau beobachtet wird und einen entscheidenden Einfluss auf ihr Verhalten auf der internationalen Bühne haben wird;</w:t>
            </w:r>
          </w:p>
        </w:tc>
        <w:tc>
          <w:tcPr>
            <w:tcW w:w="4876" w:type="dxa"/>
            <w:tcBorders>
              <w:top w:val="nil"/>
              <w:left w:val="nil"/>
              <w:bottom w:val="nil"/>
              <w:right w:val="nil"/>
            </w:tcBorders>
          </w:tcPr>
          <w:p w:rsidR="00F30D4D" w:rsidRPr="00A004FF" w:rsidRDefault="00F30D4D" w:rsidP="008610E6">
            <w:pPr>
              <w:pStyle w:val="Normal6a"/>
            </w:pPr>
            <w:r>
              <w:lastRenderedPageBreak/>
              <w:t>6.</w:t>
            </w:r>
            <w:r>
              <w:tab/>
              <w:t xml:space="preserve">stellt fest, dass die Reaktion der EU auf den Angriffskrieg Russlands gegen die Ukraine von vielen autokratischen </w:t>
            </w:r>
            <w:r>
              <w:lastRenderedPageBreak/>
              <w:t xml:space="preserve">Akteuren in der ganzen Welt genau beobachtet wird und einen entscheidenden Einfluss auf ihr Verhalten auf der internationalen Bühne haben wird; </w:t>
            </w:r>
            <w:r>
              <w:rPr>
                <w:b/>
                <w:i/>
              </w:rPr>
              <w:t>betont daher, dass der Krieg für den gesamten europäischen Kontinent eine existenzielle Tragweite hat;</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{FI}</w:t>
      </w:r>
      <w:r w:rsidRPr="00A004FF">
        <w:t>fi</w:t>
      </w:r>
      <w:r w:rsidRPr="00A004FF">
        <w:rPr>
          <w:rStyle w:val="HideTWBExt"/>
        </w:rPr>
        <w:t>&lt;/Original&gt;</w:t>
      </w:r>
    </w:p>
    <w:p w:rsidR="00F30D4D" w:rsidRPr="00A004FF" w:rsidRDefault="00F30D4D" w:rsidP="00F30D4D">
      <w:r>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6.</w:t>
            </w:r>
            <w:r w:rsidRPr="005B7B7C">
              <w:tab/>
              <w:t xml:space="preserve">stellt fest, dass die Reaktion der EU auf den </w:t>
            </w:r>
            <w:r w:rsidRPr="005B7B7C">
              <w:rPr>
                <w:b/>
                <w:i/>
              </w:rPr>
              <w:t>Angriffskrieg Russlands gegen die</w:t>
            </w:r>
            <w:r w:rsidRPr="005B7B7C">
              <w:t xml:space="preserve"> Ukraine </w:t>
            </w:r>
            <w:r w:rsidRPr="005B7B7C">
              <w:rPr>
                <w:b/>
                <w:i/>
              </w:rPr>
              <w:t xml:space="preserve">von vielen autokratischen Akteuren </w:t>
            </w:r>
            <w:r w:rsidRPr="005B7B7C">
              <w:t xml:space="preserve">in der ganzen Welt </w:t>
            </w:r>
            <w:r w:rsidRPr="005B7B7C">
              <w:rPr>
                <w:b/>
                <w:i/>
              </w:rPr>
              <w:t xml:space="preserve">genau </w:t>
            </w:r>
            <w:r w:rsidRPr="005B7B7C">
              <w:t xml:space="preserve">beobachtet wird und </w:t>
            </w:r>
            <w:r w:rsidRPr="005B7B7C">
              <w:rPr>
                <w:b/>
                <w:i/>
              </w:rPr>
              <w:t>einen entscheidenden Einfluss auf ihr Verhalten</w:t>
            </w:r>
            <w:r w:rsidRPr="005B7B7C">
              <w:t xml:space="preserve"> auf der internationalen Bühne </w:t>
            </w:r>
            <w:r w:rsidRPr="005B7B7C">
              <w:rPr>
                <w:b/>
                <w:i/>
              </w:rPr>
              <w:t>haben wird</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6.</w:t>
            </w:r>
            <w:r w:rsidRPr="005B7B7C">
              <w:tab/>
              <w:t xml:space="preserve">stellt fest, dass die Reaktion der EU auf den </w:t>
            </w:r>
            <w:r w:rsidRPr="005B7B7C">
              <w:rPr>
                <w:b/>
                <w:i/>
              </w:rPr>
              <w:t>Krieg in der</w:t>
            </w:r>
            <w:r w:rsidRPr="005B7B7C">
              <w:t xml:space="preserve"> Ukraine in der ganzen Welt beobachtet wird und </w:t>
            </w:r>
            <w:r w:rsidRPr="005B7B7C">
              <w:rPr>
                <w:b/>
                <w:i/>
              </w:rPr>
              <w:t>sich negativ darauf ausgewirkt hat, wie die EU</w:t>
            </w:r>
            <w:r w:rsidRPr="005B7B7C">
              <w:t xml:space="preserve"> auf der internationalen Bühne </w:t>
            </w:r>
            <w:r w:rsidRPr="005B7B7C">
              <w:rPr>
                <w:b/>
                <w:i/>
              </w:rPr>
              <w:t>wahrgenommen wird</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431</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6</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t>6.</w:t>
            </w:r>
            <w:r w:rsidRPr="00A004FF">
              <w:tab/>
              <w:t xml:space="preserve">stellt fest, dass die Reaktion der EU auf den </w:t>
            </w:r>
            <w:r w:rsidRPr="00A004FF">
              <w:rPr>
                <w:b/>
                <w:i/>
              </w:rPr>
              <w:t>Angriffskrieg Russlands gegen die Ukraine</w:t>
            </w:r>
            <w:r w:rsidRPr="00A004FF">
              <w:t xml:space="preserve"> von vielen </w:t>
            </w:r>
            <w:r w:rsidRPr="00A004FF">
              <w:rPr>
                <w:b/>
                <w:i/>
              </w:rPr>
              <w:t>autokratischen</w:t>
            </w:r>
            <w:r w:rsidRPr="00A004FF">
              <w:t xml:space="preserve"> Akteuren in der ganzen Welt genau beobachtet wird und einen entscheidenden Einfluss auf ihr Verhalten auf der internationalen Bühne haben wird;</w:t>
            </w:r>
          </w:p>
        </w:tc>
        <w:tc>
          <w:tcPr>
            <w:tcW w:w="4876" w:type="dxa"/>
            <w:tcBorders>
              <w:top w:val="nil"/>
              <w:left w:val="nil"/>
              <w:bottom w:val="nil"/>
              <w:right w:val="nil"/>
            </w:tcBorders>
          </w:tcPr>
          <w:p w:rsidR="00F30D4D" w:rsidRPr="00A004FF" w:rsidRDefault="00F30D4D" w:rsidP="008610E6">
            <w:pPr>
              <w:pStyle w:val="Normal6a"/>
            </w:pPr>
            <w:r w:rsidRPr="00A004FF">
              <w:t>6.</w:t>
            </w:r>
            <w:r w:rsidRPr="00A004FF">
              <w:tab/>
              <w:t xml:space="preserve">stellt fest, dass die Reaktion der EU auf den </w:t>
            </w:r>
            <w:r w:rsidRPr="00A004FF">
              <w:rPr>
                <w:b/>
                <w:i/>
              </w:rPr>
              <w:t>Ukraine-Konflikt</w:t>
            </w:r>
            <w:r w:rsidRPr="00A004FF">
              <w:t xml:space="preserve"> von vielen Akteuren in der ganzen Welt genau beobachtet wird und einen entscheidenden Einfluss auf ihr Verhalten auf der internationalen Bühne haben wird;</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lastRenderedPageBreak/>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Andrey Kovatchev</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 – Buchstabe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a.</w:t>
            </w:r>
            <w:r w:rsidRPr="005B7B7C">
              <w:tab/>
            </w:r>
            <w:r w:rsidRPr="005B7B7C">
              <w:rPr>
                <w:b/>
                <w:i/>
              </w:rPr>
              <w:t>betont, dass der russische Einmarsch in der Ukraine den Zusammenhang zwischen ausländischen Versuchen, Informationen zu manipulieren, und den Bedrohungen für die EU sowie für die globale Sicherheit und Stabilität deutlich aufzeigt; fordert erneut die Annahme einer koordinierten EU-Strategie zur Bekämpfung ausländischer Einflussnahme und zum Aufbau einer Widerstandsfähigkeit der Demokratie, insbesondere in der Nachbarschaft der EU;</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Kinga Gál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6a.</w:t>
            </w:r>
            <w:r w:rsidRPr="005B7B7C">
              <w:tab/>
            </w:r>
            <w:r w:rsidRPr="005B7B7C">
              <w:rPr>
                <w:b/>
                <w:i/>
              </w:rPr>
              <w:t xml:space="preserve">bekräftigte seine Haltung zur weiteren Unterstützung der Unabhängigkeit, Souveränität und territorialen Unversehrtheit der Ukraine; fordert ein sofortiges Ende des Angriffskriegs Russlands gegen die Ukraine und des Blutvergießens und der Zerstörung in der Ukraine; ist der festen Überzeugung, dass es keine militärische Lösung für den Konflikt gibt und dass daher kontinuierliche diplomatische Bemühungen erforderlich sind, um den Krieg zu beenden und eine friedliche </w:t>
            </w:r>
            <w:r w:rsidRPr="005B7B7C">
              <w:rPr>
                <w:b/>
                <w:i/>
              </w:rPr>
              <w:lastRenderedPageBreak/>
              <w:t>Lösung im Interesse aller von dem Konflikt betroffenen Bürger zu finden;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Reinis Pozņaks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 a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6a.</w:t>
            </w:r>
            <w:r w:rsidRPr="005B7B7C">
              <w:tab/>
            </w:r>
            <w:r w:rsidRPr="005B7B7C">
              <w:rPr>
                <w:b/>
                <w:i/>
              </w:rPr>
              <w:t> stellt fest, dass die Lieferung von Tausenden von Schahed-Drohnen durch die Islamische Republik Iran an Russland deren Rolle als Pariastaat weiter gefestigt hat, zumal in Verbindung mit einer möglichen militärische Intervention des Korps der Iranischen Revolutionsgarde in der Ukraine zur Unterstützung der Kriegsziele Moskaus, während die anhaltende Unterstützung Russlands durch Länder wie Nordkorea und China deren erbitterte Feindschaft gegen das Völkerrecht und entsprechende Normen weiter unter Beweis stellt;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435</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Reinis Pozņaks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 b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6b.</w:t>
            </w:r>
            <w:r w:rsidRPr="005B7B7C">
              <w:tab/>
            </w:r>
            <w:r w:rsidRPr="005B7B7C">
              <w:rPr>
                <w:b/>
                <w:i/>
              </w:rPr>
              <w:t xml:space="preserve">ist der Auffassung, dass die Bedrohungen im Osten der Union nicht nur Konflikte mit Russland betreffen, sondern auch Terrorismus, organisierte Kriminalität, Menschenhandel, Korruption, irreguläre Massenmigration und eine Vielzahl anderer Gefahren für </w:t>
            </w:r>
            <w:r w:rsidRPr="005B7B7C">
              <w:rPr>
                <w:b/>
                <w:i/>
              </w:rPr>
              <w:lastRenderedPageBreak/>
              <w:t>den gesellschaftlichen Zusammenhalt innerhalb und außerhalb der Union;</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436</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Reinis Pozņaks</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6 c (neu)</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p>
        </w:tc>
        <w:tc>
          <w:tcPr>
            <w:tcW w:w="4876" w:type="dxa"/>
            <w:tcBorders>
              <w:top w:val="nil"/>
              <w:left w:val="nil"/>
              <w:bottom w:val="nil"/>
              <w:right w:val="nil"/>
            </w:tcBorders>
          </w:tcPr>
          <w:p w:rsidR="00F30D4D" w:rsidRPr="005B7B7C" w:rsidRDefault="00F30D4D" w:rsidP="008610E6">
            <w:pPr>
              <w:pStyle w:val="Normal6a"/>
            </w:pPr>
            <w:r w:rsidRPr="005B7B7C">
              <w:rPr>
                <w:b/>
                <w:i/>
              </w:rPr>
              <w:t>6c.</w:t>
            </w:r>
            <w:r w:rsidRPr="005B7B7C">
              <w:tab/>
            </w:r>
            <w:r w:rsidRPr="005B7B7C">
              <w:rPr>
                <w:b/>
                <w:i/>
              </w:rPr>
              <w:t>verurteilt aufs Schärfste die Rolle Nordkoreas bei der Unterstützung von Russlands Angriffskrieg gegen die Ukraine und fordert entschlossene Gegenmaßnahmen, um Nordkoreas direkte und indirekte Unterstützung des russischen Militärs und seine Beteiligung an der Umgehung von Sanktionen zu unterbinden, da beides den Frieden bedroht und die Kräfte stärkt, die gegen die regelbasierte internationale Ordnung und kollektive Sicherheitsrahmen weltweit vorgehen;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A004FF" w:rsidRDefault="00F30D4D" w:rsidP="00F30D4D">
      <w:pPr>
        <w:pStyle w:val="AmNumberTabs"/>
      </w:pPr>
      <w:r w:rsidRPr="00A004FF">
        <w:rPr>
          <w:rStyle w:val="HideTWBExt"/>
        </w:rPr>
        <w:t>&lt;Amend&gt;</w:t>
      </w:r>
      <w:r w:rsidRPr="006416CF">
        <w:t>Änderungsantrag</w:t>
      </w:r>
      <w:r w:rsidRPr="00A004FF">
        <w:tab/>
      </w:r>
      <w:r w:rsidRPr="00A004FF">
        <w:tab/>
      </w:r>
      <w:r w:rsidRPr="00A004FF">
        <w:rPr>
          <w:rStyle w:val="HideTWBExt"/>
        </w:rPr>
        <w:t>&lt;NumAm&gt;</w:t>
      </w:r>
      <w:r w:rsidRPr="00A004FF">
        <w:t>437</w:t>
      </w:r>
      <w:r w:rsidRPr="00A004FF">
        <w:rPr>
          <w:rStyle w:val="HideTWBExt"/>
        </w:rPr>
        <w:t>&lt;/NumAm&gt;</w:t>
      </w:r>
    </w:p>
    <w:p w:rsidR="00F30D4D" w:rsidRPr="00A004FF" w:rsidRDefault="00F30D4D" w:rsidP="00F30D4D">
      <w:pPr>
        <w:pStyle w:val="NormalBold"/>
      </w:pPr>
      <w:r w:rsidRPr="00A004FF">
        <w:rPr>
          <w:rStyle w:val="HideTWBExt"/>
          <w:b w:val="0"/>
        </w:rPr>
        <w:t>&lt;RepeatBlock-By&gt;&lt;Members&gt;</w:t>
      </w:r>
      <w:r w:rsidRPr="00A004FF">
        <w:t>Hans Neuhoff</w:t>
      </w:r>
      <w:r w:rsidRPr="00A004FF">
        <w:rPr>
          <w:rStyle w:val="HideTWBExt"/>
          <w:b w:val="0"/>
        </w:rPr>
        <w:t>&lt;/Members&gt;</w:t>
      </w:r>
    </w:p>
    <w:p w:rsidR="00F30D4D" w:rsidRPr="00A004FF" w:rsidRDefault="00F30D4D" w:rsidP="00F30D4D">
      <w:pPr>
        <w:pStyle w:val="NormalBold"/>
      </w:pPr>
      <w:r w:rsidRPr="00A004FF">
        <w:rPr>
          <w:rStyle w:val="HideTWBExt"/>
          <w:b w:val="0"/>
        </w:rPr>
        <w:t>&lt;/RepeatBlock-By&gt;</w:t>
      </w:r>
    </w:p>
    <w:p w:rsidR="00F30D4D" w:rsidRPr="00A004FF" w:rsidRDefault="00F30D4D" w:rsidP="00F30D4D">
      <w:pPr>
        <w:pStyle w:val="NormalBold"/>
      </w:pPr>
      <w:r w:rsidRPr="00A004FF">
        <w:rPr>
          <w:rStyle w:val="HideTWBExt"/>
        </w:rPr>
        <w:t>&lt;DocAmend&gt;</w:t>
      </w:r>
      <w:r w:rsidRPr="006416CF">
        <w:t>Entschließungsantrag</w:t>
      </w:r>
      <w:r w:rsidRPr="00A004FF">
        <w:rPr>
          <w:rStyle w:val="HideTWBExt"/>
        </w:rPr>
        <w:t>&lt;/DocAmend&gt;</w:t>
      </w:r>
    </w:p>
    <w:p w:rsidR="00F30D4D" w:rsidRPr="00A004FF" w:rsidRDefault="00F30D4D" w:rsidP="00F30D4D">
      <w:pPr>
        <w:pStyle w:val="NormalBold"/>
      </w:pPr>
      <w:r w:rsidRPr="00A004FF">
        <w:rPr>
          <w:rStyle w:val="HideTWBExt"/>
        </w:rPr>
        <w:t>&lt;Article&gt;</w:t>
      </w:r>
      <w:r w:rsidRPr="006416CF">
        <w:t>Ziffer</w:t>
      </w:r>
      <w:r w:rsidRPr="00A004FF">
        <w:t xml:space="preserve"> 7</w:t>
      </w:r>
      <w:r w:rsidRPr="00A004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A004FF"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RPr="00A004FF"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rsidRPr="006416CF">
              <w:t>Entschließungsantrag</w:t>
            </w:r>
          </w:p>
        </w:tc>
        <w:tc>
          <w:tcPr>
            <w:tcW w:w="4876" w:type="dxa"/>
            <w:tcBorders>
              <w:top w:val="nil"/>
              <w:left w:val="nil"/>
              <w:bottom w:val="nil"/>
              <w:right w:val="nil"/>
            </w:tcBorders>
          </w:tcPr>
          <w:p w:rsidR="00F30D4D" w:rsidRPr="00A004FF" w:rsidRDefault="00F30D4D" w:rsidP="008610E6">
            <w:pPr>
              <w:pStyle w:val="AmColumnHeading"/>
            </w:pPr>
            <w:r w:rsidRPr="006416CF">
              <w:t>Geänderter Text</w:t>
            </w:r>
          </w:p>
        </w:tc>
      </w:tr>
      <w:tr w:rsidR="00F30D4D" w:rsidRPr="00A004FF" w:rsidTr="008610E6">
        <w:trPr>
          <w:jc w:val="center"/>
        </w:trPr>
        <w:tc>
          <w:tcPr>
            <w:tcW w:w="4876" w:type="dxa"/>
            <w:tcBorders>
              <w:top w:val="nil"/>
              <w:left w:val="nil"/>
              <w:bottom w:val="nil"/>
              <w:right w:val="nil"/>
            </w:tcBorders>
          </w:tcPr>
          <w:p w:rsidR="00F30D4D" w:rsidRPr="00A004FF" w:rsidRDefault="00F30D4D" w:rsidP="008610E6">
            <w:pPr>
              <w:pStyle w:val="Normal6a"/>
            </w:pPr>
            <w:r w:rsidRPr="00A004FF">
              <w:rPr>
                <w:b/>
                <w:i/>
              </w:rPr>
              <w:t>7.</w:t>
            </w:r>
            <w:r w:rsidRPr="00A004FF">
              <w:tab/>
            </w:r>
            <w:r w:rsidRPr="00A004FF">
              <w:rPr>
                <w:b/>
                <w:i/>
              </w:rPr>
              <w:t xml:space="preserve">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w:t>
            </w:r>
            <w:r w:rsidRPr="00A004FF">
              <w:rPr>
                <w:b/>
                <w:i/>
              </w:rPr>
              <w:lastRenderedPageBreak/>
              <w:t>sorgen;</w:t>
            </w:r>
          </w:p>
        </w:tc>
        <w:tc>
          <w:tcPr>
            <w:tcW w:w="4876" w:type="dxa"/>
            <w:tcBorders>
              <w:top w:val="nil"/>
              <w:left w:val="nil"/>
              <w:bottom w:val="nil"/>
              <w:right w:val="nil"/>
            </w:tcBorders>
          </w:tcPr>
          <w:p w:rsidR="00F30D4D" w:rsidRPr="00A004FF" w:rsidRDefault="00F30D4D" w:rsidP="008610E6">
            <w:pPr>
              <w:pStyle w:val="Normal6a"/>
            </w:pPr>
            <w:r w:rsidRPr="00A004FF">
              <w:rPr>
                <w:b/>
                <w:i/>
              </w:rPr>
              <w:lastRenderedPageBreak/>
              <w:t>entfällt</w:t>
            </w:r>
          </w:p>
        </w:tc>
      </w:tr>
    </w:tbl>
    <w:p w:rsidR="00F30D4D" w:rsidRPr="00A004FF" w:rsidRDefault="00F30D4D" w:rsidP="00F30D4D">
      <w:pPr>
        <w:pStyle w:val="AmOrLang"/>
      </w:pPr>
      <w:r w:rsidRPr="00A004FF">
        <w:t xml:space="preserve">Or. </w:t>
      </w:r>
      <w:r w:rsidRPr="00A004FF">
        <w:rPr>
          <w:rStyle w:val="HideTWBExt"/>
        </w:rPr>
        <w:t>&lt;Original&gt;</w:t>
      </w:r>
      <w:r w:rsidRPr="00A004FF">
        <w:rPr>
          <w:rStyle w:val="HideTWBInt"/>
        </w:rPr>
        <w:t>{DE}</w:t>
      </w:r>
      <w:r w:rsidRPr="00A004FF">
        <w:t>de</w:t>
      </w:r>
      <w:r w:rsidRPr="00A004FF">
        <w:rPr>
          <w:rStyle w:val="HideTWBExt"/>
        </w:rPr>
        <w:t>&lt;/Original&gt;</w:t>
      </w:r>
    </w:p>
    <w:p w:rsidR="00F30D4D" w:rsidRPr="00A004FF" w:rsidRDefault="00F30D4D" w:rsidP="00F30D4D">
      <w:r w:rsidRPr="00A004FF">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438</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Michael von der Schulenburg</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rPr>
                <w:b/>
                <w:i/>
              </w:rPr>
              <w:t>7.</w:t>
            </w:r>
            <w:r w:rsidRPr="005B7B7C">
              <w:tab/>
            </w:r>
            <w:r w:rsidRPr="005B7B7C">
              <w:rPr>
                <w:b/>
                <w:i/>
              </w:rPr>
              <w:t>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w:t>
            </w:r>
          </w:p>
        </w:tc>
        <w:tc>
          <w:tcPr>
            <w:tcW w:w="4876" w:type="dxa"/>
            <w:tcBorders>
              <w:top w:val="nil"/>
              <w:left w:val="nil"/>
              <w:bottom w:val="nil"/>
              <w:right w:val="nil"/>
            </w:tcBorders>
          </w:tcPr>
          <w:p w:rsidR="00F30D4D" w:rsidRPr="005B7B7C" w:rsidRDefault="00F30D4D" w:rsidP="008610E6">
            <w:pPr>
              <w:pStyle w:val="Normal6a"/>
            </w:pPr>
            <w:r w:rsidRPr="005B7B7C">
              <w:rPr>
                <w:b/>
                <w:i/>
              </w:rPr>
              <w:t>entfällt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439</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Wouter Beke</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7.</w:t>
            </w:r>
            <w:r w:rsidRPr="005B7B7C">
              <w:tab/>
              <w:t>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w:t>
            </w:r>
          </w:p>
        </w:tc>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 </w:t>
            </w:r>
            <w:r w:rsidRPr="005B7B7C">
              <w:rPr>
                <w:b/>
                <w:i/>
              </w:rPr>
              <w:t xml:space="preserve">weist darauf hin, dass der Beitritt zur EU ein streng auf Verdiensten basierendes Verfahren ist, das die Erfüllung der Kriterien für die EU-Mitgliedschaft erfordert, einschließlich </w:t>
            </w:r>
            <w:r w:rsidRPr="005B7B7C">
              <w:rPr>
                <w:b/>
                <w:i/>
              </w:rPr>
              <w:lastRenderedPageBreak/>
              <w:t>der Kriterien in Bezug auf Demokratie, Rechtsstaatlichkeit, Grundwerte und Korruptionsbekämpfung;</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440</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Adam Bielan</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die Ukraine auf, ihre </w:t>
            </w:r>
            <w:r w:rsidRPr="005B7B7C">
              <w:rPr>
                <w:b/>
                <w:i/>
              </w:rPr>
              <w:t>Fortschritte</w:t>
            </w:r>
            <w:r w:rsidRPr="005B7B7C">
              <w:t xml:space="preserve"> auf dem Weg zur EU-Mitgliedschaft </w:t>
            </w:r>
            <w:r w:rsidRPr="005B7B7C">
              <w:rPr>
                <w:b/>
                <w:i/>
              </w:rPr>
              <w:t>unter Nutzung aller ihr</w:t>
            </w:r>
            <w:r w:rsidRPr="005B7B7C">
              <w:t xml:space="preserve"> im Rahmen der Ukraine-Fazilität zur Verfügung gestellten Mittel </w:t>
            </w:r>
            <w:r w:rsidRPr="005B7B7C">
              <w:rPr>
                <w:b/>
                <w:i/>
              </w:rPr>
              <w:t>fortzusetzen und</w:t>
            </w:r>
            <w:r w:rsidRPr="005B7B7C">
              <w:t xml:space="preserve"> für eine sinnvolle Einbeziehung ihrer Zivilgesellschaft in die Umsetzungs- und </w:t>
            </w:r>
            <w:r w:rsidRPr="005B7B7C">
              <w:rPr>
                <w:b/>
                <w:i/>
              </w:rPr>
              <w:t>Überwachungsphase dieser Fazilität</w:t>
            </w:r>
            <w:r w:rsidRPr="005B7B7C">
              <w:t xml:space="preserve"> zu sorgen;</w:t>
            </w:r>
          </w:p>
        </w:tc>
        <w:tc>
          <w:tcPr>
            <w:tcW w:w="4876" w:type="dxa"/>
            <w:tcBorders>
              <w:top w:val="nil"/>
              <w:left w:val="nil"/>
              <w:bottom w:val="nil"/>
              <w:right w:val="nil"/>
            </w:tcBorders>
          </w:tcPr>
          <w:p w:rsidR="00F30D4D" w:rsidRPr="005B7B7C" w:rsidRDefault="00F30D4D" w:rsidP="008610E6">
            <w:pPr>
              <w:pStyle w:val="Normal6a"/>
            </w:pPr>
            <w:r w:rsidRPr="005B7B7C">
              <w:t>7.</w:t>
            </w:r>
            <w:r w:rsidRPr="005B7B7C">
              <w:tab/>
            </w:r>
            <w:r w:rsidRPr="005B7B7C">
              <w:rPr>
                <w:b/>
                <w:i/>
              </w:rPr>
              <w:t>lobt die Ukraine für ihre Fortschritte bei den Konsultationen im Rahmen des Screening-Prozesses für den EU-Beitritt und</w:t>
            </w:r>
            <w:r w:rsidRPr="005B7B7C">
              <w:t xml:space="preserve"> fordert die Ukraine auf, ihre </w:t>
            </w:r>
            <w:r w:rsidRPr="005B7B7C">
              <w:rPr>
                <w:b/>
                <w:i/>
              </w:rPr>
              <w:t>engagierte Arbeit</w:t>
            </w:r>
            <w:r w:rsidRPr="005B7B7C">
              <w:t xml:space="preserve"> auf dem Weg zur EU-Mitgliedschaft </w:t>
            </w:r>
            <w:r w:rsidRPr="005B7B7C">
              <w:rPr>
                <w:b/>
                <w:i/>
              </w:rPr>
              <w:t>fortzusetzen und dabei die</w:t>
            </w:r>
            <w:r w:rsidRPr="005B7B7C">
              <w:t xml:space="preserve"> im Rahmen der Ukraine-Fazilität zur Verfügung gestellten Mittel </w:t>
            </w:r>
            <w:r w:rsidRPr="005B7B7C">
              <w:rPr>
                <w:b/>
                <w:i/>
              </w:rPr>
              <w:t>in vollem Umfang zu nutzen; fordert die Ukraine auf,</w:t>
            </w:r>
            <w:r w:rsidRPr="005B7B7C">
              <w:t xml:space="preserve"> für eine sinnvolle Einbeziehung ihrer Zivilgesellschaft in die Umsetzungs- und </w:t>
            </w:r>
            <w:r w:rsidRPr="005B7B7C">
              <w:rPr>
                <w:b/>
                <w:i/>
              </w:rPr>
              <w:t>Überwachungsphasen dieses Prozesses</w:t>
            </w:r>
            <w:r w:rsidRPr="005B7B7C">
              <w:t xml:space="preserve"> zu sorgen;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441</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Alexander Sell</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w:t>
            </w:r>
            <w:r w:rsidRPr="005B7B7C">
              <w:rPr>
                <w:b/>
                <w:i/>
              </w:rPr>
              <w:t>die Ukraine auf, ihre Fortschritte auf dem Weg zur</w:t>
            </w:r>
            <w:r w:rsidRPr="005B7B7C">
              <w:t xml:space="preserve"> EU-Mitgliedschaft </w:t>
            </w:r>
            <w:r w:rsidRPr="005B7B7C">
              <w:rPr>
                <w:b/>
                <w:i/>
              </w:rPr>
              <w:t xml:space="preserve">unter Nutzung aller ihr im Rahmen der Ukraine-Fazilität zur Verfügung gestellten Mittel fortzusetzen und für </w:t>
            </w:r>
            <w:r w:rsidRPr="005B7B7C">
              <w:t xml:space="preserve">eine </w:t>
            </w:r>
            <w:r w:rsidRPr="005B7B7C">
              <w:rPr>
                <w:b/>
                <w:i/>
              </w:rPr>
              <w:t>sinnvolle Einbeziehung ihrer Zivilgesellschaft in</w:t>
            </w:r>
            <w:r w:rsidRPr="005B7B7C">
              <w:t xml:space="preserve"> die </w:t>
            </w:r>
            <w:r w:rsidRPr="005B7B7C">
              <w:rPr>
                <w:b/>
                <w:i/>
              </w:rPr>
              <w:t xml:space="preserve">Umsetzungs- und </w:t>
            </w:r>
            <w:r w:rsidRPr="005B7B7C">
              <w:rPr>
                <w:b/>
                <w:i/>
              </w:rPr>
              <w:lastRenderedPageBreak/>
              <w:t>Überwachungsphase dieser Fazilität zu sorgen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lastRenderedPageBreak/>
              <w:t>7.</w:t>
            </w:r>
            <w:r w:rsidRPr="005B7B7C">
              <w:tab/>
              <w:t xml:space="preserve">fordert </w:t>
            </w:r>
            <w:r w:rsidRPr="005B7B7C">
              <w:rPr>
                <w:b/>
                <w:i/>
              </w:rPr>
              <w:t>vor weiteren Schritten in Richtung einer</w:t>
            </w:r>
            <w:r w:rsidRPr="005B7B7C">
              <w:t xml:space="preserve"> EU-Mitgliedschaft eine </w:t>
            </w:r>
            <w:r w:rsidRPr="005B7B7C">
              <w:rPr>
                <w:b/>
                <w:i/>
              </w:rPr>
              <w:t>sorgfältige Bewertung, ob</w:t>
            </w:r>
            <w:r w:rsidRPr="005B7B7C">
              <w:t xml:space="preserve"> die </w:t>
            </w:r>
            <w:r w:rsidRPr="005B7B7C">
              <w:rPr>
                <w:b/>
                <w:i/>
              </w:rPr>
              <w:t>Ukraine dafür bereit ist</w:t>
            </w:r>
            <w:r w:rsidRPr="005B7B7C">
              <w:t>;</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442</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António Tânger Corrêa</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die Ukraine auf, ihre Fortschritte auf dem Weg zur EU-Mitgliedschaft </w:t>
            </w:r>
            <w:r w:rsidRPr="005B7B7C">
              <w:rPr>
                <w:b/>
                <w:i/>
              </w:rPr>
              <w:t>unter Nutzung aller ihr im Rahmen der Ukraine-Fazilität zur Verfügung gestellten Mittel</w:t>
            </w:r>
            <w:r w:rsidRPr="005B7B7C">
              <w:t xml:space="preserve"> fortzusetzen</w:t>
            </w:r>
            <w:r w:rsidRPr="005B7B7C">
              <w:rPr>
                <w:b/>
                <w:i/>
              </w:rPr>
              <w:t xml:space="preserve"> und für eine sinnvolle Einbeziehung ihrer Zivilgesellschaft in die Umsetzungs- und Überwachungsphase dieser Fazilität zu sorgen</w:t>
            </w:r>
            <w:r w:rsidRPr="005B7B7C">
              <w:t>;</w:t>
            </w:r>
          </w:p>
        </w:tc>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die Ukraine auf, ihre Fortschritte auf dem Weg zur EU-Mitgliedschaft </w:t>
            </w:r>
            <w:r w:rsidRPr="005B7B7C">
              <w:rPr>
                <w:b/>
                <w:i/>
              </w:rPr>
              <w:t>gemäß den Kopenhagener Kriterien</w:t>
            </w:r>
            <w:r w:rsidRPr="005B7B7C">
              <w:t xml:space="preserve"> fortzusetzen;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443</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Robert Biedroń, Sven Mikser, Marco Tarquinio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7.</w:t>
            </w:r>
            <w:r w:rsidRPr="005B7B7C">
              <w:tab/>
              <w:t>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w:t>
            </w:r>
          </w:p>
        </w:tc>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 </w:t>
            </w:r>
            <w:r w:rsidRPr="005B7B7C">
              <w:rPr>
                <w:b/>
                <w:i/>
              </w:rPr>
              <w:t xml:space="preserve">weist darauf hin, dass eine erfolgreiche Entflechtung oligarchischer Strukturen weiterhin absolute Priorität </w:t>
            </w:r>
            <w:r w:rsidRPr="005B7B7C">
              <w:rPr>
                <w:b/>
                <w:i/>
              </w:rPr>
              <w:lastRenderedPageBreak/>
              <w:t>haben muss;</w:t>
            </w:r>
          </w:p>
        </w:tc>
      </w:tr>
    </w:tbl>
    <w:p w:rsidR="00F30D4D" w:rsidRPr="005B7B7C" w:rsidRDefault="00F30D4D" w:rsidP="00F30D4D">
      <w:pPr>
        <w:pStyle w:val="AmOrLang"/>
      </w:pPr>
      <w:r w:rsidRPr="005B7B7C">
        <w:lastRenderedPageBreak/>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Pr="005B7B7C" w:rsidRDefault="00F30D4D" w:rsidP="00F30D4D">
      <w:r w:rsidRPr="005B7B7C">
        <w:rPr>
          <w:rStyle w:val="HideTWBExt"/>
        </w:rPr>
        <w:t>&lt;/Amend&gt;</w:t>
      </w:r>
    </w:p>
    <w:p w:rsidR="00F30D4D" w:rsidRPr="005B7B7C" w:rsidRDefault="00F30D4D" w:rsidP="00F30D4D">
      <w:pPr>
        <w:pStyle w:val="AmNumberTabs"/>
      </w:pPr>
      <w:r w:rsidRPr="005B7B7C">
        <w:rPr>
          <w:rStyle w:val="HideTWBExt"/>
        </w:rPr>
        <w:t>&lt;Amend&gt;</w:t>
      </w:r>
      <w:r w:rsidRPr="005B7B7C">
        <w:t>Änderungsantrag</w:t>
      </w:r>
      <w:r w:rsidRPr="005B7B7C">
        <w:tab/>
      </w:r>
      <w:r w:rsidRPr="005B7B7C">
        <w:tab/>
      </w:r>
      <w:r w:rsidRPr="005B7B7C">
        <w:rPr>
          <w:rStyle w:val="HideTWBExt"/>
        </w:rPr>
        <w:t>&lt;NumAm&gt;</w:t>
      </w:r>
      <w:r w:rsidRPr="005B7B7C">
        <w:t>444</w:t>
      </w:r>
      <w:r w:rsidRPr="005B7B7C">
        <w:rPr>
          <w:rStyle w:val="HideTWBExt"/>
        </w:rPr>
        <w:t>&lt;/NumAm&gt;</w:t>
      </w:r>
    </w:p>
    <w:p w:rsidR="00F30D4D" w:rsidRPr="005B7B7C" w:rsidRDefault="00F30D4D" w:rsidP="00F30D4D">
      <w:pPr>
        <w:pStyle w:val="NormalBold"/>
      </w:pPr>
      <w:r w:rsidRPr="005B7B7C">
        <w:rPr>
          <w:rStyle w:val="HideTWBExt"/>
          <w:b w:val="0"/>
        </w:rPr>
        <w:t>&lt;RepeatBlock-By&gt;&lt;Members&gt;</w:t>
      </w:r>
      <w:r w:rsidRPr="005B7B7C">
        <w:t>Ana Miguel Pedro</w:t>
      </w:r>
      <w:r w:rsidRPr="005B7B7C">
        <w:rPr>
          <w:rStyle w:val="HideTWBExt"/>
          <w:b w:val="0"/>
        </w:rPr>
        <w:t>&lt;/Members&gt;</w:t>
      </w:r>
    </w:p>
    <w:p w:rsidR="00F30D4D" w:rsidRPr="005B7B7C" w:rsidRDefault="00F30D4D" w:rsidP="00F30D4D">
      <w:pPr>
        <w:pStyle w:val="NormalBold"/>
      </w:pPr>
      <w:r w:rsidRPr="005B7B7C">
        <w:rPr>
          <w:rStyle w:val="HideTWBExt"/>
          <w:b w:val="0"/>
        </w:rPr>
        <w:t>&lt;/RepeatBlock-By&gt;</w:t>
      </w:r>
    </w:p>
    <w:p w:rsidR="00F30D4D" w:rsidRPr="005B7B7C" w:rsidRDefault="00F30D4D" w:rsidP="00F30D4D">
      <w:pPr>
        <w:pStyle w:val="NormalBold"/>
      </w:pPr>
      <w:r w:rsidRPr="005B7B7C">
        <w:rPr>
          <w:rStyle w:val="HideTWBExt"/>
        </w:rPr>
        <w:t>&lt;DocAmend&gt;</w:t>
      </w:r>
      <w:r w:rsidRPr="005B7B7C">
        <w:t>Entschließungsantrag</w:t>
      </w:r>
      <w:r w:rsidRPr="005B7B7C">
        <w:rPr>
          <w:rStyle w:val="HideTWBExt"/>
        </w:rPr>
        <w:t>&lt;/DocAmend&gt;</w:t>
      </w:r>
    </w:p>
    <w:p w:rsidR="00F30D4D" w:rsidRPr="005B7B7C" w:rsidRDefault="00F30D4D" w:rsidP="00F30D4D">
      <w:pPr>
        <w:pStyle w:val="NormalBold"/>
      </w:pPr>
      <w:r w:rsidRPr="005B7B7C">
        <w:rPr>
          <w:rStyle w:val="HideTWBExt"/>
        </w:rPr>
        <w:t>&lt;Article&gt;</w:t>
      </w:r>
      <w:r w:rsidRPr="005B7B7C">
        <w:t>Ziffer 7</w:t>
      </w:r>
      <w:r w:rsidRPr="005B7B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RPr="005B7B7C" w:rsidTr="008610E6">
        <w:trPr>
          <w:trHeight w:hRule="exact" w:val="240"/>
          <w:jc w:val="center"/>
        </w:trPr>
        <w:tc>
          <w:tcPr>
            <w:tcW w:w="9752" w:type="dxa"/>
            <w:gridSpan w:val="2"/>
            <w:tcBorders>
              <w:top w:val="nil"/>
              <w:left w:val="nil"/>
              <w:bottom w:val="nil"/>
              <w:right w:val="nil"/>
            </w:tcBorders>
          </w:tcPr>
          <w:p w:rsidR="00F30D4D" w:rsidRPr="005B7B7C" w:rsidRDefault="00F30D4D" w:rsidP="008610E6"/>
        </w:tc>
      </w:tr>
      <w:tr w:rsidR="00F30D4D" w:rsidRPr="005B7B7C" w:rsidTr="008610E6">
        <w:trPr>
          <w:trHeight w:val="240"/>
          <w:jc w:val="center"/>
        </w:trPr>
        <w:tc>
          <w:tcPr>
            <w:tcW w:w="4876" w:type="dxa"/>
            <w:tcBorders>
              <w:top w:val="nil"/>
              <w:left w:val="nil"/>
              <w:bottom w:val="nil"/>
              <w:right w:val="nil"/>
            </w:tcBorders>
          </w:tcPr>
          <w:p w:rsidR="00F30D4D" w:rsidRPr="005B7B7C" w:rsidRDefault="00F30D4D" w:rsidP="008610E6">
            <w:pPr>
              <w:pStyle w:val="AmColumnHeading"/>
            </w:pPr>
            <w:r w:rsidRPr="005B7B7C">
              <w:t>Entschließungsantrag</w:t>
            </w:r>
          </w:p>
        </w:tc>
        <w:tc>
          <w:tcPr>
            <w:tcW w:w="4876" w:type="dxa"/>
            <w:tcBorders>
              <w:top w:val="nil"/>
              <w:left w:val="nil"/>
              <w:bottom w:val="nil"/>
              <w:right w:val="nil"/>
            </w:tcBorders>
          </w:tcPr>
          <w:p w:rsidR="00F30D4D" w:rsidRPr="005B7B7C" w:rsidRDefault="00F30D4D" w:rsidP="008610E6">
            <w:pPr>
              <w:pStyle w:val="AmColumnHeading"/>
            </w:pPr>
            <w:r w:rsidRPr="005B7B7C">
              <w:t>Geänderter Text</w:t>
            </w:r>
          </w:p>
        </w:tc>
      </w:tr>
      <w:tr w:rsidR="00F30D4D" w:rsidRPr="005B7B7C" w:rsidTr="008610E6">
        <w:trPr>
          <w:jc w:val="center"/>
        </w:trPr>
        <w:tc>
          <w:tcPr>
            <w:tcW w:w="4876" w:type="dxa"/>
            <w:tcBorders>
              <w:top w:val="nil"/>
              <w:left w:val="nil"/>
              <w:bottom w:val="nil"/>
              <w:right w:val="nil"/>
            </w:tcBorders>
          </w:tcPr>
          <w:p w:rsidR="00F30D4D" w:rsidRPr="005B7B7C" w:rsidRDefault="00F30D4D" w:rsidP="008610E6">
            <w:pPr>
              <w:pStyle w:val="Normal6a"/>
            </w:pPr>
            <w:r w:rsidRPr="005B7B7C">
              <w:t>7.</w:t>
            </w:r>
            <w:r w:rsidRPr="005B7B7C">
              <w:tab/>
              <w:t>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w:t>
            </w:r>
          </w:p>
        </w:tc>
        <w:tc>
          <w:tcPr>
            <w:tcW w:w="4876" w:type="dxa"/>
            <w:tcBorders>
              <w:top w:val="nil"/>
              <w:left w:val="nil"/>
              <w:bottom w:val="nil"/>
              <w:right w:val="nil"/>
            </w:tcBorders>
          </w:tcPr>
          <w:p w:rsidR="00F30D4D" w:rsidRPr="005B7B7C" w:rsidRDefault="00F30D4D" w:rsidP="008610E6">
            <w:pPr>
              <w:pStyle w:val="Normal6a"/>
            </w:pPr>
            <w:r w:rsidRPr="005B7B7C">
              <w:t>7.</w:t>
            </w:r>
            <w:r w:rsidRPr="005B7B7C">
              <w:tab/>
              <w:t xml:space="preserve">fordert die Ukraine auf, ihre Fortschritte auf dem Weg zur EU-Mitgliedschaft unter Nutzung aller ihr im Rahmen der Ukraine-Fazilität zur Verfügung gestellten Mittel fortzusetzen und für eine sinnvolle Einbeziehung ihrer Zivilgesellschaft in die Umsetzungs- und Überwachungsphase dieser Fazilität zu sorgen; </w:t>
            </w:r>
            <w:r w:rsidRPr="005B7B7C">
              <w:rPr>
                <w:b/>
                <w:i/>
              </w:rPr>
              <w:t>und zwar im Einklang mit den Kopenhagener Kriterien;</w:t>
            </w:r>
          </w:p>
        </w:tc>
      </w:tr>
    </w:tbl>
    <w:p w:rsidR="00F30D4D" w:rsidRPr="005B7B7C" w:rsidRDefault="00F30D4D" w:rsidP="00F30D4D">
      <w:pPr>
        <w:pStyle w:val="AmOrLang"/>
      </w:pPr>
      <w:r w:rsidRPr="005B7B7C">
        <w:t xml:space="preserve">Or. </w:t>
      </w:r>
      <w:r w:rsidRPr="005B7B7C">
        <w:rPr>
          <w:rStyle w:val="HideTWBExt"/>
        </w:rPr>
        <w:t>&lt;Original&gt;</w:t>
      </w:r>
      <w:r w:rsidRPr="005B7B7C">
        <w:rPr>
          <w:rStyle w:val="HideTWBInt"/>
        </w:rPr>
        <w:t>{EN}</w:t>
      </w:r>
      <w:r w:rsidRPr="005B7B7C">
        <w:t>en</w:t>
      </w:r>
      <w:r w:rsidRPr="005B7B7C">
        <w:rPr>
          <w:rStyle w:val="HideTWBExt"/>
        </w:rPr>
        <w:t>&lt;/Original&gt;</w:t>
      </w:r>
    </w:p>
    <w:p w:rsidR="00F30D4D" w:rsidRDefault="00F30D4D" w:rsidP="00F30D4D">
      <w:r w:rsidRPr="005B7B7C">
        <w:rPr>
          <w:rStyle w:val="HideTWBExt"/>
        </w:rPr>
        <w:t>&lt;/Amend&gt;</w:t>
      </w:r>
    </w:p>
    <w:p w:rsidR="00F30D4D" w:rsidRPr="00A004FF" w:rsidRDefault="00F30D4D" w:rsidP="00F30D4D">
      <w:pPr>
        <w:pStyle w:val="AmNumberTabs"/>
      </w:pPr>
      <w:r>
        <w:rPr>
          <w:rStyle w:val="HideTWBExt"/>
        </w:rPr>
        <w:t>&lt;Amend&gt;</w:t>
      </w:r>
      <w:r>
        <w:t>Änderungsantrag</w:t>
      </w:r>
      <w:r>
        <w:tab/>
      </w:r>
      <w:r>
        <w:tab/>
      </w:r>
      <w:r>
        <w:rPr>
          <w:rStyle w:val="HideTWBExt"/>
        </w:rPr>
        <w:t>&lt;NumAm&gt;</w:t>
      </w:r>
      <w:r>
        <w:t>445</w:t>
      </w:r>
      <w:r>
        <w:rPr>
          <w:rStyle w:val="HideTWBExt"/>
        </w:rPr>
        <w:t>&lt;/NumAm&gt;</w:t>
      </w:r>
    </w:p>
    <w:p w:rsidR="00F30D4D" w:rsidRPr="00A004FF" w:rsidRDefault="00F30D4D" w:rsidP="00F30D4D">
      <w:pPr>
        <w:pStyle w:val="NormalBold"/>
      </w:pPr>
      <w:r>
        <w:rPr>
          <w:rStyle w:val="HideTWBExt"/>
          <w:b w:val="0"/>
        </w:rPr>
        <w:t>&lt;RepeatBlock-By&gt;&lt;Members&gt;</w:t>
      </w:r>
      <w:r>
        <w:t>Jordan Bardella, Pierre-Romain Thionnet, Matthieu Valet</w:t>
      </w:r>
      <w:r>
        <w:rPr>
          <w:rStyle w:val="HideTWBExt"/>
          <w:b w:val="0"/>
        </w:rPr>
        <w:t>&lt;/Members&gt;</w:t>
      </w:r>
    </w:p>
    <w:p w:rsidR="00F30D4D" w:rsidRPr="00A004FF" w:rsidRDefault="00F30D4D" w:rsidP="00F30D4D">
      <w:pPr>
        <w:pStyle w:val="NormalBold"/>
      </w:pPr>
      <w:r>
        <w:rPr>
          <w:rStyle w:val="HideTWBExt"/>
          <w:b w:val="0"/>
        </w:rPr>
        <w:t>&lt;/RepeatBlock-By&gt;</w:t>
      </w:r>
    </w:p>
    <w:p w:rsidR="00F30D4D" w:rsidRPr="00A004FF" w:rsidRDefault="00F30D4D" w:rsidP="00F30D4D">
      <w:pPr>
        <w:pStyle w:val="NormalBold"/>
      </w:pPr>
      <w:r>
        <w:rPr>
          <w:rStyle w:val="HideTWBExt"/>
        </w:rPr>
        <w:t>&lt;DocAmend&gt;</w:t>
      </w:r>
      <w:r>
        <w:t>Entschließungsantrag</w:t>
      </w:r>
      <w:r>
        <w:rPr>
          <w:rStyle w:val="HideTWBExt"/>
        </w:rPr>
        <w:t>&lt;/DocAmend&gt;</w:t>
      </w:r>
    </w:p>
    <w:p w:rsidR="00F30D4D" w:rsidRPr="00A004FF" w:rsidRDefault="00F30D4D" w:rsidP="00F30D4D">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0D4D" w:rsidTr="008610E6">
        <w:trPr>
          <w:trHeight w:hRule="exact" w:val="240"/>
          <w:jc w:val="center"/>
        </w:trPr>
        <w:tc>
          <w:tcPr>
            <w:tcW w:w="9752" w:type="dxa"/>
            <w:gridSpan w:val="2"/>
            <w:tcBorders>
              <w:top w:val="nil"/>
              <w:left w:val="nil"/>
              <w:bottom w:val="nil"/>
              <w:right w:val="nil"/>
            </w:tcBorders>
          </w:tcPr>
          <w:p w:rsidR="00F30D4D" w:rsidRPr="00A004FF" w:rsidRDefault="00F30D4D" w:rsidP="008610E6"/>
        </w:tc>
      </w:tr>
      <w:tr w:rsidR="00F30D4D" w:rsidTr="008610E6">
        <w:trPr>
          <w:trHeight w:val="240"/>
          <w:jc w:val="center"/>
        </w:trPr>
        <w:tc>
          <w:tcPr>
            <w:tcW w:w="4876" w:type="dxa"/>
            <w:tcBorders>
              <w:top w:val="nil"/>
              <w:left w:val="nil"/>
              <w:bottom w:val="nil"/>
              <w:right w:val="nil"/>
            </w:tcBorders>
          </w:tcPr>
          <w:p w:rsidR="00F30D4D" w:rsidRPr="00A004FF" w:rsidRDefault="00F30D4D" w:rsidP="008610E6">
            <w:pPr>
              <w:pStyle w:val="AmColumnHeading"/>
            </w:pPr>
            <w:r>
              <w:t>Entschließungsantrag</w:t>
            </w:r>
          </w:p>
        </w:tc>
        <w:tc>
          <w:tcPr>
            <w:tcW w:w="4876" w:type="dxa"/>
            <w:tcBorders>
              <w:top w:val="nil"/>
              <w:left w:val="nil"/>
              <w:bottom w:val="nil"/>
              <w:right w:val="nil"/>
            </w:tcBorders>
          </w:tcPr>
          <w:p w:rsidR="00F30D4D" w:rsidRPr="00A004FF" w:rsidRDefault="00F30D4D" w:rsidP="008610E6">
            <w:pPr>
              <w:pStyle w:val="AmColumnHeading"/>
            </w:pPr>
            <w:r>
              <w:t>Geänderter Text</w:t>
            </w:r>
          </w:p>
        </w:tc>
      </w:tr>
      <w:tr w:rsidR="00F30D4D" w:rsidTr="008610E6">
        <w:trPr>
          <w:jc w:val="center"/>
        </w:trPr>
        <w:tc>
          <w:tcPr>
            <w:tcW w:w="4876" w:type="dxa"/>
            <w:tcBorders>
              <w:top w:val="nil"/>
              <w:left w:val="nil"/>
              <w:bottom w:val="nil"/>
              <w:right w:val="nil"/>
            </w:tcBorders>
          </w:tcPr>
          <w:p w:rsidR="00F30D4D" w:rsidRPr="00A004FF" w:rsidRDefault="00F30D4D" w:rsidP="008610E6">
            <w:pPr>
              <w:pStyle w:val="Normal6a"/>
            </w:pPr>
            <w:r>
              <w:t>7.</w:t>
            </w:r>
            <w:r>
              <w:tab/>
              <w:t xml:space="preserve">fordert die </w:t>
            </w:r>
            <w:r>
              <w:rPr>
                <w:b/>
                <w:i/>
              </w:rPr>
              <w:t>Ukraine auf,</w:t>
            </w:r>
            <w:r>
              <w:t xml:space="preserve"> ihre </w:t>
            </w:r>
            <w:r>
              <w:rPr>
                <w:b/>
                <w:i/>
              </w:rPr>
              <w:t>Fortschritte</w:t>
            </w:r>
            <w:r>
              <w:t xml:space="preserve"> auf</w:t>
            </w:r>
            <w:r>
              <w:rPr>
                <w:b/>
                <w:i/>
              </w:rPr>
              <w:t xml:space="preserve"> dem Weg zur EU-Mitgliedschaft unter Nutzung aller ihr im Rahmen</w:t>
            </w:r>
            <w:r>
              <w:t xml:space="preserve"> der </w:t>
            </w:r>
            <w:r>
              <w:rPr>
                <w:b/>
                <w:i/>
              </w:rPr>
              <w:t>Ukraine-Fazilität zur Verfügung gestellten Mittel fortzusetzen</w:t>
            </w:r>
            <w:r>
              <w:t xml:space="preserve"> und </w:t>
            </w:r>
            <w:r>
              <w:rPr>
                <w:b/>
                <w:i/>
              </w:rPr>
              <w:t>für eine sinnvolle Einbeziehung ihrer Zivilgesellschaft in die Umsetzungs- und Überwachungsphase dieser Fazilität zu sorgen</w:t>
            </w:r>
            <w:r>
              <w:t>;</w:t>
            </w:r>
          </w:p>
        </w:tc>
        <w:tc>
          <w:tcPr>
            <w:tcW w:w="4876" w:type="dxa"/>
            <w:tcBorders>
              <w:top w:val="nil"/>
              <w:left w:val="nil"/>
              <w:bottom w:val="nil"/>
              <w:right w:val="nil"/>
            </w:tcBorders>
          </w:tcPr>
          <w:p w:rsidR="00F30D4D" w:rsidRPr="00A004FF" w:rsidRDefault="00F30D4D" w:rsidP="008610E6">
            <w:pPr>
              <w:pStyle w:val="Normal6a"/>
            </w:pPr>
            <w:r>
              <w:t>7.</w:t>
            </w:r>
            <w:r>
              <w:tab/>
              <w:t xml:space="preserve">fordert die </w:t>
            </w:r>
            <w:r>
              <w:rPr>
                <w:b/>
                <w:i/>
              </w:rPr>
              <w:t>EU und</w:t>
            </w:r>
            <w:r>
              <w:t xml:space="preserve"> ihre </w:t>
            </w:r>
            <w:r>
              <w:rPr>
                <w:b/>
                <w:i/>
              </w:rPr>
              <w:t>Mitgliedstaaten</w:t>
            </w:r>
            <w:r>
              <w:t xml:space="preserve"> auf</w:t>
            </w:r>
            <w:r>
              <w:rPr>
                <w:b/>
                <w:i/>
              </w:rPr>
              <w:t>, die Ukraine weiterhin militärisch zu unterstützen, insbesondere in Bezug auf militärische Verteidigungsgüter, Munition und Geschosse; ist</w:t>
            </w:r>
            <w:r>
              <w:t xml:space="preserve"> der </w:t>
            </w:r>
            <w:r>
              <w:rPr>
                <w:b/>
                <w:i/>
              </w:rPr>
              <w:t>Ansicht, dass die Ukraine ein Kriegsland ist</w:t>
            </w:r>
            <w:r>
              <w:t xml:space="preserve"> und </w:t>
            </w:r>
            <w:r>
              <w:rPr>
                <w:b/>
                <w:i/>
              </w:rPr>
              <w:t>daher nach den Kopenhagener Kriterien kein Kandidat für den Beitritt zur EU sein kann</w:t>
            </w:r>
            <w:r>
              <w:t>;</w:t>
            </w:r>
          </w:p>
        </w:tc>
      </w:tr>
    </w:tbl>
    <w:p w:rsidR="00F30D4D" w:rsidRPr="00A004FF" w:rsidRDefault="00F30D4D" w:rsidP="00F30D4D">
      <w:pPr>
        <w:pStyle w:val="AmOrLang"/>
      </w:pPr>
      <w:r w:rsidRPr="00A004FF">
        <w:lastRenderedPageBreak/>
        <w:t xml:space="preserve">Or. </w:t>
      </w:r>
      <w:r w:rsidRPr="00A004FF">
        <w:rPr>
          <w:rStyle w:val="HideTWBExt"/>
        </w:rPr>
        <w:t>&lt;Original&gt;</w:t>
      </w:r>
      <w:r w:rsidRPr="00A004FF">
        <w:rPr>
          <w:rStyle w:val="HideTWBInt"/>
        </w:rPr>
        <w:t>{FR}</w:t>
      </w:r>
      <w:r w:rsidRPr="00A004FF">
        <w:t>fr</w:t>
      </w:r>
      <w:r w:rsidRPr="00A004FF">
        <w:rPr>
          <w:rStyle w:val="HideTWBExt"/>
        </w:rPr>
        <w:t>&lt;/Original&gt;</w:t>
      </w:r>
    </w:p>
    <w:p w:rsidR="00F30D4D" w:rsidRPr="00A004FF" w:rsidRDefault="00F30D4D" w:rsidP="00F30D4D">
      <w:r>
        <w:rPr>
          <w:rStyle w:val="HideTWBExt"/>
        </w:rPr>
        <w:t>&lt;/Amend&gt;</w:t>
      </w:r>
      <w:r w:rsidRPr="00F30D4D">
        <w:rPr>
          <w:rStyle w:val="HideTWBExt"/>
        </w:rPr>
        <w:t>&lt;/RepeatBlock-Amend&gt;</w:t>
      </w:r>
    </w:p>
    <w:p w:rsidR="00377275" w:rsidRPr="00977082" w:rsidRDefault="00377275" w:rsidP="00F30D4D"/>
    <w:sectPr w:rsidR="00377275" w:rsidRPr="00977082" w:rsidSect="00833E9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DAC" w:rsidRPr="00977082" w:rsidRDefault="00A276E3">
      <w:r w:rsidRPr="00977082">
        <w:separator/>
      </w:r>
    </w:p>
  </w:endnote>
  <w:endnote w:type="continuationSeparator" w:id="0">
    <w:p w:rsidR="00B74DAC" w:rsidRPr="00977082" w:rsidRDefault="00A276E3">
      <w:r w:rsidRPr="00977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92" w:rsidRPr="00977082" w:rsidRDefault="00833E92" w:rsidP="00833E92">
    <w:pPr>
      <w:pStyle w:val="EPFooter"/>
    </w:pPr>
    <w:r w:rsidRPr="00977082">
      <w:t>PE</w:t>
    </w:r>
    <w:r w:rsidRPr="00977082">
      <w:rPr>
        <w:rStyle w:val="HideTWBExt"/>
      </w:rPr>
      <w:t>&lt;NoPE&gt;</w:t>
    </w:r>
    <w:r w:rsidRPr="00977082">
      <w:t>765.312</w:t>
    </w:r>
    <w:r w:rsidRPr="00977082">
      <w:rPr>
        <w:rStyle w:val="HideTWBExt"/>
      </w:rPr>
      <w:t>&lt;/NoPE&gt;&lt;Version&gt;</w:t>
    </w:r>
    <w:r w:rsidRPr="00977082">
      <w:t>v01-00</w:t>
    </w:r>
    <w:r w:rsidRPr="00977082">
      <w:rPr>
        <w:rStyle w:val="HideTWBExt"/>
      </w:rPr>
      <w:t>&lt;/Version&gt;</w:t>
    </w:r>
    <w:r w:rsidRPr="00977082">
      <w:tab/>
    </w:r>
    <w:r w:rsidRPr="00977082">
      <w:fldChar w:fldCharType="begin"/>
    </w:r>
    <w:r w:rsidRPr="00977082">
      <w:instrText xml:space="preserve"> PAGE  \* MERGEFORMAT </w:instrText>
    </w:r>
    <w:r w:rsidRPr="00977082">
      <w:fldChar w:fldCharType="separate"/>
    </w:r>
    <w:r w:rsidR="00F30D4D">
      <w:rPr>
        <w:noProof/>
      </w:rPr>
      <w:t>16</w:t>
    </w:r>
    <w:r w:rsidRPr="00977082">
      <w:fldChar w:fldCharType="end"/>
    </w:r>
    <w:r w:rsidRPr="00977082">
      <w:t>/</w:t>
    </w:r>
    <w:r w:rsidR="00F30D4D">
      <w:fldChar w:fldCharType="begin"/>
    </w:r>
    <w:r w:rsidR="00F30D4D">
      <w:instrText xml:space="preserve"> NUMPAGES  \* MERGEFORMAT </w:instrText>
    </w:r>
    <w:r w:rsidR="00F30D4D">
      <w:fldChar w:fldCharType="separate"/>
    </w:r>
    <w:r w:rsidR="00F30D4D">
      <w:rPr>
        <w:noProof/>
      </w:rPr>
      <w:t>201</w:t>
    </w:r>
    <w:r w:rsidR="00F30D4D">
      <w:rPr>
        <w:noProof/>
      </w:rPr>
      <w:fldChar w:fldCharType="end"/>
    </w:r>
    <w:r w:rsidRPr="00977082">
      <w:tab/>
    </w:r>
    <w:r w:rsidRPr="00977082">
      <w:rPr>
        <w:rStyle w:val="HideTWBExt"/>
      </w:rPr>
      <w:t>&lt;PathFdR&gt;</w:t>
    </w:r>
    <w:r w:rsidRPr="00977082">
      <w:t>AM\1309976DE.docx</w:t>
    </w:r>
    <w:r w:rsidRPr="00977082">
      <w:rPr>
        <w:rStyle w:val="HideTWBExt"/>
      </w:rPr>
      <w:t>&lt;/PathFdR&gt;</w:t>
    </w:r>
  </w:p>
  <w:p w:rsidR="00377275" w:rsidRPr="00977082" w:rsidRDefault="00833E92" w:rsidP="00833E92">
    <w:pPr>
      <w:pStyle w:val="EPFooter2"/>
    </w:pPr>
    <w:r w:rsidRPr="0097708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92" w:rsidRPr="00977082" w:rsidRDefault="00833E92" w:rsidP="00833E92">
    <w:pPr>
      <w:pStyle w:val="EPFooter"/>
    </w:pPr>
    <w:r w:rsidRPr="00977082">
      <w:rPr>
        <w:rStyle w:val="HideTWBExt"/>
      </w:rPr>
      <w:t>&lt;PathFdR&gt;</w:t>
    </w:r>
    <w:r w:rsidRPr="00977082">
      <w:t>AM\1309976DE.docx</w:t>
    </w:r>
    <w:r w:rsidRPr="00977082">
      <w:rPr>
        <w:rStyle w:val="HideTWBExt"/>
      </w:rPr>
      <w:t>&lt;/PathFdR&gt;</w:t>
    </w:r>
    <w:r w:rsidRPr="00977082">
      <w:tab/>
    </w:r>
    <w:r w:rsidRPr="00977082">
      <w:fldChar w:fldCharType="begin"/>
    </w:r>
    <w:r w:rsidRPr="00977082">
      <w:instrText xml:space="preserve"> PAGE  \* MERGEFORMAT </w:instrText>
    </w:r>
    <w:r w:rsidRPr="00977082">
      <w:fldChar w:fldCharType="separate"/>
    </w:r>
    <w:r w:rsidR="00F30D4D">
      <w:rPr>
        <w:noProof/>
      </w:rPr>
      <w:t>15</w:t>
    </w:r>
    <w:r w:rsidRPr="00977082">
      <w:fldChar w:fldCharType="end"/>
    </w:r>
    <w:r w:rsidRPr="00977082">
      <w:t>/</w:t>
    </w:r>
    <w:r w:rsidR="00F30D4D">
      <w:fldChar w:fldCharType="begin"/>
    </w:r>
    <w:r w:rsidR="00F30D4D">
      <w:instrText xml:space="preserve"> NUMPAGES  \* MERGEFORMAT </w:instrText>
    </w:r>
    <w:r w:rsidR="00F30D4D">
      <w:fldChar w:fldCharType="separate"/>
    </w:r>
    <w:r w:rsidR="00F30D4D">
      <w:rPr>
        <w:noProof/>
      </w:rPr>
      <w:t>201</w:t>
    </w:r>
    <w:r w:rsidR="00F30D4D">
      <w:rPr>
        <w:noProof/>
      </w:rPr>
      <w:fldChar w:fldCharType="end"/>
    </w:r>
    <w:r w:rsidRPr="00977082">
      <w:tab/>
      <w:t>PE</w:t>
    </w:r>
    <w:r w:rsidRPr="00977082">
      <w:rPr>
        <w:rStyle w:val="HideTWBExt"/>
      </w:rPr>
      <w:t>&lt;NoPE&gt;</w:t>
    </w:r>
    <w:r w:rsidRPr="00977082">
      <w:t>765.312</w:t>
    </w:r>
    <w:r w:rsidRPr="00977082">
      <w:rPr>
        <w:rStyle w:val="HideTWBExt"/>
      </w:rPr>
      <w:t>&lt;/NoPE&gt;&lt;Version&gt;</w:t>
    </w:r>
    <w:r w:rsidRPr="00977082">
      <w:t>v01-00</w:t>
    </w:r>
    <w:r w:rsidRPr="00977082">
      <w:rPr>
        <w:rStyle w:val="HideTWBExt"/>
      </w:rPr>
      <w:t>&lt;/Version&gt;</w:t>
    </w:r>
  </w:p>
  <w:p w:rsidR="00377275" w:rsidRPr="00977082" w:rsidRDefault="00833E92" w:rsidP="00833E92">
    <w:pPr>
      <w:pStyle w:val="EPFooter2"/>
    </w:pPr>
    <w:r w:rsidRPr="00977082">
      <w:tab/>
    </w:r>
    <w:r w:rsidRPr="0097708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92" w:rsidRPr="00977082" w:rsidRDefault="00833E92" w:rsidP="00833E92">
    <w:pPr>
      <w:pStyle w:val="EPFooter"/>
    </w:pPr>
    <w:r w:rsidRPr="00977082">
      <w:rPr>
        <w:rStyle w:val="HideTWBExt"/>
      </w:rPr>
      <w:t>&lt;PathFdR&gt;</w:t>
    </w:r>
    <w:r w:rsidRPr="00977082">
      <w:t>AM\1309976DE.docx</w:t>
    </w:r>
    <w:r w:rsidRPr="00977082">
      <w:rPr>
        <w:rStyle w:val="HideTWBExt"/>
      </w:rPr>
      <w:t>&lt;/PathFdR&gt;</w:t>
    </w:r>
    <w:r w:rsidRPr="00977082">
      <w:tab/>
    </w:r>
    <w:r w:rsidRPr="00977082">
      <w:tab/>
      <w:t>PE</w:t>
    </w:r>
    <w:r w:rsidRPr="00977082">
      <w:rPr>
        <w:rStyle w:val="HideTWBExt"/>
      </w:rPr>
      <w:t>&lt;NoPE&gt;</w:t>
    </w:r>
    <w:r w:rsidRPr="00977082">
      <w:t>765.312</w:t>
    </w:r>
    <w:r w:rsidRPr="00977082">
      <w:rPr>
        <w:rStyle w:val="HideTWBExt"/>
      </w:rPr>
      <w:t>&lt;/NoPE&gt;&lt;Version&gt;</w:t>
    </w:r>
    <w:r w:rsidRPr="00977082">
      <w:t>v01-00</w:t>
    </w:r>
    <w:r w:rsidRPr="00977082">
      <w:rPr>
        <w:rStyle w:val="HideTWBExt"/>
      </w:rPr>
      <w:t>&lt;/Version&gt;</w:t>
    </w:r>
  </w:p>
  <w:p w:rsidR="00377275" w:rsidRPr="00977082" w:rsidRDefault="00833E92" w:rsidP="00833E92">
    <w:pPr>
      <w:pStyle w:val="EPFooter2"/>
    </w:pPr>
    <w:r w:rsidRPr="00977082">
      <w:t>DE</w:t>
    </w:r>
    <w:r w:rsidRPr="00977082">
      <w:tab/>
    </w:r>
    <w:r w:rsidRPr="00977082">
      <w:rPr>
        <w:b w:val="0"/>
        <w:i/>
        <w:color w:val="C0C0C0"/>
        <w:sz w:val="22"/>
      </w:rPr>
      <w:t>In Vielfalt geeint</w:t>
    </w:r>
    <w:r w:rsidRPr="00977082">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DAC" w:rsidRPr="00977082" w:rsidRDefault="00A276E3">
      <w:r w:rsidRPr="00977082">
        <w:separator/>
      </w:r>
    </w:p>
  </w:footnote>
  <w:footnote w:type="continuationSeparator" w:id="0">
    <w:p w:rsidR="00B74DAC" w:rsidRPr="00977082" w:rsidRDefault="00A276E3">
      <w:r w:rsidRPr="009770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D4D" w:rsidRDefault="00F30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D4D" w:rsidRDefault="00F30D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D4D" w:rsidRDefault="00F30D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E"/>
    <w:docVar w:name="TXTLANGUEMIN" w:val="de"/>
    <w:docVar w:name="TXTNRPE" w:val="765.312"/>
    <w:docVar w:name="TXTPEorAP" w:val="PE"/>
    <w:docVar w:name="TXTROUTE" w:val="AM\1309976DE.docx"/>
    <w:docVar w:name="TXTVERSION" w:val="01-00"/>
  </w:docVars>
  <w:rsids>
    <w:rsidRoot w:val="00A77B3E"/>
    <w:rsid w:val="00377275"/>
    <w:rsid w:val="00501FAB"/>
    <w:rsid w:val="00833E92"/>
    <w:rsid w:val="009519B1"/>
    <w:rsid w:val="00977082"/>
    <w:rsid w:val="00A004FF"/>
    <w:rsid w:val="00A276E3"/>
    <w:rsid w:val="00A77B3E"/>
    <w:rsid w:val="00A81E03"/>
    <w:rsid w:val="00B61F88"/>
    <w:rsid w:val="00B74DAC"/>
    <w:rsid w:val="00BF0ACB"/>
    <w:rsid w:val="00CA2A55"/>
    <w:rsid w:val="00F30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85332C"/>
  <w15:docId w15:val="{06B4EAE7-4EC5-460C-8383-3C1301BC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81E03"/>
    <w:pPr>
      <w:tabs>
        <w:tab w:val="center" w:pos="4513"/>
        <w:tab w:val="right" w:pos="9026"/>
      </w:tabs>
    </w:pPr>
  </w:style>
  <w:style w:type="character" w:customStyle="1" w:styleId="HeaderChar">
    <w:name w:val="Header Char"/>
    <w:basedOn w:val="DefaultParagraphFont"/>
    <w:link w:val="Header"/>
    <w:rsid w:val="00A81E03"/>
    <w:rPr>
      <w:sz w:val="24"/>
      <w:szCs w:val="24"/>
    </w:rPr>
  </w:style>
  <w:style w:type="paragraph" w:styleId="Footer">
    <w:name w:val="footer"/>
    <w:basedOn w:val="Normal"/>
    <w:link w:val="FooterChar"/>
    <w:semiHidden/>
    <w:unhideWhenUsed/>
    <w:rsid w:val="00F30D4D"/>
    <w:pPr>
      <w:tabs>
        <w:tab w:val="center" w:pos="4513"/>
        <w:tab w:val="right" w:pos="9026"/>
      </w:tabs>
    </w:pPr>
  </w:style>
  <w:style w:type="character" w:customStyle="1" w:styleId="FooterChar">
    <w:name w:val="Footer Char"/>
    <w:basedOn w:val="DefaultParagraphFont"/>
    <w:link w:val="Footer"/>
    <w:semiHidden/>
    <w:rsid w:val="00F30D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39536</Words>
  <Characters>267317</Characters>
  <Application>Microsoft Office Word</Application>
  <DocSecurity>0</DocSecurity>
  <Lines>10944</Lines>
  <Paragraphs>3163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2024-12-04T10:56:00Z</dcterms:created>
  <dcterms:modified xsi:type="dcterms:W3CDTF">2024-12-04T10:56:00Z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1309976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87434</vt:lpwstr>
  </property>
  <property fmtid="{D5CDD505-2E9C-101B-9397-08002B2CF9AE}" pid="7" name="dmxml.render.traceId">
    <vt:lpwstr>672e06a3acb080b0115e5fbfc5f0aa50</vt:lpwstr>
  </property>
  <property fmtid="{D5CDD505-2E9C-101B-9397-08002B2CF9AE}" pid="8" name="FooterPath">
    <vt:lpwstr>AM\1309976DE.docx</vt:lpwstr>
  </property>
  <property fmtid="{D5CDD505-2E9C-101B-9397-08002B2CF9AE}" pid="9" name="LastEdited with">
    <vt:lpwstr>10.0.0 Build [20241005]</vt:lpwstr>
  </property>
  <property fmtid="{D5CDD505-2E9C-101B-9397-08002B2CF9AE}" pid="10" name="PE Number">
    <vt:lpwstr>765.312</vt:lpwstr>
  </property>
  <property fmtid="{D5CDD505-2E9C-101B-9397-08002B2CF9AE}" pid="11" name="SDLStudio">
    <vt:lpwstr/>
  </property>
  <property fmtid="{D5CDD505-2E9C-101B-9397-08002B2CF9AE}" pid="12" name="UID">
    <vt:lpwstr>eu.europa.europarl-DIN1-2024-0000051286_01.00-xm-01.00_text-xml</vt:lpwstr>
  </property>
  <property fmtid="{D5CDD505-2E9C-101B-9397-08002B2CF9AE}" pid="13" name="Bookout">
    <vt:lpwstr>OK - 2024/12/04 11:56</vt:lpwstr>
  </property>
</Properties>
</file>