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27CE8">
        <w:trPr>
          <w:trHeight w:hRule="exact" w:val="1417"/>
          <w:jc w:val="center"/>
        </w:trPr>
        <w:tc>
          <w:tcPr>
            <w:tcW w:w="6804" w:type="dxa"/>
            <w:tcBorders>
              <w:top w:val="nil"/>
              <w:left w:val="nil"/>
              <w:bottom w:val="nil"/>
              <w:right w:val="nil"/>
            </w:tcBorders>
            <w:vAlign w:val="center"/>
          </w:tcPr>
          <w:p w:rsidR="00294A09" w:rsidRPr="00252254" w:rsidRDefault="002131D7">
            <w:pPr>
              <w:pStyle w:val="EPName"/>
            </w:pPr>
            <w:r>
              <w:t>Europos Parlamentas</w:t>
            </w:r>
          </w:p>
          <w:p w:rsidR="00294A09" w:rsidRPr="00252254" w:rsidRDefault="002131D7">
            <w:pPr>
              <w:pStyle w:val="EPTerm"/>
            </w:pPr>
            <w:r>
              <w:t>2024-2029</w:t>
            </w:r>
          </w:p>
        </w:tc>
        <w:tc>
          <w:tcPr>
            <w:tcW w:w="2268" w:type="dxa"/>
            <w:tcBorders>
              <w:top w:val="nil"/>
              <w:left w:val="nil"/>
              <w:bottom w:val="nil"/>
              <w:right w:val="nil"/>
            </w:tcBorders>
          </w:tcPr>
          <w:p w:rsidR="00294A09" w:rsidRPr="00252254" w:rsidRDefault="00D26FE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35pt">
                  <v:imagedata r:id="rId6" o:title=""/>
                </v:shape>
              </w:pict>
            </w:r>
          </w:p>
        </w:tc>
      </w:tr>
    </w:tbl>
    <w:p w:rsidR="00294A09" w:rsidRPr="00252254" w:rsidRDefault="002131D7">
      <w:pPr>
        <w:pStyle w:val="LineTop"/>
      </w:pPr>
      <w:r>
        <w:t xml:space="preserve"> </w:t>
      </w:r>
    </w:p>
    <w:p w:rsidR="00294A09" w:rsidRPr="00252254" w:rsidRDefault="002131D7">
      <w:pPr>
        <w:pStyle w:val="EPBody"/>
      </w:pPr>
      <w:r>
        <w:rPr>
          <w:rStyle w:val="HideTWBExt"/>
        </w:rPr>
        <w:t>&lt;Commission&gt;</w:t>
      </w:r>
      <w:r>
        <w:rPr>
          <w:rStyle w:val="HideTWBInt"/>
          <w:color w:val="auto"/>
        </w:rPr>
        <w:t>{AFET}</w:t>
      </w:r>
      <w:r>
        <w:t>Užsienio reikalų komitetas</w:t>
      </w:r>
      <w:r>
        <w:rPr>
          <w:rStyle w:val="HideTWBExt"/>
        </w:rPr>
        <w:t>&lt;/Commission&gt;</w:t>
      </w:r>
    </w:p>
    <w:p w:rsidR="00294A09" w:rsidRPr="00252254" w:rsidRDefault="002131D7">
      <w:pPr>
        <w:pStyle w:val="LineBottom"/>
      </w:pPr>
      <w:r>
        <w:t xml:space="preserve"> </w:t>
      </w:r>
    </w:p>
    <w:p w:rsidR="00294A09" w:rsidRPr="00252254" w:rsidRDefault="002131D7">
      <w:pPr>
        <w:pStyle w:val="CoverReference"/>
      </w:pPr>
      <w:r>
        <w:rPr>
          <w:rStyle w:val="HideTWBExt"/>
        </w:rPr>
        <w:t>&lt;RefProc&gt;</w:t>
      </w:r>
      <w:r>
        <w:t>2024/2080</w:t>
      </w:r>
      <w:r>
        <w:rPr>
          <w:rStyle w:val="HideTWBExt"/>
        </w:rPr>
        <w:t>&lt;/RefProc&gt;&lt;RefTypeProc&gt;</w:t>
      </w:r>
      <w:r>
        <w:t>(INI)</w:t>
      </w:r>
      <w:r>
        <w:rPr>
          <w:rStyle w:val="HideTWBExt"/>
        </w:rPr>
        <w:t>&lt;/RefTypeProc&gt;</w:t>
      </w:r>
    </w:p>
    <w:p w:rsidR="00294A09" w:rsidRPr="00252254" w:rsidRDefault="002131D7">
      <w:pPr>
        <w:pStyle w:val="CoverDate"/>
      </w:pPr>
      <w:r>
        <w:rPr>
          <w:rStyle w:val="HideTWBExt"/>
        </w:rPr>
        <w:t>&lt;Date&gt;</w:t>
      </w:r>
      <w:r>
        <w:rPr>
          <w:rStyle w:val="HideTWBInt"/>
          <w:color w:val="auto"/>
        </w:rPr>
        <w:t>{08/11/2024}</w:t>
      </w:r>
      <w:r>
        <w:t>8.11.2024</w:t>
      </w:r>
      <w:r>
        <w:rPr>
          <w:rStyle w:val="HideTWBExt"/>
        </w:rPr>
        <w:t>&lt;/Date&gt;</w:t>
      </w:r>
    </w:p>
    <w:p w:rsidR="00294A09" w:rsidRPr="00252254" w:rsidRDefault="002131D7">
      <w:pPr>
        <w:pStyle w:val="CoverDocType"/>
      </w:pPr>
      <w:r>
        <w:rPr>
          <w:rStyle w:val="HideTWBExt"/>
        </w:rPr>
        <w:t>&lt;TypeAM&gt;</w:t>
      </w:r>
      <w:r>
        <w:t>PAKEITIMAI</w:t>
      </w:r>
      <w:r>
        <w:rPr>
          <w:rStyle w:val="HideTWBExt"/>
        </w:rPr>
        <w:t>&lt;/TypeAM&gt;</w:t>
      </w:r>
    </w:p>
    <w:p w:rsidR="00294A09" w:rsidRPr="00252254" w:rsidRDefault="002131D7">
      <w:pPr>
        <w:pStyle w:val="CoverDocType24a"/>
      </w:pPr>
      <w:r>
        <w:rPr>
          <w:rStyle w:val="HideTWBExt"/>
        </w:rPr>
        <w:t>&lt;RangeAM&gt;</w:t>
      </w:r>
      <w:r>
        <w:t>89–445</w:t>
      </w:r>
      <w:r>
        <w:rPr>
          <w:rStyle w:val="HideTWBExt"/>
        </w:rPr>
        <w:t>&lt;/RangeAM&gt;</w:t>
      </w:r>
    </w:p>
    <w:p w:rsidR="00294A09" w:rsidRPr="00252254" w:rsidRDefault="002131D7">
      <w:pPr>
        <w:pStyle w:val="CoverBold"/>
      </w:pPr>
      <w:r>
        <w:rPr>
          <w:rStyle w:val="HideTWBExt"/>
        </w:rPr>
        <w:t>&lt;TitreType&gt;</w:t>
      </w:r>
      <w:r>
        <w:t>Pranešimo projektas</w:t>
      </w:r>
      <w:r>
        <w:rPr>
          <w:rStyle w:val="HideTWBExt"/>
        </w:rPr>
        <w:t>&lt;/TitreType&gt;</w:t>
      </w:r>
    </w:p>
    <w:p w:rsidR="00294A09" w:rsidRPr="00252254" w:rsidRDefault="002131D7">
      <w:pPr>
        <w:pStyle w:val="CoverBold"/>
      </w:pPr>
      <w:r>
        <w:rPr>
          <w:rStyle w:val="HideTWBExt"/>
        </w:rPr>
        <w:t>&lt;Rapporteur&gt;</w:t>
      </w:r>
      <w:r>
        <w:t>David McAllister</w:t>
      </w:r>
      <w:r>
        <w:rPr>
          <w:rStyle w:val="HideTWBExt"/>
        </w:rPr>
        <w:t>&lt;/Rapporteur&gt;</w:t>
      </w:r>
    </w:p>
    <w:p w:rsidR="00294A09" w:rsidRPr="00252254" w:rsidRDefault="002131D7">
      <w:pPr>
        <w:pStyle w:val="CoverNormal24a"/>
      </w:pPr>
      <w:r>
        <w:rPr>
          <w:rStyle w:val="HideTWBExt"/>
        </w:rPr>
        <w:t>&lt;DocRefPE&gt;</w:t>
      </w:r>
      <w:r>
        <w:t>(PE765.084v01-00)</w:t>
      </w:r>
      <w:r>
        <w:rPr>
          <w:rStyle w:val="HideTWBExt"/>
        </w:rPr>
        <w:t>&lt;/DocRefPE&gt;</w:t>
      </w:r>
    </w:p>
    <w:p w:rsidR="00294A09" w:rsidRPr="00252254" w:rsidRDefault="002131D7">
      <w:pPr>
        <w:pStyle w:val="CoverNormal"/>
      </w:pPr>
      <w:r>
        <w:rPr>
          <w:rStyle w:val="HideTWBExt"/>
        </w:rPr>
        <w:t>&lt;Titre&gt;</w:t>
      </w:r>
      <w:r>
        <w:t>2024 m. metinis pranešimas dėl bendros užsienio ir saugumo politikos įgyvendinimo</w:t>
      </w:r>
      <w:r>
        <w:rPr>
          <w:rStyle w:val="HideTWBExt"/>
        </w:rPr>
        <w:t>&lt;/Titre&gt;</w:t>
      </w:r>
    </w:p>
    <w:p w:rsidR="00294A09" w:rsidRPr="00252254" w:rsidRDefault="002131D7">
      <w:pPr>
        <w:pStyle w:val="CoverNormal24a"/>
      </w:pPr>
      <w:r>
        <w:rPr>
          <w:rStyle w:val="HideTWBExt"/>
        </w:rPr>
        <w:t>&lt;DocRef&gt;</w:t>
      </w:r>
      <w:r>
        <w:t>(2024/2080(INI))</w:t>
      </w:r>
      <w:r>
        <w:rPr>
          <w:rStyle w:val="HideTWBExt"/>
        </w:rPr>
        <w:t>&lt;/DocRef&gt;</w:t>
      </w:r>
    </w:p>
    <w:p w:rsidR="00294A09" w:rsidRPr="00252254" w:rsidRDefault="002131D7">
      <w:r>
        <w:br w:type="page"/>
      </w:r>
      <w:r>
        <w:lastRenderedPageBreak/>
        <w:t>AM_Com_NonLegReport</w:t>
      </w:r>
    </w:p>
    <w:p w:rsidR="002131D7" w:rsidRPr="00252254" w:rsidRDefault="002131D7" w:rsidP="002131D7">
      <w:pPr>
        <w:pStyle w:val="AmNumberTabs"/>
      </w:pPr>
      <w:r>
        <w:br w:type="page"/>
      </w:r>
      <w:r w:rsidRPr="002131D7">
        <w:rPr>
          <w:rStyle w:val="HideTWBExt"/>
          <w:b w:val="0"/>
        </w:rPr>
        <w:lastRenderedPageBreak/>
        <w:t>&lt;RepeatBlock-Amend&gt;</w:t>
      </w:r>
      <w:r>
        <w:rPr>
          <w:rStyle w:val="HideTWBExt"/>
        </w:rPr>
        <w:t>&lt;Amend&gt;</w:t>
      </w:r>
      <w:r>
        <w:t>Pakeitimas</w:t>
      </w:r>
      <w:r>
        <w:tab/>
      </w:r>
      <w:r>
        <w:tab/>
      </w:r>
      <w:r>
        <w:rPr>
          <w:rStyle w:val="HideTWBExt"/>
        </w:rPr>
        <w:t>&lt;NumAm&gt;</w:t>
      </w:r>
      <w:r>
        <w:t>89</w:t>
      </w:r>
      <w:r>
        <w:rPr>
          <w:rStyle w:val="HideTWBExt"/>
        </w:rPr>
        <w:t>&lt;/NumAm&gt;</w:t>
      </w:r>
    </w:p>
    <w:p w:rsidR="002131D7" w:rsidRPr="00252254" w:rsidRDefault="002131D7" w:rsidP="002131D7">
      <w:pPr>
        <w:pStyle w:val="NormalBold"/>
      </w:pPr>
      <w:r>
        <w:rPr>
          <w:rStyle w:val="HideTWBExt"/>
          <w:b w:val="0"/>
        </w:rPr>
        <w:t>&lt;RepeatBlock-By&gt;&lt;Members&gt;</w:t>
      </w:r>
      <w:r>
        <w:t>António Tânger Corrêa, Hermann Tertsch, Jorge Martín Frías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1.</w:t>
            </w:r>
            <w:r>
              <w:tab/>
              <w:t xml:space="preserve">pažymi, kad ataskaita Europos Parlamentui buvo pateikta 2024 m. birželio 20 d.; primena, kad ataskaita turėtų būti grindžiama ateities perspektyvomis; </w:t>
            </w:r>
            <w:r>
              <w:rPr>
                <w:b/>
                <w:i/>
              </w:rPr>
              <w:t>toliau pateikia pastabas dėl kelių pokyčių</w:t>
            </w:r>
            <w:r>
              <w:t xml:space="preserve">, </w:t>
            </w:r>
            <w:r>
              <w:rPr>
                <w:b/>
                <w:i/>
              </w:rPr>
              <w:t>kuriuos savo ataskaitoje akcentavo Komisijos pirmininko pavaduotojas</w:t>
            </w:r>
            <w:r>
              <w:t xml:space="preserve"> ir </w:t>
            </w:r>
            <w:r>
              <w:rPr>
                <w:b/>
                <w:i/>
              </w:rPr>
              <w:t>Sąjungos vyriausiasis įgaliotinis</w:t>
            </w:r>
            <w:r>
              <w:t>;</w:t>
            </w:r>
          </w:p>
        </w:tc>
        <w:tc>
          <w:tcPr>
            <w:tcW w:w="4876" w:type="dxa"/>
            <w:tcBorders>
              <w:top w:val="nil"/>
              <w:left w:val="nil"/>
              <w:bottom w:val="nil"/>
              <w:right w:val="nil"/>
            </w:tcBorders>
          </w:tcPr>
          <w:p w:rsidR="002131D7" w:rsidRPr="00252254" w:rsidRDefault="002131D7" w:rsidP="00B46628">
            <w:pPr>
              <w:pStyle w:val="Normal6a"/>
            </w:pPr>
            <w:r>
              <w:t>1.</w:t>
            </w:r>
            <w:r>
              <w:tab/>
              <w:t xml:space="preserve">pažymi, kad ataskaita Europos Parlamentui buvo pateikta 2024 m. birželio 20 d.; primena, kad ataskaita turėtų būti grindžiama ateities perspektyvomis; </w:t>
            </w:r>
            <w:r>
              <w:rPr>
                <w:b/>
                <w:i/>
              </w:rPr>
              <w:t>pažymi, kad 2024 m. liepos mėn. darbą pradėjo naujos sudėties Europos Parlamentas</w:t>
            </w:r>
            <w:r>
              <w:t xml:space="preserve">, </w:t>
            </w:r>
            <w:r>
              <w:rPr>
                <w:b/>
                <w:i/>
              </w:rPr>
              <w:t>turintis įgaliojimus sukurti atnaujintą Europos Sąjungos užsienio, saugumo</w:t>
            </w:r>
            <w:r>
              <w:rPr>
                <w:b/>
                <w:bCs/>
                <w:i/>
                <w:iCs/>
              </w:rPr>
              <w:t xml:space="preserve"> ir g</w:t>
            </w:r>
            <w:r>
              <w:rPr>
                <w:b/>
                <w:i/>
              </w:rPr>
              <w:t>ynybos politikos viziją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90</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1a.</w:t>
            </w:r>
            <w:r>
              <w:tab/>
            </w:r>
            <w:r>
              <w:rPr>
                <w:b/>
                <w:i/>
              </w:rPr>
              <w:t>ragina valstybes nares ir Komisiją skirti daugiau finansinių ir žmogiškųjų išteklių EIVT siekiant užtikrinti, kad ji galėtų veiksmingai atlikti savo, kaip ES diplomatinės tarnybos, vaidmenį, atsižvelgiant į stipriai ginčų draskomą geopolitinę situaciją ir pastaraisiais metais išaugusius reikalavimus jos ribotų pajėgumų atžvilgiu;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91</w:t>
      </w:r>
      <w:r>
        <w:rPr>
          <w:rStyle w:val="HideTWBExt"/>
        </w:rPr>
        <w:t>&lt;/NumAm&gt;</w:t>
      </w:r>
    </w:p>
    <w:p w:rsidR="002131D7" w:rsidRPr="00252254" w:rsidRDefault="002131D7" w:rsidP="002131D7">
      <w:pPr>
        <w:pStyle w:val="NormalBold"/>
      </w:pPr>
      <w:r>
        <w:rPr>
          <w:rStyle w:val="HideTWBExt"/>
          <w:b w:val="0"/>
        </w:rPr>
        <w:lastRenderedPageBreak/>
        <w:t>&lt;RepeatBlock-By&gt;&lt;Members&gt;</w:t>
      </w:r>
      <w:r>
        <w:t>Sven Mikser, Lucia Annunziata, Nicola Zingaretti, Thijs Reuten, Alessandra Moretti, Giorgio Gori, Tobias Cremer, Yannis Maniatis, Vasile Dîncu,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1b.</w:t>
            </w:r>
            <w:r>
              <w:tab/>
            </w:r>
            <w:r>
              <w:rPr>
                <w:b/>
                <w:i/>
              </w:rPr>
              <w:t>pripažįsta kintantį pasauliniam saugumui kylančių grėsmių pobūdį ir primena, kad užtikrinant ilgalaikį tarptautinį saugumą labai svarbų vaidmenį kartu su kariniu bendradarbiavimu gynybos srityje atlieka diplomatija ir vystymasis; pabrėžia, kad tvari taika negali būti pasiekta karinėmis priemonėmis – jai pasiekti reikia visapusiškų strategijų, kurių laikantis būtų šalinamos pagrindinės nestabilumą lemiančios priežastys, pavyzdžiui, skurdas, nelygybė ir klimato kaita; akcentuoja, kad ES strategija „Global Gateway“ ir kitos vystymosi programos turėtų būti suderintos su BUSP tikslais ir jomis turėtų būti skatinamas ES atsparumas, integracinis ekonomikos augimas ir žmogaus teisės;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92</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1c.</w:t>
            </w:r>
            <w:r>
              <w:tab/>
            </w:r>
            <w:r>
              <w:rPr>
                <w:b/>
                <w:i/>
              </w:rPr>
              <w:t xml:space="preserve">pabrėžia, kad įgyvendinant ES bendrą užsienio ir saugumo politiką (BUSP) itin svarbu daug dėmesio skirti lyčių įgalėjimui, kaip taiką, stabilumą ir darnų vystymąsi skatinančiai priemonei; atkreipia dėmesį į tai, kad įtraukiant </w:t>
            </w:r>
            <w:r>
              <w:rPr>
                <w:b/>
                <w:i/>
              </w:rPr>
              <w:lastRenderedPageBreak/>
              <w:t>moteris į konfliktų prevencijos, jų sprendimo ir taikos kūrimo veiksmus šie procesai tampa veiksmingesni ir atsparesni; ragina ES vykdant išorės veiksmus teikti pirmenybę lyčių lygybei, remti moterų vadovaujamas iniciatyvas nuo konfliktų nukentėjusiuose regionuose ir užtikrinti visapusišką, lygiateisį ir prasmingą moterų dalyvavimą visais BUSP aspektais;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93</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1d.</w:t>
            </w:r>
            <w:r>
              <w:tab/>
            </w:r>
            <w:r>
              <w:rPr>
                <w:b/>
                <w:i/>
              </w:rPr>
              <w:t>palankiai vertina S. Niinistö ataskaitą ir joje pateiktas rekomendacijas dėl Europos civilinės ir karinės parengties ir atsparumo stiprinimo; pritaria tam, kad siekiant atsparumo būtų laikomasi visos visuomenės įtraukimo požiūrio, apimančio aktyvų ES institucijų, valstybių narių, pilietinės visuomenės ir atskirų piliečių dalyvavimą stiprinant Sąjungos saugumo sistemą; ragina valstybes nares, Komisiją ir EIVT atidžiai išnagrinėti ataskaitos išvadas bei rekomendacijas ir parodyti reikiamą politinį pasiryžimą, taip pat skirti būtinus finansinius bei žmogiškuosius išteklius siekiant įgyvendinti siūlomus veiksmus, kuriais būtų sustiprintas Sąjungos, kaip svarbiausios veikėjos saugumo srityje Europoje ir pasaulinėje, vaidmuo;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94</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1e.</w:t>
            </w:r>
            <w:r>
              <w:tab/>
            </w:r>
            <w:r>
              <w:rPr>
                <w:b/>
                <w:i/>
              </w:rPr>
              <w:t>primygtinai ragina valstybes nares įsteigti Gynybos ministrų tarybą;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95</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1f.</w:t>
            </w:r>
            <w:r>
              <w:tab/>
            </w:r>
            <w:r>
              <w:rPr>
                <w:b/>
                <w:i/>
              </w:rPr>
              <w:t>ragina visapusiškai pasinaudoti visomis šiuo metu turimomis galimybėmis, siekiant padidinti ryžtingumą šioje srityje, įskaitant konstruktyvaus susilaikymo pagal ES sutarties 31 straipsnio 1 dalį naudojimą, kol bus pradėtas visiškai taikyti balsavimas kvalifikuota balsų dauguma priimant sprendimus, kurie nėra karinio ar gynybinio pobūdžio;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96</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1g.</w:t>
            </w:r>
            <w:r>
              <w:tab/>
            </w:r>
            <w:r>
              <w:rPr>
                <w:b/>
                <w:i/>
              </w:rPr>
              <w:t>palankiai vertina vyriausiojo įgaliotinio pasiūlymą dėl kovos su korupcija sankcijų režimo, pagal kurį ES galėtų kovoti su sunkia korupcine veika visame pasaulyje; ragina Tarybą šį pasiūlymą skubiai priimti;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97</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1h.</w:t>
            </w:r>
            <w:r>
              <w:tab/>
            </w:r>
            <w:r>
              <w:rPr>
                <w:b/>
                <w:i/>
              </w:rPr>
              <w:t>palankiai vertina Sąjungos ir daugumos valstybių narių parodytą pasiryžimą siekti visiškos energetinės nepriklausomybės nuo Rusijos Federacijos; pakartoja savo raginimą nedelsiant nustatyti visišką iš Rusijos importuojamo iškastinio kuro, įskaitant suskystintas gamtines dujas, uraną ir produktus, pagamintus naudojant iš Rusijos importuotą žalią naftą, embargą; primygtinai ragina Komisiją ir Tarybą stiprinti savo iškastinio kuro stebėsenos pajėgumus, kad būtų užkirstas kelias reeksportui; pabrėžia, kad šiuo požiūriu žaliosios pertvarkos paspartinimas atlieka esminį vaidmenį ir yra geopolitiškai svarbus;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98</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1 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1i.</w:t>
            </w:r>
            <w:r>
              <w:tab/>
            </w:r>
            <w:r>
              <w:rPr>
                <w:b/>
                <w:i/>
              </w:rPr>
              <w:t>pakartoja, kad remia Europos politinę bendriją kaip diskusijų, dialogo ir bendradarbiavimo su Europos partneriais užsienio politikos ir saugumo iššūkių, su kuriais susiduriame, klausimais platformą, siekiant stiprinti Europos saugumą bei stabilumą ir vykdyti bendrais interesais grindžiamą bendradarbiavimą politikos ir saugumo srityse; ragina Parlamentą aktyviai dalyvauti apibrėžiant šios bendrijos veiklos sritį ir būsimą darbą; pabrėžia, kad siekiant šio formato sėkmės ir nuoseklumo ateityje būtinas tam tikras suderinamumas demokratinių vertybių ir principų klausimais; pakartoja, kad Europos politinė bendrija jokiomis aplinkybėmis negali tapti dingstimi plėtros šalių stojimo į ES vėlavimui;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99</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1 j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1j.</w:t>
            </w:r>
            <w:r>
              <w:tab/>
            </w:r>
            <w:r>
              <w:rPr>
                <w:b/>
                <w:i/>
              </w:rPr>
              <w:t>yra tvirtai įsitikinęs, kad ES BUSP turėtų padėti įgyvendinti ir pasiekti JT darnaus vystymosi tikslus, nes jie yra pagrindiniai ramsčiai kuriant stabilią ir taikią pasaulinę tvarką;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100</w:t>
      </w:r>
      <w:r>
        <w:rPr>
          <w:rStyle w:val="HideTWBExt"/>
        </w:rPr>
        <w:t>&lt;/NumAm&gt;</w:t>
      </w:r>
    </w:p>
    <w:p w:rsidR="002131D7" w:rsidRPr="00252254" w:rsidRDefault="002131D7" w:rsidP="002131D7">
      <w:pPr>
        <w:pStyle w:val="NormalBold"/>
      </w:pPr>
      <w:r>
        <w:rPr>
          <w:rStyle w:val="HideTWBExt"/>
          <w:b w:val="0"/>
        </w:rPr>
        <w:t>&lt;RepeatBlock-By&gt;&lt;Members&gt;</w:t>
      </w:r>
      <w:r>
        <w:t xml:space="preserve">Εμμανουήλ Φράγκος, Γαλάτω Αλεξανδράκη, Γεάδης </w:t>
      </w:r>
      <w:r>
        <w:lastRenderedPageBreak/>
        <w:t>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2.</w:t>
            </w:r>
            <w:r>
              <w:tab/>
            </w:r>
            <w:r>
              <w:rPr>
                <w:b/>
                <w:bCs/>
                <w:i/>
                <w:iCs/>
              </w:rPr>
              <w:t>visų pirma teigiamai vertina tai, kad</w:t>
            </w:r>
            <w:r>
              <w:t>:</w:t>
            </w:r>
          </w:p>
        </w:tc>
        <w:tc>
          <w:tcPr>
            <w:tcW w:w="4876" w:type="dxa"/>
            <w:tcBorders>
              <w:top w:val="nil"/>
              <w:left w:val="nil"/>
              <w:bottom w:val="nil"/>
              <w:right w:val="nil"/>
            </w:tcBorders>
          </w:tcPr>
          <w:p w:rsidR="002131D7" w:rsidRPr="00252254" w:rsidRDefault="002131D7" w:rsidP="00B46628">
            <w:pPr>
              <w:pStyle w:val="Normal6a"/>
            </w:pPr>
            <w:r>
              <w:t>2.</w:t>
            </w:r>
            <w:r>
              <w:tab/>
            </w:r>
            <w:r>
              <w:rPr>
                <w:b/>
                <w:bCs/>
                <w:i/>
                <w:iCs/>
              </w:rPr>
              <w:t>pažymi tai, kad</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101</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ES plėtros politikos srityje pasiekta didelių laimėjimų, visų pirma tai, kad minimos 20-osios „didžiosios plėtros“, kai į ES įstojo dešimt šalių, metinės; pakartoja, kad plėtra yra strategiškai itin svarbi ES, nes tai geostrateginė investicija į ilgalaikę taiką, demokratiją, stabilumą, saugumą, klimato apsaugą ir gerovę visame žemyne, ypač atsižvelgiant į Rusijos agresijos karą prieš Ukrainą ir kitus bendrus geopolitinius iššūkius; pabrėžia, kad rengiantis plėtrai ES turi vykdyti reformas, ir ragina ES institucijas ir valstybes nares imtis būtinų reformų siekiant užtikrinti, kad dėl jų nebuvimo nebūtų vilkinamas naujų valstybių narių stojimo procesas;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102</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2023 m. pabaigoje sėkmingai užbaigtas Albanijos </w:t>
            </w:r>
            <w:r w:rsidRPr="00B50D2B">
              <w:rPr>
                <w:b/>
              </w:rPr>
              <w:t>acquis</w:t>
            </w:r>
            <w:r>
              <w:rPr>
                <w:b/>
                <w:i/>
              </w:rPr>
              <w:t xml:space="preserve"> peržiūros procesas; pakartoja raginimą nedelsiant pradėti kitą derybų etapą;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103</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2023 m. pabaigoje sėkmingai užbaigtas Albanijos acquis peržiūros procesas; pakartoja raginimą nedelsiant pradėti kitą derybų etapą;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104</w:t>
      </w:r>
      <w:r>
        <w:rPr>
          <w:rStyle w:val="HideTWBExt"/>
        </w:rPr>
        <w:t>&lt;/NumAm&gt;</w:t>
      </w:r>
    </w:p>
    <w:p w:rsidR="002131D7" w:rsidRPr="00252254" w:rsidRDefault="002131D7" w:rsidP="002131D7">
      <w:pPr>
        <w:pStyle w:val="NormalBold"/>
      </w:pPr>
      <w:r>
        <w:rPr>
          <w:rStyle w:val="HideTWBExt"/>
          <w:b w:val="0"/>
        </w:rPr>
        <w:t>&lt;RepeatBlock-By&gt;&lt;Members&gt;</w:t>
      </w:r>
      <w:r>
        <w:t>Alberico Gambino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w:t>
            </w:r>
            <w:r>
              <w:lastRenderedPageBreak/>
              <w:t>procesas; pakartoja raginimą nedelsiant pradėti kitą derybų etapą;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2023 m. pabaigoje sėkmingai užbaigtas Albanijos </w:t>
            </w:r>
            <w:r>
              <w:rPr>
                <w:i/>
                <w:iCs/>
              </w:rPr>
              <w:t>acquis</w:t>
            </w:r>
            <w:r>
              <w:t xml:space="preserve"> peržiūros </w:t>
            </w:r>
            <w:r>
              <w:lastRenderedPageBreak/>
              <w:t>procesas</w:t>
            </w:r>
            <w:r>
              <w:rPr>
                <w:b/>
                <w:i/>
              </w:rPr>
              <w:t>, o 2024 m. spalio 15 d. atidaryta pirmoji derybų skyrių grupė</w:t>
            </w:r>
            <w:r>
              <w:t>; pakartoja raginimą nedelsiant pradėti kitą derybų etapą; pabrėžia, kad reikia dar intensyviau įgyvendinti reformas, kad būtų pašalinti likę trūkumai, susiję su pagrindiniais principais</w:t>
            </w:r>
            <w:r>
              <w:rPr>
                <w:b/>
                <w:i/>
              </w:rPr>
              <w:t>, taip pat skatinti daugumos ir opozicijos dialogą bei konstruktyvų dalyvavimą siekiant išspręsti stiprios politinės poliarizacijos problemą šalyje pasitelkiant skaidrų ir įtraukų demokratinį procesą, kurį vykdant būtų atsižvelgiama į visas partijas</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105</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pakartoja raginimą nedelsiant pradėti kitą derybų etapą;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pakartoja raginimą nedelsiant pradėti kitą derybų etapą; pabrėžia, kad reikia dar intensyviau įgyvendinti reformas, kad būtų pašalinti likę trūkumai, susiję su pagrindiniais principais; </w:t>
            </w:r>
            <w:r>
              <w:rPr>
                <w:b/>
                <w:i/>
              </w:rPr>
              <w:t>pabrėžia, kad šis naujas žingsnis turėtų būti paskata paspartinti kitų Vakarų Balkanų šalių stojimo procesą, nes jos yra artimiausios ES partnerės ir šio regiono klestėjimas ir stabilumas yra labai svarbūs;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106</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pakartoja raginimą nedelsiant pradėti kitą derybų etapą;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pakartoja raginimą nedelsiant pradėti kitą derybų etapą; pabrėžia, kad reikia dar intensyviau įgyvendinti reformas, kad būtų pašalinti likę trūkumai, susiję su pagrindiniais principais; </w:t>
            </w:r>
            <w:r>
              <w:rPr>
                <w:b/>
                <w:i/>
              </w:rPr>
              <w:t>palankiai vertina tai, kad šalis nuosekliai ir visapusiškai laikosi ES užsienio ir saugumo politikos ir skatina taisyklėmis grindžiamą tarptautinę tvarką, įskaitant ES ribojamųjų priemonių Rusijai ir Baltarusijai taikymą;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107</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w:t>
            </w:r>
            <w:r>
              <w:rPr>
                <w:b/>
                <w:i/>
              </w:rPr>
              <w:t>pakartoja raginimą nedelsiant pradėti kitą derybų etapą</w:t>
            </w:r>
            <w:r>
              <w:t>;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w:t>
            </w:r>
            <w:r>
              <w:rPr>
                <w:b/>
                <w:i/>
              </w:rPr>
              <w:t>palankiai vertina antrąjį Stojimo konferencijos su Albanija posėdį ir tai, kad pradėtos stojimo derybos dėl pirmosios skyrių grupės „Pagrindiniai principai“</w:t>
            </w:r>
            <w:r>
              <w:t>; pabrėžia, kad reikia dar intensyviau įgyvendinti reformas, kad būtų pašalinti likę trūkumai, susiję su pagrindiniais principais</w:t>
            </w:r>
            <w:r>
              <w:rPr>
                <w:b/>
                <w:i/>
              </w:rPr>
              <w:t>, taip pat paspartinti su ES susijusių reformų procesą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108</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w:t>
            </w:r>
            <w:r>
              <w:rPr>
                <w:b/>
                <w:i/>
              </w:rPr>
              <w:t>pakartoja raginimą nedelsiant pradėti kitą derybų etapą</w:t>
            </w:r>
            <w:r>
              <w:t>; pabrėžia, kad reikia dar intensyviau įgyvendinti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w:t>
            </w:r>
            <w:r>
              <w:rPr>
                <w:b/>
                <w:i/>
              </w:rPr>
              <w:t>ragina prieš tęsiant derybas su šalimis kandidatėmis išsamiai įvertinti galimą ES plėtros poveikį esamoms valstybėms narėms</w:t>
            </w:r>
            <w:r>
              <w:t>; pabrėžia, kad reikia dar intensyviau įgyvendinti reformas, kad būtų pašalinti likę trūkumai, susiję su pagrindiniais principais;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109</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bCs/>
                <w:i/>
                <w:iCs/>
              </w:rPr>
              <w:t xml:space="preserve">2023 m. pabaigoje sėkmingai užbaigtas Albanijos </w:t>
            </w:r>
            <w:r w:rsidRPr="00807075">
              <w:rPr>
                <w:b/>
                <w:bCs/>
                <w:iCs/>
              </w:rPr>
              <w:t>acquis</w:t>
            </w:r>
            <w:r>
              <w:rPr>
                <w:b/>
                <w:bCs/>
                <w:i/>
                <w:iCs/>
              </w:rPr>
              <w:t xml:space="preserve"> peržiūros procesas</w:t>
            </w:r>
            <w:r>
              <w:t xml:space="preserve">; pakartoja raginimą </w:t>
            </w:r>
            <w:r>
              <w:rPr>
                <w:b/>
                <w:bCs/>
                <w:i/>
                <w:iCs/>
              </w:rPr>
              <w:t>nedelsiant pradėti kitą derybų etapą</w:t>
            </w:r>
            <w:r>
              <w:t>;</w:t>
            </w:r>
            <w:r>
              <w:rPr>
                <w:b/>
                <w:i/>
              </w:rPr>
              <w:t xml:space="preserve"> </w:t>
            </w:r>
            <w:r>
              <w:rPr>
                <w:b/>
                <w:bCs/>
                <w:i/>
                <w:iCs/>
              </w:rPr>
              <w:t>pabrėžia, kad reikia dar intensyviau įgyvendinti reformas</w:t>
            </w:r>
            <w:r>
              <w:t xml:space="preserve">, kad būtų pašalinti </w:t>
            </w:r>
            <w:r>
              <w:rPr>
                <w:b/>
                <w:bCs/>
                <w:i/>
                <w:iCs/>
              </w:rPr>
              <w:t>likę</w:t>
            </w:r>
            <w:r>
              <w:t xml:space="preserve"> trūkumai, </w:t>
            </w:r>
            <w:r>
              <w:rPr>
                <w:b/>
                <w:bCs/>
                <w:i/>
                <w:iCs/>
              </w:rPr>
              <w:t>susiję su pagrindiniais principais</w:t>
            </w:r>
            <w:r>
              <w:t>;</w:t>
            </w:r>
          </w:p>
        </w:tc>
        <w:tc>
          <w:tcPr>
            <w:tcW w:w="4876" w:type="dxa"/>
            <w:tcBorders>
              <w:top w:val="nil"/>
              <w:left w:val="nil"/>
              <w:bottom w:val="nil"/>
              <w:right w:val="nil"/>
            </w:tcBorders>
          </w:tcPr>
          <w:p w:rsidR="002131D7" w:rsidRPr="00252254" w:rsidRDefault="002131D7" w:rsidP="00B46628">
            <w:pPr>
              <w:pStyle w:val="Normal6a"/>
            </w:pPr>
            <w:r>
              <w:t>–</w:t>
            </w:r>
            <w:r>
              <w:tab/>
            </w:r>
            <w:r>
              <w:rPr>
                <w:b/>
                <w:bCs/>
                <w:i/>
                <w:iCs/>
              </w:rPr>
              <w:t>Albanija nepadarė jokios pažangos</w:t>
            </w:r>
            <w:r>
              <w:t xml:space="preserve">; pakartoja raginimą imtis tikrų reformų, kad būtų pašalinti </w:t>
            </w:r>
            <w:r>
              <w:rPr>
                <w:b/>
                <w:bCs/>
                <w:i/>
                <w:iCs/>
              </w:rPr>
              <w:t>didžiuliai</w:t>
            </w:r>
            <w:r>
              <w:t xml:space="preserve"> trūkumai, </w:t>
            </w:r>
            <w:r>
              <w:rPr>
                <w:b/>
                <w:bCs/>
                <w:i/>
                <w:iCs/>
              </w:rPr>
              <w:t>kurių esama atsižvelgiant į pagrindinius principus</w:t>
            </w:r>
            <w:r>
              <w:t xml:space="preserve">; </w:t>
            </w:r>
            <w:r>
              <w:rPr>
                <w:b/>
                <w:i/>
              </w:rPr>
              <w:t>ragina apsaugoti Šiaurės Epyro graikų tautinės mažumos teises;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110</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w:t>
            </w:r>
            <w:r>
              <w:lastRenderedPageBreak/>
              <w:t xml:space="preserve">užbaigtas Albanijos </w:t>
            </w:r>
            <w:r>
              <w:rPr>
                <w:i/>
                <w:iCs/>
              </w:rPr>
              <w:t>acquis</w:t>
            </w:r>
            <w:r>
              <w:t xml:space="preserve"> peržiūros procesas; pakartoja raginimą </w:t>
            </w:r>
            <w:r>
              <w:rPr>
                <w:b/>
                <w:i/>
              </w:rPr>
              <w:t xml:space="preserve">nedelsiant </w:t>
            </w:r>
            <w:r>
              <w:t xml:space="preserve">pradėti kitą derybų etapą; pabrėžia, kad reikia </w:t>
            </w:r>
            <w:r>
              <w:rPr>
                <w:b/>
                <w:i/>
              </w:rPr>
              <w:t>dar intensyviau įgyvendinti</w:t>
            </w:r>
            <w:r>
              <w:t xml:space="preserve"> 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2023 m. pabaigoje sėkmingai </w:t>
            </w:r>
            <w:r>
              <w:lastRenderedPageBreak/>
              <w:t xml:space="preserve">užbaigtas Albanijos </w:t>
            </w:r>
            <w:r>
              <w:rPr>
                <w:i/>
                <w:iCs/>
              </w:rPr>
              <w:t>acquis</w:t>
            </w:r>
            <w:r>
              <w:t xml:space="preserve"> peržiūros procesas; pakartoja raginimą pradėti kitą derybų etapą</w:t>
            </w:r>
            <w:r>
              <w:rPr>
                <w:b/>
                <w:i/>
              </w:rPr>
              <w:t xml:space="preserve"> atsižvelgiant į suverenių valstybių lygybės principą</w:t>
            </w:r>
            <w:r>
              <w:t xml:space="preserve">; pabrėžia, kad reikia </w:t>
            </w:r>
            <w:r>
              <w:rPr>
                <w:b/>
                <w:i/>
              </w:rPr>
              <w:t>skatinti</w:t>
            </w:r>
            <w:r>
              <w:t xml:space="preserve"> reformas, kad būtų pašalinti likę trūkumai, susiję su pagrindiniais principais;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111</w:t>
      </w:r>
      <w:r>
        <w:rPr>
          <w:rStyle w:val="HideTWBExt"/>
        </w:rPr>
        <w:t>&lt;/NumAm&gt;</w:t>
      </w:r>
    </w:p>
    <w:p w:rsidR="002131D7" w:rsidRPr="00252254" w:rsidRDefault="002131D7" w:rsidP="002131D7">
      <w:pPr>
        <w:pStyle w:val="NormalBold"/>
      </w:pPr>
      <w:r>
        <w:rPr>
          <w:rStyle w:val="HideTWBExt"/>
          <w:b w:val="0"/>
        </w:rPr>
        <w:t>&lt;RepeatBlock-By&gt;&lt;Members&gt;</w:t>
      </w:r>
      <w:r>
        <w:t>Davor Ivo Stier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w:t>
            </w:r>
            <w:r>
              <w:rPr>
                <w:b/>
                <w:i/>
              </w:rPr>
              <w:t>; pakartoja raginimą nedelsiant pradėti kitą</w:t>
            </w:r>
            <w:r>
              <w:t xml:space="preserve"> derybų </w:t>
            </w:r>
            <w:r>
              <w:rPr>
                <w:b/>
                <w:i/>
              </w:rPr>
              <w:t>etapą</w:t>
            </w:r>
            <w:r>
              <w:t xml:space="preserve">; pabrėžia, kad reikia dar intensyviau įgyvendinti reformas, </w:t>
            </w:r>
            <w:r>
              <w:rPr>
                <w:b/>
                <w:i/>
              </w:rPr>
              <w:t>kad būtų pašalinti likę trūkumai</w:t>
            </w:r>
            <w:r>
              <w:t xml:space="preserve">, </w:t>
            </w:r>
            <w:r>
              <w:rPr>
                <w:b/>
                <w:i/>
              </w:rPr>
              <w:t>susiję</w:t>
            </w:r>
            <w:r>
              <w:t xml:space="preserve"> su </w:t>
            </w:r>
            <w:r>
              <w:rPr>
                <w:b/>
                <w:i/>
              </w:rPr>
              <w:t>pagrindiniais principais</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w:t>
            </w:r>
            <w:r>
              <w:rPr>
                <w:b/>
                <w:i/>
              </w:rPr>
              <w:t xml:space="preserve"> ir tai, kad atidaryta pirmoji</w:t>
            </w:r>
            <w:r>
              <w:rPr>
                <w:b/>
                <w:bCs/>
                <w:i/>
                <w:iCs/>
              </w:rPr>
              <w:t xml:space="preserve"> derybų</w:t>
            </w:r>
            <w:r>
              <w:rPr>
                <w:b/>
                <w:bCs/>
              </w:rPr>
              <w:t xml:space="preserve"> </w:t>
            </w:r>
            <w:r>
              <w:rPr>
                <w:b/>
                <w:i/>
              </w:rPr>
              <w:t>su Albanija skyrių grupė</w:t>
            </w:r>
            <w:r>
              <w:t xml:space="preserve">; pabrėžia, kad reikia dar intensyviau įgyvendinti reformas, </w:t>
            </w:r>
            <w:r>
              <w:rPr>
                <w:b/>
                <w:i/>
              </w:rPr>
              <w:t>ypatingą dėmesį skiriant teisinei valstybei</w:t>
            </w:r>
            <w:r>
              <w:t xml:space="preserve">, </w:t>
            </w:r>
            <w:r>
              <w:rPr>
                <w:b/>
                <w:i/>
              </w:rPr>
              <w:t>kovai</w:t>
            </w:r>
            <w:r>
              <w:t xml:space="preserve"> su </w:t>
            </w:r>
            <w:r>
              <w:rPr>
                <w:b/>
                <w:i/>
              </w:rPr>
              <w:t>korupcija ir organizuotu nusikalstamumu, taip pat žiniasklaidos laisvei</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112</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Vasile Dîncu,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Albanijos </w:t>
            </w:r>
            <w:r>
              <w:rPr>
                <w:i/>
                <w:iCs/>
              </w:rPr>
              <w:t>acquis</w:t>
            </w:r>
            <w:r>
              <w:t xml:space="preserve"> peržiūros procesas; </w:t>
            </w:r>
            <w:r>
              <w:rPr>
                <w:b/>
                <w:i/>
              </w:rPr>
              <w:t>pakartoja raginimą nedelsiant pradėti kitą derybų etapą</w:t>
            </w:r>
            <w:r>
              <w:t xml:space="preserve">; pabrėžia, kad reikia dar intensyviau įgyvendinti </w:t>
            </w:r>
            <w:r>
              <w:lastRenderedPageBreak/>
              <w:t>reformas, kad būtų pašalinti likę trūkumai, susiję su pagrindiniais principais;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2023 m. pabaigoje sėkmingai užbaigtas Albanijos </w:t>
            </w:r>
            <w:r>
              <w:rPr>
                <w:i/>
                <w:iCs/>
              </w:rPr>
              <w:t>acquis</w:t>
            </w:r>
            <w:r>
              <w:t xml:space="preserve"> peržiūros procesas; </w:t>
            </w:r>
            <w:r>
              <w:rPr>
                <w:b/>
                <w:i/>
              </w:rPr>
              <w:t>palankiai vertina tai, kad pradėtos stojimo derybos dėl pirmosios skyrių grupės</w:t>
            </w:r>
            <w:r>
              <w:t xml:space="preserve">; pabrėžia, kad reikia dar </w:t>
            </w:r>
            <w:r>
              <w:lastRenderedPageBreak/>
              <w:t>intensyviau įgyvendinti reformas, kad būtų pašalinti likę trūkumai, susiję su pagrindiniais principais;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113</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114</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pradėtos derybos su Bosnija ir Hercegovina; ragina valdžios institucijas imtis visų atitinkamų veiksmų, nustatytų 2022 m. spalio 12 d. Komisijos rekomendacijoje; griežtai nepritaria Serbų Respublikos vadovybės pasikartojančiai kiršinančiai retorikai ir </w:t>
            </w:r>
            <w:r>
              <w:rPr>
                <w:b/>
                <w:i/>
              </w:rPr>
              <w:lastRenderedPageBreak/>
              <w:t>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rPr>
                <w:b/>
                <w:i/>
              </w:rPr>
              <w:lastRenderedPageBreak/>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115</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116</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griežtai nepritaria Serbų Respublikos vadovybės pasikartojančiai </w:t>
            </w:r>
            <w:r>
              <w:lastRenderedPageBreak/>
              <w:t>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lastRenderedPageBreak/>
              <w:t>–</w:t>
            </w:r>
            <w:r>
              <w:tab/>
              <w:t>pradėtos derybos su Bosnija ir Hercegovina; ragina valdžios institucijas imtis visų atitinkamų veiksmų, nustatytų 2022 m. spalio 12 d. Komisijos rekomendacijoje</w:t>
            </w:r>
            <w:r>
              <w:rPr>
                <w:b/>
                <w:i/>
              </w:rPr>
              <w:t xml:space="preserve">, ir dėti daugiau pastangų siekiant politinio susitarimo dėl rinkimų ir </w:t>
            </w:r>
            <w:r>
              <w:rPr>
                <w:b/>
                <w:i/>
              </w:rPr>
              <w:lastRenderedPageBreak/>
              <w:t>konstitucinės reformos pagal Bosnijos ir Hercegovinos Konstitucinio Teismo sprendimus, kad būtų užtikrinti valstybę sudarančių tautų ir visų piliečių lygybės ir nediskriminavimo principai, kaip nustatyta konstitucijoje; primena, kad ES parama Bosnijoje ir Hercegovinoje turėtų būti sutelkta į rinkimų įstatymo reformą, įgyvendinamą pagal Mostaro susitarimą ir grindžiamą valdžios pasidalijimu vadovaujantis Deitono ir Paryžiaus susitarimu; pabrėžia, kad ES turėtų atlikti pagrindinį vaidmenį šiame procese kaip tarpininkė; ragina Bosnijoje ir Hercegovinoje sudaryti vidaus susitarimą dėl vizų reikalavimų suderinimo su trečiosiomis šalimis</w:t>
            </w:r>
            <w:r>
              <w:t>;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117</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griežtai nepritaria Serbų Respublikos vadovybės pasikartojančiai kiršinančiai retorikai ir </w:t>
            </w:r>
            <w:r>
              <w:rPr>
                <w:b/>
                <w:i/>
              </w:rPr>
              <w:t>separatistiniams įstatymams bei politikai ir atsižvelgdamas į tai primena, jog svarbu</w:t>
            </w:r>
            <w:r>
              <w:t xml:space="preserve">, </w:t>
            </w:r>
            <w:r>
              <w:rPr>
                <w:b/>
                <w:i/>
              </w:rPr>
              <w:t>kad</w:t>
            </w:r>
            <w:r>
              <w:t xml:space="preserve"> ES karinės operacijos Bosnijoje ir Hercegovinoje </w:t>
            </w:r>
            <w:r>
              <w:lastRenderedPageBreak/>
              <w:t xml:space="preserve">(EUFOR ALTHEA) </w:t>
            </w:r>
            <w:r>
              <w:rPr>
                <w:b/>
                <w:i/>
              </w:rPr>
              <w:t>veiksmai būtų matomi</w:t>
            </w:r>
            <w:r>
              <w:t>;</w:t>
            </w:r>
          </w:p>
        </w:tc>
        <w:tc>
          <w:tcPr>
            <w:tcW w:w="4876" w:type="dxa"/>
            <w:tcBorders>
              <w:top w:val="nil"/>
              <w:left w:val="nil"/>
              <w:bottom w:val="nil"/>
              <w:right w:val="nil"/>
            </w:tcBorders>
          </w:tcPr>
          <w:p w:rsidR="002131D7" w:rsidRPr="00252254" w:rsidRDefault="002131D7" w:rsidP="00B46628">
            <w:pPr>
              <w:pStyle w:val="Normal6a"/>
            </w:pPr>
            <w:r>
              <w:lastRenderedPageBreak/>
              <w:t>–</w:t>
            </w:r>
            <w:r>
              <w:tab/>
              <w:t>pradėtos derybos su Bosnija ir Hercegovina; ragina valdžios institucijas imtis visų atitinkamų veiksmų, nustatytų 2022 m. spalio 12 d. Komisijos rekomendacijoje</w:t>
            </w:r>
            <w:r>
              <w:rPr>
                <w:b/>
                <w:i/>
              </w:rPr>
              <w:t>, be kita ko, suderinti Konstituciją su Europos žmogaus teisių konvencija, kartu laikantis sprendimo Sejdić-Finci byloje ir susijusių sprendimų, pvz., sprendimo Kovačević byloje</w:t>
            </w:r>
            <w:r>
              <w:t xml:space="preserve">; griežtai nepritaria Serbų Respublikos </w:t>
            </w:r>
            <w:r>
              <w:rPr>
                <w:b/>
                <w:i/>
              </w:rPr>
              <w:t xml:space="preserve">autonominio </w:t>
            </w:r>
            <w:r>
              <w:rPr>
                <w:b/>
                <w:i/>
              </w:rPr>
              <w:lastRenderedPageBreak/>
              <w:t xml:space="preserve">vieneto </w:t>
            </w:r>
            <w:r>
              <w:t xml:space="preserve">vadovybės pasikartojančiai kiršinančiai retorikai ir </w:t>
            </w:r>
            <w:r>
              <w:rPr>
                <w:b/>
                <w:i/>
              </w:rPr>
              <w:t>atsižvelgdamas į tai pakartoja savo raginimą nuodugniai įvertinti saugumo padėtį ir pajėgumus vietoje</w:t>
            </w:r>
            <w:r>
              <w:t xml:space="preserve">, </w:t>
            </w:r>
            <w:r>
              <w:rPr>
                <w:b/>
                <w:i/>
              </w:rPr>
              <w:t>taip pat apsvarstyti galimybę dislokuoti</w:t>
            </w:r>
            <w:r>
              <w:t xml:space="preserve"> ES karinės operacijos Bosnijoje ir Hercegovinoje (EUFOR ALTHEA) </w:t>
            </w:r>
            <w:r>
              <w:rPr>
                <w:b/>
                <w:i/>
              </w:rPr>
              <w:t>personalą ir papildomus pajėgumus taip pat ir Brčko apygardoje</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118</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w:t>
            </w:r>
            <w:r>
              <w:rPr>
                <w:b/>
                <w:i/>
              </w:rPr>
              <w:t>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t>–</w:t>
            </w:r>
            <w:r>
              <w:tab/>
              <w:t>pradėtos derybos su Bosnija ir Hercegovina; ragina valdžios institucijas imtis visų atitinkamų veiksmų, nustatytų 2022 m. spalio 12 d. Komisijos rekomendacijoje;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119</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w:t>
            </w:r>
            <w:r>
              <w:lastRenderedPageBreak/>
              <w:t>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pradėtos derybos su Bosnija ir Hercegovina; ragina valdžios institucijas </w:t>
            </w:r>
            <w:r>
              <w:lastRenderedPageBreak/>
              <w:t>imtis visų atitinkamų veiksmų, nustatytų 2022 m. spalio 12 d. Komisijos rekomendacijoje</w:t>
            </w:r>
            <w:r>
              <w:rPr>
                <w:b/>
                <w:i/>
              </w:rPr>
              <w:t>, visų pirma paspartinti savo veiksmus siekiant įgyvendinti 14 pagrindinių prioritetų, nurodytų Komisijos nuomonėje dėl šalies paraiškos dėl narystės ES</w:t>
            </w:r>
            <w:r>
              <w:t>;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120</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 </w:t>
            </w:r>
            <w:r>
              <w:rPr>
                <w:b/>
                <w:i/>
              </w:rPr>
              <w:t>smerkia destabilizuojantį Turkijos kišimąsi skatinant religinį fundamentalizmą;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121</w:t>
      </w:r>
      <w:r>
        <w:rPr>
          <w:rStyle w:val="HideTWBExt"/>
        </w:rPr>
        <w:t>&lt;/NumAm&gt;</w:t>
      </w:r>
    </w:p>
    <w:p w:rsidR="002131D7" w:rsidRPr="00252254" w:rsidRDefault="002131D7" w:rsidP="002131D7">
      <w:pPr>
        <w:pStyle w:val="NormalBold"/>
      </w:pPr>
      <w:r>
        <w:rPr>
          <w:rStyle w:val="HideTWBExt"/>
          <w:b w:val="0"/>
        </w:rPr>
        <w:lastRenderedPageBreak/>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t>–</w:t>
            </w:r>
            <w:r>
              <w:tab/>
              <w:t>pradėtos derybos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r>
              <w:rPr>
                <w:b/>
                <w:i/>
              </w:rPr>
              <w:t>, bei tai, jog reikia vykdyti veiksmingą strateginę komunikaciją siekiant kovoti su manipuliavimu informacija</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122</w:t>
      </w:r>
      <w:r>
        <w:rPr>
          <w:rStyle w:val="HideTWBExt"/>
        </w:rPr>
        <w:t>&lt;/NumAm&gt;</w:t>
      </w:r>
    </w:p>
    <w:p w:rsidR="002131D7" w:rsidRPr="00252254" w:rsidRDefault="002131D7" w:rsidP="002131D7">
      <w:pPr>
        <w:pStyle w:val="NormalBold"/>
      </w:pPr>
      <w:r>
        <w:rPr>
          <w:rStyle w:val="HideTWBExt"/>
          <w:b w:val="0"/>
        </w:rPr>
        <w:t>&lt;RepeatBlock-By&gt;&lt;Members&gt;</w:t>
      </w:r>
      <w:r>
        <w:t>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pradėtos derybos</w:t>
            </w:r>
            <w:r>
              <w:t xml:space="preserve">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t>–</w:t>
            </w:r>
            <w:r>
              <w:tab/>
            </w:r>
            <w:r>
              <w:rPr>
                <w:b/>
                <w:i/>
              </w:rPr>
              <w:t>priimtas sprendimas pradėti derybas</w:t>
            </w:r>
            <w:r>
              <w:t xml:space="preserve"> su Bosnija ir Hercegovina; ragina valdžios institucijas imtis visų atitinkamų veiksmų, nustatytų 2022 m. spalio 12 d. Komisijos rekomendacijoje; griežtai nepritaria Serbų Respublikos vadovybės pasikartojančiai kiršinančiai retorikai ir separatistiniams įstatymams bei politikai ir atsižvelgdamas į tai primena, jog svarbu, kad ES karinės operacijos Bosnijoje ir Hercegovinoje (EUFOR ALTHEA) veiksmai būtų matomi;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123</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w:t>
            </w:r>
            <w:r>
              <w:rPr>
                <w:b/>
                <w:i/>
              </w:rPr>
              <w:t>griežtai nepritaria</w:t>
            </w:r>
            <w:r>
              <w:t xml:space="preserve"> Serbų Respublikos vadovybės </w:t>
            </w:r>
            <w:r>
              <w:rPr>
                <w:b/>
                <w:i/>
              </w:rPr>
              <w:t>pasikartojančiai kiršinančiai retorikai</w:t>
            </w:r>
            <w:r>
              <w:t xml:space="preserve"> ir </w:t>
            </w:r>
            <w:r>
              <w:rPr>
                <w:b/>
                <w:i/>
              </w:rPr>
              <w:t>separatistiniams įstatymams</w:t>
            </w:r>
            <w:r>
              <w:t xml:space="preserve"> bei </w:t>
            </w:r>
            <w:r>
              <w:rPr>
                <w:b/>
                <w:i/>
              </w:rPr>
              <w:t>politikai</w:t>
            </w:r>
            <w:r>
              <w:t xml:space="preserve"> ir atsižvelgdamas į tai primena, jog svarbu, kad ES karinės operacijos Bosnijoje ir Hercegovinoje (EUFOR ALTHEA) veiksmai būtų matomi;</w:t>
            </w:r>
          </w:p>
        </w:tc>
        <w:tc>
          <w:tcPr>
            <w:tcW w:w="4876" w:type="dxa"/>
            <w:tcBorders>
              <w:top w:val="nil"/>
              <w:left w:val="nil"/>
              <w:bottom w:val="nil"/>
              <w:right w:val="nil"/>
            </w:tcBorders>
          </w:tcPr>
          <w:p w:rsidR="002131D7" w:rsidRPr="00252254" w:rsidRDefault="002131D7" w:rsidP="00B46628">
            <w:pPr>
              <w:pStyle w:val="Normal6a"/>
            </w:pPr>
            <w:r>
              <w:t>–</w:t>
            </w:r>
            <w:r>
              <w:tab/>
              <w:t xml:space="preserve">pradėtos derybos su Bosnija ir Hercegovina; ragina valdžios institucijas imtis visų atitinkamų veiksmų, nustatytų 2022 m. spalio 12 d. Komisijos rekomendacijoje; </w:t>
            </w:r>
            <w:r>
              <w:rPr>
                <w:b/>
                <w:i/>
              </w:rPr>
              <w:t>smerkia</w:t>
            </w:r>
            <w:r>
              <w:t xml:space="preserve"> Serbų Respublikos vadovybės </w:t>
            </w:r>
            <w:r>
              <w:rPr>
                <w:b/>
                <w:i/>
              </w:rPr>
              <w:t>pasikartojančią kiršinančią retoriką</w:t>
            </w:r>
            <w:r>
              <w:t xml:space="preserve"> ir </w:t>
            </w:r>
            <w:r>
              <w:rPr>
                <w:b/>
                <w:i/>
              </w:rPr>
              <w:t>separatistinius įstatymus</w:t>
            </w:r>
            <w:r>
              <w:t xml:space="preserve"> bei </w:t>
            </w:r>
            <w:r>
              <w:rPr>
                <w:b/>
                <w:i/>
              </w:rPr>
              <w:t>politiką</w:t>
            </w:r>
            <w:r>
              <w:t xml:space="preserve"> ir atsižvelgdamas į tai primena, jog svarbu, kad ES karinės operacijos Bosnijoje ir Hercegovinoje (EUFOR ALTHEA) veiksmai būtų matomi;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124</w:t>
      </w:r>
      <w:r>
        <w:rPr>
          <w:rStyle w:val="HideTWBExt"/>
        </w:rPr>
        <w:t>&lt;/NumAm&gt;</w:t>
      </w:r>
    </w:p>
    <w:p w:rsidR="002131D7" w:rsidRPr="00252254" w:rsidRDefault="002131D7" w:rsidP="002131D7">
      <w:pPr>
        <w:pStyle w:val="NormalBold"/>
      </w:pPr>
      <w:r>
        <w:rPr>
          <w:rStyle w:val="HideTWBExt"/>
          <w:b w:val="0"/>
        </w:rPr>
        <w:t>&lt;RepeatBlock-By&gt;&lt;Members&gt;</w:t>
      </w:r>
      <w:r>
        <w:t>Jorge Martín Frías, 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125</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t>–</w:t>
            </w:r>
            <w:r>
              <w:tab/>
              <w:t xml:space="preserve">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 </w:t>
            </w:r>
            <w:r>
              <w:rPr>
                <w:b/>
                <w:i/>
              </w:rPr>
              <w:t>apgailestauja, kad nepagrįstos sankcijos Kosovui nebuvo panaikintos, nepaisant vyriausiojo įgaliotinio ir pirmininko pavaduotojo rekomendacijos tai padaryti, taip pat primygtinai ragina valstybes nares nedelsiant panaikinti sankcijas; apgailestauja dėl šališko ES požiūrio į Serbiją, nepaisant to, kad ji daugelį metų skatino regresą teisinės valstybės, demokratijos ir pagrindinių teisių srityse, taip vis labiau tapdama autoritarinio režimo šalimi, įvykdė daugybę ardomųjų veiksmų regione ir neprisijungė prie pagal BUSP taikomų sankcijų; pakartoja savo poziciją, kad stojimo derybos su Serbija turėtų būti tęsiamos tik tuo atveju, jei šalis padarys didelę pažangą vykdydama su ES susijusias reformas, visų pirma pagrindinių principų (teisminių institucijų ir pagrindinių teisių, teisingumo, laisvės ir saugumo, viešųjų pirkimų, statistikos ir finansų kontrolės) srityje, ir prisijungs prie ES sankcijų Rusijai;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126</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r>
              <w:rPr>
                <w:b/>
                <w:i/>
              </w:rPr>
              <w:t> ragina Serbiją visapusiškai suderinti savo veiksmus su Europos bendra užsienio ir saugumo politika, visų pirma dėl sankcijų režimo įvedimo reaguojant į Rusijos invaziją į Ukrainą; primena, kad Serbija, kaip šalis, siekianti Europos integracijos, turi laikytis bendrų vertybių;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127</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w:t>
            </w:r>
            <w:r>
              <w:rPr>
                <w:b/>
                <w:i/>
              </w:rPr>
              <w:t>, visų pirma judėjimo laisvės ir energetikos srityse;</w:t>
            </w:r>
            <w:r>
              <w:t xml:space="preserve"> </w:t>
            </w:r>
            <w:r>
              <w:rPr>
                <w:b/>
                <w:i/>
              </w:rPr>
              <w:t>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128</w:t>
      </w:r>
      <w:r>
        <w:rPr>
          <w:rStyle w:val="HideTWBExt"/>
        </w:rPr>
        <w:t>&lt;/NumAm&gt;</w:t>
      </w:r>
    </w:p>
    <w:p w:rsidR="002131D7" w:rsidRPr="00252254" w:rsidRDefault="002131D7" w:rsidP="002131D7">
      <w:pPr>
        <w:pStyle w:val="NormalBold"/>
      </w:pPr>
      <w:r>
        <w:rPr>
          <w:rStyle w:val="HideTWBExt"/>
          <w:b w:val="0"/>
        </w:rPr>
        <w:t>&lt;RepeatBlock-By&gt;&lt;Members&gt;</w:t>
      </w:r>
      <w:r>
        <w:t>Andrey Kovatchev, Lukas Mandl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t>–</w:t>
            </w:r>
            <w:r>
              <w:tab/>
              <w:t xml:space="preserve">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 </w:t>
            </w:r>
            <w:r>
              <w:rPr>
                <w:b/>
                <w:i/>
              </w:rPr>
              <w:t>apgailestauja dėl 2023 m. išpuolių šiaurinėje Kosovo dalyje ir tikisi, kad Serbija imsis visų būtinų priemonių siekdama sulaikyti ir nedelsiant patraukti atsakomybėn išpuolių vykdytojus;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129</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w:t>
            </w:r>
          </w:p>
        </w:tc>
        <w:tc>
          <w:tcPr>
            <w:tcW w:w="4876" w:type="dxa"/>
            <w:tcBorders>
              <w:top w:val="nil"/>
              <w:left w:val="nil"/>
              <w:bottom w:val="nil"/>
              <w:right w:val="nil"/>
            </w:tcBorders>
          </w:tcPr>
          <w:p w:rsidR="002131D7" w:rsidRPr="00252254" w:rsidRDefault="002131D7" w:rsidP="00B46628">
            <w:pPr>
              <w:pStyle w:val="Normal6a"/>
            </w:pPr>
            <w:r>
              <w:t>–</w:t>
            </w:r>
            <w:r>
              <w:tab/>
              <w:t xml:space="preserve">daroma pažanga Belgrado ir Prištinos dialoge, visų pirma judėjimo laisvės ir energetikos srityse; apgailestauja dėl nepakankamos pažangos įgyvendinant normalizavimo planą ir ragina dėti pastangas bei suteikti pajėgumų siekiant normalizuoti santykius ir plėtoti ES tarpininkaujamą dialogą; </w:t>
            </w:r>
            <w:r>
              <w:rPr>
                <w:b/>
                <w:i/>
              </w:rPr>
              <w:t>ragina glaudžiai bendradarbiauti su kadenciją baigiančiu ir būsimu ES specialiuoju įgaliotiniu Belgrado ir Prištinos dialogui ir kitiems Vakarų Balkanų regioniniams klausimams;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130</w:t>
      </w:r>
      <w:r>
        <w:rPr>
          <w:rStyle w:val="HideTWBExt"/>
        </w:rPr>
        <w:t>&lt;/NumAm&gt;</w:t>
      </w:r>
    </w:p>
    <w:p w:rsidR="002131D7" w:rsidRPr="00252254" w:rsidRDefault="002131D7" w:rsidP="002131D7">
      <w:pPr>
        <w:pStyle w:val="NormalBold"/>
      </w:pPr>
      <w:r>
        <w:rPr>
          <w:rStyle w:val="HideTWBExt"/>
          <w:b w:val="0"/>
        </w:rPr>
        <w:t>&lt;RepeatBlock-By&gt;&lt;Members&gt;</w:t>
      </w:r>
      <w:r>
        <w:t>Davor Ivo Stier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pagal Vidurio Europos laisvosios prekybos susitarimą (VELPS) priimtas sprendimas leisti Kosovui būti atstovaujamam jo institucijų, taip pat panaikinti Serbijoje pagamintų galutinių produktų įvežimo į Kosovą apribojimai;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131</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Juodkalnija daro pažangą siekdama tenkinti ES acquis 23 ir 24 skyrių tarpinius kriterijus; ragina šalį toliau daryti pažangą įgyvendinant su ES susijusias reformas ir sparčiai jas įgyvendinti;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132</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Juodkalnija daro pažangą siekdama tenkinti ES </w:t>
            </w:r>
            <w:r>
              <w:rPr>
                <w:i/>
                <w:iCs/>
              </w:rPr>
              <w:t>acquis</w:t>
            </w:r>
            <w:r>
              <w:t xml:space="preserve"> 23 ir 24 skyrių tarpinius kriterijus; ragina šalį toliau daryti pažangą </w:t>
            </w:r>
            <w:r>
              <w:lastRenderedPageBreak/>
              <w:t>įgyvendinant su ES susijusias reformas ir sparčiai jas įgyvendinti;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Juodkalnija daro pažangą siekdama tenkinti ES </w:t>
            </w:r>
            <w:r>
              <w:rPr>
                <w:i/>
                <w:iCs/>
              </w:rPr>
              <w:t>acquis</w:t>
            </w:r>
            <w:r>
              <w:t xml:space="preserve"> 23 ir 24 skyrių tarpinius kriterijus; ragina šalį toliau daryti pažangą </w:t>
            </w:r>
            <w:r>
              <w:lastRenderedPageBreak/>
              <w:t xml:space="preserve">įgyvendinant su ES susijusias reformas ir sparčiai jas įgyvendinti; </w:t>
            </w:r>
            <w:r>
              <w:rPr>
                <w:b/>
                <w:i/>
              </w:rPr>
              <w:t>smerkia Rusijos ir kaimyninių šalių bandymus pasinaudoti etnine įtampa Juodkalnijoje siekiant kurstyti konfliktus ir suskaldyti bendruomenes; pažymi, kad Serbijos stačiatikių bažnyčia naudojama kaip išorės įtakos priemonė, ir smerkia jos kišimąsi šiuo atžvilgiu;</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133</w:t>
      </w:r>
      <w:r>
        <w:rPr>
          <w:rStyle w:val="HideTWBExt"/>
        </w:rPr>
        <w:t>&lt;/NumAm&gt;</w:t>
      </w:r>
    </w:p>
    <w:p w:rsidR="002131D7" w:rsidRPr="00252254" w:rsidRDefault="002131D7" w:rsidP="002131D7">
      <w:pPr>
        <w:pStyle w:val="NormalBold"/>
      </w:pPr>
      <w:r>
        <w:rPr>
          <w:rStyle w:val="HideTWBExt"/>
          <w:b w:val="0"/>
        </w:rPr>
        <w:t>&lt;RepeatBlock-By&gt;&lt;Members&gt;</w:t>
      </w:r>
      <w:r>
        <w:t>Davor Ivo Stier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Juodkalnija daro pažangą siekdama tenkinti ES </w:t>
            </w:r>
            <w:r>
              <w:rPr>
                <w:i/>
                <w:iCs/>
              </w:rPr>
              <w:t>acquis</w:t>
            </w:r>
            <w:r>
              <w:t xml:space="preserve"> 23 ir 24 skyrių tarpinius kriterijus; ragina </w:t>
            </w:r>
            <w:r>
              <w:rPr>
                <w:b/>
                <w:i/>
              </w:rPr>
              <w:t>šalį toliau daryti pažangą įgyvendinant</w:t>
            </w:r>
            <w:r>
              <w:t xml:space="preserve"> su ES susijusias reformas ir </w:t>
            </w:r>
            <w:r>
              <w:rPr>
                <w:b/>
                <w:i/>
              </w:rPr>
              <w:t>sparčiai jas įgyvendinti</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Juodkalnija daro pažangą siekdama tenkinti ES </w:t>
            </w:r>
            <w:r>
              <w:rPr>
                <w:i/>
                <w:iCs/>
              </w:rPr>
              <w:t>acquis</w:t>
            </w:r>
            <w:r>
              <w:t xml:space="preserve"> 23 ir 24 skyrių tarpinius kriterijus; ragina </w:t>
            </w:r>
            <w:r>
              <w:rPr>
                <w:b/>
                <w:i/>
              </w:rPr>
              <w:t>sparčiai įgyvendinti</w:t>
            </w:r>
            <w:r>
              <w:t xml:space="preserve"> su ES susijusias reformas</w:t>
            </w:r>
            <w:r>
              <w:rPr>
                <w:b/>
                <w:i/>
              </w:rPr>
              <w:t>;</w:t>
            </w:r>
            <w:r>
              <w:t xml:space="preserve"> </w:t>
            </w:r>
            <w:r>
              <w:rPr>
                <w:b/>
                <w:i/>
              </w:rPr>
              <w:t>reiškia susirūpinimą dėl užsienio kišimosi, prieš Vakarus nukreiptos ir nesantaiką kurstančios retorikos plitimo šalyje, taip pat dėl prieštaringai vertinamų pasiūlymų dėl teisėkūros procedūra priimamų aktų dėl pilietybės ir užsienio agentų;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134</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Roberto Vannacci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Juodkalnija daro pažangą siekdama tenkinti ES </w:t>
            </w:r>
            <w:r>
              <w:rPr>
                <w:i/>
                <w:iCs/>
              </w:rPr>
              <w:t>acquis</w:t>
            </w:r>
            <w:r>
              <w:t xml:space="preserve"> 23 ir 24 skyrių tarpinius kriterijus; ragina šalį toliau daryti pažangą </w:t>
            </w:r>
            <w:r>
              <w:lastRenderedPageBreak/>
              <w:t>įgyvendinant su ES susijusias reformas ir sparčiai jas įgyvendinti;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Juodkalnija daro pažangą siekdama tenkinti ES </w:t>
            </w:r>
            <w:r>
              <w:rPr>
                <w:i/>
                <w:iCs/>
              </w:rPr>
              <w:t>acquis</w:t>
            </w:r>
            <w:r>
              <w:t xml:space="preserve"> 23 ir 24 skyrių tarpinius kriterijus; ragina šalį toliau daryti pažangą </w:t>
            </w:r>
            <w:r>
              <w:lastRenderedPageBreak/>
              <w:t xml:space="preserve">įgyvendinant su ES susijusias reformas ir sparčiai jas įgyvendinti; </w:t>
            </w:r>
            <w:r>
              <w:rPr>
                <w:b/>
                <w:i/>
              </w:rPr>
              <w:t>ragina Sąjungą nutraukti plėtros procesus, kurių ji negali vykdyti, nes rizikuoja pakenkti gyvybiniams dabartinių valstybių narių interesams;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135</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2023 m. pabaigoje sėkmingai užbaigtas Šiaurės Makedonijos peržiūros procesas; ragina nedelsiant pradėti kitą derybų etapą; ragina Šiaurės Makedonijos vyriausybę konstruktyviai bendradarbiauti su kaimyninėmis šalimis, kad būtų pašalintos likusios kliūtys siekiant pažangos stojimo derybose;</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136</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bCs/>
                <w:i/>
                <w:iCs/>
              </w:rPr>
              <w:t>2023 m. pabaigoje sėkmingai užbaigtas Šiaurės Makedonijos peržiūros procesas;</w:t>
            </w:r>
            <w:r>
              <w:rPr>
                <w:b/>
                <w:i/>
              </w:rPr>
              <w:t xml:space="preserve"> ragina nedelsiant pradėti kitą derybų etapą; </w:t>
            </w:r>
            <w:r>
              <w:rPr>
                <w:b/>
                <w:bCs/>
                <w:i/>
                <w:iCs/>
              </w:rPr>
              <w:t xml:space="preserve">ragina Šiaurės Makedonijos vyriausybę konstruktyviai bendradarbiauti su kaimyninėmis šalimis, kad būtų pašalintos likusios kliūtys </w:t>
            </w:r>
            <w:r>
              <w:rPr>
                <w:b/>
                <w:bCs/>
                <w:i/>
                <w:iCs/>
              </w:rPr>
              <w:lastRenderedPageBreak/>
              <w:t>siekiant pažangos stojimo derybose</w:t>
            </w:r>
            <w:r>
              <w:t>;</w:t>
            </w:r>
          </w:p>
        </w:tc>
        <w:tc>
          <w:tcPr>
            <w:tcW w:w="4876" w:type="dxa"/>
            <w:tcBorders>
              <w:top w:val="nil"/>
              <w:left w:val="nil"/>
              <w:bottom w:val="nil"/>
              <w:right w:val="nil"/>
            </w:tcBorders>
          </w:tcPr>
          <w:p w:rsidR="002131D7" w:rsidRPr="00252254" w:rsidRDefault="002131D7" w:rsidP="00B46628">
            <w:pPr>
              <w:pStyle w:val="Normal6a"/>
            </w:pPr>
            <w:r>
              <w:lastRenderedPageBreak/>
              <w:t>–</w:t>
            </w:r>
            <w:r>
              <w:tab/>
            </w:r>
            <w:r>
              <w:rPr>
                <w:b/>
                <w:bCs/>
                <w:i/>
                <w:iCs/>
              </w:rPr>
              <w:t>reikia visiškai įšaldyti santykius su Skopje</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137</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peržiūros procesas; ragina </w:t>
            </w:r>
            <w:r>
              <w:rPr>
                <w:b/>
                <w:i/>
              </w:rPr>
              <w:t>nedelsiant pradėti kitą</w:t>
            </w:r>
            <w:r>
              <w:rPr>
                <w:b/>
                <w:bCs/>
                <w:i/>
                <w:iCs/>
              </w:rPr>
              <w:t xml:space="preserve"> derybų e</w:t>
            </w:r>
            <w:r>
              <w:rPr>
                <w:b/>
                <w:i/>
              </w:rPr>
              <w:t xml:space="preserve">tapą; </w:t>
            </w:r>
            <w:r>
              <w:rPr>
                <w:b/>
                <w:bCs/>
                <w:i/>
                <w:iCs/>
              </w:rPr>
              <w:t>ragina</w:t>
            </w:r>
            <w:r>
              <w:t xml:space="preserve"> šiaurės Makedonijos vyriausybę</w:t>
            </w:r>
            <w:r>
              <w:rPr>
                <w:b/>
                <w:i/>
              </w:rPr>
              <w:t xml:space="preserve"> konstruktyviai bendradarbiauti</w:t>
            </w:r>
            <w:r>
              <w:t xml:space="preserve"> su </w:t>
            </w:r>
            <w:r>
              <w:rPr>
                <w:b/>
                <w:i/>
              </w:rPr>
              <w:t>kaimyninėmis šalimis</w:t>
            </w:r>
            <w:r>
              <w:t xml:space="preserve">, kad būtų </w:t>
            </w:r>
            <w:r>
              <w:rPr>
                <w:b/>
                <w:i/>
              </w:rPr>
              <w:t>pašalintos likusios kliūtys siekiant pažangos stojimo derybose</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w:t>
            </w:r>
            <w:r>
              <w:rPr>
                <w:b/>
                <w:i/>
              </w:rPr>
              <w:t xml:space="preserve">acquis </w:t>
            </w:r>
            <w:r>
              <w:t xml:space="preserve">peržiūros procesas; ragina šiaurės Makedonijos vyriausybę </w:t>
            </w:r>
            <w:r>
              <w:rPr>
                <w:b/>
                <w:i/>
              </w:rPr>
              <w:t xml:space="preserve">siekti apčiuopiamų rezultatų vykdant savo įsipareigojimus pagal </w:t>
            </w:r>
            <w:r>
              <w:rPr>
                <w:b/>
                <w:bCs/>
                <w:i/>
                <w:iCs/>
              </w:rPr>
              <w:t>ES derybų</w:t>
            </w:r>
            <w:r>
              <w:rPr>
                <w:b/>
                <w:bCs/>
              </w:rPr>
              <w:t xml:space="preserve"> </w:t>
            </w:r>
            <w:r>
              <w:rPr>
                <w:b/>
                <w:i/>
              </w:rPr>
              <w:t>programą, priimti būtinus konstitucinius pakeitimus ir sąžiningai įgyvendinti Prespos susitarimą su Graikija ir Draugystės, geros kaimynystės ir bendradarbiavimo sutartį</w:t>
            </w:r>
            <w:r>
              <w:t xml:space="preserve"> su </w:t>
            </w:r>
            <w:r>
              <w:rPr>
                <w:b/>
                <w:i/>
              </w:rPr>
              <w:t>Bulgarija bei jos protokolus</w:t>
            </w:r>
            <w:r>
              <w:t xml:space="preserve">, kad būtų </w:t>
            </w:r>
            <w:r>
              <w:rPr>
                <w:b/>
                <w:i/>
              </w:rPr>
              <w:t>galima pradėti kitą derybų proceso etapą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138</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peržiūros procesas; ragina nedelsiant pradėti kitą derybų etapą; </w:t>
            </w:r>
            <w:r>
              <w:rPr>
                <w:b/>
                <w:i/>
              </w:rPr>
              <w:t>ragina Šiaurės Makedonijos vyriausybę konstruktyviai bendradarbiauti su kaimyninėmis šalimis, kad būtų pašalintos likusios kliūtys siekiant pažangos stojimo derybose;</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w:t>
            </w:r>
            <w:r>
              <w:rPr>
                <w:b/>
                <w:bCs/>
                <w:i/>
                <w:iCs/>
              </w:rPr>
              <w:t>acquis</w:t>
            </w:r>
            <w:r>
              <w:t xml:space="preserve"> peržiūros procesas; ragina pradėti kitą derybų etapą;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139</w:t>
      </w:r>
      <w:r>
        <w:rPr>
          <w:rStyle w:val="HideTWBExt"/>
        </w:rPr>
        <w:t>&lt;/NumAm&gt;</w:t>
      </w:r>
    </w:p>
    <w:p w:rsidR="002131D7" w:rsidRPr="00252254" w:rsidRDefault="002131D7" w:rsidP="002131D7">
      <w:pPr>
        <w:pStyle w:val="NormalBold"/>
      </w:pPr>
      <w:r>
        <w:rPr>
          <w:rStyle w:val="HideTWBExt"/>
          <w:b w:val="0"/>
        </w:rPr>
        <w:t>&lt;RepeatBlock-By&gt;&lt;Members&gt;</w:t>
      </w:r>
      <w:r>
        <w:t>Ivaylo Valchev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peržiūros procesas; ragina </w:t>
            </w:r>
            <w:r>
              <w:rPr>
                <w:b/>
                <w:i/>
              </w:rPr>
              <w:t xml:space="preserve">nedelsiant </w:t>
            </w:r>
            <w:r>
              <w:t xml:space="preserve">pradėti kitą derybų etapą; ragina Šiaurės Makedonijos vyriausybę konstruktyviai </w:t>
            </w:r>
            <w:r>
              <w:rPr>
                <w:b/>
                <w:i/>
              </w:rPr>
              <w:t>bendradarbiauti</w:t>
            </w:r>
            <w:r>
              <w:t xml:space="preserve"> su </w:t>
            </w:r>
            <w:r>
              <w:rPr>
                <w:b/>
                <w:i/>
              </w:rPr>
              <w:t>kaimyninėmis šalimis</w:t>
            </w:r>
            <w:r>
              <w:t>, kad būtų pašalintos likusios kliūtys siekiant pažangos stojimo derybose;</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w:t>
            </w:r>
            <w:r>
              <w:rPr>
                <w:b/>
                <w:i/>
                <w:iCs/>
              </w:rPr>
              <w:t>acquis</w:t>
            </w:r>
            <w:r>
              <w:rPr>
                <w:b/>
                <w:i/>
              </w:rPr>
              <w:t xml:space="preserve"> </w:t>
            </w:r>
            <w:r>
              <w:t>peržiūros procesas; ragina pradėti kitą derybų etapą</w:t>
            </w:r>
            <w:r>
              <w:rPr>
                <w:b/>
                <w:i/>
              </w:rPr>
              <w:t>, kai bus įvykdyti derybų programoje nustatyti kriterijai</w:t>
            </w:r>
            <w:r>
              <w:t xml:space="preserve">; ragina Šiaurės Makedonijos vyriausybę konstruktyviai </w:t>
            </w:r>
            <w:r>
              <w:rPr>
                <w:b/>
                <w:i/>
              </w:rPr>
              <w:t>dirbti vykdant savo įsipareigojimus, susijusius</w:t>
            </w:r>
            <w:r>
              <w:t xml:space="preserve"> su </w:t>
            </w:r>
            <w:r>
              <w:rPr>
                <w:b/>
                <w:i/>
              </w:rPr>
              <w:t>plėtros politikos sistema</w:t>
            </w:r>
            <w:r>
              <w:t>, kad būtų pašalintos likusios kliūtys siekiant pažangos stojimo derybose;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140</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pabaigoje sėkmingai užbaigtas Šiaurės Makedonijos peržiūros procesas</w:t>
            </w:r>
            <w:r>
              <w:rPr>
                <w:b/>
                <w:i/>
              </w:rPr>
              <w:t>;</w:t>
            </w:r>
            <w:r>
              <w:t xml:space="preserve"> ragina nedelsiant pradėti kitą derybų etapą; ragina </w:t>
            </w:r>
            <w:r>
              <w:rPr>
                <w:b/>
                <w:i/>
              </w:rPr>
              <w:t>Šiaurės Makedonijos vyriausybę</w:t>
            </w:r>
            <w:r>
              <w:t xml:space="preserve"> konstruktyviai bendradarbiauti</w:t>
            </w:r>
            <w:r>
              <w:rPr>
                <w:b/>
                <w:i/>
              </w:rPr>
              <w:t xml:space="preserve"> su kaimyninėmis šalimis</w:t>
            </w:r>
            <w:r>
              <w:t>, kad būtų pašalintos likusios kliūtys siekiant pažangos stojimo derybose;</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w:t>
            </w:r>
            <w:r>
              <w:rPr>
                <w:b/>
                <w:i/>
                <w:iCs/>
              </w:rPr>
              <w:t>acquis</w:t>
            </w:r>
            <w:r>
              <w:rPr>
                <w:b/>
                <w:i/>
              </w:rPr>
              <w:t xml:space="preserve"> </w:t>
            </w:r>
            <w:r>
              <w:t>peržiūros procesas</w:t>
            </w:r>
            <w:r>
              <w:rPr>
                <w:b/>
                <w:i/>
              </w:rPr>
              <w:t xml:space="preserve"> ir</w:t>
            </w:r>
            <w:r>
              <w:t xml:space="preserve"> ragina nedelsiant pradėti kitą derybų etapą; ragina </w:t>
            </w:r>
            <w:r>
              <w:rPr>
                <w:b/>
                <w:i/>
              </w:rPr>
              <w:t>vyriausybę ir kaimynines šalis kartu</w:t>
            </w:r>
            <w:r>
              <w:t xml:space="preserve"> konstruktyviai bendradarbiauti, kad būtų pašalintos likusios kliūtys siekiant pažangos stojimo derybose</w:t>
            </w:r>
            <w:r>
              <w:rPr>
                <w:b/>
                <w:i/>
              </w:rPr>
              <w:t>, drauge pakartodamas, kad dvišaliai klausimai turi būti atskirti nuo stojimo proceso</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141</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peržiūros procesas; ragina </w:t>
            </w:r>
            <w:r>
              <w:rPr>
                <w:b/>
                <w:i/>
              </w:rPr>
              <w:t>nedelsiant pradėti kitą derybų etapą</w:t>
            </w:r>
            <w:r>
              <w:t>; ragina Šiaurės Makedonijos vyriausybę konstruktyviai bendradarbiauti su kaimyninėmis šalimis, kad būtų pašalintos likusios kliūtys siekiant pažangos stojimo derybose;</w:t>
            </w:r>
          </w:p>
        </w:tc>
        <w:tc>
          <w:tcPr>
            <w:tcW w:w="4876" w:type="dxa"/>
            <w:tcBorders>
              <w:top w:val="nil"/>
              <w:left w:val="nil"/>
              <w:bottom w:val="nil"/>
              <w:right w:val="nil"/>
            </w:tcBorders>
          </w:tcPr>
          <w:p w:rsidR="002131D7" w:rsidRPr="00252254" w:rsidRDefault="002131D7" w:rsidP="00B46628">
            <w:pPr>
              <w:pStyle w:val="Normal6a"/>
            </w:pPr>
            <w:r>
              <w:t>–</w:t>
            </w:r>
            <w:r>
              <w:tab/>
              <w:t xml:space="preserve">2023 m. pabaigoje sėkmingai užbaigtas Šiaurės Makedonijos </w:t>
            </w:r>
            <w:r>
              <w:rPr>
                <w:b/>
                <w:i/>
                <w:iCs/>
              </w:rPr>
              <w:t>acquis</w:t>
            </w:r>
            <w:r>
              <w:rPr>
                <w:b/>
                <w:i/>
              </w:rPr>
              <w:t xml:space="preserve"> </w:t>
            </w:r>
            <w:r>
              <w:t xml:space="preserve">peržiūros procesas; ragina </w:t>
            </w:r>
            <w:r>
              <w:rPr>
                <w:b/>
                <w:i/>
              </w:rPr>
              <w:t>prieš toliau siekiant narystės išsamiai įvertinti galimą Šiaurės Makedonijos įstojimo į ES poveikį</w:t>
            </w:r>
            <w:r>
              <w:t>; ragina Šiaurės Makedonijos vyriausybę konstruktyviai bendradarbiauti su kaimyninėmis šalimis, kad būtų pašalintos likusios kliūtys siekiant pažangos stojimo derybose;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142</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vietos gyvybinga pilietinė visuomenė atlieka konstruktyvų vaidmenį ES integracijos procesuose; ragina plėtros šalis sukurti palankią erdvę ir tinkamą bendradarbiavimo sistemą, kad būtų užtikrintas prasmingas jos dalyvavimas; pabrėžia, kad pilietinė visuomenė yra labai svarbi skatinant demokratiją ir pliuralizmą bei propaguojant gerą valdymą ir socialinę pažangą;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143</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144</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r>
              <w:rPr>
                <w:b/>
                <w:i/>
              </w:rPr>
              <w:t xml:space="preserve"> be to, atkreipia dėmesį į grėsmes, kurias kelia </w:t>
            </w:r>
            <w:r>
              <w:rPr>
                <w:b/>
                <w:i/>
              </w:rPr>
              <w:lastRenderedPageBreak/>
              <w:t>piktavališkas užsienio kišimasis regione, ir pabrėžia, kad svarbu kovoti su dezinformacija; įspėja nebendradarbiauti su ES sisteminiais varžovais, nes tai galėtų pakenkti klestinčios, tvarios ir saugios ateities perspektyvai, kurią užtikrina narystė ES, ir atsižvelgdamas į tai primena apie pridėtinę vertę, kurią sukuria Europos Sąjungos investicijos pagal Pasirengimo narystei paramos priemonę (PNPP III), naujai sukurtą Vakarų Balkanų reformų ir ekonomikos augimo priemonę (ir ekonomikos augimo planą) ir Vakarų Balkanų investicijų programą; ragina už plėtrą atsakingą Komisijos narį didinti ES veiksmų Vakarų Balkanuose matomumą;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145</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 </w:t>
            </w:r>
            <w:r>
              <w:rPr>
                <w:b/>
                <w:i/>
              </w:rPr>
              <w:t xml:space="preserve">mano, jog norint, kad Vakarų Balkanų partneriai priartėtų prie ES, labai svarbi esminė sąlyga, kad jie savo užsienio politikoje ir balsuojant dėl JT Generalinės Asamblėjos rezoliucijų ir toliau rodytų </w:t>
            </w:r>
            <w:r>
              <w:rPr>
                <w:b/>
                <w:i/>
              </w:rPr>
              <w:lastRenderedPageBreak/>
              <w:t>paramą Ukrainai ir palaikytų sankcijas Rusijai ir jų sugriežtinimą;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146</w:t>
      </w:r>
      <w:r>
        <w:rPr>
          <w:rStyle w:val="HideTWBExt"/>
        </w:rPr>
        <w:t>&lt;/NumAm&gt;</w:t>
      </w:r>
    </w:p>
    <w:p w:rsidR="002131D7" w:rsidRPr="00252254" w:rsidRDefault="002131D7" w:rsidP="002131D7">
      <w:pPr>
        <w:pStyle w:val="NormalBold"/>
      </w:pPr>
      <w:r>
        <w:rPr>
          <w:rStyle w:val="HideTWBExt"/>
          <w:b w:val="0"/>
        </w:rPr>
        <w:t>&lt;RepeatBlock-By&gt;&lt;Members&gt;</w:t>
      </w:r>
      <w:r>
        <w:t>Ivaylo Valchev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w:t>
            </w:r>
            <w:r>
              <w:rPr>
                <w:b/>
                <w:i/>
              </w:rPr>
              <w:t>reikalaujanti</w:t>
            </w:r>
            <w:r>
              <w:t xml:space="preserve">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w:t>
            </w:r>
            <w:r>
              <w:rPr>
                <w:b/>
                <w:i/>
              </w:rPr>
              <w:t>, atsižvelgiant į dinamiškus tarptautinės aplinkos pokyčius</w:t>
            </w:r>
            <w:r>
              <w:t>; primena, kad ES plėtra yra geostrateginė investicija</w:t>
            </w:r>
            <w:r>
              <w:rPr>
                <w:b/>
                <w:i/>
              </w:rPr>
              <w:t xml:space="preserve"> ir nuopelnais grindžiamas procesas</w:t>
            </w:r>
            <w:r>
              <w:t xml:space="preserve">, </w:t>
            </w:r>
            <w:r>
              <w:rPr>
                <w:b/>
                <w:i/>
              </w:rPr>
              <w:t>reikalaujantis</w:t>
            </w:r>
            <w:r>
              <w:t xml:space="preserve"> tiek ES, tiek plėtros šalių įsipareigojimo joms siekiant narystės</w:t>
            </w:r>
            <w:r>
              <w:rPr>
                <w:b/>
                <w:i/>
              </w:rPr>
              <w:t>; primena, kad Sąjunga grindžiama demokratijos, teisinės valstybės ir pagarbos žmogaus teisėms vertybėmis, kurios yra Kopenhagos kriterijų, kurie yra pagrindiniai narystės ES kriterijai, dalis</w:t>
            </w:r>
            <w:r>
              <w:t>; atsižvelgdamas į tai primena, kad ir toliau reikia įgyvendinti reformas, susijusias su teisine valstybe, pagrindinėmis teisėmis ir viešuoju administravimu, ir suderinti politiką su BUSP, be kita ko, sankcijų srityje;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147</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lastRenderedPageBreak/>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w:t>
            </w:r>
            <w:r>
              <w:rPr>
                <w:b/>
                <w:i/>
              </w:rPr>
              <w:t xml:space="preserve">ir ES vizų </w:t>
            </w:r>
            <w:r>
              <w:t xml:space="preserve">srityje; </w:t>
            </w:r>
            <w:r>
              <w:rPr>
                <w:b/>
                <w:i/>
              </w:rPr>
              <w:t>ragina Vakarų Balkanų šalis panaudoti visus išteklius, skiriamus pagal Vakarų Balkanų reformų ir augimo priemonę, siekiant skatinti jų suderinamumą su ES vertybėmis, teisės aktais, standartais, politika ir praktika;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148</w:t>
      </w:r>
      <w:r>
        <w:rPr>
          <w:rStyle w:val="HideTWBExt"/>
        </w:rPr>
        <w:t>&lt;/NumAm&gt;</w:t>
      </w:r>
    </w:p>
    <w:p w:rsidR="002131D7" w:rsidRPr="00252254" w:rsidRDefault="002131D7" w:rsidP="002131D7">
      <w:pPr>
        <w:pStyle w:val="NormalBold"/>
      </w:pPr>
      <w:r>
        <w:rPr>
          <w:rStyle w:val="HideTWBExt"/>
          <w:b w:val="0"/>
        </w:rPr>
        <w:t>&lt;RepeatBlock-By&gt;&lt;Members&gt;</w:t>
      </w:r>
      <w:r>
        <w:t>António Tânger Corrêa, Jordan Bardella, Matthieu Valet, Pierre-Romain Thionnet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w:t>
            </w:r>
            <w:r>
              <w:rPr>
                <w:b/>
                <w:i/>
              </w:rPr>
              <w:t xml:space="preserve">primena, kad ES plėtra yra geostrateginė investicija, reikalaujanti tiek ES, tiek plėtros šalių įsipareigojimo joms siekiant narystės; </w:t>
            </w:r>
            <w:r>
              <w:t>atsižvelgdamas į tai primena, kad ir toliau reikia įgyvendinti reformas, susijusias su teisine valstybe, pagrindinėmis teisėmis ir viešuoju administravimu</w:t>
            </w:r>
            <w:r>
              <w:rPr>
                <w:b/>
                <w:i/>
              </w:rPr>
              <w:t>, ir suderinti politiką su BUSP, be kita ko, sankcijų srityje</w:t>
            </w:r>
            <w:r>
              <w:t>;</w:t>
            </w:r>
          </w:p>
        </w:tc>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atsižvelgdamas į tai primena, kad ir toliau reikia įgyvendinti reformas, susijusias su teisine valstybe, pagrindinėmis teisėmis ir viešuoju administravimu;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149</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w:t>
            </w:r>
            <w:r>
              <w:rPr>
                <w:b/>
                <w:i/>
              </w:rPr>
              <w:t>, ir piktavališkos Rusijos, Kinijos ir kitų subjektų, siekiančių pakenkti regiono stabilumui, įtakos problemos sprendimo</w:t>
            </w:r>
            <w:r>
              <w:t>; atsižvelgdamas į tai primena, kad ir toliau reikia įgyvendinti reformas, susijusias su teisine valstybe, pagrindinėmis teisėmis ir viešuoju administravimu, ir suderinti politiką su BUSP, be kita ko, sankcijų srityje;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150</w:t>
      </w:r>
      <w:r>
        <w:rPr>
          <w:rStyle w:val="HideTWBExt"/>
        </w:rPr>
        <w:t>&lt;/NumAm&gt;</w:t>
      </w:r>
    </w:p>
    <w:p w:rsidR="002131D7" w:rsidRPr="00252254" w:rsidRDefault="002131D7" w:rsidP="002131D7">
      <w:pPr>
        <w:pStyle w:val="NormalBold"/>
      </w:pPr>
      <w:r>
        <w:rPr>
          <w:rStyle w:val="HideTWBExt"/>
          <w:b w:val="0"/>
        </w:rPr>
        <w:t>&lt;RepeatBlock-By&gt;&lt;Members&gt;</w:t>
      </w:r>
      <w:r>
        <w:t>Francisco José Millán Mon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w:t>
            </w:r>
            <w:r>
              <w:lastRenderedPageBreak/>
              <w:t>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w:t>
            </w:r>
            <w:r>
              <w:lastRenderedPageBreak/>
              <w:t>pagrindinėmis teisėmis ir viešuoju administravimu, ir suderinti politiką su BUSP, be kita ko, sankcijų srityje;</w:t>
            </w:r>
            <w:r>
              <w:rPr>
                <w:b/>
                <w:i/>
              </w:rPr>
              <w:t> taip pat pabrėžia, kad reikia atsižvelgti į Europos Sąjungos integracijos pajėgumą;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{ES}</w:t>
      </w:r>
      <w:r w:rsidRPr="00252254">
        <w:t>es</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151</w:t>
      </w:r>
      <w:r>
        <w:rPr>
          <w:rStyle w:val="HideTWBExt"/>
        </w:rPr>
        <w:t>&lt;/NumAm&gt;</w:t>
      </w:r>
    </w:p>
    <w:p w:rsidR="002131D7" w:rsidRPr="00252254" w:rsidRDefault="002131D7" w:rsidP="002131D7">
      <w:pPr>
        <w:pStyle w:val="NormalBold"/>
      </w:pPr>
      <w:r>
        <w:rPr>
          <w:rStyle w:val="HideTWBExt"/>
          <w:b w:val="0"/>
        </w:rPr>
        <w:t>&lt;RepeatBlock-By&gt;&lt;Members&gt;</w:t>
      </w:r>
      <w:r>
        <w:t>Kinga Gál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w:t>
            </w:r>
            <w:r>
              <w:rPr>
                <w:b/>
                <w:i/>
              </w:rPr>
              <w:t>be kita ko, sankcijų srityje</w:t>
            </w:r>
            <w:r>
              <w:t>;</w:t>
            </w:r>
          </w:p>
        </w:tc>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w:t>
            </w:r>
            <w:r>
              <w:rPr>
                <w:b/>
                <w:i/>
              </w:rPr>
              <w:t>; vis dėlto pabrėžia</w:t>
            </w:r>
            <w:r>
              <w:t xml:space="preserve">, </w:t>
            </w:r>
            <w:r>
              <w:rPr>
                <w:b/>
                <w:i/>
              </w:rPr>
              <w:t>kad narystė ES gali būti grindžiama tik nuopelnais ir negali būti susieta su ideologiniais reikalavimais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152</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w:t>
            </w:r>
            <w:r>
              <w:lastRenderedPageBreak/>
              <w:t>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sėkmingai atnaujintas ES ir jos </w:t>
            </w:r>
            <w:r>
              <w:lastRenderedPageBreak/>
              <w:t xml:space="preserve">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w:t>
            </w:r>
            <w:r>
              <w:rPr>
                <w:b/>
                <w:i/>
              </w:rPr>
              <w:t xml:space="preserve">tai yra nuopelnais grindžiamas </w:t>
            </w:r>
            <w:r>
              <w:t>ir</w:t>
            </w:r>
            <w:r>
              <w:rPr>
                <w:b/>
                <w:i/>
              </w:rPr>
              <w:t xml:space="preserve"> atgal galintis pasukti procesas, kurį vykdant</w:t>
            </w:r>
            <w:r>
              <w:t xml:space="preserve"> toliau reikia įgyvendinti reformas, susijusias su teisine valstybe, pagrindinėmis teisėmis ir viešuoju administravimu, ir suderinti politiką su BUSP, be kita ko, sankcijų srityje;</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153</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srityje;</w:t>
            </w:r>
          </w:p>
        </w:tc>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w:t>
            </w:r>
            <w:r>
              <w:rPr>
                <w:b/>
                <w:i/>
              </w:rPr>
              <w:t xml:space="preserve">vizų politikos suderinimu, </w:t>
            </w:r>
            <w:r>
              <w:t>ir</w:t>
            </w:r>
            <w:r>
              <w:rPr>
                <w:b/>
                <w:i/>
              </w:rPr>
              <w:t xml:space="preserve"> visiškai</w:t>
            </w:r>
            <w:r>
              <w:t xml:space="preserve"> suderinti politiką su BUSP, be kita ko, sankcijų srityje;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154</w:t>
      </w:r>
      <w:r>
        <w:rPr>
          <w:rStyle w:val="HideTWBExt"/>
        </w:rPr>
        <w:t>&lt;/NumAm&gt;</w:t>
      </w:r>
    </w:p>
    <w:p w:rsidR="002131D7" w:rsidRPr="00252254" w:rsidRDefault="002131D7" w:rsidP="002131D7">
      <w:pPr>
        <w:pStyle w:val="NormalBold"/>
      </w:pPr>
      <w:r>
        <w:rPr>
          <w:rStyle w:val="HideTWBExt"/>
          <w:b w:val="0"/>
        </w:rPr>
        <w:lastRenderedPageBreak/>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w:t>
            </w:r>
            <w:r>
              <w:rPr>
                <w:b/>
                <w:i/>
              </w:rPr>
              <w:t>yra geostrateginė investicija</w:t>
            </w:r>
            <w:r>
              <w:t xml:space="preserve">, </w:t>
            </w:r>
            <w:r>
              <w:rPr>
                <w:b/>
                <w:i/>
              </w:rPr>
              <w:t>reikalaujanti</w:t>
            </w:r>
            <w:r>
              <w:t xml:space="preserve"> tiek ES, tiek plėtros </w:t>
            </w:r>
            <w:r>
              <w:rPr>
                <w:b/>
                <w:i/>
              </w:rPr>
              <w:t>šalių įsipareigojimo</w:t>
            </w:r>
            <w:r>
              <w:t xml:space="preserve"> joms siekiant narystės; atsižvelgdamas į tai primena, kad ir toliau reikia įgyvendinti reformas, susijusias su teisine valstybe, pagrindinėmis teisėmis ir viešuoju administravimu, ir suderinti politiką su BUSP</w:t>
            </w:r>
            <w:r>
              <w:rPr>
                <w:b/>
                <w:i/>
              </w:rPr>
              <w:t>, be kita ko, sankcijų srityje</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sėkmingai atnaujintas ES ir jos partnerių Vakarų Balkanuose dialogas BUSP klausimais, taip pat teigiamai vertina šių partnerysčių svarbą taikai ir saugumui; primena, kad ES plėtra </w:t>
            </w:r>
            <w:r>
              <w:rPr>
                <w:b/>
                <w:i/>
              </w:rPr>
              <w:t>gali kelti geostrateginę riziką</w:t>
            </w:r>
            <w:r>
              <w:t xml:space="preserve">, </w:t>
            </w:r>
            <w:r>
              <w:rPr>
                <w:b/>
                <w:i/>
              </w:rPr>
              <w:t>kurią atidžiai įvertinti turi įsipareigoti</w:t>
            </w:r>
            <w:r>
              <w:t xml:space="preserve"> tiek ES, tiek plėtros </w:t>
            </w:r>
            <w:r>
              <w:rPr>
                <w:b/>
                <w:i/>
              </w:rPr>
              <w:t>šalys</w:t>
            </w:r>
            <w:r>
              <w:t xml:space="preserve"> joms siekiant narystės; atsižvelgdamas į tai primena, kad ir toliau reikia įgyvendinti reformas, susijusias su teisine valstybe, pagrindinėmis teisėmis ir viešuoju administravimu, ir suderinti politiką su BUSP;</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155</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nuspręsta pradėti stojimo derybas su Ukraina ir Moldova; palankiai vertina tai, kad Moldovos suderinimo su BUSP lygis gerokai padidėjo: nuo 54 proc. 2022 m. iki 86 proc. 2024 m.; ragina paspartinti </w:t>
            </w:r>
            <w:r w:rsidRPr="00B50D2B">
              <w:rPr>
                <w:b/>
                <w:iCs/>
              </w:rPr>
              <w:t>acquis</w:t>
            </w:r>
            <w:r>
              <w:rPr>
                <w:b/>
                <w:i/>
              </w:rPr>
              <w:t xml:space="preserve">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156</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nuspręsta pradėti stojimo derybas su Ukraina ir Moldova; palankiai vertina tai, kad Moldovos suderinimo su BUSP lygis gerokai padidėjo: nuo 54 proc. 2022 m. iki 86 proc. 2024 m.; ragina paspartinti acquis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157</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nuspręsta pradėti stojimo derybas su Ukraina ir Moldova; palankiai vertina tai, kad Moldovos suderinimo su BUSP lygis gerokai padidėjo: nuo 54 proc. 2022 m. iki 86 proc. 2024 m.; ragina paspartinti acquis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158</w:t>
      </w:r>
      <w:r>
        <w:rPr>
          <w:rStyle w:val="HideTWBExt"/>
        </w:rPr>
        <w:t>&lt;/NumAm&gt;</w:t>
      </w:r>
    </w:p>
    <w:p w:rsidR="002131D7" w:rsidRPr="00252254" w:rsidRDefault="002131D7" w:rsidP="002131D7">
      <w:pPr>
        <w:pStyle w:val="NormalBold"/>
      </w:pPr>
      <w:r>
        <w:rPr>
          <w:rStyle w:val="HideTWBExt"/>
          <w:b w:val="0"/>
        </w:rPr>
        <w:t>&lt;RepeatBlock-By&gt;&lt;Members&gt;</w:t>
      </w:r>
      <w:r>
        <w:t>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w:t>
            </w:r>
            <w:r>
              <w:lastRenderedPageBreak/>
              <w:t xml:space="preserve">su Ukraina ir Moldova; palankiai vertina tai, kad Moldovos suderinimo su BUSP lygis gerokai padidėjo: nuo 54 proc. 2022 m. iki 86 proc. 2024 m.; ragina paspartinti </w:t>
            </w:r>
            <w:r>
              <w:rPr>
                <w:i/>
                <w:iCs/>
              </w:rPr>
              <w:t>acquis</w:t>
            </w:r>
            <w:r>
              <w:t xml:space="preserve">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nuspręsta pradėti stojimo derybas </w:t>
            </w:r>
            <w:r>
              <w:lastRenderedPageBreak/>
              <w:t xml:space="preserve">su Ukraina ir Moldova; palankiai vertina tai, kad Moldovos suderinimo su BUSP lygis gerokai padidėjo: nuo 54 proc. 2022 m. iki 86 proc. 2024 m.; </w:t>
            </w:r>
            <w:r>
              <w:rPr>
                <w:b/>
                <w:i/>
              </w:rPr>
              <w:t>ragina Ukrainą ir Moldovą tęsti šią teigiamą tendenciją siekiant visiško suderinimo, be kita ko, laikantis suverenumo ir teritorinio vientisumo principų visų valstybių narių atžvilgiu;</w:t>
            </w:r>
            <w:r>
              <w:t xml:space="preserve"> ragina paspartinti </w:t>
            </w:r>
            <w:r>
              <w:rPr>
                <w:i/>
                <w:iCs/>
              </w:rPr>
              <w:t>acquis</w:t>
            </w:r>
            <w:r>
              <w:t xml:space="preserve"> peržiūrą ir laiku surengti paskesnes tarpvyriausybines konferencijas;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159</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nuspręsta pradėti stojimo derybas su Ukraina ir Moldova; palankiai vertina tai, kad Moldovos suderinimo su BUSP lygis gerokai padidėjo: nuo 54 proc. 2022 m. iki 86 proc. 2024 m.; ragina paspartinti</w:t>
            </w:r>
            <w:r>
              <w:rPr>
                <w:i/>
                <w:iCs/>
              </w:rPr>
              <w:t xml:space="preserve"> acquis</w:t>
            </w:r>
            <w:r>
              <w:t xml:space="preserve">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su Ukraina ir Moldova; palankiai vertina tai, kad Moldovos suderinimo su BUSP lygis gerokai padidėjo: nuo 54 proc. 2022 m. iki 86 proc. 2024 m.; </w:t>
            </w:r>
            <w:r>
              <w:rPr>
                <w:b/>
                <w:i/>
              </w:rPr>
              <w:t>palankiai vertina konstitucinio referendumo Moldovoje rezultatus, kuriais išreikšta žmonių valia įstoti į ES;</w:t>
            </w:r>
            <w:r>
              <w:t xml:space="preserve"> ragina paspartinti </w:t>
            </w:r>
            <w:r>
              <w:rPr>
                <w:i/>
                <w:iCs/>
              </w:rPr>
              <w:t>acquis</w:t>
            </w:r>
            <w:r>
              <w:t xml:space="preserve"> peržiūrą ir laiku surengti paskesnes tarpvyriausybines konferencijas;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160</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w:t>
            </w:r>
            <w:r>
              <w:lastRenderedPageBreak/>
              <w:t xml:space="preserve">su Ukraina ir Moldova; palankiai vertina tai, kad Moldovos suderinimo su BUSP lygis gerokai padidėjo: nuo 54 proc. 2022 m. iki 86 proc. 2024 m.; </w:t>
            </w:r>
            <w:r>
              <w:rPr>
                <w:b/>
                <w:i/>
              </w:rPr>
              <w:t>ragina paspartinti acquis peržiūrą ir laiku surengti paskesnes tarpvyriausybines konferencijas;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nuspręsta pradėti stojimo derybas </w:t>
            </w:r>
            <w:r>
              <w:lastRenderedPageBreak/>
              <w:t>su Ukraina ir Moldova; palankiai vertina tai, kad Moldovos suderinimo su BUSP lygis gerokai padidėjo: nuo 54 proc. 2022 m. iki 86 proc. 2024 m.;</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161</w:t>
      </w:r>
      <w:r>
        <w:rPr>
          <w:rStyle w:val="HideTWBExt"/>
        </w:rPr>
        <w:t>&lt;/NumAm&gt;</w:t>
      </w:r>
    </w:p>
    <w:p w:rsidR="002131D7" w:rsidRPr="00252254" w:rsidRDefault="002131D7" w:rsidP="002131D7">
      <w:pPr>
        <w:pStyle w:val="NormalBold"/>
      </w:pPr>
      <w:r>
        <w:rPr>
          <w:rStyle w:val="HideTWBExt"/>
          <w:b w:val="0"/>
        </w:rPr>
        <w:t>&lt;RepeatBlock-By&gt;&lt;Members&gt;</w:t>
      </w:r>
      <w:r>
        <w:t>Cristian Terheş</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su Ukraina ir Moldova; palankiai vertina tai, kad Moldovos suderinimo su BUSP lygis gerokai padidėjo: nuo 54 proc. 2022 m. iki 86 proc. 2024 m.; ragina paspartinti </w:t>
            </w:r>
            <w:r>
              <w:rPr>
                <w:i/>
                <w:iCs/>
              </w:rPr>
              <w:t>acquis</w:t>
            </w:r>
            <w:r>
              <w:t xml:space="preserve"> peržiūrą ir laiku surengti paskesnes tarpvyriausybines konferencijas</w:t>
            </w:r>
            <w:r>
              <w:rPr>
                <w:b/>
                <w:i/>
              </w:rPr>
              <w:t>;</w:t>
            </w:r>
          </w:p>
        </w:tc>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su Ukraina ir Moldova; palankiai vertina tai, kad Moldovos suderinimo su BUSP lygis gerokai padidėjo: nuo 54 proc. 2022 m. iki 86 proc. 2024 m.; ragina paspartinti </w:t>
            </w:r>
            <w:r>
              <w:rPr>
                <w:i/>
                <w:iCs/>
              </w:rPr>
              <w:t>acquis</w:t>
            </w:r>
            <w:r>
              <w:t xml:space="preserve"> peržiūrą ir laiku surengti paskesnes tarpvyriausybines konferencijas</w:t>
            </w:r>
            <w:r>
              <w:rPr>
                <w:b/>
                <w:i/>
              </w:rPr>
              <w:t>, kad būtų patvirtinta numatoma Moldovos stojimo į ES data iki 2030 m.;</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162</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nuspręsta pradėti stojimo derybas su Ukraina ir Moldova; palankiai vertina tai, kad Moldovos suderinimo su BUSP lygis gerokai padidėjo: nuo 54 proc. 2022 m. iki 86 proc. 2024 m.; </w:t>
            </w:r>
            <w:r>
              <w:rPr>
                <w:b/>
                <w:i/>
              </w:rPr>
              <w:t xml:space="preserve">ragina paspartinti </w:t>
            </w:r>
            <w:r>
              <w:rPr>
                <w:b/>
                <w:i/>
                <w:iCs/>
              </w:rPr>
              <w:t>acquis</w:t>
            </w:r>
            <w:r>
              <w:rPr>
                <w:b/>
                <w:i/>
              </w:rPr>
              <w:t xml:space="preserve"> peržiūrą</w:t>
            </w:r>
            <w:r>
              <w:t xml:space="preserve"> ir laiku surengti paskesnes tarpvyriausybines </w:t>
            </w:r>
            <w:r>
              <w:lastRenderedPageBreak/>
              <w:t>konferencijas;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nuspręsta pradėti stojimo derybas su Ukraina ir Moldova; palankiai vertina tai, kad Moldovos suderinimo su BUSP lygis gerokai padidėjo: nuo 54 proc. 2022 m. iki 86 proc. 2024 m.; </w:t>
            </w:r>
            <w:r>
              <w:rPr>
                <w:b/>
                <w:i/>
              </w:rPr>
              <w:t>džiaugiasi, kad, nepaisant ankstesnių vėlavimų, pradėtas Ukrainos</w:t>
            </w:r>
            <w:r>
              <w:t xml:space="preserve"> ir</w:t>
            </w:r>
            <w:r>
              <w:rPr>
                <w:b/>
                <w:i/>
              </w:rPr>
              <w:t xml:space="preserve"> Moldovos </w:t>
            </w:r>
            <w:r>
              <w:rPr>
                <w:b/>
                <w:i/>
                <w:iCs/>
              </w:rPr>
              <w:t>aquis</w:t>
            </w:r>
            <w:r>
              <w:rPr>
                <w:b/>
                <w:i/>
              </w:rPr>
              <w:t xml:space="preserve"> </w:t>
            </w:r>
            <w:r>
              <w:rPr>
                <w:b/>
                <w:i/>
              </w:rPr>
              <w:lastRenderedPageBreak/>
              <w:t>peržiūros procesas; ragina</w:t>
            </w:r>
            <w:r>
              <w:t xml:space="preserve"> laiku surengti paskesnes tarpvyriausybines konferencijas;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163</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palankiai vertina daugumos Vakarų Balkanų šalių, išskyrus Serbiją, aukštą suderinimo su BUSP lygį;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164</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165</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w:t>
            </w:r>
            <w:r>
              <w:rPr>
                <w:b/>
                <w:i/>
              </w:rPr>
              <w:t>;</w:t>
            </w:r>
            <w:r>
              <w:t xml:space="preserve"> ragina </w:t>
            </w:r>
            <w:r>
              <w:rPr>
                <w:b/>
                <w:i/>
              </w:rPr>
              <w:t>juos</w:t>
            </w:r>
            <w:r>
              <w:t xml:space="preserve">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w:t>
            </w:r>
            <w:r>
              <w:rPr>
                <w:b/>
                <w:i/>
              </w:rPr>
              <w:t>, pavyzdžiui, 2023 m. gruodžio 7 d. priimtas Armėnijos ir Azerbaidžano bendras pareiškimas dėl pasitikėjimo stiprinimo priemonių ir padaryta pažanga Armėnijos ir Azerbaidžano sienų nustatymo procese, nes pavyko susitarti dėl kelių sienos ruožų;</w:t>
            </w:r>
            <w:r>
              <w:t xml:space="preserve"> ragina </w:t>
            </w:r>
            <w:r>
              <w:rPr>
                <w:b/>
                <w:i/>
              </w:rPr>
              <w:t>abi šalis</w:t>
            </w:r>
            <w:r>
              <w:t xml:space="preserve"> nedelsiant pasirašyti visapusišką taikos susitarimą; </w:t>
            </w:r>
            <w:r>
              <w:rPr>
                <w:b/>
                <w:i/>
              </w:rPr>
              <w:t>ragina Azerbaidžaną dėti nuoširdžias pastangas siekiant šių tikslų; dar kartą patvirtina, kad remia tiek Armėnijos, tiek Azerbaidžano suverenitetą ir teritorinį vientisumą, taip pat tvirtai pritaria tam, kad jų santykių normalizavimas būtų grindžiamas abipusio teritorinio vientisumo ir sienų neliečiamumo pripažinimo principu pagal 1991 m. Almatos deklaraciją; pakartoja savo reikalavimą išvesti Azerbaidžano pajėgas iš visos suverenios Armėnijos teritorijos;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166</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r>
              <w:rPr>
                <w:b/>
                <w:i/>
              </w:rPr>
              <w:t xml:space="preserve"> smerkia Azerbaidžaną dėl nuolatinių pastangų pakenkti galimybei regione pasiekti taiką ir tebesitęsiančių grasinimų Armėnijai; ragina ES ir jos valstybes nares neteikti jokios saugumo, techninės ar finansinės paramos Azerbaidžanui, be kita ko, taikant įvairias ES priemones, kuria </w:t>
            </w:r>
            <w:r>
              <w:rPr>
                <w:b/>
                <w:i/>
              </w:rPr>
              <w:lastRenderedPageBreak/>
              <w:t>galėtų būti prisidedama prie Azerbaidžano puolimo pajėgumų didinimo arba keliamas pavojus Armėnijos saugumui, teritoriniam vientisumui ir suverenitetui; palankiai vertina reguliarius susitikimus, rengiamus laikantis Armėnijos ir ES dialogo politikos ir saugumo klausimais formato, kurie yra dar vienas svarbus šalių bendradarbiavimo gynybos ir saugumo srityse etapas;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167</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visapusiškai remia armėnų tautybės žmones ir Rytų krikščionis regione, kurie yra Azerbaidžano ekspansinių užmojų taikinys; primena, kad Azerbaidžanas nuolat akivaizdžiai kišasi į Prancūzijos vidaus reikalus, ypač Naujojoje Kaledonijoje ir Martinikoje, siekdamas pakenkti pilietinei taikai ir skatinti sukilimus;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168</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atsižvelgdamas į tai primena savo poziciją, kad bet kokiems ES ir Azerbaidžano partnerystės susitarimams, įskaitant energetikos srityje, būtų sudarytos griežtos sąlygos dėl tarptautinės teisės, pagrindinių teisių ir tarptautinių įsipareigojimų laikymosi, ypač dėl to, kad Azerbaidžanas darytų didelę pažangą siekdamas visapusiško ir tvaraus taikos susitarimo su Armėnija;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169</w:t>
      </w:r>
      <w:r>
        <w:rPr>
          <w:rStyle w:val="HideTWBExt"/>
        </w:rPr>
        <w:t>&lt;/NumAm&gt;</w:t>
      </w:r>
    </w:p>
    <w:p w:rsidR="002131D7" w:rsidRPr="00252254" w:rsidRDefault="002131D7" w:rsidP="002131D7">
      <w:pPr>
        <w:pStyle w:val="NormalBold"/>
      </w:pPr>
      <w:r>
        <w:rPr>
          <w:rStyle w:val="HideTWBExt"/>
          <w:b w:val="0"/>
        </w:rPr>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smerkia bet kokią karinę agresiją, jėgos naudojimą ar hibridines grėsmes prieš Armėniją, taip pat užsienio kišimąsi ir bandymus destabilizuoti politinę padėtį Armėnijoje; be to, palankiai vertina sprendimą patvirtinti pirmąją paramos priemonę pagal Europos taikos priemonę Armėnijos ginkluotosioms pajėgoms paremti;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170</w:t>
      </w:r>
      <w:r>
        <w:rPr>
          <w:rStyle w:val="HideTWBExt"/>
        </w:rPr>
        <w:t>&lt;/NumAm&gt;</w:t>
      </w:r>
    </w:p>
    <w:p w:rsidR="002131D7" w:rsidRPr="00252254" w:rsidRDefault="002131D7" w:rsidP="002131D7">
      <w:pPr>
        <w:pStyle w:val="NormalBold"/>
      </w:pPr>
      <w:r>
        <w:rPr>
          <w:rStyle w:val="HideTWBExt"/>
          <w:b w:val="0"/>
        </w:rPr>
        <w:lastRenderedPageBreak/>
        <w:t>&lt;RepeatBlock-By&gt;&lt;Members&gt;</w:t>
      </w:r>
      <w:r>
        <w:t>Γεάδης Γεάδη, Εμμανουήλ Φράγκος, Fernand Kartheiser, Charlie Weimers, Νικόλαος Αναδιώτης</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siekdamas normalizuoti santykius ragina Azerbaidžaną leisti Kalnų Karabacho pabėgėliams grįžti į savo namus ir išvesti savo karines pajėgas iš suverenios Armėnijos teritorijos;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171</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w:t>
            </w:r>
            <w:r>
              <w:rPr>
                <w:b/>
                <w:i/>
              </w:rPr>
              <w:t xml:space="preserve">ir sąžiningą </w:t>
            </w:r>
            <w:r>
              <w:t>taikos susitarimą;</w:t>
            </w:r>
            <w:r>
              <w:rPr>
                <w:b/>
                <w:i/>
              </w:rPr>
              <w:t> primygtinai ragina išvesti Azerbaidžano pajėgas iš tarptautiniu mastu pripažintos suverenios Armėnijos teritorijos ir išlaisvinti likusius Azerbaidžano laikomus armėnų įkaitus;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172</w:t>
      </w:r>
      <w:r>
        <w:rPr>
          <w:rStyle w:val="HideTWBExt"/>
        </w:rPr>
        <w:t>&lt;/NumAm&gt;</w:t>
      </w:r>
    </w:p>
    <w:p w:rsidR="002131D7" w:rsidRPr="00252254" w:rsidRDefault="002131D7" w:rsidP="002131D7">
      <w:pPr>
        <w:pStyle w:val="NormalBold"/>
      </w:pPr>
      <w:r>
        <w:rPr>
          <w:rStyle w:val="HideTWBExt"/>
          <w:b w:val="0"/>
        </w:rPr>
        <w:t>&lt;RepeatBlock-By&gt;&lt;Members&gt;</w:t>
      </w:r>
      <w:r>
        <w:t>Thijs Reuten, Nacho Sánchez Amor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ir primygtinai ragina Azerbaidžano valdžios institucijas išvesti pajėgas iš visų suverenios Armėnijos teritorijos dalių bei išlaisvinti likusius 23 armėnų įkaitus;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173</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juos nedelsiant pasirašyti visapusišką taikos susitarimą; </w:t>
            </w:r>
            <w:r>
              <w:rPr>
                <w:b/>
                <w:i/>
              </w:rPr>
              <w:t>reikalauja, kad Azerbaidžanas gerbtų Armėnijos teritorinį vientisumą; reikalauja, kad Azerbaidžanas paleistų savo politinius kalinius;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174</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w:t>
            </w:r>
            <w:r>
              <w:rPr>
                <w:b/>
                <w:i/>
              </w:rPr>
              <w:t>juos nedelsiant pasirašyti visapusišką</w:t>
            </w:r>
            <w:r>
              <w:t xml:space="preserve"> taikos </w:t>
            </w:r>
            <w:r>
              <w:rPr>
                <w:b/>
                <w:i/>
              </w:rPr>
              <w:t>susitarimą</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Armėnija ir Azerbaidžanas deda pastangas normalizuoti savo santykius; ragina </w:t>
            </w:r>
            <w:r>
              <w:rPr>
                <w:b/>
                <w:i/>
              </w:rPr>
              <w:t>tęsti derybas dėl visapusiško</w:t>
            </w:r>
            <w:r>
              <w:t xml:space="preserve"> taikos </w:t>
            </w:r>
            <w:r>
              <w:rPr>
                <w:b/>
                <w:i/>
              </w:rPr>
              <w:t xml:space="preserve">susitarimo ir į tokias derybas plačiu mastu </w:t>
            </w:r>
            <w:r>
              <w:rPr>
                <w:b/>
                <w:i/>
              </w:rPr>
              <w:lastRenderedPageBreak/>
              <w:t>įtraukti visą pilietinę visuomenę</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175</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nedelsiant pasirašyti visapusišką taikos susitarimą;</w:t>
            </w:r>
          </w:p>
        </w:tc>
        <w:tc>
          <w:tcPr>
            <w:tcW w:w="4876" w:type="dxa"/>
            <w:tcBorders>
              <w:top w:val="nil"/>
              <w:left w:val="nil"/>
              <w:bottom w:val="nil"/>
              <w:right w:val="nil"/>
            </w:tcBorders>
          </w:tcPr>
          <w:p w:rsidR="002131D7" w:rsidRPr="00252254" w:rsidRDefault="002131D7" w:rsidP="00B46628">
            <w:pPr>
              <w:pStyle w:val="Normal6a"/>
            </w:pPr>
            <w:r>
              <w:t>–</w:t>
            </w:r>
            <w:r>
              <w:tab/>
              <w:t>Armėnija ir Azerbaidžanas deda pastangas normalizuoti savo santykius; ragina juos pasirašyti visapusišką taikos susitarimą;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176</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apgailestauja dėl to, kad prieš metus buvo užbaigtas Kalnų Karabacho etninis valymas, dėl kurio iš protėvių žemių buvo priverstinai iškelta ne mažiau kaip 140 000 armėnų; smerkia Turkijos teikiamą karinę paramą Azerbaidžanui; atkreipia dėmesį į tai, kad Azerbaidžano išpuolis negali likti be atsako, ir ragina taikyti sankcijas Azerbaidžano valdžios institucijoms, atsakingoms už šį etninį valymą; ragina sustabdyti Susitarimo memorandumo dėl energetikos galiojimą; ragina sustabdyti derybas dėl naujos partnerystės su Azerbaidžanu, atsižvelgiant į nepriimtiną žmogaus teisių padėtį šalyje;</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177</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Europos Sąjungos civilinės misija Armėnijoje (EUMA) įgyvendino veiksmus pagal bendrą saugumo ir gynybos politiką, kuriais toliau prisidedama prie saugumo regione didinimo stipriai sumažinant incidentų skaičių nuo konfliktų nukentėjusiose zonose ir pasienio zonose, taip pat sumažinant grėsmės gyventojams tose zonose lygį; palankiai vertina tai, kad Armėnija remia EUMA veiklą jos teritorijoje; giria Tarybą už sprendimą padidinti dislokuotų stebėtojų skaičių, taip pat misijos pajėgumus bei pratęsti jos veiklos laikotarpį ir ragina toliau plėsti veiklą bei dalyvavimą regione;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178</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ES ir jos valstybės narės išliko vienos didžiausių Palestinos Administracijos ir Jungtinių Tautų pagalbos ir darbų agentūros Palestinos pabėgėliams Artimuosiuose Rytuose (UNRWA) rėmėjų;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179</w:t>
      </w:r>
      <w:r>
        <w:rPr>
          <w:rStyle w:val="HideTWBExt"/>
        </w:rPr>
        <w:t>&lt;/NumAm&gt;</w:t>
      </w:r>
    </w:p>
    <w:p w:rsidR="002131D7" w:rsidRPr="00252254" w:rsidRDefault="002131D7" w:rsidP="002131D7">
      <w:pPr>
        <w:pStyle w:val="NormalBold"/>
      </w:pPr>
      <w:r>
        <w:rPr>
          <w:rStyle w:val="HideTWBExt"/>
          <w:b w:val="0"/>
        </w:rPr>
        <w:t>&lt;RepeatBlock-By&gt;&lt;Members&gt;</w:t>
      </w:r>
      <w:r>
        <w:t>Nacho Sánchez Amor,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Tarptautinio baudžiamojo teismo (TBT) prokuroras teismo ikiteisminio tyrimo kolegijai pateikė prašymą išduoti arešto orderį dėl karo nusikaltimų „Hamas“ pareigūnams, Izraelio ministrui pirmininkui ir gynybos ministrui;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180</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vyksta reguliarūs susitikimai, rengiami laikantis Armėnijos ir ES dialogo politikos ir saugumo klausimais formato, ir ES ir Armėnijos partnerystės tarybos posėdžiai; taip pat palankiai vertina tai, kad patvirtinta pirmoji paramos priemonė pagal Europos taikos priemonę Armėnijos ginkluotosioms pajėgoms remti ir kad kelios valstybės narės teikia karinę paramą Armėnijai;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181</w:t>
      </w:r>
      <w:r>
        <w:rPr>
          <w:rStyle w:val="HideTWBExt"/>
        </w:rPr>
        <w:t>&lt;/NumAm&gt;</w:t>
      </w:r>
    </w:p>
    <w:p w:rsidR="002131D7" w:rsidRPr="00252254" w:rsidRDefault="002131D7" w:rsidP="002131D7">
      <w:pPr>
        <w:pStyle w:val="NormalBold"/>
      </w:pPr>
      <w:r>
        <w:rPr>
          <w:rStyle w:val="HideTWBExt"/>
          <w:b w:val="0"/>
        </w:rPr>
        <w:t>&lt;RepeatBlock-By&gt;&lt;Members&gt;</w:t>
      </w:r>
      <w:r>
        <w:t>Nacho Sánchez Amor,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nagrinėjama Tarptautinio Teisingumo Teismo byla Nr. 192 dėl Konvencijos dėl kelio užkirtimo genocido nusikaltimui Gazos Ruože ir baudimo už jį taikymo (Pietų Afrika prieš Izraelį);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182</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ragina Komisiją ir Tarybą neteikti jokios karinės, techninės ar ekonominės paramos Azerbaidžanui;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183</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EIVT tęsia darbą kovos su užsienio vykdomu manipuliavimu informacija ir kišimusi srityje (FIMI), pasitelkdama ES FIMI priemonių rinkinį, steigdama strateginės komunikacijos darbo grupes, glaudžiai bendradarbiaudama su valstybėmis narėmis, tarptautiniais partneriais, pilietine visuomene ir kitais atitinkamais </w:t>
            </w:r>
            <w:r>
              <w:rPr>
                <w:b/>
                <w:i/>
              </w:rPr>
              <w:lastRenderedPageBreak/>
              <w:t>subjektais;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184</w:t>
      </w:r>
      <w:r>
        <w:rPr>
          <w:rStyle w:val="HideTWBExt"/>
        </w:rPr>
        <w:t>&lt;/NumAm&gt;</w:t>
      </w:r>
    </w:p>
    <w:p w:rsidR="002131D7" w:rsidRPr="00252254" w:rsidRDefault="002131D7" w:rsidP="002131D7">
      <w:pPr>
        <w:pStyle w:val="NormalBold"/>
      </w:pPr>
      <w:r>
        <w:rPr>
          <w:rStyle w:val="HideTWBExt"/>
          <w:b w:val="0"/>
        </w:rPr>
        <w:t>&lt;RepeatBlock-By&gt;&lt;Members&gt;</w:t>
      </w:r>
      <w:r>
        <w:t>Nacho Sánchez Amor,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Tarptautinis Teisingumo Teismas paskelbė patariamąją nuomonę dėl teisinių pasekmių, susijusių su Izraelio politika ir praktika Okupuotojoje Palestinos Teritorijoje, įskaitant Rytų Jeruzalę, ir neteisėtu Izraelio nuolatiniu buvimu Okupuotojoje Palestinos Teritorijoje;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185</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2 dalies 8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ragina Komisiją teikti paramą Armėnijai išminavimo tikslais;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186</w:t>
      </w:r>
      <w:r>
        <w:rPr>
          <w:rStyle w:val="HideTWBExt"/>
        </w:rPr>
        <w:t>&lt;/NumAm&gt;</w:t>
      </w:r>
    </w:p>
    <w:p w:rsidR="002131D7" w:rsidRPr="00252254" w:rsidRDefault="002131D7" w:rsidP="002131D7">
      <w:pPr>
        <w:pStyle w:val="NormalBold"/>
      </w:pPr>
      <w:r>
        <w:rPr>
          <w:rStyle w:val="HideTWBExt"/>
          <w:b w:val="0"/>
        </w:rPr>
        <w:t>&lt;RepeatBlock-By&gt;&lt;Members&gt;</w:t>
      </w:r>
      <w:r>
        <w:t>Nacho Sánchez Amor,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2 dalies 8 d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Jungtinių Tautų nepriklausoma tarptautinė tyrimų komisija dėl Okupuotos Palestinos Teritorijos, įskaitant Rytų Jeruzalę, ir Izraelio paskelbė ataskaitas, taip pat pateikė teisinė analizę ir rekomendacijas dėl Tarptautinio Teisingumo Teismo nuomonės įgyvendinimo;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187</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3.</w:t>
            </w:r>
            <w:r>
              <w:tab/>
            </w:r>
            <w:r>
              <w:rPr>
                <w:b/>
                <w:i/>
              </w:rPr>
              <w:t>ypač</w:t>
            </w:r>
            <w:r>
              <w:t xml:space="preserve"> smerkia:</w:t>
            </w:r>
          </w:p>
        </w:tc>
        <w:tc>
          <w:tcPr>
            <w:tcW w:w="4876" w:type="dxa"/>
            <w:tcBorders>
              <w:top w:val="nil"/>
              <w:left w:val="nil"/>
              <w:bottom w:val="nil"/>
              <w:right w:val="nil"/>
            </w:tcBorders>
          </w:tcPr>
          <w:p w:rsidR="002131D7" w:rsidRPr="00252254" w:rsidRDefault="002131D7" w:rsidP="00B46628">
            <w:pPr>
              <w:pStyle w:val="Normal6a"/>
            </w:pPr>
            <w:r>
              <w:t>3.</w:t>
            </w:r>
            <w:r>
              <w:tab/>
            </w:r>
            <w:r>
              <w:rPr>
                <w:b/>
                <w:i/>
              </w:rPr>
              <w:t>kuo griežčiausiai</w:t>
            </w:r>
            <w:r>
              <w:t xml:space="preserve"> smerkia: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188</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3.</w:t>
            </w:r>
            <w:r>
              <w:tab/>
            </w:r>
            <w:r>
              <w:rPr>
                <w:b/>
                <w:i/>
              </w:rPr>
              <w:t>ypač smerkia</w:t>
            </w:r>
            <w:r>
              <w:t>:</w:t>
            </w:r>
          </w:p>
        </w:tc>
        <w:tc>
          <w:tcPr>
            <w:tcW w:w="4876" w:type="dxa"/>
            <w:tcBorders>
              <w:top w:val="nil"/>
              <w:left w:val="nil"/>
              <w:bottom w:val="nil"/>
              <w:right w:val="nil"/>
            </w:tcBorders>
          </w:tcPr>
          <w:p w:rsidR="002131D7" w:rsidRPr="00252254" w:rsidRDefault="002131D7" w:rsidP="00B46628">
            <w:pPr>
              <w:pStyle w:val="Normal6a"/>
            </w:pPr>
            <w:r>
              <w:t>3.</w:t>
            </w:r>
            <w:r>
              <w:tab/>
            </w:r>
            <w:r>
              <w:rPr>
                <w:b/>
                <w:i/>
              </w:rPr>
              <w:t>visų pirma atkreipia dėmesį į</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189</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3.</w:t>
            </w:r>
            <w:r>
              <w:tab/>
            </w:r>
            <w:r>
              <w:rPr>
                <w:b/>
                <w:i/>
              </w:rPr>
              <w:t>ypač smerkia</w:t>
            </w:r>
            <w:r>
              <w:t>:</w:t>
            </w:r>
          </w:p>
        </w:tc>
        <w:tc>
          <w:tcPr>
            <w:tcW w:w="4876" w:type="dxa"/>
            <w:tcBorders>
              <w:top w:val="nil"/>
              <w:left w:val="nil"/>
              <w:bottom w:val="nil"/>
              <w:right w:val="nil"/>
            </w:tcBorders>
          </w:tcPr>
          <w:p w:rsidR="002131D7" w:rsidRPr="00252254" w:rsidRDefault="002131D7" w:rsidP="00B46628">
            <w:pPr>
              <w:pStyle w:val="Normal6a"/>
            </w:pPr>
            <w:r>
              <w:t>3.</w:t>
            </w:r>
            <w:r>
              <w:tab/>
            </w:r>
            <w:r>
              <w:rPr>
                <w:b/>
                <w:i/>
              </w:rPr>
              <w:t>apgailestaudamas atkreipia dėmesį į</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190</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t xml:space="preserve">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 </w:t>
            </w:r>
            <w:r>
              <w:rPr>
                <w:b/>
                <w:i/>
              </w:rPr>
              <w:t>yra labai susirūpinęs dėl pranešimų apie daugiau kaip 10 000 Šiaurės Korėjos karių Rusijoje; griežtai smerkia Šiaurės Korėjos dalyvavimą Rusijos agresijos kare prieš Ukrainą;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191</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 xml:space="preserve">tebesitęsiantį Rusijos agresijos </w:t>
            </w:r>
            <w:r>
              <w:rPr>
                <w:b/>
                <w:i/>
              </w:rPr>
              <w:lastRenderedPageBreak/>
              <w:t>karą prieš Ukrainą ir vis dažnesnius Rusijos išpuolius prieš civilinius taikinius bei civilinę infrastruktūrą Ukrainoje; reikalauja</w:t>
            </w:r>
            <w:r>
              <w:t xml:space="preserve">, kad </w:t>
            </w:r>
            <w:r>
              <w:rPr>
                <w:b/>
                <w:i/>
              </w:rPr>
              <w:t>Rusija ir jos įgaliotosios pajėgos nutrauktų visus karinius veiksmus ir kad Rusijos vadovybė nedelsdama bei besąlygiškai atitrauktų savo karines pajėgas iš Ukrainos</w:t>
            </w:r>
            <w:r>
              <w:t xml:space="preserve"> ir </w:t>
            </w:r>
            <w:r>
              <w:rPr>
                <w:b/>
                <w:i/>
              </w:rPr>
              <w:t>iš bet kurios kitos šalies, kurios teritorija ar jos dalys yra neteisėtai Rusijos okupuotos</w:t>
            </w:r>
            <w:r>
              <w:t>;</w:t>
            </w:r>
          </w:p>
        </w:tc>
        <w:tc>
          <w:tcPr>
            <w:tcW w:w="4876" w:type="dxa"/>
            <w:tcBorders>
              <w:top w:val="nil"/>
              <w:left w:val="nil"/>
              <w:bottom w:val="nil"/>
              <w:right w:val="nil"/>
            </w:tcBorders>
          </w:tcPr>
          <w:p w:rsidR="002131D7" w:rsidRPr="00252254" w:rsidRDefault="002131D7" w:rsidP="00B46628">
            <w:pPr>
              <w:pStyle w:val="Normal6a"/>
            </w:pPr>
            <w:r>
              <w:lastRenderedPageBreak/>
              <w:t>–</w:t>
            </w:r>
            <w:r>
              <w:tab/>
            </w:r>
            <w:r>
              <w:rPr>
                <w:b/>
                <w:i/>
              </w:rPr>
              <w:t>tai</w:t>
            </w:r>
            <w:r>
              <w:t xml:space="preserve">, kad </w:t>
            </w:r>
            <w:r>
              <w:rPr>
                <w:b/>
                <w:i/>
              </w:rPr>
              <w:t xml:space="preserve">tebesitęsiant karui </w:t>
            </w:r>
            <w:r>
              <w:rPr>
                <w:b/>
                <w:i/>
              </w:rPr>
              <w:lastRenderedPageBreak/>
              <w:t>Ukrainoje reikia laikytis diplomatinio požiūrio sprendžiant konfliktą</w:t>
            </w:r>
            <w:r>
              <w:t xml:space="preserve"> ir </w:t>
            </w:r>
            <w:r>
              <w:rPr>
                <w:b/>
                <w:i/>
              </w:rPr>
              <w:t>primygtinai ragina vesti derybas, kad būtų sumažinta įtampą ir neeskaluojamas karinis susirėmimas</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192</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t xml:space="preserve">tebesitęsiantį Rusijos agresijos karą prieš Ukrainą ir vis dažnesnius Rusijos išpuolius prieš civilinius taikinius ir civilinę bei ypatingos svarbos infrastruktūrą Ukrainoje; reikalauja, kad Rusija ir jos įgaliotosios pajėgos nutrauktų visus karinius veiksmus ir Rusija nedelsdama bei besąlygiškai atitrauktų savo karines pajėgas ir įrangą iš Ukrainos ir iš bet kurios kitos šalies, kurios teritorija ar jos dalys yra neteisėtai Rusijos okupuotos; </w:t>
            </w:r>
            <w:r>
              <w:rPr>
                <w:b/>
                <w:i/>
              </w:rPr>
              <w:t>smerkia bet kokius hibridinius išpuolius, kuriuos Rusija vykdo Ukrainoje, ir griežtai smerkia Rusijos propagandos apie jos karą Ukrainoje skleidimą;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193</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tebesitęsiantį Rusijos agresijos karą prieš Ukrainą ir vis dažnesnius Rusijos</w:t>
            </w:r>
            <w:r>
              <w:t xml:space="preserve"> išpuolius prieš civilinius taikinius bei civilinę infrastruktūrą</w:t>
            </w:r>
            <w:r>
              <w:rPr>
                <w:b/>
                <w:i/>
              </w:rPr>
              <w:t xml:space="preserve"> Ukrainoje; reikalauja</w:t>
            </w:r>
            <w:r>
              <w:t xml:space="preserve">, kad </w:t>
            </w:r>
            <w:r>
              <w:rPr>
                <w:b/>
                <w:i/>
              </w:rPr>
              <w:t>Rusija ir jos įgaliotosios pajėgos nutrauktų visus karinius veiksmus</w:t>
            </w:r>
            <w:r>
              <w:t xml:space="preserve"> ir </w:t>
            </w:r>
            <w:r>
              <w:rPr>
                <w:b/>
                <w:i/>
              </w:rPr>
              <w:t>kad Rusijos vadovybė nedelsdama</w:t>
            </w:r>
            <w:r>
              <w:t xml:space="preserve"> bei </w:t>
            </w:r>
            <w:r>
              <w:rPr>
                <w:b/>
                <w:i/>
              </w:rPr>
              <w:t>besąlygiškai atitrauktų savo karines pajėgas iš Ukrainos ir iš bet kurios kitos šalies, kurios teritorija ar jos dalys yra neteisėtai Rusijos okupuotos</w:t>
            </w:r>
            <w:r>
              <w:t>;</w:t>
            </w:r>
          </w:p>
        </w:tc>
        <w:tc>
          <w:tcPr>
            <w:tcW w:w="4876" w:type="dxa"/>
            <w:tcBorders>
              <w:top w:val="nil"/>
              <w:left w:val="nil"/>
              <w:bottom w:val="nil"/>
              <w:right w:val="nil"/>
            </w:tcBorders>
          </w:tcPr>
          <w:p w:rsidR="002131D7" w:rsidRPr="00252254" w:rsidRDefault="002131D7" w:rsidP="00B46628">
            <w:pPr>
              <w:pStyle w:val="Normal6a"/>
            </w:pPr>
            <w:r>
              <w:t>–</w:t>
            </w:r>
            <w:r>
              <w:tab/>
            </w:r>
            <w:r>
              <w:rPr>
                <w:b/>
                <w:i/>
              </w:rPr>
              <w:t>kare Ukrainoje vykdomus</w:t>
            </w:r>
            <w:r>
              <w:t xml:space="preserve"> išpuolius prieš civilinius taikinius bei civilinę infrastruktūrą</w:t>
            </w:r>
            <w:r>
              <w:rPr>
                <w:b/>
                <w:i/>
              </w:rPr>
              <w:t>, taip pat tai</w:t>
            </w:r>
            <w:r>
              <w:t xml:space="preserve">, kad </w:t>
            </w:r>
            <w:r>
              <w:rPr>
                <w:b/>
                <w:i/>
              </w:rPr>
              <w:t>trūksta iniciatyvų, kurių tikslas – padėti užtikrinti taiką Ukrainoje derybų</w:t>
            </w:r>
            <w:r>
              <w:t xml:space="preserve"> ir </w:t>
            </w:r>
            <w:r>
              <w:rPr>
                <w:b/>
                <w:i/>
              </w:rPr>
              <w:t>diplomatijos būd</w:t>
            </w:r>
            <w:r>
              <w:rPr>
                <w:b/>
                <w:bCs/>
                <w:i/>
                <w:iCs/>
              </w:rPr>
              <w:t>u bei pad</w:t>
            </w:r>
            <w:r>
              <w:rPr>
                <w:b/>
                <w:i/>
              </w:rPr>
              <w:t>ėti jos sunkumų nukamuotiems piliečiams atstatyti šalį po daugelį metų trukusio karo</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194</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tebesitęsiantį Rusijos agresijos karą prieš Ukrainą</w:t>
            </w:r>
            <w:r>
              <w:t xml:space="preserve"> ir vis dažnesnius </w:t>
            </w:r>
            <w:r>
              <w:rPr>
                <w:b/>
                <w:i/>
              </w:rPr>
              <w:t>Rusijos</w:t>
            </w:r>
            <w:r>
              <w:t xml:space="preserve"> išpuolius prieš civilinius taikinius bei civilinę infrastruktūrą</w:t>
            </w:r>
            <w:r>
              <w:rPr>
                <w:b/>
                <w:i/>
              </w:rPr>
              <w:t xml:space="preserve"> Ukrainoje</w:t>
            </w:r>
            <w:r>
              <w:t xml:space="preserve">; reikalauja, kad </w:t>
            </w:r>
            <w:r>
              <w:rPr>
                <w:b/>
                <w:i/>
              </w:rPr>
              <w:t>Rusija</w:t>
            </w:r>
            <w:r>
              <w:t xml:space="preserve"> ir </w:t>
            </w:r>
            <w:r>
              <w:rPr>
                <w:b/>
                <w:i/>
              </w:rPr>
              <w:t>jos</w:t>
            </w:r>
            <w:r>
              <w:t xml:space="preserve"> įgaliotosios pajėgos nutrauktų visus karinius veiksmus </w:t>
            </w:r>
            <w:r>
              <w:rPr>
                <w:b/>
                <w:i/>
              </w:rPr>
              <w:t>ir kad Rusijos vadovybė nedelsdama bei besąlygiškai atitrauktų savo karines pajėgas iš Ukrainos ir iš bet kurios kitos šalies, kurios teritorija ar jos dalys yra neteisėtai Rusijos okupuotos</w:t>
            </w:r>
            <w:r>
              <w:t>;</w:t>
            </w:r>
          </w:p>
        </w:tc>
        <w:tc>
          <w:tcPr>
            <w:tcW w:w="4876" w:type="dxa"/>
            <w:tcBorders>
              <w:top w:val="nil"/>
              <w:left w:val="nil"/>
              <w:bottom w:val="nil"/>
              <w:right w:val="nil"/>
            </w:tcBorders>
          </w:tcPr>
          <w:p w:rsidR="002131D7" w:rsidRPr="00252254" w:rsidRDefault="002131D7" w:rsidP="00B46628">
            <w:pPr>
              <w:pStyle w:val="Normal6a"/>
            </w:pPr>
            <w:r>
              <w:t>–</w:t>
            </w:r>
            <w:r>
              <w:tab/>
            </w:r>
            <w:r>
              <w:rPr>
                <w:b/>
                <w:i/>
              </w:rPr>
              <w:t>tebesitęsiančius karo veiksmus konflikte Ukrainoje</w:t>
            </w:r>
            <w:r>
              <w:t xml:space="preserve"> ir vis dažnesnius </w:t>
            </w:r>
            <w:r>
              <w:rPr>
                <w:b/>
                <w:i/>
              </w:rPr>
              <w:t>abiejų konflikto šalių</w:t>
            </w:r>
            <w:r>
              <w:t xml:space="preserve"> išpuolius prieš civilinius taikinius bei civilinę infrastruktūrą; reikalauja, kad </w:t>
            </w:r>
            <w:r>
              <w:rPr>
                <w:b/>
                <w:i/>
              </w:rPr>
              <w:t>abi konflikto šalys</w:t>
            </w:r>
            <w:r>
              <w:t xml:space="preserve"> ir </w:t>
            </w:r>
            <w:r>
              <w:rPr>
                <w:b/>
                <w:i/>
              </w:rPr>
              <w:t>jų</w:t>
            </w:r>
            <w:r>
              <w:t xml:space="preserve"> įgaliotosios pajėgos nutrauktų visus karinius veiksmus </w:t>
            </w:r>
            <w:r>
              <w:rPr>
                <w:b/>
                <w:i/>
              </w:rPr>
              <w:t>siekiant nedelsiant pradėti diplomatinį konflikto sprendimo procesą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195</w:t>
      </w:r>
      <w:r>
        <w:rPr>
          <w:rStyle w:val="HideTWBExt"/>
        </w:rPr>
        <w:t>&lt;/NumAm&gt;</w:t>
      </w:r>
    </w:p>
    <w:p w:rsidR="002131D7" w:rsidRPr="00252254" w:rsidRDefault="002131D7" w:rsidP="002131D7">
      <w:pPr>
        <w:pStyle w:val="NormalBold"/>
      </w:pPr>
      <w:r>
        <w:rPr>
          <w:rStyle w:val="HideTWBExt"/>
          <w:b w:val="0"/>
        </w:rPr>
        <w:t>&lt;RepeatBlock-By&gt;&lt;Members&gt;</w:t>
      </w:r>
      <w:r>
        <w:t>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t xml:space="preserve">tebesitęsiantį Rusijos agresijos karą prieš Ukrainą ir vis dažnesnius Rusijos išpuolius prieš civilinius taikinius bei civilinę infrastruktūrą Ukrainoje; reikalauja, kad Rusija ir jos įgaliotosios pajėgos </w:t>
            </w:r>
            <w:r>
              <w:rPr>
                <w:b/>
                <w:bCs/>
                <w:i/>
                <w:iCs/>
              </w:rPr>
              <w:t>gerbtų Ukrainos nacionalinį suverenitetą ir</w:t>
            </w:r>
            <w:r>
              <w:rPr>
                <w:i/>
                <w:iCs/>
              </w:rPr>
              <w:t xml:space="preserve"> </w:t>
            </w:r>
            <w:r>
              <w:t>nutrauktų visus karinius veiksmus ir kad Rusijos vadovybė nedelsdama bei besąlygiškai atitrauktų savo karines pajėgas iš Ukrainos ir iš bet kurios kitos šalies, kurios teritorija ar jos dalys yra neteisėtai Rusijos okupuotos;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196</w:t>
      </w:r>
      <w:r>
        <w:rPr>
          <w:rStyle w:val="HideTWBExt"/>
        </w:rPr>
        <w:t>&lt;/NumAm&gt;</w:t>
      </w:r>
    </w:p>
    <w:p w:rsidR="002131D7" w:rsidRPr="00252254" w:rsidRDefault="002131D7" w:rsidP="002131D7">
      <w:pPr>
        <w:pStyle w:val="NormalBold"/>
      </w:pPr>
      <w:r>
        <w:rPr>
          <w:rStyle w:val="HideTWBExt"/>
          <w:b w:val="0"/>
        </w:rPr>
        <w:t>&lt;RepeatBlock-By&gt;&lt;Members&gt;</w:t>
      </w:r>
      <w:r>
        <w:t>Mariusz Kamiński,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r>
            <w:r>
              <w:rPr>
                <w:b/>
                <w:i/>
              </w:rPr>
              <w:t>naują Rusijos imperializmo bangą, taip pat</w:t>
            </w:r>
            <w:r>
              <w:t xml:space="preserve"> 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197</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t xml:space="preserve">tebesitęsiantį </w:t>
            </w:r>
            <w:r>
              <w:rPr>
                <w:b/>
                <w:i/>
              </w:rPr>
              <w:t xml:space="preserve">neteisėtą ir nepateisinamą </w:t>
            </w:r>
            <w:r>
              <w:t>Rusijos agresijos karą prieš Ukrainą ir vis dažnesnius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198</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tebesitęsiantį Rusijos agresijos karą prieš Ukrainą ir </w:t>
            </w:r>
            <w:r>
              <w:rPr>
                <w:b/>
                <w:i/>
              </w:rPr>
              <w:t xml:space="preserve">vis dažnesnius </w:t>
            </w:r>
            <w:r>
              <w:t>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c>
          <w:tcPr>
            <w:tcW w:w="4876" w:type="dxa"/>
            <w:tcBorders>
              <w:top w:val="nil"/>
              <w:left w:val="nil"/>
              <w:bottom w:val="nil"/>
              <w:right w:val="nil"/>
            </w:tcBorders>
          </w:tcPr>
          <w:p w:rsidR="002131D7" w:rsidRPr="00252254" w:rsidRDefault="002131D7" w:rsidP="00B46628">
            <w:pPr>
              <w:pStyle w:val="Normal6a"/>
            </w:pPr>
            <w:r>
              <w:t>–</w:t>
            </w:r>
            <w:r>
              <w:tab/>
              <w:t>tebesitęsiantį Rusijos agresijos karą prieš Ukrainą ir Rusijos išpuolius prieš civilinius taikinius bei civilinę infrastruktūrą Ukrainoje; reikalauja, kad Rusija ir jos įgaliotosios pajėgos nutrauktų visus karinius veiksmus ir kad Rusijos vadovybė nedelsdama bei besąlygiškai atitrauktų savo karines pajėgas iš Ukrainos ir iš bet kurios kitos šalies, kurios teritorija ar jos dalys yra neteisėtai Rusijos okupuotos;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199</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Αφροδίτη Λατινοπούλου, Fernand Kartheiser, Charlie Weimers, Νικόλαος Αναδιώτης, Nicolas Bay</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nepriimtinai tebesitęsiančią 37 proc. Kipro Respublikos teritorijos, kuri pagal Stojimo sutarties 10 protokolą yra Europos teritorija, okupaciją; reikalauja, kad Turkija pripažintų Kipro Respubliką, nutrauktų visus karinius veiksmus ir nedelsdama bei besąlygiškai išvestų savo karines pajėgas iš Kipro, kurio teritorija ar jos dalys yra neteisėtai okupuotos Turkijos;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200</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201</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neteisėtą Aliaksandro Lukašenkos režimą už tai, kad jis, siekdamas išlaikyti Baltarusiją savo gniaužtuose, nacionalinį </w:t>
            </w:r>
            <w:r>
              <w:rPr>
                <w:b/>
                <w:i/>
              </w:rPr>
              <w:lastRenderedPageBreak/>
              <w:t>suverenitetą iš esmės atidavė Kremliui;</w:t>
            </w:r>
          </w:p>
        </w:tc>
        <w:tc>
          <w:tcPr>
            <w:tcW w:w="4876" w:type="dxa"/>
            <w:tcBorders>
              <w:top w:val="nil"/>
              <w:left w:val="nil"/>
              <w:bottom w:val="nil"/>
              <w:right w:val="nil"/>
            </w:tcBorders>
          </w:tcPr>
          <w:p w:rsidR="002131D7" w:rsidRPr="00252254" w:rsidRDefault="002131D7" w:rsidP="00B46628">
            <w:pPr>
              <w:pStyle w:val="Normal6a"/>
            </w:pPr>
            <w:r>
              <w:rPr>
                <w:b/>
                <w:i/>
              </w:rPr>
              <w:lastRenderedPageBreak/>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202</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suverenitetą iš esmės atidavė Kremliui ir tai, kad jis aktyviai remia Rusijos agresijos karą prieš Ukrainą; </w:t>
            </w:r>
            <w:r>
              <w:rPr>
                <w:b/>
                <w:i/>
              </w:rPr>
              <w:t>pakartoja savo raginimą išplėsti ES sankcijas Baltarusijai, jai taikant tokias pačias sankcijas kaip Rusijai; ragina ES ir valstybes nares toliau remti Baltarusijos demokratines jėgas, politinius kalinius ir jų šeimas; atsižvelgdamas į represinę aplinką Baltarusijoje, nemano, kad paskelbti prezidento rinkimai, kurie turi įvykti 2025 m. sausio mėn., bus laisvi ar sąžiningi;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203</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suverenitetą iš esmės atidavė Kremliui; </w:t>
            </w:r>
            <w:r>
              <w:rPr>
                <w:b/>
                <w:i/>
              </w:rPr>
              <w:t xml:space="preserve">pažymi, kad laisva ir demokratinė </w:t>
            </w:r>
            <w:r>
              <w:rPr>
                <w:b/>
                <w:i/>
              </w:rPr>
              <w:lastRenderedPageBreak/>
              <w:t>Baltarusija yra labai svarbi Ukrainos ir ES saugumui; ragina stipriau remti Baltarusijos demokratines jėgas ir siūlo EIVT, Tarybai ir valstybėms narėms toliau dėti pastangas, kad į laisvę būtų paleisti visi politiniai kaliniai Baltarusijoje;</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204</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r>
              <w:rPr>
                <w:b/>
                <w:i/>
              </w:rPr>
              <w:t> Baltarusijos vaidmenį vykdant migracijos instrumentalizavimą, ypač atsižvelgiant į tūkstančių migrantų antplūdį į Lenkiją, šį procesą kontroliuojant Baltarusijai, kuri siekia priversti juos atvykti į Europos Sąjungą;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205</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w:t>
            </w:r>
            <w:r>
              <w:lastRenderedPageBreak/>
              <w:t>suverenitetą iš esmės atidavė Kremliui;</w:t>
            </w:r>
          </w:p>
        </w:tc>
        <w:tc>
          <w:tcPr>
            <w:tcW w:w="4876" w:type="dxa"/>
            <w:tcBorders>
              <w:top w:val="nil"/>
              <w:left w:val="nil"/>
              <w:bottom w:val="nil"/>
              <w:right w:val="nil"/>
            </w:tcBorders>
          </w:tcPr>
          <w:p w:rsidR="002131D7" w:rsidRPr="00252254" w:rsidRDefault="002131D7" w:rsidP="00B46628">
            <w:pPr>
              <w:pStyle w:val="Normal6a"/>
            </w:pPr>
            <w:r>
              <w:lastRenderedPageBreak/>
              <w:t>–</w:t>
            </w:r>
            <w:r>
              <w:tab/>
              <w:t>neteisėtą Aliaksandro Lukašenkos režimą už tai, kad jis, siekdamas išlaikyti Baltarusiją savo gniaužtuose, nacionalinį suverenitetą iš esmės atidavė Kremliui</w:t>
            </w:r>
            <w:r>
              <w:rPr>
                <w:b/>
                <w:i/>
              </w:rPr>
              <w:t xml:space="preserve">, </w:t>
            </w:r>
            <w:r>
              <w:rPr>
                <w:b/>
                <w:i/>
              </w:rPr>
              <w:lastRenderedPageBreak/>
              <w:t>taip pat taikė žiauriais represijas Baltarusijos gyventojams, kad liktų valdžioje, ir naudojo migraciją kaip ginklą prieš ES ir jos valstybes nares</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206</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suverenitetą iš esmės atidavė Kremliui; </w:t>
            </w:r>
            <w:r>
              <w:rPr>
                <w:b/>
                <w:i/>
              </w:rPr>
              <w:t>reiškia paramą Baltarusijos demokratinei opozicijai ir jos lyderei Sviatlanai Cichanouskajai;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207</w:t>
      </w:r>
      <w:r>
        <w:rPr>
          <w:rStyle w:val="HideTWBExt"/>
        </w:rPr>
        <w:t>&lt;/NumAm&gt;</w:t>
      </w:r>
    </w:p>
    <w:p w:rsidR="002131D7" w:rsidRPr="00252254" w:rsidRDefault="002131D7" w:rsidP="002131D7">
      <w:pPr>
        <w:pStyle w:val="NormalBold"/>
      </w:pPr>
      <w:r>
        <w:rPr>
          <w:rStyle w:val="HideTWBExt"/>
          <w:b w:val="0"/>
        </w:rPr>
        <w:t>&lt;RepeatBlock-By&gt;&lt;Members&gt;</w:t>
      </w:r>
      <w:r>
        <w:t>Ana Miguel Pedro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suverenitetą iš esmės atidavė Kremliui; </w:t>
            </w:r>
            <w:r>
              <w:rPr>
                <w:b/>
                <w:i/>
              </w:rPr>
              <w:t>ir leido šalį naudoti kaip Rusijos karinę bazę;</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208</w:t>
      </w:r>
      <w:r>
        <w:rPr>
          <w:rStyle w:val="HideTWBExt"/>
        </w:rPr>
        <w:t>&lt;/NumAm&gt;</w:t>
      </w:r>
    </w:p>
    <w:p w:rsidR="002131D7" w:rsidRPr="00252254" w:rsidRDefault="002131D7" w:rsidP="002131D7">
      <w:pPr>
        <w:pStyle w:val="NormalBold"/>
      </w:pPr>
      <w:r>
        <w:rPr>
          <w:rStyle w:val="HideTWBExt"/>
          <w:b w:val="0"/>
        </w:rPr>
        <w:lastRenderedPageBreak/>
        <w:t>&lt;RepeatBlock-By&gt;&lt;Members&gt;</w:t>
      </w:r>
      <w:r>
        <w:t>Γεάδης Γεάδη, Εμμανουήλ Φράγκος, Charlie Weimers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Aliaksandro Lukašenkos režimą už tai, kad jis, siekdamas išlaikyti Baltarusiją savo gniaužtuose, nacionalinį suverenitetą iš esmės atidavė Kremliui;</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Aliaksandro Lukašenkos režimą už tai, kad jis, siekdamas išlaikyti Baltarusiją savo gniaužtuose, nacionalinį suverenitetą iš esmės atidavė Kremliui; </w:t>
            </w:r>
            <w:r>
              <w:rPr>
                <w:b/>
                <w:i/>
              </w:rPr>
              <w:t>taip pat migracijos instrumentalizavimą;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209</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A. Lukašenkos ir V. Putino vykdomą migracijos instrumentalizavimą, naudojamą kaip hibridinį ginklą prieš ES; reiškia solidarumą su nukentėjusiomis ES valstybėmis narėmis ir ragina Komisiją teikti visą būtiną paramą, be kita ko, įdiegiant stebėjimo įrangą ir statant fizines užtvaras;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210</w:t>
      </w:r>
      <w:r>
        <w:rPr>
          <w:rStyle w:val="HideTWBExt"/>
        </w:rPr>
        <w:t>&lt;/NumAm&gt;</w:t>
      </w:r>
    </w:p>
    <w:p w:rsidR="002131D7" w:rsidRPr="00252254" w:rsidRDefault="002131D7" w:rsidP="002131D7">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Šiaurės Korėjos kišimąsi į Rusijos </w:t>
            </w:r>
            <w:r>
              <w:rPr>
                <w:b/>
                <w:i/>
              </w:rPr>
              <w:lastRenderedPageBreak/>
              <w:t>agresijos karą prieš Ukrainą, nes ji į Rusiją siunčia karinę įrangą ir šaudmenis, taip pat tūkstančius karių mokytis Rusijos rytuose ir prisijungti prie kovos su Ukraina;</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211</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212</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213</w:t>
      </w:r>
      <w:r>
        <w:rPr>
          <w:rStyle w:val="HideTWBExt"/>
        </w:rPr>
        <w:t>&lt;/NumAm&gt;</w:t>
      </w:r>
    </w:p>
    <w:p w:rsidR="002131D7" w:rsidRPr="00252254" w:rsidRDefault="002131D7" w:rsidP="002131D7">
      <w:pPr>
        <w:pStyle w:val="NormalBold"/>
      </w:pPr>
      <w:r>
        <w:rPr>
          <w:rStyle w:val="HideTWBExt"/>
          <w:b w:val="0"/>
        </w:rPr>
        <w:lastRenderedPageBreak/>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214</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t>–</w:t>
            </w:r>
            <w:r>
              <w:tab/>
              <w:t xml:space="preserve">vis dažnesnę piktavališką veiklą, kišimąsi ir hibridinį karą, kuriuos vykdo Rusijos Federacija, jos institucijos ir įgaliotiniai, siekdami pakenkti Moldovos Respublikos demokratiniam stabilumui ir suverenumui ir juos pažeisti; </w:t>
            </w:r>
            <w:r>
              <w:rPr>
                <w:b/>
                <w:i/>
              </w:rPr>
              <w:t>susirūpinęs atkreipia dėmesį į įtariamą Rusijos kišimąsi į rinkimų procesus Gruzijoje ir Moldovoje ir ragina nuodugniai ir skaidriai ištirti šiuos atvejus;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215</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Ilhan Kyuchyuk, Lucia Yar,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r>
              <w:rPr>
                <w:b/>
                <w:i/>
              </w:rPr>
              <w:t>, įskaitant neseniai įvykusius kišimosi į konstitucinį referendumą dėl stojimo į ES ir prezidento rinkimus atvejus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216</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w:t>
            </w:r>
            <w:r>
              <w:rPr>
                <w:b/>
                <w:i/>
              </w:rPr>
              <w:t>, įskaitant užsienio vykdomą manipuliavimą informacija ir kišimąsi,</w:t>
            </w:r>
            <w:r>
              <w:t xml:space="preserve"> ir hibridinį karą, kuriuos vykdo Rusijos Federacija, jos institucijos ir įgaliotiniai, siekdami pakenkti Moldovos Respublikos demokratiniam stabilumui ir suverenumui ir juos pažeisti;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217</w:t>
      </w:r>
      <w:r>
        <w:rPr>
          <w:rStyle w:val="HideTWBExt"/>
        </w:rPr>
        <w:t>&lt;/NumAm&gt;</w:t>
      </w:r>
    </w:p>
    <w:p w:rsidR="002131D7" w:rsidRPr="00252254" w:rsidRDefault="002131D7" w:rsidP="002131D7">
      <w:pPr>
        <w:pStyle w:val="NormalBold"/>
      </w:pPr>
      <w:r>
        <w:rPr>
          <w:rStyle w:val="HideTWBExt"/>
          <w:b w:val="0"/>
        </w:rPr>
        <w:t>&lt;RepeatBlock-By&gt;&lt;Members&gt;</w:t>
      </w:r>
      <w:r>
        <w:t>Antonio López-Istúriz White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dažnesnę piktavališką veiklą, kišimąsi ir hibridinį karą, kuriuos vykdo Rusijos Federacija, jos institucijos ir įgaliotiniai, siekdami pakenkti Moldovos </w:t>
            </w:r>
            <w:r>
              <w:lastRenderedPageBreak/>
              <w:t>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vis dažnesnę piktavališką veiklą, kišimąsi ir hibridinį karą, kuriuos vykdo Rusijos Federacija, jos institucijos ir įgaliotiniai, siekdami pakenkti Moldovos </w:t>
            </w:r>
            <w:r>
              <w:lastRenderedPageBreak/>
              <w:t xml:space="preserve">Respublikos </w:t>
            </w:r>
            <w:r>
              <w:rPr>
                <w:b/>
                <w:i/>
              </w:rPr>
              <w:t xml:space="preserve">ir Sakartvelo </w:t>
            </w:r>
            <w:r>
              <w:t>demokratiniam stabilumui ir suverenumui ir juos pažeisti;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218</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w:t>
            </w:r>
            <w:r>
              <w:rPr>
                <w:b/>
                <w:i/>
              </w:rPr>
              <w:t>, panašiai kaip ir Sakartvelo,</w:t>
            </w:r>
            <w:r>
              <w:t xml:space="preserve"> demokratiniam stabilumui ir suverenumui ir juos pažeisti;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219</w:t>
      </w:r>
      <w:r>
        <w:rPr>
          <w:rStyle w:val="HideTWBExt"/>
        </w:rPr>
        <w:t>&lt;/NumAm&gt;</w:t>
      </w:r>
    </w:p>
    <w:p w:rsidR="002131D7" w:rsidRPr="00252254" w:rsidRDefault="002131D7" w:rsidP="002131D7">
      <w:pPr>
        <w:pStyle w:val="NormalBold"/>
      </w:pPr>
      <w:r>
        <w:rPr>
          <w:rStyle w:val="HideTWBExt"/>
          <w:b w:val="0"/>
        </w:rPr>
        <w:t>&lt;RepeatBlock-By&gt;&lt;Members&gt;</w:t>
      </w:r>
      <w:r>
        <w:t>Cristian Terheş</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dažnesnę piktavališką veiklą, kišimąsi ir hibridinį karą, kuriuos vykdo Rusijos Federacija, jos institucijos ir įgaliotiniai, siekdami pakenkti Moldovos Respublikos demokratiniam stabilumui ir suverenumui ir juos pažeisti;</w:t>
            </w:r>
          </w:p>
        </w:tc>
        <w:tc>
          <w:tcPr>
            <w:tcW w:w="4876" w:type="dxa"/>
            <w:tcBorders>
              <w:top w:val="nil"/>
              <w:left w:val="nil"/>
              <w:bottom w:val="nil"/>
              <w:right w:val="nil"/>
            </w:tcBorders>
          </w:tcPr>
          <w:p w:rsidR="002131D7" w:rsidRPr="00252254" w:rsidRDefault="002131D7" w:rsidP="00B46628">
            <w:pPr>
              <w:pStyle w:val="Normal6a"/>
            </w:pPr>
            <w:r>
              <w:t>–</w:t>
            </w:r>
            <w:r>
              <w:tab/>
              <w:t xml:space="preserve">vis dažnesnę piktavališką veiklą, kišimąsi ir hibridinį karą, kuriuos vykdo Rusijos Federacija, jos institucijos ir įgaliotiniai, siekdami pakenkti Moldovos Respublikos </w:t>
            </w:r>
            <w:r>
              <w:rPr>
                <w:b/>
                <w:i/>
              </w:rPr>
              <w:t xml:space="preserve">rinkimų procesui, </w:t>
            </w:r>
            <w:r>
              <w:t>demokratiniam stabilumui ir suverenumui ir juos pažeisti;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220</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rusiškų dujų tiekimą per Azerbaidžaną ir tai, kad Azerbaidžano valdžios institucijos sudaro palankias sąlygas Rusijai apeiti ES sankcijas;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221</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3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2023 m. rugsėjo 24 d. įvykdytą išpuolį prieš Kosovo policijos pareigūnus, kurį Banjskoje, šiaurės Kosove, surengė gerai organizuota sukarinta Serbijos grupuotė ir per kurį žuvo Kosovo policijos pareigūnas Afrim Bunjaku, o du kiti Kosovo policijos pareigūnai buvo sužeisti; pabrėžia, kad šio apgailėtino išpuolio kaltininkai turi būti nedelsiant patraukti atsakomybėn ir stoti prieš teismą;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222</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 Lucia Yar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w:t>
            </w:r>
            <w:r>
              <w:rPr>
                <w:b/>
                <w:i/>
              </w:rPr>
              <w:t>kurie lėmė konfliktą</w:t>
            </w:r>
            <w:r>
              <w:t xml:space="preserve"> Gazoje, </w:t>
            </w:r>
            <w:r>
              <w:rPr>
                <w:b/>
                <w:i/>
              </w:rPr>
              <w:t>darantį neproporcingai didelį poveikį civiliams gyventojams</w:t>
            </w:r>
            <w:r>
              <w:t xml:space="preserve"> ir </w:t>
            </w:r>
            <w:r>
              <w:rPr>
                <w:b/>
                <w:i/>
              </w:rPr>
              <w:t>sukėlusį</w:t>
            </w:r>
            <w:r>
              <w:t xml:space="preserve">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w:t>
            </w:r>
            <w:r>
              <w:rPr>
                <w:b/>
                <w:i/>
              </w:rPr>
              <w:t>taip pat Izraelio neproporcingai didelį atsaką</w:t>
            </w:r>
            <w:r>
              <w:t xml:space="preserve"> Gazoje, </w:t>
            </w:r>
            <w:r>
              <w:rPr>
                <w:b/>
                <w:i/>
              </w:rPr>
              <w:t>kuris lėmė didelio masto civilių žūtis</w:t>
            </w:r>
            <w:r>
              <w:t xml:space="preserve"> ir </w:t>
            </w:r>
            <w:r>
              <w:rPr>
                <w:b/>
                <w:i/>
              </w:rPr>
              <w:t>sukėlė</w:t>
            </w:r>
            <w:r>
              <w:t xml:space="preserve"> katastrofišką humanitarinę padėtį</w:t>
            </w:r>
            <w:r>
              <w:rPr>
                <w:b/>
                <w:i/>
              </w:rPr>
              <w:t>, įtariant, kad dideliu mastu buvo šiurkščiai pažeista tarptautinė teisė;</w:t>
            </w:r>
            <w:r>
              <w:t xml:space="preserve"> </w:t>
            </w:r>
            <w:r>
              <w:rPr>
                <w:b/>
                <w:i/>
              </w:rPr>
              <w:t>tai, kad tyčia ir piktybiškai buvo kurstoma ypač įtempta situacija, nuo 2023 m. spalio 7 d. valstybiniams ir nevalstybiniams subjektams regione vykdant pakartotinius išpuolius prieš Izraelį. Pagrindinis kurstytojas buvo Iranas, taip pat Houthi grupuotė Jemene ir grupuotė „Hezbollah“ Libane, veikiančios kaip vienos iš Irano įgaliotinių; Izraelio sprendimą 2024 m. rugsėjo 30 d. vykdyti didelio masto karinę operaciją Libane, reaguojant į „Hezbollah“ išpuolius ir toliau eskaluojant konfliktą;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223</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w:t>
            </w:r>
            <w:r>
              <w:rPr>
                <w:b/>
                <w:i/>
              </w:rPr>
              <w:t>Gazoje, darantį</w:t>
            </w:r>
            <w:r>
              <w:t xml:space="preserve"> neproporcingai didelį poveikį civiliams gyventojams </w:t>
            </w:r>
            <w:r>
              <w:rPr>
                <w:b/>
                <w:i/>
              </w:rPr>
              <w:t>ir sukėlusį</w:t>
            </w:r>
            <w:r>
              <w:t xml:space="preserve">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xml:space="preserve"> ir tolesnį įkaitų laikymą, vykdomą grupuotės „Hamas“ ir kitų Palestinos teroristinių grupuočių Gazoje</w:t>
            </w:r>
            <w:r>
              <w:t xml:space="preserve">, kurie lėmė konfliktą </w:t>
            </w:r>
            <w:r>
              <w:rPr>
                <w:b/>
                <w:i/>
              </w:rPr>
              <w:t>tarp grupuotės „Hamas“ ir Izraelio, padarė</w:t>
            </w:r>
            <w:r>
              <w:t xml:space="preserve"> neproporcingai didelį poveikį civiliams gyventojams </w:t>
            </w:r>
            <w:r>
              <w:rPr>
                <w:b/>
                <w:i/>
              </w:rPr>
              <w:t>abiejose pusėse ir sukėlė</w:t>
            </w:r>
            <w:r>
              <w:t xml:space="preserve"> katastrofišką humanitarinę padėtį</w:t>
            </w:r>
            <w:r>
              <w:rPr>
                <w:b/>
                <w:i/>
              </w:rPr>
              <w:t xml:space="preserve"> Gazoje, </w:t>
            </w:r>
            <w:r>
              <w:rPr>
                <w:b/>
                <w:i/>
              </w:rPr>
              <w:lastRenderedPageBreak/>
              <w:t>kurią ir toliau išnaudoja „Hamas“, į ES teroristinių organizacijų sąrašą įtraukta organizacija</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224</w:t>
      </w:r>
      <w:r>
        <w:rPr>
          <w:rStyle w:val="HideTWBExt"/>
        </w:rPr>
        <w:t>&lt;/NumAm&gt;</w:t>
      </w:r>
    </w:p>
    <w:p w:rsidR="002131D7" w:rsidRPr="00252254" w:rsidRDefault="002131D7" w:rsidP="002131D7">
      <w:pPr>
        <w:pStyle w:val="NormalBold"/>
      </w:pPr>
      <w:r>
        <w:rPr>
          <w:rStyle w:val="HideTWBExt"/>
          <w:b w:val="0"/>
        </w:rPr>
        <w:t>&lt;RepeatBlock-By&gt;&lt;Members&gt;</w:t>
      </w:r>
      <w:r>
        <w:t>Alice Teodorescu Måwe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Gazoje, darantį </w:t>
            </w:r>
            <w:r>
              <w:rPr>
                <w:b/>
                <w:i/>
              </w:rPr>
              <w:t>neproporcingai didelį</w:t>
            </w:r>
            <w:r>
              <w:t xml:space="preserve"> poveikį civiliams gyventojams ir sukėlusį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Gazoje, darantį </w:t>
            </w:r>
            <w:r>
              <w:rPr>
                <w:b/>
                <w:i/>
              </w:rPr>
              <w:t>siaubingą</w:t>
            </w:r>
            <w:r>
              <w:t xml:space="preserve"> poveikį civiliams gyventojams ir sukėlusį katastrofišką humanitarinę padėtį; </w:t>
            </w:r>
            <w:r>
              <w:rPr>
                <w:b/>
                <w:i/>
              </w:rPr>
              <w:t>kuo griežčiausiai smerkia tai, kad grupuotė „Hamas“ paėmė ir tebelaiko įkaitais nekaltus žmones, įskaitant moteris ir vaikus, ir ragina juos besąlygiškai ir nedelsiant paleisti;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{SV}</w:t>
      </w:r>
      <w:r w:rsidRPr="00252254">
        <w:t>sv</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225</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Roberto Vannacci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Gazoje, darantį neproporcingai didelį poveikį civiliams gyventojams ir sukėlusį </w:t>
            </w:r>
            <w:r>
              <w:lastRenderedPageBreak/>
              <w:t>katastrofišką humanitarinę padėtį;</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2023 m. spalio 7 d. grupuotės „Hamas“ visame Izraelyje įvykdytus brutalius ir beatodairiškus teroristinius išpuolius, kurie lėmė konfliktą Gazoje, darantį neproporcingai didelį poveikį civiliams gyventojams ir sukėlusį katastrofišką humanitarinę padėtį; </w:t>
            </w:r>
            <w:r>
              <w:rPr>
                <w:b/>
                <w:i/>
              </w:rPr>
              <w:t xml:space="preserve">prašo </w:t>
            </w:r>
            <w:r>
              <w:rPr>
                <w:b/>
                <w:i/>
              </w:rPr>
              <w:lastRenderedPageBreak/>
              <w:t>Komisijos geriau stebėti ES lėšų išmokėjimą Palestinos institucijoms, kurios kartais gali būti susijusios su grupuotės „Hamas“ pareigūnais;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226</w:t>
      </w:r>
      <w:r>
        <w:rPr>
          <w:rStyle w:val="HideTWBExt"/>
        </w:rPr>
        <w:t>&lt;/NumAm&gt;</w:t>
      </w:r>
    </w:p>
    <w:p w:rsidR="002131D7" w:rsidRPr="00252254" w:rsidRDefault="002131D7" w:rsidP="002131D7">
      <w:pPr>
        <w:pStyle w:val="NormalBold"/>
      </w:pPr>
      <w:r>
        <w:rPr>
          <w:rStyle w:val="HideTWBExt"/>
          <w:b w:val="0"/>
        </w:rPr>
        <w:t>&lt;RepeatBlock-By&gt;&lt;Members&gt;</w:t>
      </w:r>
      <w:r>
        <w:t>António Tânger Corrêa, Jordan Bardella, Matthieu Valet, Pierre-Romain Thionnet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 kurie lėmė konfliktą Gazoje, darantį neproporcingai didelį poveikį civiliams gyventojams ir sukėlusį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w:t>
            </w:r>
            <w:r>
              <w:rPr>
                <w:b/>
                <w:i/>
              </w:rPr>
              <w:t xml:space="preserve">kurių metu buvo nužudyta daugiau kaip 1 200 Izraelio piliečių, įskaitant moteris ir vaikus, o daugiau kaip 250 žmonių tapo įkaitais, ir </w:t>
            </w:r>
            <w:r>
              <w:t>kurie lėmė konfliktą Gazoje, darantį neproporcingai didelį poveikį civiliams gyventojams ir sukėlusį katastrofišką humanitarinę padėtį;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227</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Thijs Reuten, Alessandra Moretti,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xml:space="preserve">, kurie lėmė konfliktą Gazoje, darantį neproporcingai didelį poveikį civiliams gyventojams ir sukėlusį </w:t>
            </w:r>
            <w:r>
              <w:rPr>
                <w:b/>
                <w:i/>
              </w:rPr>
              <w:lastRenderedPageBreak/>
              <w:t>katastrofišką humanitarinę padėtį</w:t>
            </w:r>
            <w:r>
              <w:t>;</w:t>
            </w:r>
          </w:p>
        </w:tc>
        <w:tc>
          <w:tcPr>
            <w:tcW w:w="4876" w:type="dxa"/>
            <w:tcBorders>
              <w:top w:val="nil"/>
              <w:left w:val="nil"/>
              <w:bottom w:val="nil"/>
              <w:right w:val="nil"/>
            </w:tcBorders>
          </w:tcPr>
          <w:p w:rsidR="002131D7" w:rsidRPr="00252254" w:rsidRDefault="002131D7" w:rsidP="00B46628">
            <w:pPr>
              <w:pStyle w:val="Normal6a"/>
            </w:pPr>
            <w:r>
              <w:lastRenderedPageBreak/>
              <w:t>–</w:t>
            </w:r>
            <w:r>
              <w:tab/>
              <w:t>2023 m. spalio 7 d. grupuotės „Hamas“ visame Izraelyje įvykdytus brutalius ir beatodairiškus teroristinius išpuolius;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228</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w:t>
            </w:r>
            <w:r>
              <w:rPr>
                <w:b/>
                <w:i/>
              </w:rPr>
              <w:t>grupuotės „Hamas“ visame Izraelyje įvykdytus brutalius</w:t>
            </w:r>
            <w:r>
              <w:t xml:space="preserve"> ir </w:t>
            </w:r>
            <w:r>
              <w:rPr>
                <w:b/>
                <w:i/>
              </w:rPr>
              <w:t>beatodairiškus teroristinius išpuolius</w:t>
            </w:r>
            <w:r>
              <w:t xml:space="preserve">, </w:t>
            </w:r>
            <w:r>
              <w:rPr>
                <w:b/>
                <w:i/>
              </w:rPr>
              <w:t>kurie lėmė konfliktą Gazoje</w:t>
            </w:r>
            <w:r>
              <w:t xml:space="preserve">, </w:t>
            </w:r>
            <w:r>
              <w:rPr>
                <w:b/>
                <w:i/>
              </w:rPr>
              <w:t>darantį neproporcingai didelį poveikį civiliams gyventojams</w:t>
            </w:r>
            <w:r>
              <w:t xml:space="preserve"> ir </w:t>
            </w:r>
            <w:r>
              <w:rPr>
                <w:b/>
                <w:i/>
              </w:rPr>
              <w:t>sukėlusį katastrofišką humanitarinę padėtį</w:t>
            </w:r>
            <w:r>
              <w:t>;</w:t>
            </w:r>
          </w:p>
        </w:tc>
        <w:tc>
          <w:tcPr>
            <w:tcW w:w="4876" w:type="dxa"/>
            <w:tcBorders>
              <w:top w:val="nil"/>
              <w:left w:val="nil"/>
              <w:bottom w:val="nil"/>
              <w:right w:val="nil"/>
            </w:tcBorders>
          </w:tcPr>
          <w:p w:rsidR="002131D7" w:rsidRPr="00252254" w:rsidRDefault="002131D7" w:rsidP="00B46628">
            <w:pPr>
              <w:pStyle w:val="Normal6a"/>
            </w:pPr>
            <w:r>
              <w:t>–</w:t>
            </w:r>
            <w:r>
              <w:tab/>
            </w:r>
            <w:r>
              <w:rPr>
                <w:b/>
                <w:i/>
              </w:rPr>
              <w:t>tai, kad per</w:t>
            </w:r>
            <w:r>
              <w:t xml:space="preserve"> 2023 m. spalio 7 d. </w:t>
            </w:r>
            <w:r>
              <w:rPr>
                <w:b/>
                <w:i/>
              </w:rPr>
              <w:t>išpuolius žuvo civiliai gyventojai; nepaprastai didelį mirčių skaičių</w:t>
            </w:r>
            <w:r>
              <w:t xml:space="preserve"> ir </w:t>
            </w:r>
            <w:r>
              <w:rPr>
                <w:b/>
                <w:i/>
              </w:rPr>
              <w:t>precedento neturinčio masto naikinimą, kurį Gazoje sukėlė Izraelis</w:t>
            </w:r>
            <w:r>
              <w:t xml:space="preserve">, </w:t>
            </w:r>
            <w:r>
              <w:rPr>
                <w:b/>
                <w:i/>
              </w:rPr>
              <w:t>taip pat tebesitęsiantį karo eskalavimą Artimuosiuose Rytuose; pabrėžia</w:t>
            </w:r>
            <w:r>
              <w:t xml:space="preserve">, </w:t>
            </w:r>
            <w:r>
              <w:rPr>
                <w:b/>
                <w:i/>
              </w:rPr>
              <w:t>kad reikia skubiai nutraukti ugnį, paleisti įkaitus</w:t>
            </w:r>
            <w:r>
              <w:t xml:space="preserve"> ir </w:t>
            </w:r>
            <w:r>
              <w:rPr>
                <w:b/>
                <w:i/>
              </w:rPr>
              <w:t>rasti ilgalaikį ir teisingą diplomatinį sprendimą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229</w:t>
      </w:r>
      <w:r>
        <w:rPr>
          <w:rStyle w:val="HideTWBExt"/>
        </w:rPr>
        <w:t>&lt;/NumAm&gt;</w:t>
      </w:r>
    </w:p>
    <w:p w:rsidR="002131D7" w:rsidRPr="00252254" w:rsidRDefault="002131D7" w:rsidP="002131D7">
      <w:pPr>
        <w:pStyle w:val="NormalBold"/>
      </w:pPr>
      <w:r>
        <w:rPr>
          <w:rStyle w:val="HideTWBExt"/>
          <w:b w:val="0"/>
        </w:rPr>
        <w:t>&lt;RepeatBlock-By&gt;&lt;Members&gt;</w:t>
      </w:r>
      <w:r>
        <w:t>Hermann Tertsch, Jorge Martín Frías, 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 kurie lėmė konfliktą Gazoje</w:t>
            </w:r>
            <w:r>
              <w:rPr>
                <w:b/>
                <w:i/>
              </w:rPr>
              <w:t>, darantį neproporcingai didelį poveikį civiliams gyventojams ir sukėlusį katastrofišką humanitarinę padėtį</w:t>
            </w:r>
            <w:r>
              <w:t>;</w:t>
            </w:r>
          </w:p>
        </w:tc>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 kurie lėmė konfliktą Gazoje;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230</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Charlie Weimers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w:t>
            </w:r>
            <w:r>
              <w:rPr>
                <w:b/>
                <w:bCs/>
                <w:i/>
                <w:iCs/>
              </w:rPr>
              <w:t>visame</w:t>
            </w:r>
            <w:r>
              <w:t xml:space="preserve"> Izraelyje įvykdytus brutalius ir beatodairiškus teroristinius išpuolius, kurie lėmė konfliktą Gazoje, darantį neproporcingai didelį poveikį civiliams gyventojams ir sukėlusį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Izraelyje įvykdytus brutalius ir beatodairiškus teroristinius išpuolius </w:t>
            </w:r>
            <w:r>
              <w:rPr>
                <w:b/>
                <w:bCs/>
                <w:i/>
                <w:iCs/>
              </w:rPr>
              <w:t>prieš civilius</w:t>
            </w:r>
            <w:r>
              <w:t xml:space="preserve">, </w:t>
            </w:r>
            <w:r>
              <w:rPr>
                <w:b/>
                <w:bCs/>
                <w:i/>
                <w:iCs/>
              </w:rPr>
              <w:t xml:space="preserve">kurie yra nusikaltimai žmoniškumui ir </w:t>
            </w:r>
            <w:r>
              <w:t>kurie lėmė konfliktą Gazoje, darantį neproporcingai didelį poveikį civiliams gyventojams ir sukėlusį katastrofišką humanitarinę padėtį;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231</w:t>
      </w:r>
      <w:r>
        <w:rPr>
          <w:rStyle w:val="HideTWBExt"/>
        </w:rPr>
        <w:t>&lt;/NumAm&gt;</w:t>
      </w:r>
    </w:p>
    <w:p w:rsidR="002131D7" w:rsidRPr="00252254" w:rsidRDefault="002131D7" w:rsidP="002131D7">
      <w:pPr>
        <w:pStyle w:val="NormalBold"/>
      </w:pPr>
      <w:r>
        <w:rPr>
          <w:rStyle w:val="HideTWBExt"/>
          <w:b w:val="0"/>
        </w:rPr>
        <w:t>&lt;RepeatBlock-By&gt;&lt;Members&gt;</w:t>
      </w:r>
      <w:r>
        <w:t>Seán Kelly</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kurie lėmė konfliktą</w:t>
            </w:r>
            <w:r>
              <w:t xml:space="preserve"> Gazoje, </w:t>
            </w:r>
            <w:r>
              <w:rPr>
                <w:b/>
                <w:i/>
              </w:rPr>
              <w:t>darantį</w:t>
            </w:r>
            <w:r>
              <w:t xml:space="preserve"> neproporcingai didelį poveikį civiliams gyventojams ir</w:t>
            </w:r>
            <w:r>
              <w:rPr>
                <w:b/>
                <w:i/>
              </w:rPr>
              <w:t xml:space="preserve"> sukėlusį</w:t>
            </w:r>
            <w:r>
              <w:t xml:space="preserve">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xml:space="preserve"> ir Izraelio valdžios institucijų atsaką</w:t>
            </w:r>
            <w:r>
              <w:t xml:space="preserve"> Gazoje</w:t>
            </w:r>
            <w:r>
              <w:rPr>
                <w:b/>
                <w:i/>
              </w:rPr>
              <w:t xml:space="preserve"> bei Vakarų Krante</w:t>
            </w:r>
            <w:r>
              <w:t xml:space="preserve">, </w:t>
            </w:r>
            <w:r>
              <w:rPr>
                <w:b/>
                <w:i/>
              </w:rPr>
              <w:t>sukėlusį</w:t>
            </w:r>
            <w:r>
              <w:t xml:space="preserve"> neproporcingai didelį poveikį civiliams gyventojams ir katastrofišką humanitarinę padėtį;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232</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kurie lėmė konfliktą Gazoje, darantį neproporcingai didelį poveikį civiliams gyventojams ir sukėlusį katastrofišką</w:t>
            </w:r>
            <w:r>
              <w:t xml:space="preserve"> humanitarinę padėtį;</w:t>
            </w:r>
          </w:p>
        </w:tc>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xml:space="preserve"> ir neproporcingus Izraelio gynybos pajėgų atsakomuosius veiksmus Gazos Ruože ir Vakarų Krante, kurie sukėlė katastrofišką</w:t>
            </w:r>
            <w:r>
              <w:t xml:space="preserve"> humanitarinę padėtį;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233</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kurie lėmė konfliktą Gazoje</w:t>
            </w:r>
            <w:r>
              <w:t xml:space="preserve">, darantį </w:t>
            </w:r>
            <w:r>
              <w:rPr>
                <w:b/>
                <w:i/>
              </w:rPr>
              <w:t>neproporcingai didelį</w:t>
            </w:r>
            <w:r>
              <w:t xml:space="preserve"> poveikį civiliams gyventojams ir sukėlusį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xml:space="preserve"> ir neproporcingą Izraelio karinį atsaką į šias atakas</w:t>
            </w:r>
            <w:r>
              <w:t xml:space="preserve">, darantį </w:t>
            </w:r>
            <w:r>
              <w:rPr>
                <w:b/>
                <w:i/>
              </w:rPr>
              <w:t>milžinišką</w:t>
            </w:r>
            <w:r>
              <w:t xml:space="preserve"> poveikį civiliams gyventojams ir sukėlusį katastrofišką humanitarinę padėtį Gazoje;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234</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2023 m. spalio 7 d. grupuotės „Hamas“ visame Izraelyje įvykdytus brutalius ir beatodairiškus teroristinius išpuolius</w:t>
            </w:r>
            <w:r>
              <w:rPr>
                <w:b/>
                <w:i/>
              </w:rPr>
              <w:t>, kurie lėmė konfliktą Gazoje</w:t>
            </w:r>
            <w:r>
              <w:t xml:space="preserve">, </w:t>
            </w:r>
            <w:r>
              <w:rPr>
                <w:b/>
                <w:i/>
              </w:rPr>
              <w:lastRenderedPageBreak/>
              <w:t>darantį</w:t>
            </w:r>
            <w:r>
              <w:t xml:space="preserve"> neproporcingai didelį poveikį civiliams gyventojams ir </w:t>
            </w:r>
            <w:r>
              <w:rPr>
                <w:b/>
                <w:i/>
              </w:rPr>
              <w:t>sukėlusį</w:t>
            </w:r>
            <w:r>
              <w:t xml:space="preserve"> katastrofišką humanitarinę padėtį;</w:t>
            </w:r>
          </w:p>
        </w:tc>
        <w:tc>
          <w:tcPr>
            <w:tcW w:w="4876" w:type="dxa"/>
            <w:tcBorders>
              <w:top w:val="nil"/>
              <w:left w:val="nil"/>
              <w:bottom w:val="nil"/>
              <w:right w:val="nil"/>
            </w:tcBorders>
          </w:tcPr>
          <w:p w:rsidR="002131D7" w:rsidRPr="00252254" w:rsidRDefault="002131D7" w:rsidP="00B46628">
            <w:pPr>
              <w:pStyle w:val="Normal6a"/>
            </w:pPr>
            <w:r>
              <w:lastRenderedPageBreak/>
              <w:t>–</w:t>
            </w:r>
            <w:r>
              <w:tab/>
              <w:t>2023 m. spalio 7 d. grupuotės „Hamas“ visame Izraelyje įvykdytus brutalius ir beatodairiškus teroristinius išpuolius</w:t>
            </w:r>
            <w:r>
              <w:rPr>
                <w:b/>
                <w:i/>
              </w:rPr>
              <w:t xml:space="preserve"> ir Izraelio karinius veiksmus </w:t>
            </w:r>
            <w:r>
              <w:rPr>
                <w:b/>
                <w:i/>
              </w:rPr>
              <w:lastRenderedPageBreak/>
              <w:t>prieš Gazą</w:t>
            </w:r>
            <w:r>
              <w:t xml:space="preserve">, </w:t>
            </w:r>
            <w:r>
              <w:rPr>
                <w:b/>
                <w:i/>
              </w:rPr>
              <w:t>padariusius</w:t>
            </w:r>
            <w:r>
              <w:t xml:space="preserve"> neproporcingai didelį poveikį civiliams gyventojams ir </w:t>
            </w:r>
            <w:r>
              <w:rPr>
                <w:b/>
                <w:i/>
              </w:rPr>
              <w:t>sukėlusius</w:t>
            </w:r>
            <w:r>
              <w:t xml:space="preserve"> katastrofišką humanitarinę padėtį;</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235</w:t>
      </w:r>
      <w:r>
        <w:rPr>
          <w:rStyle w:val="HideTWBExt"/>
        </w:rPr>
        <w:t>&lt;/NumAm&gt;</w:t>
      </w:r>
    </w:p>
    <w:p w:rsidR="002131D7" w:rsidRPr="00252254" w:rsidRDefault="002131D7" w:rsidP="002131D7">
      <w:pPr>
        <w:pStyle w:val="NormalBold"/>
      </w:pPr>
      <w:r>
        <w:rPr>
          <w:rStyle w:val="HideTWBExt"/>
          <w:b w:val="0"/>
        </w:rPr>
        <w:t>&lt;RepeatBlock-By&gt;&lt;Members&gt;</w:t>
      </w:r>
      <w:r>
        <w:t>Marc Botenga, Rima Hassan, Özlem Demirel</w:t>
      </w:r>
      <w:r>
        <w:rPr>
          <w:rStyle w:val="HideTWBExt"/>
          <w:b w:val="0"/>
        </w:rPr>
        <w:t>&lt;/Members&gt;</w:t>
      </w:r>
    </w:p>
    <w:p w:rsidR="002131D7" w:rsidRPr="00252254" w:rsidRDefault="002131D7" w:rsidP="002131D7">
      <w:r>
        <w:rPr>
          <w:rStyle w:val="HideTWBExt"/>
        </w:rPr>
        <w:t>&lt;AuNomDe&gt;</w:t>
      </w:r>
      <w:r>
        <w:rPr>
          <w:rStyle w:val="HideTWBInt"/>
        </w:rPr>
        <w:t>{The Left}</w:t>
      </w:r>
      <w:r>
        <w:t>The Left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w:t>
            </w:r>
            <w:r>
              <w:rPr>
                <w:b/>
                <w:i/>
              </w:rPr>
              <w:t>kurie lėmė konfliktą Gazoje, darantį neproporcingai didelį poveikį civiliams gyventojams ir sukėlusį katastrofišką humanitarinę padėtį</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w:t>
            </w:r>
            <w:r>
              <w:rPr>
                <w:b/>
                <w:i/>
              </w:rPr>
              <w:t>po kurių Izraelio kariuomenė tyčia vykdė palestiniečių genocidą Gazoje</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236</w:t>
      </w:r>
      <w:r>
        <w:rPr>
          <w:rStyle w:val="HideTWBExt"/>
        </w:rPr>
        <w:t>&lt;/NumAm&gt;</w:t>
      </w:r>
    </w:p>
    <w:p w:rsidR="002131D7" w:rsidRPr="00252254" w:rsidRDefault="002131D7" w:rsidP="002131D7">
      <w:pPr>
        <w:pStyle w:val="NormalBold"/>
      </w:pPr>
      <w:r>
        <w:rPr>
          <w:rStyle w:val="HideTWBExt"/>
          <w:b w:val="0"/>
        </w:rPr>
        <w:t>&lt;RepeatBlock-By&gt;&lt;Members&gt;</w:t>
      </w:r>
      <w:r>
        <w:t>Cristian Terheş</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Gazoje, darantį </w:t>
            </w:r>
            <w:r>
              <w:rPr>
                <w:b/>
                <w:i/>
              </w:rPr>
              <w:t>neproporcingai</w:t>
            </w:r>
            <w:r>
              <w:t xml:space="preserve"> didelį poveikį civiliams gyventojams ir sukėlusį katastrofišką humanitarinę padėtį;</w:t>
            </w:r>
          </w:p>
        </w:tc>
        <w:tc>
          <w:tcPr>
            <w:tcW w:w="4876" w:type="dxa"/>
            <w:tcBorders>
              <w:top w:val="nil"/>
              <w:left w:val="nil"/>
              <w:bottom w:val="nil"/>
              <w:right w:val="nil"/>
            </w:tcBorders>
          </w:tcPr>
          <w:p w:rsidR="002131D7" w:rsidRPr="00252254" w:rsidRDefault="002131D7" w:rsidP="00B46628">
            <w:pPr>
              <w:pStyle w:val="Normal6a"/>
            </w:pPr>
            <w:r>
              <w:t>–</w:t>
            </w:r>
            <w:r>
              <w:tab/>
              <w:t xml:space="preserve">2023 m. spalio 7 d. grupuotės „Hamas“ visame Izraelyje įvykdytus brutalius ir beatodairiškus teroristinius išpuolius, kurie lėmė konfliktą Gazoje, darantį </w:t>
            </w:r>
            <w:r>
              <w:rPr>
                <w:b/>
                <w:i/>
              </w:rPr>
              <w:t>itin</w:t>
            </w:r>
            <w:r>
              <w:t xml:space="preserve"> didelį poveikį civiliams gyventojams ir sukėlusį katastrofišką humanitarinę padėtį;</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237</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visų formų smurtą prieš civilius gyventojus tebesitęsiant Artimųjų Rytų krizei; smerkia grupuotės „Hezbollah“ ir Izraelio veiksmus Libane, kuriais dar labiau paaštrinamas konfliktas; ragina visas susijusias šalis laikytis tarptautinės humanitarinės teisės ir teikti pirmenybę skubioms deeskalavimo priemonėms siekiant apsaugoti civilių gyvybes; primygtinai ragina „Hezbollah“ nusiginkluoti, nes tai yra platesnio masto priemonių, kuriomis siekiama sustabdyti karo veiksmus ir užtikrinti stabilumą regione, dalis;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238</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Izraelio Parlamento patvirtintus teisės aktus, kuriais draudžiami Izraelio valstybinių subjektų ir Jungtinių Tautų pagalbos ir darbų agentūros Palestinos pabėgėliams Artimuosiuose Rytuose (UNRWA) ryšiai ir kuriais nesilaikoma tarptautinės teisės bei pažeidžiami humanitariniai principai;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239</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tebesitęsiančius išpuolius prieš Izraelį raketomis ir bepiločiais orlaiviais, vykdomus „Hezbollah“ Libane, taip pat Houthi grupuotės Jemene ir Irano remiamų pasipriešinimo pajėgų Irake ir Sirijoje. Visi šie išpuoliai buvo įvykdyti kurstant Irano Islamo Respublikai;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240</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Charlie Weimers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Turkijos prezidento Recepo Tayyipo Erdogano grasinimus Izraeliui, kurie dar labiau kaitina klimatą platesniame Artimųjų Rytų regione;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241</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dabartinį konfliktą Gazoje ir Libane, darantį neproporcingai didelį </w:t>
            </w:r>
            <w:r>
              <w:rPr>
                <w:b/>
                <w:i/>
              </w:rPr>
              <w:lastRenderedPageBreak/>
              <w:t>poveikį civiliams gyventojams ir sukėlusį katastrofišką humanitarinę padėtį;</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242</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tolesnį neteisėtų Izraelio gyvenviečių kūrimą ir plėtrą Vakarų Krante; kuriant šias gyvenvietės pažeidžiama tarptautinė teisė, kenkiama pastangoms rasti dviejų valstybių sambūviu pagrįstą sprendimą ir sudaroma didelė kliūtis ilgalaikei taikai; ragina Izraelį nedelsiant sustabdyti ir atšaukti šias priemones, kad būtų puoselėjama konstruktyviam dialogui ir konfliktų sprendimui palanki aplinka; ragina panaikinti dvigubą pilietybę turinčių naujakurių Vakarų Krante ir Rytų Jeruzalėje pilietybę;</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243</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Irano vykdomus tiesioginius raketų ir bepiločių orlaivių išpuolius prieš Izraelį, taip eskaluojant jau ir taip įtemptą konfliktą Artimuosiuose Rytuose; ragina Irano Islamo Respubliką nutraukti konflikto eskalavimą ir nebefinansuoti </w:t>
            </w:r>
            <w:r>
              <w:rPr>
                <w:b/>
                <w:i/>
              </w:rPr>
              <w:lastRenderedPageBreak/>
              <w:t>teroristinių įgaliotųjų pajėgų regione;</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244</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nuolatinius Izraelio valdžios institucijų bandymus pakenkti JT, jos generaliniam sekretoriui ir ypač UNRWA ir juos diskredituoti, taip pat išpuolius prieš Jungtinių Tautų laikinąsias pajėgas Libane (UNIFIL);</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245</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Izraelio vyriausybės deklaraciją, pagal kurią JT generalinis sekretorius Antonio Guterresas laikomas </w:t>
            </w:r>
            <w:r>
              <w:rPr>
                <w:b/>
                <w:i/>
                <w:iCs/>
              </w:rPr>
              <w:t>persona non grata</w:t>
            </w:r>
            <w:r>
              <w:rPr>
                <w:b/>
                <w:i/>
              </w:rP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246</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3 dalies 4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pastarojo meto įvykius Tunise, sukėlusius susirūpinimą dėl žmogaus teisių ir demokratinių standartų: ataskaitose atkreipiamas dėmesys į nepakankamą skaidrumą, ribojamą opozicijos dalyvavimą ir sumažėjusią politinę konkurenciją prezidento rinkimuose; toliau laikosi ES įsipareigojimo Tuniso atžvilgiu ir remia jį šiuo politiniu, socialiniu ir ekonominiu požiūriu opiu laikotarpiu, palaikydamas ryšius įvairiais lygmenimis;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247</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Kneseto priimtus teisės aktus, kuriais draudžiama UNRWA veikla ir nutraukiami jos ryšiai su Izraelio valdžios institucijomis; apgailestauja dėl regionui teksiančių sunkių šio ryšių nutraukimo pasekmių, nes UNRWA yra pagrindinė humanitarinės pagalbos struktūra Gazoje ir Vakarų Krante, nuo kurios gyvybiškai svarbių paslaugų priklauso milijonai žmonių; primena, kad šiais teisės aktais pažeidžiama tarptautinė teisė;</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248</w:t>
      </w:r>
      <w:r>
        <w:rPr>
          <w:rStyle w:val="HideTWBExt"/>
        </w:rPr>
        <w:t>&lt;/NumAm&gt;</w:t>
      </w:r>
    </w:p>
    <w:p w:rsidR="002131D7" w:rsidRPr="00252254" w:rsidRDefault="002131D7" w:rsidP="002131D7">
      <w:pPr>
        <w:pStyle w:val="NormalBold"/>
      </w:pPr>
      <w:r>
        <w:rPr>
          <w:rStyle w:val="HideTWBExt"/>
          <w:b w:val="0"/>
        </w:rPr>
        <w:t>&lt;RepeatBlock-By&gt;&lt;Members&gt;</w:t>
      </w:r>
      <w:r>
        <w:t xml:space="preserve">Sven Mikser, Lucia Annunziata, Nicola Zingaretti, Thijs Reuten, Alessandra Moretti, Giorgio Gori, Tobias Cremer, Yannis Maniatis, Marco </w:t>
      </w:r>
      <w:r>
        <w:lastRenderedPageBreak/>
        <w:t>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veiksmus, kurių ėmėsi kai kurie Izraelio vyriausybės nariai, siekdami neleisti Vakarų Krantui naudotis finansiniais ištekliais, kaip nurodyta spalio 25 d. JAV iždo sekretorės Janet Yellen, G7 šalių ministrų ir už finansines paslaugas atsakingo ES Komisijos nario laiške Izraelio ministrui pirmininkui B. Netanyahu;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249</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4 d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karinį eskalavimą Libane ir nepriimtinai didelį civilių aukų skaičių, priverstinį gyventojų persikėlimą, kurį lemia didėjantis smurtas, ir nepaliaujamą karinės jėgos naudojimą;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250</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lastRenderedPageBreak/>
              <w:t>–</w:t>
            </w:r>
            <w:r>
              <w:tab/>
            </w:r>
            <w:r>
              <w:rPr>
                <w:b/>
                <w:i/>
              </w:rPr>
              <w:t>Irano nuolatinį savo teisinių apsaugos įsipareigojimų pagal Bendrą visapusišką veiksmų planą (BVVP) nesilaikymą ir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251</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Irano nuolatinį savo teisinių apsaugos įsipareigojimų pagal Bendrą visapusišką veiksmų planą (BVVP) nesilaikymą ir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t>–</w:t>
            </w:r>
            <w:r>
              <w:tab/>
              <w:t xml:space="preserve">Irano nuolatinį savo teisinių apsaugos įsipareigojimų pagal Bendrą visapusišką veiksmų planą (BVVP) nesilaikymą ir Irano branduolinės programos plėtojimą be jokio patikimo civiliniais tikslais paremto pagrindo; </w:t>
            </w:r>
            <w:r>
              <w:rPr>
                <w:b/>
                <w:i/>
              </w:rPr>
              <w:t>reiškia susirūpinimą dėl didėjančio Irano ir Rusijos karinio bendradarbiavimo, ypač dėl ketinimo pasirašyti sutartį dėl visapusiškos strateginės partnerystės, ir griežtai smerkia tai, kad Iranas Rusijai tiekia bepiločius orlaivius ir balistines raketas, skirtus naudoti prieš Ukrainą ir jos žmones;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252</w:t>
      </w:r>
      <w:r>
        <w:rPr>
          <w:rStyle w:val="HideTWBExt"/>
        </w:rPr>
        <w:t>&lt;/NumAm&gt;</w:t>
      </w:r>
    </w:p>
    <w:p w:rsidR="002131D7" w:rsidRPr="00252254" w:rsidRDefault="002131D7" w:rsidP="002131D7">
      <w:pPr>
        <w:pStyle w:val="NormalBold"/>
      </w:pPr>
      <w:r>
        <w:rPr>
          <w:rStyle w:val="HideTWBExt"/>
          <w:b w:val="0"/>
        </w:rPr>
        <w:t>&lt;RepeatBlock-By&gt;&lt;Members&gt;</w:t>
      </w:r>
      <w:r>
        <w:t>Marc Botenga, Rima Hassan, Özlem Demirel</w:t>
      </w:r>
      <w:r>
        <w:rPr>
          <w:rStyle w:val="HideTWBExt"/>
          <w:b w:val="0"/>
        </w:rPr>
        <w:t>&lt;/Members&gt;</w:t>
      </w:r>
    </w:p>
    <w:p w:rsidR="002131D7" w:rsidRPr="00252254" w:rsidRDefault="002131D7" w:rsidP="002131D7">
      <w:r>
        <w:rPr>
          <w:rStyle w:val="HideTWBExt"/>
        </w:rPr>
        <w:t>&lt;AuNomDe&gt;</w:t>
      </w:r>
      <w:r>
        <w:rPr>
          <w:rStyle w:val="HideTWBInt"/>
        </w:rPr>
        <w:t>{The Left}</w:t>
      </w:r>
      <w:r>
        <w:t>The Left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Irano nuolatinį savo teisinių </w:t>
            </w:r>
            <w:r>
              <w:lastRenderedPageBreak/>
              <w:t>apsaugos įsipareigojimų pagal Bendrą visapusišką veiksmų planą (BVVP) nesilaikymą ir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Irano nuolatinį savo teisinių </w:t>
            </w:r>
            <w:r>
              <w:lastRenderedPageBreak/>
              <w:t xml:space="preserve">apsaugos įsipareigojimų pagal Bendrą visapusišką veiksmų planą (BVVP) nesilaikymą ir Irano branduolinės programos plėtojimą be jokio patikimo civiliniais tikslais paremto pagrindo; </w:t>
            </w:r>
            <w:r>
              <w:rPr>
                <w:b/>
                <w:i/>
              </w:rPr>
              <w:t>Jungtinių Amerikos Valstijų nenorą vesti prasmingas ir konstruktyvias derybas su Iranu pagal tarptautinę teisę; palankiai vertina E3 grupės veiksmus, susijusius su specialiosios paskirties įmonėmis (SPV), kuriuos ji vykdo laikydamasi įsipareigojimo pagal BVVP;</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253</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Irano nuolatinį savo teisinių apsaugos įsipareigojimų pagal Bendrą visapusišką veiksmų planą (BVVP) nesilaikymą</w:t>
            </w:r>
            <w:r>
              <w:rPr>
                <w:b/>
                <w:i/>
              </w:rPr>
              <w:t xml:space="preserve"> ir</w:t>
            </w:r>
            <w:r>
              <w:t xml:space="preserve">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t>–</w:t>
            </w:r>
            <w:r>
              <w:tab/>
              <w:t>Irano nuolatinį savo teisinių apsaugos įsipareigojimų pagal Bendrą visapusišką veiksmų planą (BVVP) nesilaikymą</w:t>
            </w:r>
            <w:r>
              <w:rPr>
                <w:b/>
                <w:i/>
              </w:rPr>
              <w:t>,</w:t>
            </w:r>
            <w:r>
              <w:t xml:space="preserve"> Irano branduolinės programos plėtojimą be jokio patikimo civiliniais tikslais paremto pagrindo</w:t>
            </w:r>
            <w:r>
              <w:rPr>
                <w:b/>
                <w:i/>
              </w:rPr>
              <w:t xml:space="preserve"> ir Artimųjų Rytų destabilizavimą, be kita ko, pasitelkiant įgaliotąsias pajėgas, vykdant išpuolius prieš Izraelį ir finansuojant terorizmą bei pilietinius konfliktus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254</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lastRenderedPageBreak/>
              <w:t>–</w:t>
            </w:r>
            <w:r>
              <w:tab/>
              <w:t>Irano nuolatinį savo teisinių apsaugos įsipareigojimų pagal Bendrą visapusišką veiksmų planą (BVVP) nesilaikymą ir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t>–</w:t>
            </w:r>
            <w:r>
              <w:tab/>
              <w:t xml:space="preserve">Irano nuolatinį savo teisinių apsaugos įsipareigojimų pagal Bendrą visapusišką veiksmų planą (BVVP) nesilaikymą ir Irano branduolinės programos plėtojimą be jokio patikimo civiliniais tikslais paremto pagrindo; </w:t>
            </w:r>
            <w:r>
              <w:rPr>
                <w:b/>
                <w:i/>
              </w:rPr>
              <w:t>išpuolius, kuriuos Europos Sąjungoje įvykdė ar bandė įvykdyti su Iranu susijusios teroristinės organizacijos ir tinklai;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255</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Irano nuolatinį savo teisinių apsaugos įsipareigojimų pagal </w:t>
            </w:r>
            <w:r>
              <w:rPr>
                <w:b/>
                <w:i/>
              </w:rPr>
              <w:t>Bendrą visapusišką veiksmų</w:t>
            </w:r>
            <w:r>
              <w:t xml:space="preserve"> planą</w:t>
            </w:r>
            <w:r>
              <w:rPr>
                <w:b/>
                <w:i/>
              </w:rPr>
              <w:t xml:space="preserve"> (BVVP)</w:t>
            </w:r>
            <w:r>
              <w:t xml:space="preserve"> nesilaikymą</w:t>
            </w:r>
            <w:r>
              <w:rPr>
                <w:b/>
                <w:i/>
              </w:rPr>
              <w:t xml:space="preserve"> ir</w:t>
            </w:r>
            <w:r>
              <w:t xml:space="preserve"> Irano branduolinės programos plėtojimą be jokio patikimo civiliniais tikslais paremto pagrindo;</w:t>
            </w:r>
          </w:p>
        </w:tc>
        <w:tc>
          <w:tcPr>
            <w:tcW w:w="4876" w:type="dxa"/>
            <w:tcBorders>
              <w:top w:val="nil"/>
              <w:left w:val="nil"/>
              <w:bottom w:val="nil"/>
              <w:right w:val="nil"/>
            </w:tcBorders>
          </w:tcPr>
          <w:p w:rsidR="002131D7" w:rsidRPr="00252254" w:rsidRDefault="002131D7" w:rsidP="00B46628">
            <w:pPr>
              <w:pStyle w:val="Normal6a"/>
            </w:pPr>
            <w:r>
              <w:t>–</w:t>
            </w:r>
            <w:r>
              <w:tab/>
            </w:r>
            <w:r>
              <w:rPr>
                <w:b/>
                <w:i/>
              </w:rPr>
              <w:t>vienašališką JAV pasitraukimą iš Bendro visapusiško veiksmų plano (BVVP) ir su tuo susijusį</w:t>
            </w:r>
            <w:r>
              <w:t xml:space="preserve"> Irano nuolatinį savo teisinių apsaugos įsipareigojimų pagal </w:t>
            </w:r>
            <w:r>
              <w:rPr>
                <w:b/>
                <w:i/>
              </w:rPr>
              <w:t>šį</w:t>
            </w:r>
            <w:r>
              <w:t xml:space="preserve"> planą nesilaikymą</w:t>
            </w:r>
            <w:r>
              <w:rPr>
                <w:b/>
                <w:i/>
              </w:rPr>
              <w:t>, visų pirma</w:t>
            </w:r>
            <w:r>
              <w:t xml:space="preserve"> Irano branduolinės programos plėtojimą be jokio patikimo civiliniais tikslais paremto pagrindo;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256</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Irano nuolatinį savo teisinių apsaugos įsipareigojimų pagal Bendrą visapusišką veiksmų planą (BVVP) nesilaikymą</w:t>
            </w:r>
            <w:r>
              <w:rPr>
                <w:b/>
                <w:i/>
              </w:rPr>
              <w:t xml:space="preserve"> ir</w:t>
            </w:r>
            <w:r>
              <w:t xml:space="preserve"> Irano branduolinės programos plėtojimą be jokio patikimo </w:t>
            </w:r>
            <w:r>
              <w:lastRenderedPageBreak/>
              <w:t>civiliniais tikslais paremto pagrindo;</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Irano nuolatinį savo teisinių apsaugos įsipareigojimų pagal </w:t>
            </w:r>
            <w:r>
              <w:rPr>
                <w:b/>
                <w:i/>
              </w:rPr>
              <w:t xml:space="preserve">jo visapusiškų garantijų susitarimą ir </w:t>
            </w:r>
            <w:r>
              <w:t>Bendrą visapusišką veiksmų planą (BVVP) nesilaikymą</w:t>
            </w:r>
            <w:r>
              <w:rPr>
                <w:b/>
                <w:i/>
              </w:rPr>
              <w:t>, taip pat</w:t>
            </w:r>
            <w:r>
              <w:t xml:space="preserve"> Irano branduolinės </w:t>
            </w:r>
            <w:r>
              <w:lastRenderedPageBreak/>
              <w:t>programos plėtojimą be jokio patikimo civiliniais tikslais paremto pagrindo;</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257</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neteisėtą Europos piliečių sulaikymą Irane; primygtinai ragina Komisijos pirmininko pavaduotoją ir Sąjungos vyriausiąjį įgaliotinį dėti visas pastangas, kad šie piliečiai būtų išlaisvinti ir būtų nutraukta Irano įkaitų diplomatijos praktika;</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258</w:t>
      </w:r>
      <w:r>
        <w:rPr>
          <w:rStyle w:val="HideTWBExt"/>
        </w:rPr>
        <w:t>&lt;/NumAm&gt;</w:t>
      </w:r>
    </w:p>
    <w:p w:rsidR="002131D7" w:rsidRPr="00252254" w:rsidRDefault="002131D7" w:rsidP="002131D7">
      <w:pPr>
        <w:pStyle w:val="NormalBold"/>
      </w:pPr>
      <w:r>
        <w:rPr>
          <w:rStyle w:val="HideTWBExt"/>
          <w:b w:val="0"/>
        </w:rPr>
        <w:t>&lt;RepeatBlock-By&gt;&lt;Members&gt;</w:t>
      </w:r>
      <w:r>
        <w:t>António Tânger Corrêa, Hermann Tertsch, Jorge Martín Frías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neteisėtą Europos piliečių sulaikymą Irane; </w:t>
            </w:r>
            <w:r>
              <w:rPr>
                <w:b/>
                <w:i/>
              </w:rPr>
              <w:t>primygtinai ragina Komisijos pirmininko pavaduotoją ir Sąjungos vyriausiąjį įgaliotinį dėti visas pastangas</w:t>
            </w:r>
            <w:r>
              <w:t xml:space="preserve">, </w:t>
            </w:r>
            <w:r>
              <w:rPr>
                <w:b/>
                <w:i/>
              </w:rPr>
              <w:t>kad šie piliečiai būtų išlaisvinti</w:t>
            </w:r>
            <w:r>
              <w:t xml:space="preserve"> ir </w:t>
            </w:r>
            <w:r>
              <w:rPr>
                <w:b/>
                <w:i/>
              </w:rPr>
              <w:t>būtų nutraukta Irano įkaitų diplomatijos praktika</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neteisėtą Europos piliečių sulaikymą Irane; </w:t>
            </w:r>
            <w:r>
              <w:rPr>
                <w:b/>
                <w:i/>
              </w:rPr>
              <w:t>tai, kad Islamo revoliucijos gvardija yra atsakinga už ne mažiau kaip 11 bandymų 2018–2024 m. įvykdyti išpuolius Europos teritorijoje</w:t>
            </w:r>
            <w:r>
              <w:t xml:space="preserve">, </w:t>
            </w:r>
            <w:r>
              <w:rPr>
                <w:b/>
                <w:i/>
              </w:rPr>
              <w:t>paverčiant Europą vienu iš jos karo prieš Izraelį</w:t>
            </w:r>
            <w:r>
              <w:t xml:space="preserve"> ir </w:t>
            </w:r>
            <w:r>
              <w:rPr>
                <w:b/>
                <w:i/>
              </w:rPr>
              <w:t>Vakarus mūšio laukų, o tai kelia didelę grėsmę Europos saugumui</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259</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Europos piliečių sulaikymą Irane; primygtinai ragina Komisijos pirmininko pavaduotoją ir Sąjungos vyriausiąjį įgaliotinį dėti visas pastangas, kad šie piliečiai būtų išlaisvinti ir būtų nutraukta Irano įkaitų diplomatijos praktika;</w:t>
            </w:r>
          </w:p>
        </w:tc>
        <w:tc>
          <w:tcPr>
            <w:tcW w:w="4876" w:type="dxa"/>
            <w:tcBorders>
              <w:top w:val="nil"/>
              <w:left w:val="nil"/>
              <w:bottom w:val="nil"/>
              <w:right w:val="nil"/>
            </w:tcBorders>
          </w:tcPr>
          <w:p w:rsidR="002131D7" w:rsidRPr="00252254" w:rsidRDefault="002131D7" w:rsidP="00B46628">
            <w:pPr>
              <w:pStyle w:val="Normal6a"/>
            </w:pPr>
            <w:r>
              <w:t>–</w:t>
            </w:r>
            <w:r>
              <w:tab/>
              <w:t>neteisėtą Europos piliečių sulaikymą Irane</w:t>
            </w:r>
            <w:r>
              <w:rPr>
                <w:b/>
                <w:i/>
              </w:rPr>
              <w:t>, taip pat Vokietijos ir Irano piliečio Jamshido Sharmahdo egzekuciją Irane</w:t>
            </w:r>
            <w:r>
              <w:t>; primygtinai ragina Komisijos pirmininko pavaduotoją ir Sąjungos vyriausiąjį įgaliotinį dėti visas pastangas, kad šie piliečiai būtų išlaisvinti ir būtų nutraukta Irano įkaitų diplomatijos praktika</w:t>
            </w:r>
            <w:r>
              <w:rPr>
                <w:b/>
                <w:i/>
              </w:rPr>
              <w:t>, kai sulaikomi užsienio civiliai ir dvigubą pilietybę turintys asmenys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260</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Europos piliečių sulaikymą Irane; primygtinai ragina Komisijos pirmininko pavaduotoją ir Sąjungos vyriausiąjį įgaliotinį dėti visas pastangas, kad šie piliečiai būtų išlaisvinti ir būtų nutraukta Irano įkaitų diplomatijos praktika;</w:t>
            </w:r>
          </w:p>
        </w:tc>
        <w:tc>
          <w:tcPr>
            <w:tcW w:w="4876" w:type="dxa"/>
            <w:tcBorders>
              <w:top w:val="nil"/>
              <w:left w:val="nil"/>
              <w:bottom w:val="nil"/>
              <w:right w:val="nil"/>
            </w:tcBorders>
          </w:tcPr>
          <w:p w:rsidR="002131D7" w:rsidRPr="00252254" w:rsidRDefault="002131D7" w:rsidP="00B46628">
            <w:pPr>
              <w:pStyle w:val="Normal6a"/>
            </w:pPr>
            <w:r>
              <w:t>–</w:t>
            </w:r>
            <w:r>
              <w:tab/>
              <w:t>neteisėtą Europos piliečių sulaikymą Irane</w:t>
            </w:r>
            <w:r>
              <w:rPr>
                <w:b/>
                <w:i/>
              </w:rPr>
              <w:t xml:space="preserve"> ir neseniai Europos piliečiui atliktą mirties bausmę</w:t>
            </w:r>
            <w:r>
              <w:t>; primygtinai ragina Komisijos pirmininko pavaduotoją ir Sąjungos vyriausiąjį įgaliotinį dėti visas pastangas, kad šie piliečiai būtų išlaisvinti ir būtų nutraukta Irano įkaitų diplomatijos praktika;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261</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neteisėtą Europos piliečių sulaikymą Irane; primygtinai ragina Komisijos pirmininko pavaduotoją ir Sąjungos vyriausiąjį įgaliotinį dėti visas pastangas, kad šie piliečiai būtų išlaisvinti ir būtų nutraukta Irano įkaitų diplomatijos praktika;</w:t>
            </w:r>
          </w:p>
        </w:tc>
        <w:tc>
          <w:tcPr>
            <w:tcW w:w="4876" w:type="dxa"/>
            <w:tcBorders>
              <w:top w:val="nil"/>
              <w:left w:val="nil"/>
              <w:bottom w:val="nil"/>
              <w:right w:val="nil"/>
            </w:tcBorders>
          </w:tcPr>
          <w:p w:rsidR="002131D7" w:rsidRPr="00252254" w:rsidRDefault="002131D7" w:rsidP="00B46628">
            <w:pPr>
              <w:pStyle w:val="Normal6a"/>
            </w:pPr>
            <w:r>
              <w:t>–</w:t>
            </w:r>
            <w:r>
              <w:tab/>
            </w:r>
            <w:r>
              <w:rPr>
                <w:b/>
                <w:i/>
              </w:rPr>
              <w:t>žiaurią Irano žmonių, ypač moterų, priespaudą ir</w:t>
            </w:r>
            <w:r>
              <w:t xml:space="preserve"> neteisėtą Europos piliečių sulaikymą Irane; primygtinai ragina Komisijos pirmininko pavaduotoją ir Sąjungos vyriausiąjį įgaliotinį dėti visas pastangas, kad šie piliečiai būtų išlaisvinti ir būtų nutraukta Irano įkaitų diplomatijos praktika;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262</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Susitarimo memorandumo dėl Europos Sąjungos ir Tuniso strateginės ir visuotinės partnerystės pasirašymą be tinkamos demokratinės Europos Parlamento priežiūros; be to, apgailestauja dėl viso Europos Komisijos nustatyto proceso, pagal kurį Tunisui skiriama 105 mln. EUR finansinė parama migracijos sričiai, o paramos galutinis tikslas – perduoti ES migracijos politiką išorės subjektams, neužtikrinant tinkamų žmogaus teisių garantijų migrantams;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263</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3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nuolatinius žmogaus ir moterų teisių pažeidimus Irane, taip pat mirties bausmės taikymą nekaltiems civiliams ir režimo oponentams; primena, kad būtina įvesti moratoriumą mirties bausmės taikymui;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264</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de facto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w:t>
            </w:r>
            <w:r>
              <w:rPr>
                <w:b/>
                <w:i/>
              </w:rPr>
              <w:lastRenderedPageBreak/>
              <w:t>priemones;</w:t>
            </w:r>
          </w:p>
        </w:tc>
        <w:tc>
          <w:tcPr>
            <w:tcW w:w="4876" w:type="dxa"/>
            <w:tcBorders>
              <w:top w:val="nil"/>
              <w:left w:val="nil"/>
              <w:bottom w:val="nil"/>
              <w:right w:val="nil"/>
            </w:tcBorders>
          </w:tcPr>
          <w:p w:rsidR="002131D7" w:rsidRPr="00252254" w:rsidRDefault="002131D7" w:rsidP="00B46628">
            <w:pPr>
              <w:pStyle w:val="Normal6a"/>
            </w:pPr>
            <w:r>
              <w:rPr>
                <w:b/>
                <w:i/>
              </w:rPr>
              <w:lastRenderedPageBreak/>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265</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lyties</w:t>
            </w:r>
            <w:r>
              <w:rPr>
                <w:b/>
                <w:i/>
              </w:rPr>
              <w:t>, ir pabrėžia, kad tai turi būti pagrindinė bet kokio tarptautinės bendruomenės bendradarbiavimo su Talibanu sąlyga;</w:t>
            </w:r>
            <w:r>
              <w:t xml:space="preserve"> </w:t>
            </w:r>
            <w:r>
              <w:rPr>
                <w:b/>
                <w:i/>
              </w:rPr>
              <w:t>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lyties;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266</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lyties</w:t>
            </w:r>
            <w:r>
              <w:rPr>
                <w:b/>
                <w:i/>
              </w:rPr>
              <w:t xml:space="preserve"> bei visų rūšių apartheidą dėl lyties</w:t>
            </w:r>
            <w:r>
              <w:t>,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267</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w:t>
            </w:r>
            <w:r>
              <w:lastRenderedPageBreak/>
              <w:t xml:space="preserve">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neseniai Afganistane priimtą įstatymą dėl „doros skatinimo ir ydų prevencijos“, taip pat sistemingus žmogaus teisių ir pagrindinių laisvių pažeidimus, </w:t>
            </w:r>
            <w:r>
              <w:lastRenderedPageBreak/>
              <w:t xml:space="preserve">visų pirma radikalų šariato aiškinimą, kuriuo remiantis moterys pašalinamos iš viešojo gyvenimo, joms draudžiama dirbti, neleidžiama naudotis sveikatos priežiūros paslaugomis, jei jų nelydi giminaitis vyras, ir įgyti aukštesnį nei šeštos klasės išsilavinimą, o tai prilygsta </w:t>
            </w:r>
            <w:r>
              <w:rPr>
                <w:b/>
                <w:i/>
              </w:rPr>
              <w:t>apartheidui dėl lyties</w:t>
            </w:r>
            <w:r>
              <w:t xml:space="preserve">; reikalauja, kad Afganistano </w:t>
            </w:r>
            <w:r>
              <w:rPr>
                <w:i/>
                <w:iCs/>
              </w:rPr>
              <w:t>de facto</w:t>
            </w:r>
            <w:r>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268</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dėl </w:t>
            </w:r>
            <w:r>
              <w:lastRenderedPageBreak/>
              <w:t>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w:t>
            </w:r>
            <w:r>
              <w:rPr>
                <w:b/>
                <w:i/>
              </w:rPr>
              <w:t xml:space="preserve">ir mergaitėms </w:t>
            </w:r>
            <w:r>
              <w:t xml:space="preserve">taikomus </w:t>
            </w:r>
            <w:r>
              <w:lastRenderedPageBreak/>
              <w:t>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mergaičių ir moterų teisių pažeidimus padariusius asmenis, be kita ko, taikant ribojamąsias priemones;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269</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w:t>
            </w:r>
            <w:r>
              <w:rPr>
                <w:b/>
                <w:i/>
              </w:rPr>
              <w:t>naudotis sveikatos priežiūros paslaugomis</w:t>
            </w:r>
            <w:r>
              <w:t xml:space="preserve">, jei jų nelydi giminaitis vyras, ir įgyti aukštesnį nei šeštos klasės išsilavinimą; reikalauja, kad Afganistano </w:t>
            </w:r>
            <w:r>
              <w:rPr>
                <w:i/>
                <w:iCs/>
              </w:rPr>
              <w:t>de facto</w:t>
            </w:r>
            <w:r>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w:t>
            </w:r>
            <w:r>
              <w:lastRenderedPageBreak/>
              <w:t>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w:t>
            </w:r>
            <w:r>
              <w:rPr>
                <w:b/>
                <w:i/>
              </w:rPr>
              <w:t>patekti į jokias viešąsias vietas</w:t>
            </w:r>
            <w:r>
              <w:t xml:space="preserve">, jei jų nelydi giminaitis vyras, ir įgyti aukštesnį nei šeštos klasės išsilavinimą; reikalauja, kad Afganistano </w:t>
            </w:r>
            <w:r>
              <w:rPr>
                <w:i/>
                <w:iCs/>
              </w:rPr>
              <w:t>de facto</w:t>
            </w:r>
            <w:r>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de facto valdžios institucijomis kriterijais, patraukiant atsakomybėn šiuos sunkius </w:t>
            </w:r>
            <w:r>
              <w:lastRenderedPageBreak/>
              <w:t>mergaičių ir moterų teisių pažeidimus padariusius asmenis, be kita ko, taikant ribojamąsias priemones;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270</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w:t>
            </w:r>
            <w:r>
              <w:rPr>
                <w:b/>
                <w:i/>
              </w:rPr>
              <w:t>dėl lyties</w:t>
            </w:r>
            <w:r>
              <w:t xml:space="preserve">,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w:t>
            </w:r>
            <w:r>
              <w:rPr>
                <w:i/>
                <w:iCs/>
              </w:rPr>
              <w:t>de facto</w:t>
            </w:r>
            <w:r>
              <w:t xml:space="preserve"> valdžios institucijomis kriterijais, patraukiant atsakomybėn šiuos sunkius mergaičių ir moterų teisių pažeidimus padariusius asmenis, be kita ko, taikant ribojamąsias priemones;</w:t>
            </w:r>
          </w:p>
        </w:tc>
        <w:tc>
          <w:tcPr>
            <w:tcW w:w="4876" w:type="dxa"/>
            <w:tcBorders>
              <w:top w:val="nil"/>
              <w:left w:val="nil"/>
              <w:bottom w:val="nil"/>
              <w:right w:val="nil"/>
            </w:tcBorders>
          </w:tcPr>
          <w:p w:rsidR="002131D7" w:rsidRPr="00252254" w:rsidRDefault="002131D7" w:rsidP="00B46628">
            <w:pPr>
              <w:pStyle w:val="Normal6a"/>
            </w:pPr>
            <w:r>
              <w:t>–</w:t>
            </w:r>
            <w:r>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sveikatos priežiūros paslaugomis, jei jų nelydi giminaitis vyras, ir įgyti aukštesnį nei šeštos klasės išsilavinimą; reikalauja, kad Afganistano </w:t>
            </w:r>
            <w:r>
              <w:rPr>
                <w:i/>
                <w:iCs/>
              </w:rPr>
              <w:t>de facto</w:t>
            </w:r>
            <w:r>
              <w:t xml:space="preserve"> valdžios institucijos panaikintų visus moterims taikomus apribojimus,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w:t>
            </w:r>
            <w:r>
              <w:rPr>
                <w:i/>
                <w:iCs/>
              </w:rPr>
              <w:t>de facto</w:t>
            </w:r>
            <w:r>
              <w:t xml:space="preserve"> valdžios institucijomis kriterijais, patraukiant atsakomybėn šiuos sunkius mergaičių ir moterų teisių pažeidimus padariusius asmenis, be kita ko, taikant ribojamąsias priemones;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271</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Kinijos Liaudies Respublikos toliau vykdomus Tibeto, Honkongo ir Makao gyventojų žmogaus teisių pažeidimus žemyninėje Kinijoje ir tarptautines represijas prieš Kinijos disidentus, be to, nuolatinį Kinijos policijos biuro buvimą ES teritorijoje;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272</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Artimuosiuose Rytuose taikomus šariato ir šventvagystės įstatymus religinėms mažumoms (pvz., krikščionims) persekioti ir jų religijos ar tikėjimo laisvei slopinti;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273</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smerkia Kinijos Liaudies Respubliką už tai, kad ji neįgyvendino Vyriausiojo žmogaus teisių komisaro biuro (OHCHR) rekomendacijų; ragina Kinijos Liaudies Respubliką leisti OHCHR atstovams nepriklausomai patekti į Sindziango uigūrų autonominį regioną ir prašo OHCHR pateikti naujausią išsamią informaciją apie padėtį ir veiksmų planą, pagal kurį Kinijos Liaudies Respublika būtų patraukta atsakomybėn;</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274</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Artimuosiuose Rytuose ir Pietryčių Azijoje paplitusius žudymus dėl garbės, kurie daro neproporcingai didelį poveikį moterims ir mergaitėms;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275</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7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tebesitęsiantį karą Sudane, kuris daro didelį poveikį nekaltiems civiliams, ypač Darfūre;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276</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vis platesnio masto ir intensyvėjančias Kinijos vyriausybės laivų 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277</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ir orlaivių operacijas, kurios baugina Kinijos kaimynines šalis; smerkia </w:t>
            </w:r>
            <w:r>
              <w:rPr>
                <w:b/>
                <w:i/>
              </w:rPr>
              <w:t>vyriausybės vadovaujamą</w:t>
            </w:r>
            <w:r>
              <w:t xml:space="preserve">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ir orlaivių operacijas, kurios baugina Kinijos kaimynines šalis; </w:t>
            </w:r>
            <w:r>
              <w:rPr>
                <w:b/>
                <w:i/>
              </w:rPr>
              <w:t>griežtai smerkia 2024 m. spalio 14 d. KLR surengtas nepagrįstas karines pratybas, jos nuolatines karines provokacijas prieš Taivaną ir nuolatinį pajėgų telkimą, dėl kurio keičiasi galios pusiausvyra Indijos ir Ramiojo vandenynų regione, ir pakartoja, kad griežtai nepritaria bet kokiam vienašaliam status quo Taivano sąsiauryje pakeitimui; giria Taivano valdžios institucijų savitvardą ir drausmingą reakciją ir ragina ES ir Taivano partnerius reguliariai keistis informacija atitinkamais saugumo klausimais;</w:t>
            </w:r>
            <w:r>
              <w:t xml:space="preserve"> smerkia </w:t>
            </w:r>
            <w:r>
              <w:rPr>
                <w:b/>
                <w:i/>
              </w:rPr>
              <w:t>režimo vadovaujamą</w:t>
            </w:r>
            <w:r>
              <w:t xml:space="preserve"> priverstinio darbo sistemą ir Kinijos nusikaltimus žmoniškumui Sindziange</w:t>
            </w:r>
            <w:r>
              <w:rPr>
                <w:b/>
                <w:i/>
              </w:rPr>
              <w:t xml:space="preserve"> ir Tibete, taip pat terorą, priespaudą ir </w:t>
            </w:r>
            <w:r>
              <w:rPr>
                <w:b/>
                <w:i/>
              </w:rPr>
              <w:lastRenderedPageBreak/>
              <w:t>sistemingus žmogaus teisių pažeidimus žemyninėje Kinijoje, Honkonge ir Makao</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278</w:t>
      </w:r>
      <w:r>
        <w:rPr>
          <w:rStyle w:val="HideTWBExt"/>
        </w:rPr>
        <w:t>&lt;/NumAm&gt;</w:t>
      </w:r>
    </w:p>
    <w:p w:rsidR="002131D7" w:rsidRPr="00252254" w:rsidRDefault="002131D7" w:rsidP="002131D7">
      <w:pPr>
        <w:pStyle w:val="NormalBold"/>
      </w:pPr>
      <w:r>
        <w:rPr>
          <w:rStyle w:val="HideTWBExt"/>
          <w:b w:val="0"/>
        </w:rPr>
        <w:t>&lt;RepeatBlock-By&gt;&lt;Members&gt;</w:t>
      </w:r>
      <w:r>
        <w:t>Michael Gahler, 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ir orlaivių operacijas, kurios baugina Kinijos kaimynines šalis </w:t>
            </w:r>
            <w:r>
              <w:rPr>
                <w:b/>
                <w:i/>
              </w:rPr>
              <w:t>ir pažeidžia taiką bei stabilumą Taivano sąsiauryje ir aplinkiniuose tarptautiniuose vandenyse, taip pat trukdo visoms kitoms šalims naudotis laivybos laisvės teisėmis; griežtai smerkia Kinijos prezidento pareiškimus, kuriuose teigiama, jog Kinijos Liaudies Respublika niekada neatsisakys teisės naudoti jėgą Taivano atžvilgiu, ir tvirtina, kad prievartos priemonių naudojimas siekiant suvienijimo prieštarauja tarptautinei teisei;</w:t>
            </w:r>
            <w:r>
              <w:t xml:space="preserve"> smerkia vyriausybės vadovaujamą priverstinio darbo sistemą ir Kinijos nusikaltimus žmoniškumui Sindziange;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279</w:t>
      </w:r>
      <w:r>
        <w:rPr>
          <w:rStyle w:val="HideTWBExt"/>
        </w:rPr>
        <w:t>&lt;/NumAm&gt;</w:t>
      </w:r>
    </w:p>
    <w:p w:rsidR="002131D7" w:rsidRPr="00252254" w:rsidRDefault="002131D7" w:rsidP="002131D7">
      <w:pPr>
        <w:pStyle w:val="NormalBold"/>
      </w:pPr>
      <w:r>
        <w:rPr>
          <w:rStyle w:val="HideTWBExt"/>
          <w:b w:val="0"/>
        </w:rPr>
        <w:t>&lt;RepeatBlock-By&gt;&lt;Members&gt;</w:t>
      </w:r>
      <w:r>
        <w:t>Mariusz Kamiński,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platesnio </w:t>
            </w:r>
            <w:r>
              <w:rPr>
                <w:b/>
                <w:i/>
              </w:rPr>
              <w:t>masto</w:t>
            </w:r>
            <w:r>
              <w:t xml:space="preserve"> ir intensyvėjančias Kinijos vyriausybės laivų </w:t>
            </w:r>
            <w:r>
              <w:lastRenderedPageBreak/>
              <w:t>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vis platesnio </w:t>
            </w:r>
            <w:r>
              <w:rPr>
                <w:b/>
                <w:i/>
              </w:rPr>
              <w:t>masto</w:t>
            </w:r>
            <w:r>
              <w:t xml:space="preserve"> ir intensyvėjančias Kinijos vyriausybės laivų </w:t>
            </w:r>
            <w:r>
              <w:lastRenderedPageBreak/>
              <w:t xml:space="preserve">ir orlaivių operacijas, kurios baugina Kinijos kaimynines šalis; </w:t>
            </w:r>
            <w:r>
              <w:rPr>
                <w:b/>
                <w:i/>
              </w:rPr>
              <w:t>įspėja dėl Kinijos karinės ir civilinės sintezės, kuria siekiama integruoti civilinę ir gynybos ekonomiką, kartu su jų atitinkamomis technologinėmis ekosistemomis;</w:t>
            </w:r>
            <w:r>
              <w:t xml:space="preserve"> smerkia vyriausybės vadovaujamą priverstinio darbo sistemą ir </w:t>
            </w:r>
            <w:r>
              <w:rPr>
                <w:b/>
                <w:i/>
              </w:rPr>
              <w:t>prieš uigūrus nukreiptus</w:t>
            </w:r>
            <w:r>
              <w:t xml:space="preserve"> Kinijos nusikaltimus žmoniškumui Sindziange</w:t>
            </w:r>
            <w:r>
              <w:rPr>
                <w:b/>
                <w:i/>
              </w:rPr>
              <w:t>, taip pat kitų mažumų, pavyzdžiui, tibetiečių, krikščionių ir „Falun Gong“ pasekėjų persekiojimą;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280</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ir orlaivių operacijas, kurios baugina Kinijos kaimynines šalis; smerkia vyriausybės vadovaujamą priverstinio darbo sistemą ir Kinijos nusikaltimus žmoniškumui Sindziange; </w:t>
            </w:r>
            <w:r>
              <w:rPr>
                <w:b/>
                <w:i/>
              </w:rPr>
              <w:t>ragina Kinijos valdžios institucijas pasinaudoti savo įtaka Rusijai siekiant nutraukti brutalų agresijos karą ir išvesti savo karines pajėgas iš Ukrainos teritorijos, nes tai yra būtina teisingos taikos sąlyga;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281</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 kurios baugina Kinijos kaimynines šalis</w:t>
            </w:r>
            <w:r>
              <w:rPr>
                <w:b/>
                <w:bCs/>
                <w:i/>
                <w:iCs/>
              </w:rPr>
              <w:t>;</w:t>
            </w:r>
            <w:r>
              <w:rPr>
                <w:b/>
                <w:i/>
              </w:rPr>
              <w:t xml:space="preserve"> smerkia vyriausybės vadovaujamą priverstinio darbo sistemą ir Kinijos nusikaltimus žmoniškumui Sindziange</w:t>
            </w:r>
            <w:r>
              <w:t>;</w:t>
            </w:r>
          </w:p>
        </w:tc>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 kurios baugina Kinijos kaimynines šalis</w:t>
            </w:r>
            <w:r>
              <w:rPr>
                <w:b/>
                <w:i/>
              </w:rPr>
              <w:t>, konkrečiau, Taivaną; atsižvelgdamas į tai, primena, kad būtina išlaikyti esamą padėtį Taivano sąsiauryje, priešintis bet kokiems jėga arba prievarta vykdomiems vienašaliams veiksmams, taip pat paraginti visas šalis laikytis santūrumo ir vengti bet kokių veiksmų, kuriais gali būti toliau didinama įtampa abiejose sąsiaurio pusėse</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282</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w:t>
            </w:r>
            <w:r>
              <w:rPr>
                <w:b/>
                <w:i/>
              </w:rPr>
              <w:t>Kinijos vyriausybės</w:t>
            </w:r>
            <w:r>
              <w:t xml:space="preserve"> laivų ir orlaivių operacijas</w:t>
            </w:r>
            <w:r>
              <w:rPr>
                <w:b/>
                <w:i/>
              </w:rPr>
              <w:t>, kurios baugina Kinijos kaimynines šalis;</w:t>
            </w:r>
            <w:r>
              <w:t xml:space="preserve"> </w:t>
            </w:r>
            <w:r>
              <w:rPr>
                <w:b/>
                <w:i/>
              </w:rPr>
              <w:t>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w:t>
            </w:r>
            <w:r>
              <w:rPr>
                <w:b/>
                <w:i/>
              </w:rPr>
              <w:t>visų subjektų vykdomas</w:t>
            </w:r>
            <w:r>
              <w:t xml:space="preserve"> laivų ir orlaivių operacijas</w:t>
            </w:r>
            <w:r>
              <w:rPr>
                <w:b/>
                <w:i/>
              </w:rPr>
              <w:t xml:space="preserve"> Indijos</w:t>
            </w:r>
            <w:r>
              <w:t xml:space="preserve"> ir </w:t>
            </w:r>
            <w:r>
              <w:rPr>
                <w:b/>
                <w:i/>
              </w:rPr>
              <w:t>Ramiojo vandenynų regione</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283</w:t>
      </w:r>
      <w:r>
        <w:rPr>
          <w:rStyle w:val="HideTWBExt"/>
        </w:rPr>
        <w:t>&lt;/NumAm&gt;</w:t>
      </w:r>
    </w:p>
    <w:p w:rsidR="002131D7" w:rsidRPr="00252254" w:rsidRDefault="002131D7" w:rsidP="002131D7">
      <w:pPr>
        <w:pStyle w:val="NormalBold"/>
      </w:pPr>
      <w:r>
        <w:rPr>
          <w:rStyle w:val="HideTWBExt"/>
          <w:b w:val="0"/>
        </w:rPr>
        <w:t>&lt;RepeatBlock-By&gt;&lt;Members&gt;</w:t>
      </w:r>
      <w:r>
        <w:t>Seán Kelly</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w:t>
            </w:r>
            <w:r>
              <w:lastRenderedPageBreak/>
              <w:t>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vis platesnio masto ir intensyvėjančias Kinijos vyriausybės laivų </w:t>
            </w:r>
            <w:r>
              <w:lastRenderedPageBreak/>
              <w:t>ir orlaivių operacijas, kurios baugina Kinijos kaimynines šalis; smerkia vyriausybės vadovaujamą priverstinio darbo sistemą ir Kinijos nusikaltimus žmoniškumui Sindziange</w:t>
            </w:r>
            <w:r>
              <w:rPr>
                <w:b/>
                <w:i/>
              </w:rPr>
              <w:t>, taip pat nuolatinius Tibeto etninių mažumų teisių pažeidimus</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284</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 kurios baugina Kinijos kaimynines šalis; smerkia vyriausybės vadovaujamą priverstinio darbo sistemą ir Kinijos nusikaltimus žmoniškumui Sindziange;</w:t>
            </w:r>
          </w:p>
        </w:tc>
        <w:tc>
          <w:tcPr>
            <w:tcW w:w="4876" w:type="dxa"/>
            <w:tcBorders>
              <w:top w:val="nil"/>
              <w:left w:val="nil"/>
              <w:bottom w:val="nil"/>
              <w:right w:val="nil"/>
            </w:tcBorders>
          </w:tcPr>
          <w:p w:rsidR="002131D7" w:rsidRPr="00252254" w:rsidRDefault="002131D7" w:rsidP="00B46628">
            <w:pPr>
              <w:pStyle w:val="Normal6a"/>
            </w:pPr>
            <w:r>
              <w:t>–</w:t>
            </w:r>
            <w:r>
              <w:tab/>
              <w:t>vis platesnio masto ir intensyvėjančias Kinijos vyriausybės laivų ir orlaivių operacijas</w:t>
            </w:r>
            <w:r>
              <w:rPr>
                <w:b/>
                <w:i/>
              </w:rPr>
              <w:t>, FIMI ir kibernetinius išpuolius</w:t>
            </w:r>
            <w:r>
              <w:t>, kurie baugina Kinijos kaimynines šalis; smerkia vyriausybės vadovaujamą priverstinio darbo sistemą ir Kinijos nusikaltimus žmoniškumui Sindziange;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285</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vis platesnio masto ir intensyvėjančias Kinijos vyriausybės laivų ir orlaivių operacijas, kurios </w:t>
            </w:r>
            <w:r>
              <w:rPr>
                <w:b/>
                <w:i/>
              </w:rPr>
              <w:t>baugina</w:t>
            </w:r>
            <w:r>
              <w:t xml:space="preserve"> Kinijos kaimynines šalis; smerkia vyriausybės vadovaujamą priverstinio darbo sistemą ir Kinijos nusikaltimus </w:t>
            </w:r>
            <w:r>
              <w:lastRenderedPageBreak/>
              <w:t>žmoniškumui Sindziange;</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vis platesnio masto ir intensyvėjančias Kinijos vyriausybės laivų ir orlaivių operacijas, </w:t>
            </w:r>
            <w:r>
              <w:rPr>
                <w:b/>
                <w:i/>
              </w:rPr>
              <w:t>kuriomis stengiamasi įbauginti</w:t>
            </w:r>
            <w:r>
              <w:t xml:space="preserve"> Kinijos kaimynines šalis; smerkia vyriausybės vadovaujamą priverstinio darbo sistemą ir Kinijos </w:t>
            </w:r>
            <w:r>
              <w:lastRenderedPageBreak/>
              <w:t>nusikaltimus žmoniškumui Sindziange;</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286</w:t>
      </w:r>
      <w:r>
        <w:rPr>
          <w:rStyle w:val="HideTWBExt"/>
        </w:rPr>
        <w:t>&lt;/NumAm&gt;</w:t>
      </w:r>
    </w:p>
    <w:p w:rsidR="002131D7" w:rsidRPr="00252254" w:rsidRDefault="002131D7" w:rsidP="002131D7">
      <w:pPr>
        <w:pStyle w:val="NormalBold"/>
      </w:pPr>
      <w:r>
        <w:rPr>
          <w:rStyle w:val="HideTWBExt"/>
          <w:b w:val="0"/>
        </w:rPr>
        <w:t>&lt;RepeatBlock-By&gt;&lt;Members&gt;</w:t>
      </w:r>
      <w:r>
        <w:t>Pekka Toveri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plečiamą Šiaurės Korėjos ir Rusijos karinį bendradarbiavimą: kaip pranešta, Šiaurės Korėja tiekia artilerijos šaudmenis ir balistines raketas ir nusiuntė daugiau kaip 10 tūkst. kareivių Rusijos agresijai Ukrainoje remti; reiškia susirūpinimą dėl šių dviejų autoritarinių valstybių bendradarbiavimo plėtojimo;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287</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Ilhan Kyuchyuk, Lucia Yar,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Šiaurės Korėjos branduolinės programos plėtojimą ir toliau vykdomus ginklų bandymus, kuriais toliau didinama įtampa regione, ir pastarojo meto tūkstančių Šiaurės Korėjos karių išsiuntimą į Rusiją, taip remiant jos karo veiksmus Ukrainoje;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288</w:t>
      </w:r>
      <w:r>
        <w:rPr>
          <w:rStyle w:val="HideTWBExt"/>
        </w:rPr>
        <w:t>&lt;/NumAm&gt;</w:t>
      </w:r>
    </w:p>
    <w:p w:rsidR="002131D7" w:rsidRPr="00252254" w:rsidRDefault="002131D7" w:rsidP="002131D7">
      <w:pPr>
        <w:pStyle w:val="NormalBold"/>
      </w:pPr>
      <w:r>
        <w:rPr>
          <w:rStyle w:val="HideTWBExt"/>
          <w:b w:val="0"/>
        </w:rPr>
        <w:lastRenderedPageBreak/>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smerkia Kinijos Liaudies Respublikos „beribę“ partnerystę su Rusija, nuolatinę paramą jos karo mašinai ir sankcijų, nustatytų Rusijai dėl jos agresijos karo prieš Ukrainą, apėjimą;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289</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pabrėžia, kad reikia kovoti su sudėtinga ir daugialype Kinijos Liaudies Respublikos keliama grėsme saugumui, įskaitant karines, ekonomines ir hibridines grėsmes;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290</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ragina Komisiją ir Tarybą peržiūrėti Honkongo ekonomikos ir prekybos biuro Briuselyje statusą, taip pat Honkongo autonomijos statusą, atsižvelgiant į Nacionalinio saugumo įstatymą, teisinės valstybės silpnėjimą ir į </w:t>
            </w:r>
            <w:r>
              <w:rPr>
                <w:b/>
                <w:i/>
              </w:rPr>
              <w:lastRenderedPageBreak/>
              <w:t>tai, kad Kinijos Liaudies Respublika pažeidžia savo tarptautinius įsipareigojimus, be kita ko, Kinijos ir Jungtinės Karalystės bendrą deklaraciją ir principą „viena šalis – dvi sistemos“, taip pat vykdo prieš Honkongo autonomiją ir opozicijos veikėjus nukreiptas represijas; ragina EIVT Honkonge atidžiai stebėti politinių kalinių teismo procesus ir raginti paleisti visus politinius kalinius, įskaitant „Apple Daily“ įkūrėją Jimmy Lai;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291</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8 d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pakartoja, kad smerkia tai, jog Kinija pamina Honkongo politines laisves ir autonomiją, taip pažeisdama savo įsipareigojimus, ir su tuo susijusius žmogaus teisių pažeidimus, įskaitant tarpvalstybines represijas prieš asmenis už Honkongo ribų; yra susirūpinęs dėl Honkongo veiksmų, kuriais jis padeda Rusijai apeiti galiojančias sankcijas ir įsigyti ypatingos svarbos ginklų gamybos komponentų, nes tai yra tiesioginis Kinijos vykdomo miesto laisvių, autonomijos ir teisinės valstybės žlugdymo rezultatas; ragina EK ir valstybes nares, bendradarbiaujant su transatlantiniais sąjungininkais, nedelsiant imtis veiksmų siekiant kovoti su sankcijų apėjimu per žemyninę Kiniją ir Honkongą;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292</w:t>
      </w:r>
      <w:r>
        <w:rPr>
          <w:rStyle w:val="HideTWBExt"/>
        </w:rPr>
        <w:t>&lt;/NumAm&gt;</w:t>
      </w:r>
    </w:p>
    <w:p w:rsidR="002131D7" w:rsidRPr="00252254" w:rsidRDefault="002131D7" w:rsidP="002131D7">
      <w:pPr>
        <w:pStyle w:val="NormalBold"/>
      </w:pPr>
      <w:r>
        <w:rPr>
          <w:rStyle w:val="HideTWBExt"/>
          <w:b w:val="0"/>
        </w:rPr>
        <w:t>&lt;RepeatBlock-By&gt;&lt;Members&gt;</w:t>
      </w:r>
      <w:r>
        <w:t>Marc Botenga, Rima Hassan, Özlem Demirel</w:t>
      </w:r>
      <w:r>
        <w:rPr>
          <w:rStyle w:val="HideTWBExt"/>
          <w:b w:val="0"/>
        </w:rPr>
        <w:t>&lt;/Members&gt;</w:t>
      </w:r>
    </w:p>
    <w:p w:rsidR="002131D7" w:rsidRPr="00252254" w:rsidRDefault="002131D7" w:rsidP="002131D7">
      <w:r>
        <w:rPr>
          <w:rStyle w:val="HideTWBExt"/>
        </w:rPr>
        <w:t>&lt;AuNomDe&gt;</w:t>
      </w:r>
      <w:r>
        <w:rPr>
          <w:rStyle w:val="HideTWBInt"/>
        </w:rPr>
        <w:t>{The Left}</w:t>
      </w:r>
      <w:r>
        <w:t>The Left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centrinės Sahelio dalies karinių režimų Burkina Fase, Malyje ir Nigeryje sprendimą pasitraukti iš Vakarų Afrikos valstybių ekonominės bendrijos (ECOWAS) – dėl to ECOWAS kilo gili politinė krizė; atkreipia dėmesį į tai, kad de facto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293</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centrinės Sahelio dalies karinių režimų Burkina Fase, Malyje ir Nigeryje sprendimą pasitraukti iš Vakarų Afrikos valstybių ekonominės bendrijos (ECOWAS) – dėl to ECOWAS kilo gili politinė krizė; atkreipia dėmesį į tai, kad de facto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294</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b/>
                <w:bCs/>
                <w:i/>
                <w:iCs/>
              </w:rPr>
              <w:t>de facto</w:t>
            </w:r>
            <w:r>
              <w:t xml:space="preserve">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w:t>
            </w:r>
            <w:r>
              <w:rPr>
                <w:b/>
                <w:i/>
              </w:rPr>
              <w:t>be to, smerkia 2024 m. rugsėjo 29 d. fizinį išpuolį prieš ECOWAS parlamento narį ir kitus oficialiai paskelbto opozicijos mitingo Lomėje dalyvius; ragina Togo valdžios institucijas užtikrinti, kad būtų propaguojami ir saugomi peržiūrėtos ECOWAS sutarties 4 straipsnyje įtvirtinti pagrindiniai žmogaus ir tautų teisių principai, pvz., teisė laisvai rinktis į taikius susirinkimus ir asociacijų, tikėjimo ir saviraiškos laisvė; ragina ECOWAS valdžios institucijas ir jos valstybes nares remti veiksmus, būtinus siekiant užtikrinti Afrikos žmogaus ir tautų teisių chartijos principų įgyvendinimą visame paregionyje;</w:t>
            </w:r>
            <w:r>
              <w:t xml:space="preserve"> atkreipia dėmesį į tai, kad baigta Europos Sąjungos </w:t>
            </w:r>
            <w:r>
              <w:rPr>
                <w:b/>
                <w:i/>
              </w:rPr>
              <w:t>karinės partnerystės misija Nigeryje (EUMPM Niger) ir</w:t>
            </w:r>
            <w:r>
              <w:t xml:space="preserve"> BSGP misija Nigeryje (EUCAP SAHEL Niger) ir neatnaujinta Europos Sąjungos karinė misija siekiant prisidėti prie Malio ginkluotųjų pajėgų mokymo (EUTM); </w:t>
            </w:r>
            <w:r>
              <w:rPr>
                <w:b/>
                <w:i/>
              </w:rPr>
              <w:t>susirūpinęs atkreipia dėmesį į tai, kad Rusija suintensyvino valstybių tarpusavio santykių ir bendradarbiavimo iniciatyvų su Afrikos valstybėmis plėtojimą, vykdydama karinį bendradarbiavimą ir įsipareigodama bendradarbiauti plėtojant branduolinę energiją;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295</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w:t>
            </w:r>
            <w:r>
              <w:rPr>
                <w:b/>
                <w:i/>
              </w:rPr>
              <w:t>; Sahelyje dažnėjančius įvairių džihadistų grupuočių, vietos kariuomenių ir „Vagnerio grupės“ vykdomus smurtinius veiksmus; yra labai susirūpinęs dėl gyventojų perkėlimo ir pabėgėlių antplūdžio, kuriuos sukėlė nestabilumas regione; ragina užtikrinti aktyvesnį Europos dalyvavimą, paramą ir pagalbą regionui, be kita ko, didesnį vaidmenį, matomumą ir veiksnumą vykdant BSGP misijas ir operacijas; palankiai vertina šiuo metu Sahelio regione vykdomų ES civilinių ir karinių misijų, pvz., EUCAP Sahel Mali, veiklą ir vaidmenį, nes jos labai prisideda prie regiono saugos ir saugumo;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296</w:t>
      </w:r>
      <w:r>
        <w:rPr>
          <w:rStyle w:val="HideTWBExt"/>
        </w:rPr>
        <w:t>&lt;/NumAm&gt;</w:t>
      </w:r>
    </w:p>
    <w:p w:rsidR="002131D7" w:rsidRPr="00252254" w:rsidRDefault="002131D7" w:rsidP="002131D7">
      <w:pPr>
        <w:pStyle w:val="NormalBold"/>
      </w:pPr>
      <w:r>
        <w:rPr>
          <w:rStyle w:val="HideTWBExt"/>
          <w:b w:val="0"/>
        </w:rPr>
        <w:t>&lt;RepeatBlock-By&gt;&lt;Members&gt;</w:t>
      </w:r>
      <w:r>
        <w:t>Eszter Lakos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w:t>
            </w:r>
            <w:r>
              <w:lastRenderedPageBreak/>
              <w:t xml:space="preserve">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centrinės Sahelio dalies karinių </w:t>
            </w:r>
            <w:r>
              <w:lastRenderedPageBreak/>
              <w:t xml:space="preserve">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 </w:t>
            </w:r>
            <w:r>
              <w:rPr>
                <w:b/>
                <w:i/>
              </w:rPr>
              <w:t>apgailestauja dėl nesuderinto valstybių narių požiūrio dėl Afrikos, nes tai prisidėjo prie kai kurių BSGP misijų ir operacijų žemyne nutraukimo; apgailestauja dėl to, kad tam tikros valstybės narės, kurios nežymiai prisidėjo prie ES BSGP misijų ir operacijų Centrinėje ir Vakarų Afrikoje, šiuo metu vienašališkai siunčia pajėgas ir lėšas; yra sunerimęs dėl didėjančio trečiųjų šalių karinių ir sukarintų pajėgų buvimo ir atkaklumo šalyse, kuriose ES valstybės narės pradeda vienašales karines misijas;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297</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w:t>
            </w:r>
            <w:r>
              <w:lastRenderedPageBreak/>
              <w:t>ginkluotųjų pajėgų mokymo (EUTM);</w:t>
            </w:r>
          </w:p>
        </w:tc>
        <w:tc>
          <w:tcPr>
            <w:tcW w:w="4876" w:type="dxa"/>
            <w:tcBorders>
              <w:top w:val="nil"/>
              <w:left w:val="nil"/>
              <w:bottom w:val="nil"/>
              <w:right w:val="nil"/>
            </w:tcBorders>
          </w:tcPr>
          <w:p w:rsidR="002131D7" w:rsidRPr="00252254" w:rsidRDefault="002131D7" w:rsidP="00B46628">
            <w:pPr>
              <w:pStyle w:val="Normal6a"/>
            </w:pPr>
            <w:r>
              <w:lastRenderedPageBreak/>
              <w:t>–</w:t>
            </w:r>
            <w:r>
              <w:tab/>
            </w:r>
            <w:r>
              <w:rPr>
                <w:b/>
                <w:i/>
              </w:rPr>
              <w:t xml:space="preserve">Burkina Fase ir Nigeryje vykusius perversmus, kurių metu buvo sulaikytas prezidentas M. Bazoum ir sustabdytas konstitucijos galiojimas; taip pat smerkia </w:t>
            </w:r>
            <w:r>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lastRenderedPageBreak/>
              <w:t>de facto</w:t>
            </w:r>
            <w:r>
              <w:t xml:space="preserve"> baigta Europos Sąjungos BSGP misija Nigeryje (EUCAP SAHEL Niger) ir neatnaujinta Europos Sąjungos karinė misija siekiant prisidėti prie Malio ginkluotųjų pajėgų mokymo (EUTM); </w:t>
            </w:r>
            <w:r>
              <w:rPr>
                <w:b/>
                <w:i/>
              </w:rPr>
              <w:t>apgailestauja dėl to, kad Prancūzijos kariai ir JT taikdariai išvyko, o juos pakeitė „Vagnerio grupės“ samdiniai ir Rusijos bei Turkijos kariškiai, kurių pramonė tiekia ginklus Sahelio sostinėms;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298</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 </w:t>
            </w:r>
            <w:r>
              <w:rPr>
                <w:b/>
                <w:i/>
              </w:rPr>
              <w:t>apgailestauja dėl to, kad regione daugėja teroristinių išpuolių ir žūsta labai daug civilių, taip pat dėl Rusijos sukarintųjų organizacijų buvimo ir jų vykdomo grobstymo;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299</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w:t>
            </w:r>
          </w:p>
        </w:tc>
        <w:tc>
          <w:tcPr>
            <w:tcW w:w="4876" w:type="dxa"/>
            <w:tcBorders>
              <w:top w:val="nil"/>
              <w:left w:val="nil"/>
              <w:bottom w:val="nil"/>
              <w:right w:val="nil"/>
            </w:tcBorders>
          </w:tcPr>
          <w:p w:rsidR="002131D7" w:rsidRPr="00252254" w:rsidRDefault="002131D7" w:rsidP="00B46628">
            <w:pPr>
              <w:pStyle w:val="Normal6a"/>
            </w:pPr>
            <w:r>
              <w:t>–</w:t>
            </w:r>
            <w:r>
              <w:tab/>
              <w:t xml:space="preserve">centrinės Sahelio dalies karinių režimų Burkina Fase, Malyje ir Nigeryje sprendimą pasitraukti iš Vakarų Afrikos valstybių ekonominės bendrijos (ECOWAS) – dėl to ECOWAS kilo gili politinė krizė; atkreipia dėmesį į tai, kad </w:t>
            </w:r>
            <w:r>
              <w:rPr>
                <w:i/>
                <w:iCs/>
              </w:rPr>
              <w:t>de facto</w:t>
            </w:r>
            <w:r>
              <w:t xml:space="preserve"> baigta Europos Sąjungos BSGP misija Nigeryje (EUCAP SAHEL Niger) ir neatnaujinta Europos Sąjungos karinė misija siekiant prisidėti prie Malio ginkluotųjų pajėgų mokymo (EUTM); </w:t>
            </w:r>
            <w:r>
              <w:rPr>
                <w:b/>
                <w:i/>
              </w:rPr>
              <w:t>pažymi, kad Turkija labai aktyviai angažuojasi regione ir palaiko prieš Europą nukreiptą neapykantą pasitelkdama religinį fanatizmą;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300</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tai, kad Kinijos Liaudies Respublika, Rusija, Iranas ir kiti totalitariniai ar autoritariniai režimai naudoja manipuliavimą informacija ir piktavališką kišimąsi kaip neatsiejamas priemones, kuriomis siekiama daryti spaudimą daugiašalėms institucijoms ir demokratinėms vertybėms bei normoms, piktnaudžiauti įgaliojimais, dažniau vykdyti vis sunkesnius žmogaus teisių pažeidimus, apriboti pilietinės visuomenės, nepriklausomos žiniasklaidos ir demokratinių opozicijos judėjimų erdvę, skleisti prieš Vakarus nukreiptą dezinformaciją ir naudoti įvairias </w:t>
            </w:r>
            <w:r>
              <w:rPr>
                <w:b/>
                <w:i/>
              </w:rPr>
              <w:lastRenderedPageBreak/>
              <w:t>tarptautines represijas tam, kad įbaugintų ir apribotų diasporos pilietinės visuomenės, nepriklausomos žiniasklaidos ir demokratinių opozicijos judėjimų erdvę;</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301</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Sudano karinės vyriausybės, Sudano ginkluotųjų pajėgų ir sukarintų Greitojo reagavimo paramos pajėgų pilietinį karą ir pražūtingus padarinius civiliams bei prieš juos įvykdytus žiaurumus; pabrėžia, kad ES turėtų nedelsdama persvarstyti savo Saheliui skirtą regioninę strategiją;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302</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niekingą plačiai paplitusį išžaginimo kaip karo ginklo naudojimą ir drastišką humanitarinės padėties Sudane pablogėjimą;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303</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tai, kad visame pasaulyje daugėja išpuolių prieš žmogaus teisių gynėjus (ypač tuos, kurie gina aplinkos, čiabuvių, moterų, LGBTIQ ir kovos su korupcija teises), jų persekiojimą, savavališką kalinimą, kankinimą ir žudymą; taip pat atkreipia dėmesį į vis sudėtingesnę valstybinių ir nevalstybinių subjektų taktiką, be kita ko, skaitmeninio sekimo ir šmeižto kampanijas, kuriomis siekiama nutildyti žmogaus teisių gynėjus;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304</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KDR valdžios institucijų paskutinės minutės taktinius ir techninius apribojimus, dėl kurių ES rinkimų stebėjimo misija negalėjo stebėti prezidento rinkimų; smerkia tebesitęsiančius smarkius karinių pajėgų ir sukilėlių judėjimo M23 susirėmimus, destabilizuojančius rytų KDR; ragina peržiūrėti ES strategiją dėl Didžiųjų ežerų regiono;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305</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valstybinių struktūrų žlugimo pavojų ir sunkią humanitarinę padėtį Haityje dėl nesuvaldomo gaujų smurto;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306</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9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bandymus apeiti ES ir tarptautines sankcijas, nes šios strategijos yra tiesioginė grėsmė taisyklėmis grindžiamai tarptautinei tvarkai;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307</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Danielio Ortegos ir Rosario Murillo autoritarinį režimą, kuris sistemingai kenkia Nikaragvos demokratinėms struktūroms; primena, kad Nikaragvos režimas palaiko tvirtus </w:t>
            </w:r>
            <w:r>
              <w:rPr>
                <w:b/>
                <w:i/>
              </w:rPr>
              <w:lastRenderedPageBreak/>
              <w:t>ryšius su kitais autokratiniais režimais, pvz., Irane, Venesueloje ir Kuboje; kuo griežčiausiai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rsidR="002131D7" w:rsidRPr="00252254" w:rsidRDefault="002131D7" w:rsidP="00B46628">
            <w:pPr>
              <w:pStyle w:val="Normal6a"/>
            </w:pPr>
            <w:r>
              <w:rPr>
                <w:b/>
                <w:i/>
              </w:rPr>
              <w:lastRenderedPageBreak/>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308</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Danielio Ortegos ir Rosario Murillo autoritarinį režimą, kuris sistemingai kenkia Nikaragvos demokratinėms struktūroms; primena, kad Nikaragvos režimas palaiko tvirtus ryšius su kitais autokratiniais režimais, pvz., Irane, Venesueloje ir Kuboje; kuo griežčiausiai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309</w:t>
      </w:r>
      <w:r>
        <w:rPr>
          <w:rStyle w:val="HideTWBExt"/>
        </w:rPr>
        <w:t>&lt;/NumAm&gt;</w:t>
      </w:r>
    </w:p>
    <w:p w:rsidR="002131D7" w:rsidRPr="00252254" w:rsidRDefault="002131D7" w:rsidP="002131D7">
      <w:pPr>
        <w:pStyle w:val="NormalBold"/>
      </w:pPr>
      <w:r>
        <w:rPr>
          <w:rStyle w:val="HideTWBExt"/>
          <w:b w:val="0"/>
        </w:rPr>
        <w:t>&lt;RepeatBlock-By&gt;&lt;Members&gt;</w:t>
      </w:r>
      <w:r>
        <w:t>Hermann Tertsch, Jorge Martín Frías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Danielio Ortegos ir Rosario Murillo autoritarinį režimą</w:t>
            </w:r>
            <w:r>
              <w:rPr>
                <w:b/>
                <w:i/>
              </w:rPr>
              <w:t>, kuris sistemingai kenkia Nikaragvos demokratinėms struktūroms</w:t>
            </w:r>
            <w:r>
              <w:t xml:space="preserve">; primena, kad Nikaragvos režimas palaiko tvirtus ryšius su kitais autokratiniais režimais, pvz., Irane, Venesueloje ir Kuboje; kuo griežčiausiai smerkia Kubos režimo sistemingai vykdomus žmogaus teisių pažeidimus; griežtai smerkia ir visapusiškai atmeta Venesuelos režimo suorganizuotą rinkimų klastojimą ir reikalauja, kad N. Maduro vyriausybė </w:t>
            </w:r>
            <w:r>
              <w:rPr>
                <w:b/>
                <w:i/>
              </w:rPr>
              <w:t>nutrauktų savo represijų ir išpuolių prieš pilietinę visuomenę</w:t>
            </w:r>
            <w:r>
              <w:t xml:space="preserve"> bei </w:t>
            </w:r>
            <w:r>
              <w:rPr>
                <w:b/>
                <w:i/>
              </w:rPr>
              <w:t>opoziciją politiką</w:t>
            </w:r>
            <w:r>
              <w:t>;</w:t>
            </w:r>
          </w:p>
        </w:tc>
        <w:tc>
          <w:tcPr>
            <w:tcW w:w="4876" w:type="dxa"/>
            <w:tcBorders>
              <w:top w:val="nil"/>
              <w:left w:val="nil"/>
              <w:bottom w:val="nil"/>
              <w:right w:val="nil"/>
            </w:tcBorders>
          </w:tcPr>
          <w:p w:rsidR="002131D7" w:rsidRPr="00252254" w:rsidRDefault="002131D7" w:rsidP="00B46628">
            <w:pPr>
              <w:pStyle w:val="Normal6a"/>
            </w:pPr>
            <w:r>
              <w:t>–</w:t>
            </w:r>
            <w:r>
              <w:tab/>
            </w:r>
            <w:r>
              <w:rPr>
                <w:b/>
                <w:i/>
              </w:rPr>
              <w:t>dėl socializmo plitimo nuolat smarkiai blogėjančias gyvenimo sąlygas, saugumo, pagrindinių teisių ir laisvių padėtį daugelyje Iberijos pusiasalio ir Lotynų Amerikos šalių; smerkia</w:t>
            </w:r>
            <w:r>
              <w:t xml:space="preserve"> Danielio Ortegos ir Rosario Murillo autoritarinį režimą; primena, kad Nikaragvos režimas palaiko tvirtus ryšius su kitais autokratiniais režimais, pvz., Irane, Venesueloje ir Kuboje; kuo griežčiausiai smerkia </w:t>
            </w:r>
            <w:r>
              <w:rPr>
                <w:b/>
                <w:i/>
              </w:rPr>
              <w:t>dešimtmečius trukusius</w:t>
            </w:r>
            <w:r>
              <w:t xml:space="preserve"> </w:t>
            </w:r>
            <w:r>
              <w:rPr>
                <w:b/>
                <w:i/>
              </w:rPr>
              <w:t xml:space="preserve">Miguelio Díazo-Canelio ir Kastro šeimos narių vadovaujamo Kubos režimo </w:t>
            </w:r>
            <w:r>
              <w:t>sistemingai vykdomus žmogaus teisių pažeidimus</w:t>
            </w:r>
            <w:r>
              <w:rPr>
                <w:b/>
                <w:i/>
              </w:rPr>
              <w:t xml:space="preserve"> ir jo pastangas skleisti diktatorišką modelį visame regione, visų pirma, pasitelkiant dvi organizacijas: </w:t>
            </w:r>
            <w:r>
              <w:rPr>
                <w:b/>
                <w:bCs/>
                <w:i/>
                <w:iCs/>
              </w:rPr>
              <w:t>„Foro de São Paulo“ ir „Grup</w:t>
            </w:r>
            <w:r>
              <w:rPr>
                <w:b/>
                <w:i/>
              </w:rPr>
              <w:t>o de Puebla“</w:t>
            </w:r>
            <w:r>
              <w:t xml:space="preserve">; griežtai smerkia Venesuelos režimo organizuotą rinkimų klastojimą ir visiškai atmeta šių rinkimų rezultatus ir reikalauja, kad N. Maduro vyriausybė </w:t>
            </w:r>
            <w:r>
              <w:rPr>
                <w:b/>
                <w:i/>
              </w:rPr>
              <w:t>nedelsdama atsistatydintų bei taikiai perleistų valdžią naujai įstatymų vykdomajai valdžiai, kuriai vadovautų teisėtas ir demokratiškai išrinktas prezidentas Edmundo González Urrutia; smerkia Brazilijos Aukščiausiojo Teismo teisėjo Alexandre de Moraes‘o bandymus suvaržyti žodžio laisvę Brazilijoje, siekiant sustiprinti vis labiau represinį Lula da Silvos režimą, visų pirma, uždraudžiant socialinį tinklą X – buvusį „Twitter“; smerkia tai, kad Meksikos Prezidentė Claudia Sheinbaum akivaizdžiai klaidingai pateikė faktus apie Europos tyrinėtojų įvykdytą Šiaurės ir Pietų Amerikos atradimą ir užkariavimą, taip pat jos pagiežingą ir klaidinančią retoriką, nukreiptą prieš Ispanijos žmones</w:t>
            </w:r>
            <w:r>
              <w:t xml:space="preserve">, visų pirma, </w:t>
            </w:r>
            <w:r>
              <w:rPr>
                <w:b/>
                <w:i/>
              </w:rPr>
              <w:t>Ispanijos Karalystę, nes laiko tai tiesioginiu išpuoliu prieš valstybę narę ir jos institucijas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310</w:t>
      </w:r>
      <w:r>
        <w:rPr>
          <w:rStyle w:val="HideTWBExt"/>
        </w:rPr>
        <w:t>&lt;/NumAm&gt;</w:t>
      </w:r>
    </w:p>
    <w:p w:rsidR="002131D7" w:rsidRPr="00252254" w:rsidRDefault="002131D7" w:rsidP="002131D7">
      <w:pPr>
        <w:pStyle w:val="NormalBold"/>
      </w:pPr>
      <w:r>
        <w:rPr>
          <w:rStyle w:val="HideTWBExt"/>
          <w:b w:val="0"/>
        </w:rPr>
        <w:t>&lt;RepeatBlock-By&gt;&lt;Members&gt;</w:t>
      </w:r>
      <w:r>
        <w:t>Marc Botenga, Rima Hassan, Özlem Demirel</w:t>
      </w:r>
      <w:r>
        <w:rPr>
          <w:rStyle w:val="HideTWBExt"/>
          <w:b w:val="0"/>
        </w:rPr>
        <w:t>&lt;/Members&gt;</w:t>
      </w:r>
    </w:p>
    <w:p w:rsidR="002131D7" w:rsidRPr="00252254" w:rsidRDefault="002131D7" w:rsidP="002131D7">
      <w:r>
        <w:rPr>
          <w:rStyle w:val="HideTWBExt"/>
        </w:rPr>
        <w:t>&lt;AuNomDe&gt;</w:t>
      </w:r>
      <w:r>
        <w:rPr>
          <w:rStyle w:val="HideTWBInt"/>
        </w:rPr>
        <w:t>{The Left}</w:t>
      </w:r>
      <w:r>
        <w:t>The Left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w:t>
            </w:r>
            <w:r>
              <w:rPr>
                <w:b/>
                <w:i/>
              </w:rPr>
              <w:t>primena, kad Nikaragvos režimas palaiko tvirtus ryšius su kitais autokratiniais režimais, pvz., Irane, Venesueloje ir Kuboje;</w:t>
            </w:r>
            <w:r>
              <w:t xml:space="preserve"> kuo griežčiausiai smerkia Kubos </w:t>
            </w:r>
            <w:r>
              <w:rPr>
                <w:b/>
                <w:i/>
              </w:rPr>
              <w:t>režimo</w:t>
            </w:r>
            <w:r>
              <w:t xml:space="preserve"> sistemingai </w:t>
            </w:r>
            <w:r>
              <w:rPr>
                <w:b/>
                <w:i/>
              </w:rPr>
              <w:t>vykdomus</w:t>
            </w:r>
            <w:r>
              <w:t xml:space="preserve"> žmogaus teisių</w:t>
            </w:r>
            <w:r>
              <w:rPr>
                <w:b/>
                <w:i/>
              </w:rPr>
              <w:t xml:space="preserve"> pažeidimus; griežtai smerkia ir visapusiškai atmeta </w:t>
            </w:r>
            <w:r>
              <w:t xml:space="preserve">Venesuelos </w:t>
            </w:r>
            <w:r>
              <w:rPr>
                <w:b/>
                <w:i/>
              </w:rPr>
              <w:t>režimo suorganizuotą rinkimų klastojimą ir reikalauja, kad N. Maduro vyriausybė nutrauktų savo represijų ir išpuolių prieš pilietinę visuomenę bei opoziciją politiką</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kuo griežčiausiai smerkia sistemingai vykdomus Kubos </w:t>
            </w:r>
            <w:r>
              <w:rPr>
                <w:b/>
                <w:i/>
              </w:rPr>
              <w:t>žmonių</w:t>
            </w:r>
            <w:r>
              <w:t xml:space="preserve"> žmogaus teisių pažeidimus, susijusius su </w:t>
            </w:r>
            <w:r>
              <w:rPr>
                <w:b/>
                <w:i/>
              </w:rPr>
              <w:t>Jungtinių Valstijų ekonominiu embargu ir nepagrįstomis eksteritorialiomis sankcijomis; smerkia Jungtinių Valstijų Venesuelai taikomas sankcijas, kurios sukėlė precedento neturinčią ekonomikos krizę, tapusią didžiausia taikos meto krize šiuolaikinėje istorijoje ir sukėlusią didžiulę infliaciją bei smarkų gyvenimo sąlygų suprastėjimą; prašo visų nuo 2024 m. liepos mėn. Venesuelos prezidento rinkimuose dalyvaujančių šalių paskelbti visus teisės aktus, susijusius su galutiniais rezultatais</w:t>
            </w:r>
            <w:r>
              <w:t xml:space="preserve">; </w:t>
            </w:r>
            <w:r>
              <w:rPr>
                <w:b/>
                <w:i/>
              </w:rPr>
              <w:t>smerkia smurtą, nes tai nepriimtinas būdą konfliktui spręsti;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311</w:t>
      </w:r>
      <w:r>
        <w:rPr>
          <w:rStyle w:val="HideTWBExt"/>
        </w:rPr>
        <w:t>&lt;/NumAm&gt;</w:t>
      </w:r>
    </w:p>
    <w:p w:rsidR="002131D7" w:rsidRPr="00252254" w:rsidRDefault="002131D7" w:rsidP="002131D7">
      <w:pPr>
        <w:pStyle w:val="NormalBold"/>
      </w:pPr>
      <w:r>
        <w:rPr>
          <w:rStyle w:val="HideTWBExt"/>
          <w:b w:val="0"/>
        </w:rPr>
        <w:t>&lt;RepeatBlock-By&gt;&lt;Members&gt;</w:t>
      </w:r>
      <w:r>
        <w:t>Antonio López-Istúriz White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primena, kad Nikaragvos režimas palaiko tvirtus ryšius su kitais autokratiniais režimais, pvz., Irane, Venesueloje ir Kuboje; kuo griežčiausiai </w:t>
            </w:r>
            <w:r>
              <w:lastRenderedPageBreak/>
              <w:t>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Danielio Ortegos ir Rosario Murillo autoritarinį režimą, kuris sistemingai kenkia Nikaragvos demokratinėms struktūroms; primena, kad Nikaragvos režimas palaiko tvirtus ryšius su kitais autokratiniais režimais, pvz., Irane, Venesueloje ir Kuboje; kuo griežčiausiai </w:t>
            </w:r>
            <w:r>
              <w:lastRenderedPageBreak/>
              <w:t xml:space="preserve">smerkia Kubos režimo sistemingai vykdomus žmogaus teisių pažeidimus; </w:t>
            </w:r>
            <w:r>
              <w:rPr>
                <w:b/>
                <w:i/>
              </w:rPr>
              <w:t>ypač atkreipia dėmesį į „Kubos medicinos brigadą“, kuri kai kuriose Europos šalyse vykdo pagrindinių teisių ir laisvių pažeidimus, taip pat su vergove ir priverčiamuoju darbu susijusius pažeidimus;</w:t>
            </w:r>
            <w:r>
              <w:t xml:space="preserve"> griežtai smerkia ir visapusiškai atmeta Venesuelos režimo suorganizuotą rinkimų klastojimą ir reikalauja, kad N. Maduro vyriausybė nutrauktų savo represijų ir išpuolių prieš pilietinę visuomenę bei opoziciją politiką;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312</w:t>
      </w:r>
      <w:r>
        <w:rPr>
          <w:rStyle w:val="HideTWBExt"/>
        </w:rPr>
        <w:t>&lt;/NumAm&gt;</w:t>
      </w:r>
    </w:p>
    <w:p w:rsidR="002131D7" w:rsidRPr="00252254" w:rsidRDefault="002131D7" w:rsidP="002131D7">
      <w:pPr>
        <w:pStyle w:val="NormalBold"/>
      </w:pPr>
      <w:r>
        <w:rPr>
          <w:rStyle w:val="HideTWBExt"/>
          <w:b w:val="0"/>
        </w:rPr>
        <w:t>&lt;RepeatBlock-By&gt;&lt;Members&gt;</w:t>
      </w:r>
      <w:r>
        <w:t>Carlo Fidanza, Alberico Gambino, 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Danielio Ortegos ir Rosario Murillo autoritarinį režimą, kuris sistemingai kenkia Nikaragvos demokratinėms struktūroms; primena, kad Nikaragvos režimas palaiko tvirtus ryšius su kitais autokratiniais režimais, pvz., Irane, Venesueloje ir Kuboje; kuo griežčiausiai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primena, kad Nikaragvos režimas palaiko tvirtus ryšius su kitais autokratiniais režimais, pvz., Irane, Venesueloje ir Kuboje; kuo griežčiausiai smerkia Kubos režimo sistemingai vykdomus žmogaus teisių pažeidimus; griežtai smerkia Venesuelos režimo organizuotą rinkimų klastojimą ir visiškai atmeta šių rinkimų rezultatus ir </w:t>
            </w:r>
            <w:r>
              <w:rPr>
                <w:b/>
                <w:i/>
              </w:rPr>
              <w:t>primygtinai ragina ES ir jos valstybes nares pripažinti Edmundo Gonzálezą Urrutią teisėtu ir demokratiškai išrinktu Venesuelos prezidentu;</w:t>
            </w:r>
            <w:r>
              <w:t xml:space="preserve"> reikalauja, kad N. Maduro vyriausybė nutrauktų represijų ir išpuolių prieš pilietinę visuomenę ir opoziciją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313</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Danielio Ortegos ir Rosario Murillo autoritarinį režimą, kuris sistemingai kenkia Nikaragvos demokratinėms struktūroms; primena, kad Nikaragvos režimas palaiko tvirtus ryšius su kitais autokratiniais režimais, pvz., Irane</w:t>
            </w:r>
            <w:r>
              <w:rPr>
                <w:b/>
                <w:bCs/>
                <w:i/>
                <w:iCs/>
              </w:rPr>
              <w:t>,</w:t>
            </w:r>
            <w:r>
              <w:t xml:space="preserve"> Venesueloje </w:t>
            </w:r>
            <w:r>
              <w:rPr>
                <w:b/>
                <w:bCs/>
                <w:i/>
                <w:iCs/>
              </w:rPr>
              <w:t>ir Kuboje</w:t>
            </w:r>
            <w:r>
              <w:t xml:space="preserve">; </w:t>
            </w:r>
            <w:r>
              <w:rPr>
                <w:b/>
                <w:i/>
              </w:rPr>
              <w:t>kuo griežčiausiai</w:t>
            </w:r>
            <w:r>
              <w:t xml:space="preserve"> smerkia Kubos režimo </w:t>
            </w:r>
            <w:r>
              <w:rPr>
                <w:b/>
                <w:i/>
              </w:rPr>
              <w:t>sistemingai</w:t>
            </w:r>
            <w:r>
              <w:t xml:space="preserve"> vykdomus žmogaus teisių pažeidimus; griežtai smerkia ir visapusiškai atmeta Venesuelos režimo suorganizuotą rinkimų klastojimą ir reikalauja, kad N. Maduro vyriausybė </w:t>
            </w:r>
            <w:r>
              <w:rPr>
                <w:b/>
                <w:i/>
              </w:rPr>
              <w:t>nutrauktų savo represijų ir išpuolių prieš pilietinę visuomenę bei opoziciją politiką</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primena, kad Nikaragvos režimas palaiko tvirtus ryšius su kitais autokratiniais režimais, pvz., </w:t>
            </w:r>
            <w:r>
              <w:rPr>
                <w:b/>
                <w:i/>
              </w:rPr>
              <w:t>be kita ko,</w:t>
            </w:r>
            <w:r>
              <w:t xml:space="preserve"> Irane</w:t>
            </w:r>
            <w:r>
              <w:rPr>
                <w:b/>
                <w:i/>
              </w:rPr>
              <w:t xml:space="preserve"> ir</w:t>
            </w:r>
            <w:r>
              <w:t xml:space="preserve"> Venesueloje; smerkia Kubos režimo vykdomus žmogaus teisių pažeidimus</w:t>
            </w:r>
            <w:r>
              <w:rPr>
                <w:b/>
                <w:i/>
              </w:rPr>
              <w:t>, apie kuriuos pranešta</w:t>
            </w:r>
            <w:r>
              <w:t xml:space="preserve">; griežtai smerkia ir visiškai atmeta </w:t>
            </w:r>
            <w:r>
              <w:rPr>
                <w:b/>
                <w:i/>
              </w:rPr>
              <w:t>tvirtinimus apie</w:t>
            </w:r>
            <w:r>
              <w:t xml:space="preserve"> Venesuelos režimo organizuotą rinkimų klastojimą ir reikalauja, kad N. Maduro vyriausybė </w:t>
            </w:r>
            <w:r>
              <w:rPr>
                <w:b/>
                <w:i/>
              </w:rPr>
              <w:t>propaguotų susirinkimų ir asociacijų laisvę</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314</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Danielio Ortegos ir Rosario Murillo autoritarinį režimą, kuris sistemingai kenkia Nikaragvos demokratinėms struktūroms; primena, kad Nikaragvos režimas palaiko tvirtus ryšius su kitais autokratiniais režimais, pvz., Irane, Venesueloje ir Kuboje; </w:t>
            </w:r>
            <w:r>
              <w:rPr>
                <w:b/>
                <w:i/>
              </w:rPr>
              <w:t>kuo griežčiausiai</w:t>
            </w:r>
            <w:r>
              <w:t xml:space="preserve"> smerkia Kubos režimo sistemingai vykdomus žmogaus teisių pažeidimus; griežtai smerkia ir visapusiškai atmeta </w:t>
            </w:r>
            <w:r>
              <w:lastRenderedPageBreak/>
              <w:t>Venesuelos režimo suorganizuotą rinkimų klastojimą ir reikalauja, kad N. Maduro vyriausybė nutrauktų savo represijų ir išpuolių prieš pilietinę visuomenę bei opoziciją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Danielio Ortegos ir Rosario Murillo autoritarinį režimą, kuris sistemingai kenkia Nikaragvos demokratinėms struktūroms; primena, kad Nikaragvos režimas palaiko tvirtus ryšius su kitais autokratiniais režimais, pvz., Irane, Venesueloje ir Kuboje; smerkia Kubos režimo sistemingai vykdomus žmogaus teisių pažeidimus; griežtai smerkia ir visapusiškai atmeta Venesuelos režimo </w:t>
            </w:r>
            <w:r>
              <w:lastRenderedPageBreak/>
              <w:t>suorganizuotą rinkimų klastojimą ir reikalauja, kad N. Maduro vyriausybė nutrauktų savo represijų ir išpuolių prieš pilietinę visuomenę bei opoziciją politiką;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315</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tai, kad Azerbaidžanas nesilaikė 2023 m. lapkričio 17 d. Tarptautinio Teisingumo Teismo nutarties, kurioje nurodytos laikinosios priemonės, susijusios su saugiu, netrukdomu ir greitu 100 tūkst. etninių armėnų, pabėgusių iš Kalnų Karabacho po 2023 m. rugsėjo mėn. iš anksto suplanuoto, nepateisinamo Azerbaidžano karinio išpuolio, kuris prilygo etniniam valymui, grąžinimu, taip pat Azerbaidžano valdžios institucijų atsisakymu paleisti visus 23 šiuo metu jo sulaikytus armėnų karo belaisvius; pabrėžia, kad reikia remti visas iniciatyvas ir veiksmus, kurie galėtų padėti įtvirtinti taiką tarp Armėnijos ir Azerbaidžano ir pasirašyti ilgai lauktą taikos susitarimą, ir ragina Azerbaidžaną dėti nuoširdžias pastangas siekiant šių tikslų; įspėja Azerbaidžaną, kad bet kokie kariniai veiksmai prieš Armėniją būtų nepriimtini ir turėtų rimtų pasekmių Azerbaidžano ir ES partnerystei; pabrėžia, kad Azerbaidžano susisiekimo su jo eksklavu Nachičevanėje klausimus reikėtų spręsti visapusiškai atsižvelgiant į Armėnijos suverenitetą ir teritorinį vientisumą; pakartoja savo poziciją, kad ES turėtų būti pasirengusi taikyti sankcijas visiems asmenims ir subjektams, </w:t>
            </w:r>
            <w:r>
              <w:rPr>
                <w:b/>
                <w:i/>
              </w:rPr>
              <w:lastRenderedPageBreak/>
              <w:t>kurie kelia grėsmę Armėnijos suverenitetui, nepriklausomybei ir teritoriniam vientisumui; pabrėžia, kad daugybė Europos Parlamento įspėjimų dėl padėties nepakeitė ES pozicijos Azerbaidžano atžvilgiu; ragina ES užtikrinti, kad ji nebebūtų priklausoma nuo dujų importo iš Azerbaidžano; ragina Komisiją sustabdyti 2022 m. susitarimo memorandumo dėl strateginės partnerystės energetikos srityje galiojimą ir imtis atitinkamų veiksmų; ragina ES nutraukti bet kokią techninę ir finansinę paramą Azerbaidžanui, kuria galėtų būti prisidedama prie jo karinių ar saugumo pajėgumų stiprinimo; ragina valstybes nares įšaldyti visos karinės ir saugumo įrangos eksportą į Azerbaidžaną; smerkia pakartotinius Azerbaidžano bandymus šmeižti ir destabilizuoti valstybes nares, be kita ko, pasitelkiant vadinamąją Baku iniciatyvinę grupę;</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316</w:t>
      </w:r>
      <w:r>
        <w:rPr>
          <w:rStyle w:val="HideTWBExt"/>
        </w:rPr>
        <w:t>&lt;/NumAm&gt;</w:t>
      </w:r>
    </w:p>
    <w:p w:rsidR="002131D7" w:rsidRPr="00252254" w:rsidRDefault="002131D7" w:rsidP="002131D7">
      <w:pPr>
        <w:pStyle w:val="NormalBold"/>
      </w:pPr>
      <w:r>
        <w:rPr>
          <w:rStyle w:val="HideTWBExt"/>
          <w:b w:val="0"/>
        </w:rPr>
        <w:t>&lt;RepeatBlock-By&gt;&lt;Members&gt;</w:t>
      </w:r>
      <w:r>
        <w:t>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stiprėjančią tendenciją nepaisyti Tarptautinio Teisingumo Teismo ir Tarptautinio baudžiamojo teismo (TBT) sprendimų, pabrėžiant, kad tokie veiksmai kelia tiesioginę grėsmę pagrindiniams tarptautinio teisingumo principams; dar kartą patvirtina, kad Europos Sąjunga yra tvirtai įsipareigojusi saugoti ir remti Tarptautinį Teisingumo Teismą ir Tarptautinį baudžiamąjį teismą (TBT), ypač atsižvelgiant į didėjantį spaudimą, keliantį grėsmę jų nepriklausomumui; primygtinai ragina ES didinti finansinę </w:t>
            </w:r>
            <w:r>
              <w:rPr>
                <w:b/>
                <w:i/>
              </w:rPr>
              <w:lastRenderedPageBreak/>
              <w:t>paramą, kad būtų užtikrintas tvarus šių institucijų savarankiškumas ir nešališkumas; taip pat reiškia didelį susirūpinimą dėl to, kad JAV Atstovų Rūmuose gali būti priimti teisės aktai, kuriais TBT teisėjams, pareigūnams ir teisės ekspertams būtų taikomos tikslinės sankcijos;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317</w:t>
      </w:r>
      <w:r>
        <w:rPr>
          <w:rStyle w:val="HideTWBExt"/>
        </w:rPr>
        <w:t>&lt;/NumAm&gt;</w:t>
      </w:r>
    </w:p>
    <w:p w:rsidR="002131D7" w:rsidRPr="00252254" w:rsidRDefault="002131D7" w:rsidP="002131D7">
      <w:pPr>
        <w:pStyle w:val="NormalBold"/>
      </w:pPr>
      <w:r>
        <w:rPr>
          <w:rStyle w:val="HideTWBExt"/>
          <w:b w:val="0"/>
        </w:rPr>
        <w:t>&lt;RepeatBlock-By&gt;&lt;Members&gt;</w:t>
      </w:r>
      <w:r>
        <w:t>Ivaylo Valchev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dalies 10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Rusijos intervencinius veiksmus Malyje, Nigeryje ir visame regione remiant karines chuntas; griežtai smerkia samdinių pasitelkimą ir didėjantį smurtą regione ir primygtinai ragina, padedant visai tarptautinei bendruomenei, užtikrinti tvirtą tarptautinį atsaką ir veiksmus konfliktams deeskaluoti;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318</w:t>
      </w:r>
      <w:r>
        <w:rPr>
          <w:rStyle w:val="HideTWBExt"/>
        </w:rPr>
        <w:t>&lt;/NumAm&gt;</w:t>
      </w:r>
    </w:p>
    <w:p w:rsidR="002131D7" w:rsidRPr="00252254" w:rsidRDefault="002131D7" w:rsidP="002131D7">
      <w:pPr>
        <w:pStyle w:val="NormalBold"/>
      </w:pPr>
      <w:r>
        <w:rPr>
          <w:rStyle w:val="HideTWBExt"/>
          <w:b w:val="0"/>
        </w:rPr>
        <w:t>&lt;RepeatBlock-By&gt;&lt;Members&gt;</w:t>
      </w:r>
      <w:r>
        <w:t>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w:t>
            </w:r>
            <w:r>
              <w:rPr>
                <w:b/>
                <w:bCs/>
                <w:i/>
                <w:iCs/>
              </w:rPr>
              <w:t>;</w:t>
            </w:r>
            <w:r>
              <w:rPr>
                <w:b/>
                <w:i/>
              </w:rPr>
              <w:t xml:space="preserve"> palankiai vertina tai, kad iš dalies</w:t>
            </w:r>
            <w:r>
              <w:t xml:space="preserve"> sumažėjo įtampa rytinėje Viduržemio jūros dalyje ir Egėjo jūroje; pakartoja, jog yra susirūpinęs dėl to, kad Turkijos užsienio politika ir toliau neatitinka ES prioritetų </w:t>
            </w:r>
            <w:r>
              <w:lastRenderedPageBreak/>
              <w:t>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poreikį gerinti santykius su Turkija</w:t>
            </w:r>
            <w:r>
              <w:rPr>
                <w:b/>
                <w:i/>
              </w:rPr>
              <w:t xml:space="preserve"> – jis priklauso nuo pačios Turkijos konstruktyvaus bendradarbiavimo siekiant apčiuopiamų rezultatų visose ES ir Turkijos santykių plotmėse, visų pirma, Kipro klausimu; apgailestauja dėl to, kad, nepaisant iš </w:t>
            </w:r>
            <w:r>
              <w:rPr>
                <w:b/>
                <w:i/>
              </w:rPr>
              <w:lastRenderedPageBreak/>
              <w:t>dalies</w:t>
            </w:r>
            <w:r>
              <w:t xml:space="preserve"> sumažėjusios įtampos rytinėje Viduržemio jūros dalyje ir Egėjo jūroje</w:t>
            </w:r>
            <w:r>
              <w:rPr>
                <w:b/>
                <w:i/>
              </w:rPr>
              <w:t>, Turkija toliau vykdo agresyvią politiką ir nepagrįstai ginčija ES valstybių narių suverenitetą ir suverenias teises šioje srityje; šiuo atžvilgiu smerkia tai, kad pasirašyti Turkijos ir Libijos susitarimo memorandumai dėl visapusiško saugumo ir karinio bendradarbiavimo ir dėl jūrų zonų ribų nustatymo ir įvykdytas bylos išsireikalavimas, nes minėti memorandumai yra tarpusavyje susiję ir akivaizdžiai pažeidžia tarptautinę teisę, atitinkamas JT Saugumo Tarybos rezoliucijas ir suverenias ES valstybių narių teises;</w:t>
            </w:r>
            <w:r>
              <w:t xml:space="preserve">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319</w:t>
      </w:r>
      <w:r>
        <w:rPr>
          <w:rStyle w:val="HideTWBExt"/>
        </w:rPr>
        <w:t>&lt;/NumAm&gt;</w:t>
      </w:r>
    </w:p>
    <w:p w:rsidR="002131D7" w:rsidRPr="00252254" w:rsidRDefault="002131D7" w:rsidP="002131D7">
      <w:pPr>
        <w:pStyle w:val="NormalBold"/>
      </w:pPr>
      <w:r>
        <w:rPr>
          <w:rStyle w:val="HideTWBExt"/>
          <w:b w:val="0"/>
        </w:rPr>
        <w:t>&lt;RepeatBlock-By&gt;&lt;Members&gt;</w:t>
      </w:r>
      <w:r>
        <w:t>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w:t>
            </w:r>
            <w:r>
              <w:rPr>
                <w:b/>
                <w:i/>
              </w:rPr>
              <w:t>palankiai vertina tai, kad iš dalies</w:t>
            </w:r>
            <w:r>
              <w:t xml:space="preserve">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w:t>
            </w:r>
            <w:r>
              <w:rPr>
                <w:b/>
                <w:i/>
              </w:rPr>
              <w:t>apgailestauja dėl to, kad, nepaisant iš dalies</w:t>
            </w:r>
            <w:r>
              <w:t xml:space="preserve"> sumažėjusios įtampos rytinėje Viduržemio jūros dalyje ir Egėjo jūroje, </w:t>
            </w:r>
            <w:r>
              <w:rPr>
                <w:b/>
                <w:i/>
              </w:rPr>
              <w:t xml:space="preserve">Turkija ir toliau nepagrįstai ginčija ES valstybių narių suverenitetą ir jų suverenias teises šioje srityje; šiuo atžvilgiu smerkia tai, kad pasirašyti Turkijos ir Libijos susitarimo memorandumai dėl visapusiško saugumo ir karinio bendradarbiavimo ir dėl jūrų zonų ribų nustatymo ir įvykdytas bylos išsireikalavimas, nes minėti memorandumai yra tarpusavyje susiję ir akivaizdžiai pažeidžia tarptautinę teisę, atitinkamas JT Saugumo Tarybos </w:t>
            </w:r>
            <w:r>
              <w:rPr>
                <w:b/>
                <w:i/>
              </w:rPr>
              <w:lastRenderedPageBreak/>
              <w:t>rezoliucijas ir suverenias ES valstybių narių teises;</w:t>
            </w:r>
            <w:r>
              <w:t xml:space="preserve">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320</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 </w:t>
            </w:r>
            <w:r>
              <w:rPr>
                <w:b/>
                <w:i/>
              </w:rPr>
              <w:t>reiškia susirūpinimą dėl to, kad Turkija toliau vykdo dalies Kipro teritorijos okupaciją, ir pabrėžia, kad ES ir Turkijos santykiai gali pagerėti tik Turkijai pasitraukus iš Kipro teritorijos ir jai gerbiant valstybės narės suverenitetą;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321</w:t>
      </w:r>
      <w:r>
        <w:rPr>
          <w:rStyle w:val="HideTWBExt"/>
        </w:rPr>
        <w:t>&lt;/NumAm&gt;</w:t>
      </w:r>
    </w:p>
    <w:p w:rsidR="002131D7" w:rsidRPr="00252254" w:rsidRDefault="002131D7" w:rsidP="002131D7">
      <w:pPr>
        <w:pStyle w:val="NormalBold"/>
      </w:pPr>
      <w:r>
        <w:rPr>
          <w:rStyle w:val="HideTWBExt"/>
          <w:b w:val="0"/>
        </w:rPr>
        <w:t>&lt;RepeatBlock-By&gt;&lt;Members&gt;</w:t>
      </w:r>
      <w:r>
        <w:t>Alice Teodorescu Måwe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w:t>
            </w:r>
            <w:r>
              <w:rPr>
                <w:b/>
                <w:i/>
              </w:rPr>
              <w:t xml:space="preserve">gerinti </w:t>
            </w:r>
            <w:r>
              <w:t xml:space="preserve">santykius su Turkija; palankiai vertina tai, kad iš dalies sumažėjo įtampa rytinėje Viduržemio jūros dalyje ir Egėjo jūroje; pakartoja, jog yra susirūpinęs dėl to, kad Turkijos užsienio politika ir </w:t>
            </w:r>
            <w:r>
              <w:lastRenderedPageBreak/>
              <w:t>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reikia </w:t>
            </w:r>
            <w:r>
              <w:rPr>
                <w:b/>
                <w:i/>
              </w:rPr>
              <w:t xml:space="preserve">peržiūrėti </w:t>
            </w:r>
            <w:r>
              <w:t xml:space="preserve">santykius su Turkija; palankiai vertina tai, kad iš dalies sumažėjo įtampa rytinėje Viduržemio jūros dalyje ir Egėjo jūroje; pakartoja, jog yra susirūpinęs dėl to, kad Turkijos užsienio </w:t>
            </w:r>
            <w:r>
              <w:lastRenderedPageBreak/>
              <w:t xml:space="preserve">politika ir toliau neatitinka ES prioritetų pagal bendrą užsienio ir saugumo politiką; </w:t>
            </w:r>
            <w:r>
              <w:rPr>
                <w:b/>
                <w:i/>
              </w:rPr>
              <w:t>taip pat pabrėžia, kad Turkijos kelias į ES yra uždarytas tol, kol Turkijos užsienio politika atitiks BUSP, o Turkijos vyriausybė ir valdžios institucijos užtikrins pagarbą teisinei valstybei ir pagrindinėms teisėms bei laisvėms;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{SV}</w:t>
      </w:r>
      <w:r w:rsidRPr="00252254">
        <w:t>sv</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322</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 </w:t>
            </w:r>
            <w:r>
              <w:rPr>
                <w:b/>
                <w:i/>
              </w:rPr>
              <w:t>mano, kad bet koks trukdymas įgyvendinti valstybių narių suverenitetą ir suverenias teises, kylančias iš tarptautinės teisės, yra visiškai nepriimtinas veiksmas;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323</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w:t>
            </w:r>
            <w:r>
              <w:lastRenderedPageBreak/>
              <w:t xml:space="preserve">Egėjo jūroje; pakartoja, jog yra susirūpinęs dėl to, kad Turkijos užsienio politika </w:t>
            </w:r>
            <w:r>
              <w:rPr>
                <w:b/>
                <w:i/>
              </w:rPr>
              <w:t>ir toliau neatitinka</w:t>
            </w:r>
            <w:r>
              <w:t xml:space="preserve">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reikia gerinti santykius su Turkija; palankiai vertina tai, kad iš dalies sumažėjo įtampa rytinėje Viduržemio jūros dalyje ir </w:t>
            </w:r>
            <w:r>
              <w:lastRenderedPageBreak/>
              <w:t xml:space="preserve">Egėjo jūroje; pakartoja, kad yra susirūpinęs dėl to, jog Turkijos užsienio politika </w:t>
            </w:r>
            <w:r>
              <w:rPr>
                <w:b/>
                <w:i/>
              </w:rPr>
              <w:t>ne tik labai menkai atitinka</w:t>
            </w:r>
            <w:r>
              <w:t xml:space="preserve"> ES prioritetus pagal BUSP</w:t>
            </w:r>
            <w:r>
              <w:rPr>
                <w:b/>
                <w:i/>
              </w:rPr>
              <w:t>, bet vis labiau tolsta nuo ES BUSP</w:t>
            </w:r>
            <w:r>
              <w:t xml:space="preserve">; </w:t>
            </w:r>
            <w:r>
              <w:rPr>
                <w:b/>
                <w:i/>
              </w:rPr>
              <w:t>apgailestauja dėl to, kad Turkija nepadarė pažangos kai kuriose itin svarbiose srityse, pvz., pagrindinių teisių; </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324</w:t>
      </w:r>
      <w:r>
        <w:rPr>
          <w:rStyle w:val="HideTWBExt"/>
        </w:rPr>
        <w:t>&lt;/NumAm&gt;</w:t>
      </w:r>
    </w:p>
    <w:p w:rsidR="002131D7" w:rsidRPr="00252254" w:rsidRDefault="002131D7" w:rsidP="002131D7">
      <w:pPr>
        <w:pStyle w:val="NormalBold"/>
      </w:pPr>
      <w:r>
        <w:rPr>
          <w:rStyle w:val="HideTWBExt"/>
          <w:b w:val="0"/>
        </w:rPr>
        <w:t>&lt;RepeatBlock-By&gt;&lt;Members&gt;</w:t>
      </w:r>
      <w:r>
        <w:t>Marion Maréchal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w:t>
            </w:r>
            <w:r>
              <w:rPr>
                <w:b/>
                <w:i/>
              </w:rPr>
              <w:t>gerinti santykius</w:t>
            </w:r>
            <w:r>
              <w:t xml:space="preserve">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w:t>
            </w:r>
            <w:r>
              <w:rPr>
                <w:b/>
                <w:i/>
              </w:rPr>
              <w:t>suteikti aiškumo santykiams</w:t>
            </w:r>
            <w:r>
              <w:t xml:space="preserve"> su Turkija</w:t>
            </w:r>
            <w:r>
              <w:rPr>
                <w:b/>
                <w:i/>
              </w:rPr>
              <w:t xml:space="preserve">, galutinai nutraukiant jos stojimo į ES procesą, kuris buvo išsaugotas nepaisant to, kad buvo įšaldytos derybos dėl daugelio </w:t>
            </w:r>
            <w:r>
              <w:rPr>
                <w:b/>
                <w:bCs/>
              </w:rPr>
              <w:t>acquis communautaire</w:t>
            </w:r>
            <w:r>
              <w:rPr>
                <w:b/>
                <w:i/>
              </w:rPr>
              <w:t xml:space="preserve"> skyrių</w:t>
            </w:r>
            <w:r>
              <w:t>; palankiai vertina tai, kad iš dalies sumažėjo įtampa rytinėje Viduržemio jūros dalyje ir Egėjo jūroje;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325</w:t>
      </w:r>
      <w:r>
        <w:rPr>
          <w:rStyle w:val="HideTWBExt"/>
        </w:rPr>
        <w:t>&lt;/NumAm&gt;</w:t>
      </w:r>
    </w:p>
    <w:p w:rsidR="002131D7" w:rsidRPr="00252254" w:rsidRDefault="002131D7" w:rsidP="002131D7">
      <w:pPr>
        <w:pStyle w:val="NormalBold"/>
      </w:pPr>
      <w:r>
        <w:rPr>
          <w:rStyle w:val="HideTWBExt"/>
          <w:b w:val="0"/>
        </w:rPr>
        <w:t>&lt;RepeatBlock-By&gt;&lt;Members&gt;</w:t>
      </w:r>
      <w:r>
        <w:t>Emmanouil Kefalogiannis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w:t>
            </w:r>
            <w:r>
              <w:lastRenderedPageBreak/>
              <w:t>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reikia gerinti santykius su Turkija; palankiai vertina tai, kad iš dalies sumažėjo įtampa rytinėje Viduržemio jūros dalyje ir Egėjo jūroje; </w:t>
            </w:r>
            <w:r>
              <w:rPr>
                <w:b/>
                <w:i/>
              </w:rPr>
              <w:t xml:space="preserve">taip pat susirūpinęs pažymi, </w:t>
            </w:r>
            <w:r>
              <w:rPr>
                <w:b/>
                <w:i/>
              </w:rPr>
              <w:lastRenderedPageBreak/>
              <w:t>kad Turkija toliau nepagrįstai ginčija ES valstybių narių suverenitetą ir suverenias teises,</w:t>
            </w:r>
            <w:r>
              <w:t xml:space="preserve"> ir pakartoja, kad yra susirūpinęs dėl to, kad Turkijos užsienio politika ir toliau neatitinka ES prioritetų pagal BUSP;</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326</w:t>
      </w:r>
      <w:r>
        <w:rPr>
          <w:rStyle w:val="HideTWBExt"/>
        </w:rPr>
        <w:t>&lt;/NumAm&gt;</w:t>
      </w:r>
    </w:p>
    <w:p w:rsidR="002131D7" w:rsidRPr="00252254" w:rsidRDefault="002131D7" w:rsidP="002131D7">
      <w:pPr>
        <w:pStyle w:val="NormalBold"/>
      </w:pPr>
      <w:r>
        <w:rPr>
          <w:rStyle w:val="HideTWBExt"/>
          <w:b w:val="0"/>
        </w:rPr>
        <w:t>&lt;RepeatBlock-By&gt;&lt;Members&gt;</w:t>
      </w:r>
      <w:r>
        <w:t>Vangelis Meimarakis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w:t>
            </w:r>
            <w:r>
              <w:rPr>
                <w:b/>
                <w:i/>
              </w:rPr>
              <w:t>, taip pat susirūpinęs pažymi, kad Turkija toliau nepagrįstai ginčija ES valstybių narių suverenitetą ir suverenias teises</w:t>
            </w:r>
            <w:r>
              <w:t>;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327</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Jorge Martín Frías, Hermann Tertsch, Roberto Vannacci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reikia gerinti santykius su Turkija;</w:t>
            </w:r>
            <w:r>
              <w:t xml:space="preserve"> palankiai vertina tai, kad iš dalies sumažėjo įtampa rytinėje Viduržemio jūros dalyje ir Egėjo jūroje; pakartoja, jog yra susirūpinęs dėl to, kad Turkijos užsienio politika ir toliau neatitinka ES prioritetų pagal bendrą </w:t>
            </w:r>
            <w:r>
              <w:lastRenderedPageBreak/>
              <w:t>užsienio ir saugumo politiką;</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palankiai vertina tai, kad iš dalies sumažėjo įtampa rytinėje Viduržemio jūros dalyje ir Egėjo jūroje; pakartoja, jog yra susirūpinęs dėl to, kad Turkijos užsienio politika ir toliau neatitinka ES prioritetų pagal bendrą užsienio ir saugumo politiką; </w:t>
            </w:r>
            <w:r>
              <w:rPr>
                <w:b/>
                <w:i/>
              </w:rPr>
              <w:t xml:space="preserve">primena Turkijos agresijos veiksmus </w:t>
            </w:r>
            <w:r>
              <w:rPr>
                <w:b/>
                <w:i/>
              </w:rPr>
              <w:lastRenderedPageBreak/>
              <w:t>rytinėje Viduržemio jūros regiono dalyje prieš Graikiją ir Kiprą, kurios abi yra ES valstybės narės;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328</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w:t>
            </w:r>
            <w:r>
              <w:rPr>
                <w:b/>
                <w:i/>
              </w:rPr>
              <w:t>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329</w:t>
      </w:r>
      <w:r>
        <w:rPr>
          <w:rStyle w:val="HideTWBExt"/>
        </w:rPr>
        <w:t>&lt;/NumAm&gt;</w:t>
      </w:r>
    </w:p>
    <w:p w:rsidR="002131D7" w:rsidRPr="00252254" w:rsidRDefault="002131D7" w:rsidP="002131D7">
      <w:pPr>
        <w:pStyle w:val="NormalBold"/>
      </w:pPr>
      <w:r>
        <w:rPr>
          <w:rStyle w:val="HideTWBExt"/>
          <w:b w:val="0"/>
        </w:rPr>
        <w:t>&lt;RepeatBlock-By&gt;&lt;Members&gt;</w:t>
      </w:r>
      <w:r>
        <w:t>Hermann Tertsch, Jorge Martín Frías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reikia gerinti santykius su Turkija; palankiai vertina tai, kad iš dalies sumažėjo įtampa rytinėje Viduržemio jūros dalyje ir Egėjo jūroje; pakartoja, jog yra</w:t>
            </w:r>
            <w:r>
              <w:t xml:space="preserve">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330</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 </w:t>
            </w:r>
            <w:r>
              <w:rPr>
                <w:b/>
                <w:i/>
              </w:rPr>
              <w:t>pripažįsta, kad nėra jokių išankstinių sąlygų Turkijos stojimo į ES deryboms paspartinti;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331</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w:t>
            </w:r>
            <w:r>
              <w:rPr>
                <w:b/>
                <w:i/>
              </w:rPr>
              <w:t>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332</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w:t>
            </w:r>
            <w:r>
              <w:rPr>
                <w:b/>
                <w:i/>
              </w:rPr>
              <w:t>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333</w:t>
      </w:r>
      <w:r>
        <w:rPr>
          <w:rStyle w:val="HideTWBExt"/>
        </w:rPr>
        <w:t>&lt;/NumAm&gt;</w:t>
      </w:r>
    </w:p>
    <w:p w:rsidR="002131D7" w:rsidRPr="00252254" w:rsidRDefault="002131D7" w:rsidP="002131D7">
      <w:pPr>
        <w:pStyle w:val="NormalBold"/>
      </w:pPr>
      <w:r>
        <w:rPr>
          <w:rStyle w:val="HideTWBExt"/>
          <w:b w:val="0"/>
        </w:rPr>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reikia gerinti</w:t>
            </w:r>
            <w:r>
              <w:t xml:space="preserve"> santykius su </w:t>
            </w:r>
            <w:r>
              <w:rPr>
                <w:b/>
                <w:i/>
              </w:rPr>
              <w:t>Turkija; palankiai vertina tai, kad iš dalies sumažėjo įtampa rytinėje Viduržemio jūros dalyje ir Egėjo jūroje</w:t>
            </w:r>
            <w:r>
              <w:t>;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r>
            <w:r>
              <w:rPr>
                <w:b/>
                <w:i/>
              </w:rPr>
              <w:t>pabrėžia, kad galima Turkijos narystė ES priklauso nuo visapusiško Kopenhagos kriterijų laikymosi ir nuo</w:t>
            </w:r>
            <w:r>
              <w:t xml:space="preserve"> santykių su </w:t>
            </w:r>
            <w:r>
              <w:rPr>
                <w:b/>
                <w:i/>
              </w:rPr>
              <w:t>visomis ES valstybėmis narėmis, įskaitant Kipro Respubliką, normalizavimo</w:t>
            </w:r>
            <w:r>
              <w:t>;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334</w:t>
      </w:r>
      <w:r>
        <w:rPr>
          <w:rStyle w:val="HideTWBExt"/>
        </w:rPr>
        <w:t>&lt;/NumAm&gt;</w:t>
      </w:r>
    </w:p>
    <w:p w:rsidR="002131D7" w:rsidRPr="00252254" w:rsidRDefault="002131D7" w:rsidP="002131D7">
      <w:pPr>
        <w:pStyle w:val="NormalBold"/>
      </w:pPr>
      <w:r>
        <w:rPr>
          <w:rStyle w:val="HideTWBExt"/>
          <w:b w:val="0"/>
        </w:rPr>
        <w:t>&lt;RepeatBlock-By&gt;&lt;Members&gt;</w:t>
      </w:r>
      <w:r>
        <w:t>Kinga Gál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w:t>
            </w:r>
            <w:r>
              <w:rPr>
                <w:b/>
                <w:i/>
              </w:rPr>
              <w:t xml:space="preserve">susirūpinęs </w:t>
            </w:r>
            <w:r>
              <w:rPr>
                <w:b/>
                <w:i/>
              </w:rPr>
              <w:lastRenderedPageBreak/>
              <w:t>dėl to, kad Turkijos užsienio politika ir toliau neatitinka ES prioritetų pagal bendrą užsienio ir saugumo politiką</w:t>
            </w:r>
            <w:r>
              <w:t>;</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reikia gerinti santykius su Turkija; palankiai vertina tai, kad iš dalies sumažėjo įtampa rytinėje Viduržemio jūros dalyje ir Egėjo jūroje; pakartoja savo </w:t>
            </w:r>
            <w:r>
              <w:rPr>
                <w:b/>
                <w:i/>
              </w:rPr>
              <w:t xml:space="preserve">poziciją, kad </w:t>
            </w:r>
            <w:r>
              <w:rPr>
                <w:b/>
                <w:i/>
              </w:rPr>
              <w:lastRenderedPageBreak/>
              <w:t>Turkija yra strateginė partnerė, visų pirma, siekiant sustabdyti neteisėtą migraciją į ES, taip pat kalbant apie bendradarbiavimą energetikos srityje, karinį ir ekonominį bendradarbiavimą</w:t>
            </w:r>
            <w:r>
              <w:t>;</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335</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 Lucia Yar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r>
            <w:r>
              <w:rPr>
                <w:b/>
                <w:i/>
              </w:rPr>
              <w:t>su Turkijos užsienio politikos prioritetais susijusį neaiškumą;</w:t>
            </w:r>
            <w:r>
              <w:t xml:space="preserve"> reikia gerinti santykius su Turkija; palankiai vertina tai, kad iš dalies sumažėjo įtampa rytinėje Viduržemio jūros dalyje ir Egėjo jūroje; pakartoja, jog yra susirūpinęs dėl to, kad Turkijos užsienio politika ir toliau neatitinka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336</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w:t>
            </w:r>
            <w:r>
              <w:rPr>
                <w:b/>
                <w:bCs/>
                <w:i/>
                <w:iCs/>
              </w:rPr>
              <w:t>įtampa</w:t>
            </w:r>
            <w:r>
              <w:t xml:space="preserve"> rytinėje Viduržemio jūros dalyje ir Egėjo jūroje; pakartoja, jog yra susirūpinęs dėl to, kad Turkijos užsienio politika ir toliau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w:t>
            </w:r>
            <w:r>
              <w:rPr>
                <w:b/>
                <w:bCs/>
                <w:i/>
                <w:iCs/>
              </w:rPr>
              <w:t>Turkijos agresija</w:t>
            </w:r>
            <w:r>
              <w:t xml:space="preserve"> rytinėje Viduržemio jūros dalyje ir Egėjo jūroje; pakartoja, jog yra susirūpinęs dėl to, kad Turkijos užsienio politika ir toliau </w:t>
            </w:r>
            <w:r>
              <w:rPr>
                <w:b/>
                <w:bCs/>
                <w:i/>
                <w:iCs/>
              </w:rPr>
              <w:t xml:space="preserve">yra ekspansinė ir </w:t>
            </w:r>
            <w:r>
              <w:t xml:space="preserve">neatitinka ES prioritetų pagal bendrą </w:t>
            </w:r>
            <w:r>
              <w:lastRenderedPageBreak/>
              <w:t>užsienio ir saugumo politiką;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337</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dėl to, kad Turkijos užsienio politika ir toliau </w:t>
            </w:r>
            <w:r>
              <w:rPr>
                <w:b/>
                <w:i/>
              </w:rPr>
              <w:t>neatitinka</w:t>
            </w:r>
            <w:r>
              <w:t xml:space="preserve">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 xml:space="preserve">reikia gerinti santykius su Turkija; palankiai vertina tai, kad iš dalies sumažėjo įtampa rytinėje Viduržemio jūros dalyje ir Egėjo jūroje; pakartoja, jog yra susirūpinęs dėl to, kad Turkijos užsienio politika </w:t>
            </w:r>
            <w:r>
              <w:rPr>
                <w:b/>
                <w:i/>
              </w:rPr>
              <w:t>vis dar neatitinka</w:t>
            </w:r>
            <w:r>
              <w:t xml:space="preserve"> ES prioritetų pagal bendrą užsienio ir saugumo politiką;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338</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Αφροδίτη Λατινοπούλου, Fernand Kartheiser, Charlie Weimers, Νικόλαος Αναδιώτης</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reikia gerinti santykius su Turkija</w:t>
            </w:r>
            <w:r>
              <w:rPr>
                <w:b/>
                <w:bCs/>
                <w:i/>
                <w:iCs/>
              </w:rPr>
              <w:t>;</w:t>
            </w:r>
            <w:r>
              <w:t xml:space="preserve"> </w:t>
            </w:r>
            <w:r>
              <w:rPr>
                <w:b/>
                <w:i/>
              </w:rPr>
              <w:t xml:space="preserve">palankiai vertina tai, kad iš dalies sumažėjo įtampa rytinėje Viduržemio jūros dalyje ir Egėjo jūroje; </w:t>
            </w:r>
            <w:r>
              <w:rPr>
                <w:b/>
                <w:bCs/>
                <w:i/>
                <w:iCs/>
              </w:rPr>
              <w:t>pakartoja, jog yra susirūpinęs dėl to, kad Turkijos užsienio politika ir toliau</w:t>
            </w:r>
            <w:r>
              <w:t xml:space="preserve"> neatitinka ES prioritetų pagal bendrą užsienio ir saugumo politiką;</w:t>
            </w:r>
          </w:p>
        </w:tc>
        <w:tc>
          <w:tcPr>
            <w:tcW w:w="4876" w:type="dxa"/>
            <w:tcBorders>
              <w:top w:val="nil"/>
              <w:left w:val="nil"/>
              <w:bottom w:val="nil"/>
              <w:right w:val="nil"/>
            </w:tcBorders>
          </w:tcPr>
          <w:p w:rsidR="002131D7" w:rsidRPr="00252254" w:rsidRDefault="002131D7" w:rsidP="00B46628">
            <w:pPr>
              <w:pStyle w:val="Normal6a"/>
            </w:pPr>
            <w:r>
              <w:t>–</w:t>
            </w:r>
            <w:r>
              <w:tab/>
              <w:t>reikia gerinti santykius su Turkija</w:t>
            </w:r>
            <w:r>
              <w:rPr>
                <w:b/>
                <w:bCs/>
                <w:i/>
                <w:iCs/>
              </w:rPr>
              <w:t>,</w:t>
            </w:r>
            <w:r>
              <w:t xml:space="preserve"> </w:t>
            </w:r>
            <w:r>
              <w:rPr>
                <w:b/>
                <w:bCs/>
                <w:i/>
                <w:iCs/>
              </w:rPr>
              <w:t xml:space="preserve">ji, deja, vis dar nesilaiko tarptautinės teisės, jūrų teisės ir Europos </w:t>
            </w:r>
            <w:r w:rsidRPr="00807075">
              <w:rPr>
                <w:b/>
                <w:bCs/>
                <w:iCs/>
              </w:rPr>
              <w:t>acquis</w:t>
            </w:r>
            <w:r>
              <w:rPr>
                <w:b/>
                <w:bCs/>
                <w:i/>
                <w:iCs/>
              </w:rPr>
              <w:t xml:space="preserve"> </w:t>
            </w:r>
            <w:r>
              <w:t>ir neatitinka ES prioritetų pagal bendrą užsienio ir saugumo politiką</w:t>
            </w:r>
            <w:r>
              <w:rPr>
                <w:b/>
                <w:bCs/>
                <w:i/>
                <w:iCs/>
              </w:rPr>
              <w:t>, todėl dėl jos revizionistinio požiūrio Graikijoje ir Kipre nuolat kyla problemų</w:t>
            </w:r>
            <w:r>
              <w:t>; ·</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339</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smerkia karinių prekių ir patirties eksportą į Turkiją, kuri pažeidžia tarptautinę teisę:</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 okupuodama 38 proc. Kipro Respublikos teritorijos,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 pažeisdama Graikijos ir Kipro Respublikos suverenitetą bei suverenias teises jūroje ir ore,</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 laikydama karius ir vykdydama karines operacijas Sirijoje ir Irake, o, konkrečiai kalbant, Turkijoje, Sirijoje ir Irake vykdydama etninio valymo ir genocido veiksmus prieš gyventojų grupes, ypač tebesitęsiančius genocido veiksmus prieš kurdus,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 remdama besitęsiančią Azerbaidžano agresiją prieš Armėniją;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340</w:t>
      </w:r>
      <w:r>
        <w:rPr>
          <w:rStyle w:val="HideTWBExt"/>
        </w:rPr>
        <w:t>&lt;/NumAm&gt;</w:t>
      </w:r>
    </w:p>
    <w:p w:rsidR="002131D7" w:rsidRPr="00252254" w:rsidRDefault="002131D7" w:rsidP="002131D7">
      <w:pPr>
        <w:pStyle w:val="NormalBold"/>
      </w:pPr>
      <w:r>
        <w:rPr>
          <w:rStyle w:val="HideTWBExt"/>
          <w:b w:val="0"/>
        </w:rPr>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ragina paisyti buferinės zonos statuso ir JT taikos palaikymo pajėgų Kipre įgaliojimų; primygtinai ragina Turkiją ir Kipro turkų vadovybę nutraukti ir atšaukti visą tokią vienašalę veiklą ir vengti bet kokių tolesnių veiksmų bei provokacijų (įskaitant didėjantį Turkijos okupuotos Kipro Respublikos teritorijos </w:t>
            </w:r>
            <w:r>
              <w:rPr>
                <w:b/>
                <w:i/>
              </w:rPr>
              <w:lastRenderedPageBreak/>
              <w:t>militarizavimą), kurie nepadeda atnaujinti JT vadovaujamų derybų; ragina dalyvauti taikiose derybose ir tikrame dialogo procese pagal JT sistemą;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341</w:t>
      </w:r>
      <w:r>
        <w:rPr>
          <w:rStyle w:val="HideTWBExt"/>
        </w:rPr>
        <w:t>&lt;/NumAm&gt;</w:t>
      </w:r>
    </w:p>
    <w:p w:rsidR="002131D7" w:rsidRPr="00252254" w:rsidRDefault="002131D7" w:rsidP="002131D7">
      <w:pPr>
        <w:pStyle w:val="NormalBold"/>
      </w:pPr>
      <w:r>
        <w:rPr>
          <w:rStyle w:val="HideTWBExt"/>
          <w:b w:val="0"/>
        </w:rPr>
        <w:t>&lt;RepeatBlock-By&gt;&lt;Members&gt;</w:t>
      </w:r>
      <w:r>
        <w:t>Alberico Gambino, Carlo Fidanza, 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poreikį atidžiau apsvarstyti Viduržemio ir pietų kaimynystės keliamas problemas, kurios plinta į Europos žemyną ir kelia aiškią grėsmę saugumui ir stabilumui euroatlantiniame regione;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342</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smerkia tai, kad trūksta iniciatyvų, kuriomis būtų siekiama užkirsti kelią Turkijos agresijai prieš Kipro Respubliką, Graikiją, Siriją, Iraką ir Armėniją, taip pat Turkijos tebevykdomiems genocido veiksmams prieš 18 mln. kurdų Turkijoje, Sirijoje ir Irake;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343</w:t>
      </w:r>
      <w:r>
        <w:rPr>
          <w:rStyle w:val="HideTWBExt"/>
        </w:rPr>
        <w:t>&lt;/NumAm&gt;</w:t>
      </w:r>
    </w:p>
    <w:p w:rsidR="002131D7" w:rsidRPr="00252254" w:rsidRDefault="002131D7" w:rsidP="002131D7">
      <w:pPr>
        <w:pStyle w:val="NormalBold"/>
      </w:pPr>
      <w:r>
        <w:rPr>
          <w:rStyle w:val="HideTWBExt"/>
          <w:b w:val="0"/>
        </w:rPr>
        <w:lastRenderedPageBreak/>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pabrėžia, kad, jei Turkijos vyriausybė iš esmės nepakeis savo kurso, Turkijos stojimo į ES procesas negalės būti atnaujintas; </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344</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1 c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ragina Komisiją kaip kurdų problemos sprendimą apsvarstyti klausimą dėl Turkijos pertvarkymo į dviejų zonų ir dviejų bendruomenių federaciją, į turkų ir kurdų federalines žemes, kuriose būtų užtikrinta politinė lygybė, siekiant visapusiškai apsaugoti kurdų teises;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345</w:t>
      </w:r>
      <w:r>
        <w:rPr>
          <w:rStyle w:val="HideTWBExt"/>
        </w:rPr>
        <w:t>&lt;/NumAm&gt;</w:t>
      </w:r>
    </w:p>
    <w:p w:rsidR="002131D7" w:rsidRPr="00252254" w:rsidRDefault="002131D7" w:rsidP="002131D7">
      <w:pPr>
        <w:pStyle w:val="NormalBold"/>
      </w:pPr>
      <w:r>
        <w:rPr>
          <w:rStyle w:val="HideTWBExt"/>
          <w:b w:val="0"/>
        </w:rPr>
        <w:t>&lt;RepeatBlock-By&gt;&lt;Members&gt;</w:t>
      </w:r>
      <w:r>
        <w:t>Hermann Tertsch, Jorge Martín Frías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ES ir Turkijos vyriausybė turi skubiai pereiti prie abipusių svarstymų proceso, kuris padėtų sukurti abipusiškai </w:t>
            </w:r>
            <w:r>
              <w:rPr>
                <w:b/>
                <w:i/>
              </w:rPr>
              <w:lastRenderedPageBreak/>
              <w:t>naudingą, dinamiškesnę ir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rPr>
                <w:b/>
                <w:i/>
              </w:rPr>
              <w:lastRenderedPageBreak/>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346</w:t>
      </w:r>
      <w:r>
        <w:rPr>
          <w:rStyle w:val="HideTWBExt"/>
        </w:rPr>
        <w:t>&lt;/NumAm&gt;</w:t>
      </w:r>
    </w:p>
    <w:p w:rsidR="002131D7" w:rsidRPr="00252254" w:rsidRDefault="002131D7" w:rsidP="002131D7">
      <w:pPr>
        <w:pStyle w:val="NormalBold"/>
      </w:pPr>
      <w:r>
        <w:rPr>
          <w:rStyle w:val="HideTWBExt"/>
          <w:b w:val="0"/>
        </w:rPr>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ES ir Turkijos vyriausybė turi skubiai pereiti prie abipusių svarstymų proceso, kuris padėtų sukurti abipusiškai naudingą, dinamiškesnę ir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347</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ES ir Turkijos vyriausybė turi skubiai pereiti prie abipusių svarstymų proceso, kuris padėtų sukurti abipusiškai naudingą, dinamiškesnę ir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348</w:t>
      </w:r>
      <w:r>
        <w:rPr>
          <w:rStyle w:val="HideTWBExt"/>
        </w:rPr>
        <w:t>&lt;/NumAm&gt;</w:t>
      </w:r>
    </w:p>
    <w:p w:rsidR="002131D7" w:rsidRPr="00252254" w:rsidRDefault="002131D7" w:rsidP="002131D7">
      <w:pPr>
        <w:pStyle w:val="NormalBold"/>
      </w:pPr>
      <w:r>
        <w:rPr>
          <w:rStyle w:val="HideTWBExt"/>
          <w:b w:val="0"/>
        </w:rPr>
        <w:t>&lt;RepeatBlock-By&gt;&lt;Members&gt;</w:t>
      </w:r>
      <w:r>
        <w:t>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ES ir Turkijos vyriausybė turi skubiai pereiti prie abipusių svarstymų proceso, kuris padėtų sukurti abipusiškai naudingą, dinamiškesnę ir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349</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Αφροδίτη Λατινοπούλου, Fernand Kartheiser, Charlie Weimers, Νικόλαος Αναδιώτης</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ES ir Turkijos</w:t>
            </w:r>
            <w:r>
              <w:rPr>
                <w:b/>
                <w:bCs/>
                <w:i/>
                <w:iCs/>
              </w:rPr>
              <w:t xml:space="preserve"> vyriausybė</w:t>
            </w:r>
            <w:r>
              <w:t xml:space="preserve"> turi skubiai </w:t>
            </w:r>
            <w:r>
              <w:rPr>
                <w:b/>
                <w:bCs/>
                <w:i/>
                <w:iCs/>
              </w:rPr>
              <w:t>pereiti</w:t>
            </w:r>
            <w:r>
              <w:t xml:space="preserve"> prie abipusių svarstymų proceso, kuris padėtų sukurti abipusiškai naudingą, dinamiškesnę ir strateginę partnerystę, atsižvelgiant į svarbų Turkijos vaidmenį regione </w:t>
            </w:r>
            <w:r>
              <w:rPr>
                <w:b/>
                <w:bCs/>
                <w:i/>
                <w:iCs/>
              </w:rPr>
              <w:t>ir jos, kaip NATO sąjungininkės, svarbą</w:t>
            </w:r>
            <w:r>
              <w:t>;</w:t>
            </w:r>
          </w:p>
        </w:tc>
        <w:tc>
          <w:tcPr>
            <w:tcW w:w="4876" w:type="dxa"/>
            <w:tcBorders>
              <w:top w:val="nil"/>
              <w:left w:val="nil"/>
              <w:bottom w:val="nil"/>
              <w:right w:val="nil"/>
            </w:tcBorders>
          </w:tcPr>
          <w:p w:rsidR="002131D7" w:rsidRPr="00252254" w:rsidRDefault="002131D7" w:rsidP="00B46628">
            <w:pPr>
              <w:pStyle w:val="Normal6a"/>
            </w:pPr>
            <w:r>
              <w:t>–</w:t>
            </w:r>
            <w:r>
              <w:tab/>
            </w:r>
            <w:r>
              <w:rPr>
                <w:b/>
                <w:bCs/>
                <w:i/>
                <w:iCs/>
              </w:rPr>
              <w:t>tai, kad Turkija</w:t>
            </w:r>
            <w:r>
              <w:t xml:space="preserve"> turi skubiai </w:t>
            </w:r>
            <w:r>
              <w:rPr>
                <w:b/>
                <w:bCs/>
                <w:i/>
                <w:iCs/>
              </w:rPr>
              <w:t>pripažinti</w:t>
            </w:r>
            <w:r>
              <w:t xml:space="preserve"> </w:t>
            </w:r>
            <w:r>
              <w:rPr>
                <w:b/>
                <w:bCs/>
                <w:i/>
                <w:iCs/>
              </w:rPr>
              <w:t>Kipro Respubliką, vykdyti su Kipru susijusius įsipareigojimus siekiant tinkamai išspręsti Kipro problemą ir nutraukti neteisėtą Kipro teritorijų okupaciją prieš</w:t>
            </w:r>
            <w:r>
              <w:t xml:space="preserve"> ES ir Turkijos </w:t>
            </w:r>
            <w:r>
              <w:rPr>
                <w:b/>
                <w:bCs/>
                <w:i/>
                <w:iCs/>
              </w:rPr>
              <w:t>vyriausybei pereinant</w:t>
            </w:r>
            <w:r>
              <w:t xml:space="preserve"> prie abipusių svarstymų proceso, kuris padėtų sukurti abipusiškai naudingą, dinamiškesnę ir strateginę partnerystę, atsižvelgiant į svarbų Turkijos vaidmenį regione;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350</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ES ir Turkijos vyriausybė turi skubiai pereiti prie abipusių svarstymų proceso, kuris padėtų sukurti abipusiškai naudingą, dinamiškesnę ir </w:t>
            </w:r>
            <w:r>
              <w:rPr>
                <w:b/>
                <w:i/>
              </w:rPr>
              <w:t>strateginę</w:t>
            </w:r>
            <w:r>
              <w:t xml:space="preserve"> partnerystę</w:t>
            </w:r>
            <w:r>
              <w:rPr>
                <w:b/>
                <w:i/>
              </w:rPr>
              <w:t>, atsižvelgiant į svarbų Turkijos vaidmenį regione ir jos, kaip NATO sąjungininkės, svarbą</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ES ir Turkijos vyriausybė turi skubiai pereiti prie abipusių svarstymų proceso, kuris padėtų sukurti abipusiškai naudingą, dinamiškesnę ir </w:t>
            </w:r>
            <w:r>
              <w:rPr>
                <w:b/>
                <w:i/>
              </w:rPr>
              <w:t>veiksmingą</w:t>
            </w:r>
            <w:r>
              <w:t xml:space="preserve"> partnerystę;</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351</w:t>
      </w:r>
      <w:r>
        <w:rPr>
          <w:rStyle w:val="HideTWBExt"/>
        </w:rPr>
        <w:t>&lt;/NumAm&gt;</w:t>
      </w:r>
    </w:p>
    <w:p w:rsidR="002131D7" w:rsidRPr="00252254" w:rsidRDefault="002131D7" w:rsidP="002131D7">
      <w:pPr>
        <w:pStyle w:val="NormalBold"/>
      </w:pPr>
      <w:r>
        <w:rPr>
          <w:rStyle w:val="HideTWBExt"/>
          <w:b w:val="0"/>
        </w:rPr>
        <w:t>&lt;RepeatBlock-By&gt;&lt;Members&gt;</w:t>
      </w:r>
      <w:r>
        <w:t>Vangelis Meimarakis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ES ir Turkijos vyriausybė turi </w:t>
            </w:r>
            <w:r>
              <w:rPr>
                <w:b/>
                <w:i/>
              </w:rPr>
              <w:t>skubiai</w:t>
            </w:r>
            <w:r>
              <w:t xml:space="preserve"> </w:t>
            </w:r>
            <w:r>
              <w:rPr>
                <w:b/>
                <w:i/>
              </w:rPr>
              <w:t>pereiti prie abipusių svarstymų proceso, kuris padėtų sukurti</w:t>
            </w:r>
            <w:r>
              <w:t xml:space="preserve"> abipusiškai naudingą</w:t>
            </w:r>
            <w:r>
              <w:rPr>
                <w:b/>
                <w:i/>
              </w:rPr>
              <w:t>, dinamiškesnę ir</w:t>
            </w:r>
            <w:r>
              <w:t xml:space="preserve">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t>–</w:t>
            </w:r>
            <w:r>
              <w:tab/>
            </w:r>
            <w:r>
              <w:rPr>
                <w:b/>
                <w:i/>
              </w:rPr>
              <w:t>svarbu</w:t>
            </w:r>
            <w:r>
              <w:t>, kad ES ir Turkijos vyriausybė</w:t>
            </w:r>
            <w:r>
              <w:rPr>
                <w:b/>
                <w:i/>
              </w:rPr>
              <w:t xml:space="preserve"> apsvarstytų, kaip sukurti</w:t>
            </w:r>
            <w:r>
              <w:t xml:space="preserve"> </w:t>
            </w:r>
            <w:r>
              <w:rPr>
                <w:b/>
                <w:i/>
              </w:rPr>
              <w:t>bendradarbiavimu grindžiamą</w:t>
            </w:r>
            <w:r>
              <w:t xml:space="preserve"> ir abipusiškai naudingą strateginę partnerystę</w:t>
            </w:r>
            <w:r>
              <w:rPr>
                <w:b/>
                <w:i/>
              </w:rPr>
              <w:t>, vadovaujantis visai neseniai – 2024 m. balandžio 17–18 d. – priimtomis Europos Vadovų Tarybos išvadomis</w:t>
            </w:r>
            <w:r>
              <w:t xml:space="preserve"> ir atsižvelgiant į svarbų Turkijos vaidmenį regione ir jos, kaip NATO sąjungininkės, svarbą;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352</w:t>
      </w:r>
      <w:r>
        <w:rPr>
          <w:rStyle w:val="HideTWBExt"/>
        </w:rPr>
        <w:t>&lt;/NumAm&gt;</w:t>
      </w:r>
    </w:p>
    <w:p w:rsidR="002131D7" w:rsidRPr="00252254" w:rsidRDefault="002131D7" w:rsidP="002131D7">
      <w:pPr>
        <w:pStyle w:val="NormalBold"/>
      </w:pPr>
      <w:r>
        <w:rPr>
          <w:rStyle w:val="HideTWBExt"/>
          <w:b w:val="0"/>
        </w:rPr>
        <w:t>&lt;RepeatBlock-By&gt;&lt;Members&gt;</w:t>
      </w:r>
      <w:r>
        <w:t>Emmanouil Kefalogiannis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ES ir Turkijos vyriausybė turi</w:t>
            </w:r>
            <w:r>
              <w:rPr>
                <w:b/>
                <w:i/>
              </w:rPr>
              <w:t xml:space="preserve"> skubiai pereiti prie abipusių svarstymų </w:t>
            </w:r>
            <w:r>
              <w:rPr>
                <w:b/>
                <w:i/>
              </w:rPr>
              <w:lastRenderedPageBreak/>
              <w:t>proceso, kuris padėtų sukurti</w:t>
            </w:r>
            <w:r>
              <w:t xml:space="preserve"> abipusiškai naudingą, </w:t>
            </w:r>
            <w:r>
              <w:rPr>
                <w:b/>
                <w:i/>
              </w:rPr>
              <w:t>dinamiškesnę ir</w:t>
            </w:r>
            <w:r>
              <w:t xml:space="preserve">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lastRenderedPageBreak/>
              <w:t>–</w:t>
            </w:r>
            <w:r>
              <w:tab/>
            </w:r>
            <w:r>
              <w:rPr>
                <w:b/>
                <w:i/>
              </w:rPr>
              <w:t>svarbu</w:t>
            </w:r>
            <w:r>
              <w:t>, kad ES ir Turkijos vyriausybė</w:t>
            </w:r>
            <w:r>
              <w:rPr>
                <w:b/>
                <w:i/>
              </w:rPr>
              <w:t xml:space="preserve"> apsvarstytų, kaip sukurti</w:t>
            </w:r>
            <w:r>
              <w:t xml:space="preserve"> </w:t>
            </w:r>
            <w:r>
              <w:lastRenderedPageBreak/>
              <w:t xml:space="preserve">abipusiškai naudingą </w:t>
            </w:r>
            <w:r>
              <w:rPr>
                <w:b/>
                <w:i/>
              </w:rPr>
              <w:t>bendradarbiavimo</w:t>
            </w:r>
            <w:r>
              <w:t xml:space="preserve"> strateginę partnerystę</w:t>
            </w:r>
            <w:r>
              <w:rPr>
                <w:b/>
                <w:i/>
              </w:rPr>
              <w:t>, vadovaujantis visai neseniai – 2024 m. balandžio 17–18 d. – priimtomis Europos Vadovų Tarybos išvadomis</w:t>
            </w:r>
            <w:r>
              <w:t>, atsižvelgiant į svarbų Turkijos vaidmenį regione ir jos, kaip NATO sąjungininkės, svarbą;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353</w:t>
      </w:r>
      <w:r>
        <w:rPr>
          <w:rStyle w:val="HideTWBExt"/>
        </w:rPr>
        <w:t>&lt;/NumAm&gt;</w:t>
      </w:r>
    </w:p>
    <w:p w:rsidR="002131D7" w:rsidRPr="00252254" w:rsidRDefault="002131D7" w:rsidP="002131D7">
      <w:pPr>
        <w:pStyle w:val="NormalBold"/>
      </w:pPr>
      <w:r>
        <w:rPr>
          <w:rStyle w:val="HideTWBExt"/>
          <w:b w:val="0"/>
        </w:rPr>
        <w:t>&lt;RepeatBlock-By&gt;&lt;Members&gt;</w:t>
      </w:r>
      <w:r>
        <w:t>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ES ir</w:t>
            </w:r>
            <w:r>
              <w:t xml:space="preserve"> Turkijos vyriausybė turi </w:t>
            </w:r>
            <w:r>
              <w:rPr>
                <w:b/>
                <w:i/>
              </w:rPr>
              <w:t>skubiai pereiti prie abipusių svarstymų proceso, kuris padėtų sukurti</w:t>
            </w:r>
            <w:r>
              <w:t xml:space="preserve"> abipusiškai naudingą</w:t>
            </w:r>
            <w:r>
              <w:rPr>
                <w:b/>
                <w:i/>
              </w:rPr>
              <w:t>, dinamiškesnę ir</w:t>
            </w:r>
            <w:r>
              <w:t xml:space="preserve"> strateginę partnerystę, atsižvelgiant į </w:t>
            </w:r>
            <w:r>
              <w:rPr>
                <w:b/>
                <w:i/>
              </w:rPr>
              <w:t>svarbų</w:t>
            </w:r>
            <w:r>
              <w:t xml:space="preserve"> Turkijos</w:t>
            </w:r>
            <w:r>
              <w:rPr>
                <w:b/>
                <w:i/>
              </w:rPr>
              <w:t xml:space="preserve"> vaidmenį regione ir jos, kaip</w:t>
            </w:r>
            <w:r>
              <w:t xml:space="preserve"> NATO </w:t>
            </w:r>
            <w:r>
              <w:rPr>
                <w:b/>
                <w:i/>
              </w:rPr>
              <w:t>sąjungininkės, svarbą</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tai, kad Turkijos vyriausybė </w:t>
            </w:r>
            <w:r>
              <w:rPr>
                <w:b/>
                <w:i/>
              </w:rPr>
              <w:t>turi</w:t>
            </w:r>
            <w:r>
              <w:t xml:space="preserve"> abipusiškai naudingu </w:t>
            </w:r>
            <w:r>
              <w:rPr>
                <w:b/>
                <w:i/>
              </w:rPr>
              <w:t>būdu gerinti santykius su ES ir jos valstybėmis narėmis ir plėtoti bendradarbiavimo</w:t>
            </w:r>
            <w:r>
              <w:t xml:space="preserve"> strateginę partnerystę</w:t>
            </w:r>
            <w:r>
              <w:rPr>
                <w:b/>
                <w:i/>
              </w:rPr>
              <w:t>, laikydamasi tarptautinės teisės ir 2024 m. balandžio 17–18 d. Europos Vadovų Tarybos išvadų</w:t>
            </w:r>
            <w:r>
              <w:t xml:space="preserve">, atsižvelgiant į tai, kad Turkija </w:t>
            </w:r>
            <w:r>
              <w:rPr>
                <w:b/>
                <w:i/>
              </w:rPr>
              <w:t>yra</w:t>
            </w:r>
            <w:r>
              <w:t xml:space="preserve"> NATO </w:t>
            </w:r>
            <w:r>
              <w:rPr>
                <w:b/>
                <w:i/>
              </w:rPr>
              <w:t>narė</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354</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ES ir Turkijos vyriausybė turi skubiai pereiti prie abipusių svarstymų proceso, kuris padėtų sukurti abipusiškai naudingą, dinamiškesnę ir strateginę partnerystę, atsižvelgiant į svarbų Turkijos vaidmenį regione ir jos, kaip NATO </w:t>
            </w:r>
            <w:r>
              <w:lastRenderedPageBreak/>
              <w:t>sąjungininkės, svarbą;</w:t>
            </w:r>
          </w:p>
        </w:tc>
        <w:tc>
          <w:tcPr>
            <w:tcW w:w="4876" w:type="dxa"/>
            <w:tcBorders>
              <w:top w:val="nil"/>
              <w:left w:val="nil"/>
              <w:bottom w:val="nil"/>
              <w:right w:val="nil"/>
            </w:tcBorders>
          </w:tcPr>
          <w:p w:rsidR="002131D7" w:rsidRPr="00252254" w:rsidRDefault="002131D7" w:rsidP="00B46628">
            <w:pPr>
              <w:pStyle w:val="Normal6a"/>
            </w:pPr>
            <w:r>
              <w:lastRenderedPageBreak/>
              <w:t>–</w:t>
            </w:r>
            <w:r>
              <w:tab/>
              <w:t>ES ir Turkijos vyriausybė turi skubiai pereiti prie abipusių svarstymų proceso, kuris padėtų sukurti abipusiškai naudingą, dinamiškesnę ir strateginę partnerystę, atsižvelgiant į svarbų Turkijos vaidmenį</w:t>
            </w:r>
            <w:r>
              <w:rPr>
                <w:b/>
                <w:i/>
              </w:rPr>
              <w:t>, pavyzdžiui,</w:t>
            </w:r>
            <w:r>
              <w:t xml:space="preserve"> </w:t>
            </w:r>
            <w:r>
              <w:rPr>
                <w:b/>
                <w:i/>
              </w:rPr>
              <w:t>Juodosios jūros</w:t>
            </w:r>
            <w:r>
              <w:t xml:space="preserve"> regione ir jos, kaip NATO sąjungininkės, </w:t>
            </w:r>
            <w:r>
              <w:lastRenderedPageBreak/>
              <w:t>svarbą;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355</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ES ir Turkijos vyriausybė turi </w:t>
            </w:r>
            <w:r>
              <w:rPr>
                <w:b/>
                <w:i/>
              </w:rPr>
              <w:t>skubiai</w:t>
            </w:r>
            <w:r>
              <w:t xml:space="preserve"> pereiti prie abipusių svarstymų proceso, kuris padėtų sukurti abipusiškai naudingą, dinamiškesnę ir strateginę partnerystę, atsižvelgiant į svarbų Turkijos vaidmenį regione ir jos, kaip NATO sąjungininkės, svarbą;</w:t>
            </w:r>
          </w:p>
        </w:tc>
        <w:tc>
          <w:tcPr>
            <w:tcW w:w="4876" w:type="dxa"/>
            <w:tcBorders>
              <w:top w:val="nil"/>
              <w:left w:val="nil"/>
              <w:bottom w:val="nil"/>
              <w:right w:val="nil"/>
            </w:tcBorders>
          </w:tcPr>
          <w:p w:rsidR="002131D7" w:rsidRPr="00252254" w:rsidRDefault="002131D7" w:rsidP="00B46628">
            <w:pPr>
              <w:pStyle w:val="Normal6a"/>
            </w:pPr>
            <w:r>
              <w:t>–</w:t>
            </w:r>
            <w:r>
              <w:tab/>
              <w:t>ES ir Turkijos vyriausybė turi pereiti prie abipusių svarstymų proceso, kuris padėtų sukurti abipusiškai naudingą, dinamiškesnę ir strateginę partnerystę, atsižvelgiant į svarbų Turkijos vaidmenį regione ir jos, kaip NATO sąjungininkės, svarbą;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356</w:t>
      </w:r>
      <w:r>
        <w:rPr>
          <w:rStyle w:val="HideTWBExt"/>
        </w:rPr>
        <w:t>&lt;/NumAm&gt;</w:t>
      </w:r>
    </w:p>
    <w:p w:rsidR="002131D7" w:rsidRPr="00252254" w:rsidRDefault="002131D7" w:rsidP="002131D7">
      <w:pPr>
        <w:pStyle w:val="NormalBold"/>
      </w:pPr>
      <w:r>
        <w:rPr>
          <w:rStyle w:val="HideTWBExt"/>
          <w:b w:val="0"/>
        </w:rPr>
        <w:t>&lt;RepeatBlock-By&gt;&lt;Members&gt;</w:t>
      </w:r>
      <w:r>
        <w:t>Vangelis Meimarakis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strateginį ES interesą užtikrinti stabilią ir saugią aplinką rytinėje Viduržemio jūros regiono dalyje ir laipsniškai, proporcingai ir pasiliekant galimybę nebetęsti proceso plėtoti bendradarbiavimu grindžiamus ir abipusiškai naudingus santykius su Turkija, laikantis Europos Vadovų Tarybos išvadose nustatytų sąlygų;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357</w:t>
      </w:r>
      <w:r>
        <w:rPr>
          <w:rStyle w:val="HideTWBExt"/>
        </w:rPr>
        <w:t>&lt;/NumAm&gt;</w:t>
      </w:r>
    </w:p>
    <w:p w:rsidR="002131D7" w:rsidRPr="00252254" w:rsidRDefault="002131D7" w:rsidP="002131D7">
      <w:pPr>
        <w:pStyle w:val="NormalBold"/>
      </w:pPr>
      <w:r>
        <w:rPr>
          <w:rStyle w:val="HideTWBExt"/>
          <w:b w:val="0"/>
        </w:rPr>
        <w:lastRenderedPageBreak/>
        <w:t>&lt;RepeatBlock-By&gt;&lt;Members&gt;</w:t>
      </w:r>
      <w:r>
        <w:t>Vangelis Meimarakis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2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šiuo atžvilgiu Europos Sąjunga daug dėmesio teikia derybų dėl Kipro problemos sprendimo atnaujinimui ir pažangai šiose derybose toliau stiprinant ES ir Turkijos bendradarbiavimą.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358</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359</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Roberto Vannacci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lastRenderedPageBreak/>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t>–</w:t>
            </w:r>
            <w:r>
              <w:tab/>
              <w:t xml:space="preserve">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 </w:t>
            </w:r>
            <w:r>
              <w:rPr>
                <w:b/>
                <w:i/>
              </w:rPr>
              <w:t>ragina Tarybą griežtai pasmerkti Turkijos priešišką geopolitinį elgesį regione ir nutraukti derybas dėl Turkijos stojimo į ES ir visą ES finansavimą bei programas, susijusius su Turkijos narystės siekiu;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360</w:t>
      </w:r>
      <w:r>
        <w:rPr>
          <w:rStyle w:val="HideTWBExt"/>
        </w:rPr>
        <w:t>&lt;/NumAm&gt;</w:t>
      </w:r>
    </w:p>
    <w:p w:rsidR="002131D7" w:rsidRPr="00252254" w:rsidRDefault="002131D7" w:rsidP="002131D7">
      <w:pPr>
        <w:pStyle w:val="NormalBold"/>
      </w:pPr>
      <w:r>
        <w:rPr>
          <w:rStyle w:val="HideTWBExt"/>
          <w:b w:val="0"/>
        </w:rPr>
        <w:t>&lt;RepeatBlock-By&gt;&lt;Members&gt;</w:t>
      </w:r>
      <w:r>
        <w:t>Nathalie Loiseau, Hilde Vautmans, Lucia Yar, Petras Auštrevičius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t>–</w:t>
            </w:r>
            <w:r>
              <w:tab/>
              <w:t xml:space="preserve">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 </w:t>
            </w:r>
            <w:r>
              <w:rPr>
                <w:b/>
                <w:i/>
              </w:rPr>
              <w:t xml:space="preserve">pakartoja, kad yra susirūpinęs dėl Turkijoje nuolat blogėjančių demokratinių standartų; primena, kad Turkija taip pat vykdo manipuliavimą informacija ir kišimąsi į ES reikalus ir kad jos vyriausybė svarsto galimybę priimti pagal Rusijos pavyzdį parengtą </w:t>
            </w:r>
            <w:r>
              <w:rPr>
                <w:b/>
                <w:i/>
              </w:rPr>
              <w:lastRenderedPageBreak/>
              <w:t>Užsienio agentų įstatymą;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361</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Turkija deda nepakankamai pastangų siekdama suderinti savo politiką su ES BUSP, be kita ko, sankcijų ir kovos su sankcijų apėjimu srityse, taip pat reikia, kad Turkija glaudžiai bendradarbiautų su pasiuntiniu ES sankcijų klausimams;</w:t>
            </w:r>
            <w:r>
              <w:t xml:space="preserve">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t>–</w:t>
            </w:r>
            <w:r>
              <w:tab/>
              <w:t>griežtai nepritaria nepriimtinam Turkijos prezidento viešai reiškiamo solidarumo ir teikiamos paramos teroristinei organizacijai „Hamas“ pobūdžiui;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362</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Turkija deda nepakankamai pastangų siekdama suderinti savo politiką su ES BUSP, be kita ko, sankcijų ir kovos su sankcijų apėjimu srityse, taip pat reikia, kad Turkija glaudžiai bendradarbiautų su pasiuntiniu ES sankcijų klausimams;</w:t>
            </w:r>
            <w:r>
              <w:t xml:space="preserve"> griežtai nepritaria </w:t>
            </w:r>
            <w:r>
              <w:rPr>
                <w:b/>
                <w:bCs/>
                <w:i/>
                <w:iCs/>
              </w:rPr>
              <w:t>nepriimtinam</w:t>
            </w:r>
            <w:r>
              <w:t xml:space="preserve"> Turkijos prezidento viešai reiškiamo solidarumo ir teikiamos paramos teroristinei organizacijai „Hamas“ </w:t>
            </w:r>
            <w:r>
              <w:lastRenderedPageBreak/>
              <w:t>pobūdžiui;</w:t>
            </w:r>
          </w:p>
        </w:tc>
        <w:tc>
          <w:tcPr>
            <w:tcW w:w="4876" w:type="dxa"/>
            <w:tcBorders>
              <w:top w:val="nil"/>
              <w:left w:val="nil"/>
              <w:bottom w:val="nil"/>
              <w:right w:val="nil"/>
            </w:tcBorders>
          </w:tcPr>
          <w:p w:rsidR="002131D7" w:rsidRPr="00252254" w:rsidRDefault="002131D7" w:rsidP="00B46628">
            <w:pPr>
              <w:pStyle w:val="Normal6a"/>
            </w:pPr>
            <w:r>
              <w:lastRenderedPageBreak/>
              <w:t>–</w:t>
            </w:r>
            <w:r>
              <w:tab/>
              <w:t>griežtai nepritaria Turkijos prezidento viešai reiškiamam solidarumui ir teikiamai paramai teroristinei organizacijai „Hamas“;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363</w:t>
      </w:r>
      <w:r>
        <w:rPr>
          <w:rStyle w:val="HideTWBExt"/>
        </w:rPr>
        <w:t>&lt;/NumAm&gt;</w:t>
      </w:r>
    </w:p>
    <w:p w:rsidR="002131D7" w:rsidRPr="00252254" w:rsidRDefault="002131D7" w:rsidP="002131D7">
      <w:pPr>
        <w:pStyle w:val="NormalBold"/>
      </w:pPr>
      <w:r>
        <w:rPr>
          <w:rStyle w:val="HideTWBExt"/>
          <w:b w:val="0"/>
        </w:rPr>
        <w:t>&lt;RepeatBlock-By&gt;&lt;Members&gt;</w:t>
      </w:r>
      <w:r>
        <w:t>Costas Mavrides,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t>–</w:t>
            </w:r>
            <w:r>
              <w:tab/>
              <w:t xml:space="preserve">Turkija deda nepakankamai pastangų siekdama suderinti savo politiką su ES BUSP, be kita ko, sankcijų ir kovos su sankcijų apėjimu srityse, taip pat reikia, kad Turkija glaudžiai bendradarbiautų su pasiuntiniu ES sankcijų klausimams; </w:t>
            </w:r>
            <w:r>
              <w:rPr>
                <w:b/>
                <w:i/>
              </w:rPr>
              <w:t>atsižvelgdamas į tai, akcentuoja, kad Europos kovos su sukčiavimu tarnyba (OLAF) pradėjo tyrimą dėl spragos, dėl kurios tokios šalys kaip Turkija gali pervadinti Rusijos naftą, kuriai taikomos sankcijos, ir eksportuoti ją į ES;</w:t>
            </w:r>
            <w:r>
              <w:t xml:space="preserve"> griežtai nepritaria nepriimtinam Turkijos prezidento viešai reiškiamo solidarumo ir teikiamos paramos teroristinei organizacijai „Hamas“ pobūdžiui;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364</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Turkija deda nepakankamai pastangų siekdama suderinti savo politiką su ES BUSP, be kita ko, sankcijų ir kovos su sankcijų apėjimu srityse, taip pat reikia, kad Turkija glaudžiai bendradarbiautų su pasiuntiniu ES sankcijų klausimams; </w:t>
            </w:r>
            <w:r>
              <w:lastRenderedPageBreak/>
              <w:t>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Turkija deda nepakankamai pastangų siekdama suderinti savo politiką su ES BUSP, be kita ko, sankcijų ir kovos su sankcijų apėjimu srityse, taip pat reikia, kad Turkija glaudžiai bendradarbiautų su pasiuntiniu ES sankcijų klausimams; </w:t>
            </w:r>
            <w:r>
              <w:rPr>
                <w:b/>
                <w:i/>
              </w:rPr>
              <w:lastRenderedPageBreak/>
              <w:t>palankiai vertina pranešimus, kad Turkija užblokavo JAV produktų, kuriais palaikomos Rusijos karinės operacijos, eksportą į Rusiją;</w:t>
            </w:r>
            <w:r>
              <w:t xml:space="preserve"> griežtai nepritaria nepriimtinam Turkijos prezidento viešai reiškiamo solidarumo ir teikiamos paramos teroristinei organizacijai „Hamas“ pobūdžiui;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365</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t>–</w:t>
            </w:r>
            <w:r>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r>
              <w:rPr>
                <w:b/>
                <w:bCs/>
                <w:i/>
                <w:iCs/>
              </w:rPr>
              <w:t xml:space="preserve"> tuo pačiu metu „Hamas“ priglaudžiant Turkijos teritorijoje</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366</w:t>
      </w:r>
      <w:r>
        <w:rPr>
          <w:rStyle w:val="HideTWBExt"/>
        </w:rPr>
        <w:t>&lt;/NumAm&gt;</w:t>
      </w:r>
    </w:p>
    <w:p w:rsidR="002131D7" w:rsidRPr="00252254" w:rsidRDefault="002131D7" w:rsidP="002131D7">
      <w:pPr>
        <w:pStyle w:val="NormalBold"/>
      </w:pPr>
      <w:r>
        <w:rPr>
          <w:rStyle w:val="HideTWBExt"/>
          <w:b w:val="0"/>
        </w:rPr>
        <w:t>&lt;RepeatBlock-By&gt;&lt;Members&gt;</w:t>
      </w:r>
      <w:r>
        <w:t>Γεάδης Γεάδη, Εμμανουήλ Φράγκος, Fernand Kartheiser, Charlie Weimers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Turkija deda nepakankamai </w:t>
            </w:r>
            <w:r>
              <w:lastRenderedPageBreak/>
              <w:t>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Turkija deda nepakankamai </w:t>
            </w:r>
            <w:r>
              <w:lastRenderedPageBreak/>
              <w:t xml:space="preserve">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 </w:t>
            </w:r>
            <w:r>
              <w:rPr>
                <w:b/>
                <w:i/>
              </w:rPr>
              <w:t>ir smerkia grėsmes Izraelio Valstybei;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367</w:t>
      </w:r>
      <w:r>
        <w:rPr>
          <w:rStyle w:val="HideTWBExt"/>
        </w:rPr>
        <w:t>&lt;/NumAm&gt;</w:t>
      </w:r>
    </w:p>
    <w:p w:rsidR="002131D7" w:rsidRPr="00252254" w:rsidRDefault="002131D7" w:rsidP="002131D7">
      <w:pPr>
        <w:pStyle w:val="NormalBold"/>
      </w:pPr>
      <w:r>
        <w:rPr>
          <w:rStyle w:val="HideTWBExt"/>
          <w:b w:val="0"/>
        </w:rPr>
        <w:t>&lt;RepeatBlock-By&gt;&lt;Members&gt;</w:t>
      </w:r>
      <w:r>
        <w:t>Emmanouil Kefalogiannis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strateginį ES interesą užtikrinti stabilią ir saugią aplinką rytinėje Viduržemio jūros regiono dalyje ir laipsniškai, proporcingai ir pasiliekant galimybę nebetęsti proceso plėtoti bendradarbiavimu grindžiamus ir abipusiškai naudingus santykius su Turkija, laikantis Europos Vadovų Tarybos išvadose nustatytų sąlygų;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368</w:t>
      </w:r>
      <w:r>
        <w:rPr>
          <w:rStyle w:val="HideTWBExt"/>
        </w:rPr>
        <w:t>&lt;/NumAm&gt;</w:t>
      </w:r>
    </w:p>
    <w:p w:rsidR="002131D7" w:rsidRPr="00252254" w:rsidRDefault="002131D7" w:rsidP="002131D7">
      <w:pPr>
        <w:pStyle w:val="NormalBold"/>
      </w:pPr>
      <w:r>
        <w:rPr>
          <w:rStyle w:val="HideTWBExt"/>
          <w:b w:val="0"/>
        </w:rPr>
        <w:t>&lt;RepeatBlock-By&gt;&lt;Members&gt;</w:t>
      </w:r>
      <w:r>
        <w:t>Sebastiaan Stöteler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3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pabrėžia, kad Turkija neatitinka Kopenhagos kriterijų; atsižvelgdamas į tai, ragina Tarybą nutraukti Turkijos stojimo į ES derybas, taip pat visą su </w:t>
            </w:r>
            <w:r>
              <w:rPr>
                <w:b/>
                <w:i/>
              </w:rPr>
              <w:lastRenderedPageBreak/>
              <w:t>Turkijos stojimu susijusį ES finansavimą ir programas;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369</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Turkija raginama savo kaimynystėje siekti laikytis konstruktyvaus, o ne atkaklaus ar agresyvaus požiūrio;</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370</w:t>
      </w:r>
      <w:r>
        <w:rPr>
          <w:rStyle w:val="HideTWBExt"/>
        </w:rPr>
        <w:t>&lt;/NumAm&gt;</w:t>
      </w:r>
    </w:p>
    <w:p w:rsidR="002131D7" w:rsidRPr="00252254" w:rsidRDefault="002131D7" w:rsidP="002131D7">
      <w:pPr>
        <w:pStyle w:val="NormalBold"/>
      </w:pPr>
      <w:r>
        <w:rPr>
          <w:rStyle w:val="HideTWBExt"/>
          <w:b w:val="0"/>
        </w:rPr>
        <w:t>&lt;RepeatBlock-By&gt;&lt;Members&gt;</w:t>
      </w:r>
      <w:r>
        <w:t>Loucas Fourlas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Turkija raginama </w:t>
            </w:r>
            <w:r>
              <w:rPr>
                <w:b/>
                <w:i/>
              </w:rPr>
              <w:t>savo kaimynystėje siekti laikytis konstruktyvaus, o ne atkaklaus ar agresyvaus požiūrio</w:t>
            </w:r>
            <w:r>
              <w:t>;</w:t>
            </w:r>
          </w:p>
        </w:tc>
        <w:tc>
          <w:tcPr>
            <w:tcW w:w="4876" w:type="dxa"/>
            <w:tcBorders>
              <w:top w:val="nil"/>
              <w:left w:val="nil"/>
              <w:bottom w:val="nil"/>
              <w:right w:val="nil"/>
            </w:tcBorders>
          </w:tcPr>
          <w:p w:rsidR="002131D7" w:rsidRPr="00252254" w:rsidRDefault="002131D7" w:rsidP="00B46628">
            <w:pPr>
              <w:pStyle w:val="Normal6a"/>
            </w:pPr>
            <w:r>
              <w:t>–</w:t>
            </w:r>
            <w:r>
              <w:tab/>
              <w:t xml:space="preserve">Turkija raginama </w:t>
            </w:r>
            <w:r>
              <w:rPr>
                <w:b/>
                <w:i/>
              </w:rPr>
              <w:t>visapusiškai laikytis gerų kaimyninių santykių principų ir nutraukti visus veiksmus, dėl kurių kyla įtampa rytinėje Viduržemio jūros regiono dalyje, laikantis tarptautinės teisės, įskaitant Jungtinių Tautų jūrų teisės konvenciją (UNCLOS)</w:t>
            </w:r>
            <w:r>
              <w:t xml:space="preserve">; </w:t>
            </w:r>
            <w:r>
              <w:rPr>
                <w:b/>
                <w:i/>
              </w:rPr>
              <w:t>pabrėžia, kad reikia didinti ES solidarumą ir bendradarbiavimą, siekiant apsaugoti valstybių narių suverenias teises šiame strategiškai svarbiame regione;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371</w:t>
      </w:r>
      <w:r>
        <w:rPr>
          <w:rStyle w:val="HideTWBExt"/>
        </w:rPr>
        <w:t>&lt;/NumAm&gt;</w:t>
      </w:r>
    </w:p>
    <w:p w:rsidR="002131D7" w:rsidRPr="00252254" w:rsidRDefault="002131D7" w:rsidP="002131D7">
      <w:pPr>
        <w:pStyle w:val="NormalBold"/>
      </w:pPr>
      <w:r>
        <w:rPr>
          <w:rStyle w:val="HideTWBExt"/>
          <w:b w:val="0"/>
        </w:rPr>
        <w:lastRenderedPageBreak/>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p>
        </w:tc>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r>
              <w:rPr>
                <w:b/>
                <w:i/>
              </w:rPr>
              <w:t>, pabrėžiant poreikį normalizuoti santykius su Armėnija, nes tai padėtų pamažu normalizuoti santykius Pietų Kaukazo regione</w:t>
            </w:r>
            <w:r>
              <w:t xml:space="preserve">; </w:t>
            </w:r>
            <w:r>
              <w:rPr>
                <w:b/>
                <w:i/>
              </w:rPr>
              <w:t>primygtinai ragina Turkiją nenustatyti išankstinių sąlygų su jos parama Azerbaidžanui susijusiam normalizavimui ir atverti Armėnijos ir Turkijos sieną;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372</w:t>
      </w:r>
      <w:r>
        <w:rPr>
          <w:rStyle w:val="HideTWBExt"/>
        </w:rPr>
        <w:t>&lt;/NumAm&gt;</w:t>
      </w:r>
    </w:p>
    <w:p w:rsidR="002131D7" w:rsidRPr="00252254" w:rsidRDefault="002131D7" w:rsidP="002131D7">
      <w:pPr>
        <w:pStyle w:val="NormalBold"/>
      </w:pPr>
      <w:r>
        <w:rPr>
          <w:rStyle w:val="HideTWBExt"/>
          <w:b w:val="0"/>
        </w:rPr>
        <w:t>&lt;RepeatBlock-By&gt;&lt;Members&gt;</w:t>
      </w:r>
      <w:r>
        <w:t>Yannis Maniatis, 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w:t>
            </w:r>
            <w:r>
              <w:rPr>
                <w:b/>
                <w:i/>
              </w:rPr>
              <w:t xml:space="preserve"> o</w:t>
            </w:r>
            <w:r>
              <w:t xml:space="preserve"> ne atkaklaus ar agresyvaus požiūrio;</w:t>
            </w:r>
          </w:p>
        </w:tc>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r>
              <w:rPr>
                <w:b/>
                <w:i/>
              </w:rPr>
              <w:t xml:space="preserve"> ir sustabdyti pastangas atnaujinti separatistinį vienetą neteisėtai okupuotoje Kipro Respublikos teritorijoje, nes tai kenkia pastangoms atnaujinti JT vadovaujamas derybas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373</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Jorge Martín Frías, Hermann Tertsch, Roberto Vannacci</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lastRenderedPageBreak/>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p>
        </w:tc>
        <w:tc>
          <w:tcPr>
            <w:tcW w:w="4876" w:type="dxa"/>
            <w:tcBorders>
              <w:top w:val="nil"/>
              <w:left w:val="nil"/>
              <w:bottom w:val="nil"/>
              <w:right w:val="nil"/>
            </w:tcBorders>
          </w:tcPr>
          <w:p w:rsidR="002131D7" w:rsidRPr="00252254" w:rsidRDefault="002131D7" w:rsidP="00B46628">
            <w:pPr>
              <w:pStyle w:val="Normal6a"/>
            </w:pPr>
            <w:r>
              <w:t>–</w:t>
            </w:r>
            <w:r>
              <w:tab/>
              <w:t xml:space="preserve">Turkija raginama savo kaimynystėje siekti laikytis konstruktyvaus, o ne atkaklaus ar agresyvaus požiūrio; </w:t>
            </w:r>
            <w:r>
              <w:rPr>
                <w:b/>
                <w:i/>
              </w:rPr>
              <w:t>atsižvelgdamas į tai, smerkia Turkijos vaidmenį Armėnijos ir Azerbaidžano konflikte, be kita ko, pasitelkiant Sirijos džihadistus, kad jie padėtų I. Alijevo režimui;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374</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p>
        </w:tc>
        <w:tc>
          <w:tcPr>
            <w:tcW w:w="4876" w:type="dxa"/>
            <w:tcBorders>
              <w:top w:val="nil"/>
              <w:left w:val="nil"/>
              <w:bottom w:val="nil"/>
              <w:right w:val="nil"/>
            </w:tcBorders>
          </w:tcPr>
          <w:p w:rsidR="002131D7" w:rsidRPr="00252254" w:rsidRDefault="002131D7" w:rsidP="00B46628">
            <w:pPr>
              <w:pStyle w:val="Normal6a"/>
            </w:pPr>
            <w:r>
              <w:t>–</w:t>
            </w:r>
            <w:r>
              <w:tab/>
              <w:t>Turkija raginama savo kaimynystėje siekti laikytis konstruktyvaus, o ne atkaklaus ar agresyvaus požiūrio</w:t>
            </w:r>
            <w:r>
              <w:rPr>
                <w:b/>
                <w:i/>
              </w:rPr>
              <w:t>, suvokiant Turkijos saugumo problemas, visų pirma, terorizmo keliamas grėsmes</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375</w:t>
      </w:r>
      <w:r>
        <w:rPr>
          <w:rStyle w:val="HideTWBExt"/>
        </w:rPr>
        <w:t>&lt;/NumAm&gt;</w:t>
      </w:r>
    </w:p>
    <w:p w:rsidR="002131D7" w:rsidRPr="00252254" w:rsidRDefault="002131D7" w:rsidP="002131D7">
      <w:pPr>
        <w:pStyle w:val="NormalBold"/>
      </w:pPr>
      <w:r>
        <w:rPr>
          <w:rStyle w:val="HideTWBExt"/>
          <w:b w:val="0"/>
        </w:rPr>
        <w:t>&lt;RepeatBlock-By&gt;&lt;Members&gt;</w:t>
      </w:r>
      <w:r>
        <w:t>Costas Mavrides,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raginama paisyti buferinės zonos statuso ir JT taikos palaikymo pajėgų Kipre įgaliojimų; primygtinai ragina Turkiją ir Kipro turkų vadovybę nutraukti </w:t>
            </w:r>
            <w:r>
              <w:rPr>
                <w:b/>
                <w:i/>
              </w:rPr>
              <w:lastRenderedPageBreak/>
              <w:t>ir atšaukti visą tokią vienašalę veiklą ir vengti bet kokių tolesnių veiksmų bei provokacijų (įskaitant didėjantį Turkijos okupuotos Kipro Respublikos teritorijos militarizavimą), kurie nepadeda atnaujinti JT vadovaujamų derybų; ragina dalyvauti taikiose derybose ir tikrame dialogo procese pagal JT sistemą;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376</w:t>
      </w:r>
      <w:r>
        <w:rPr>
          <w:rStyle w:val="HideTWBExt"/>
        </w:rPr>
        <w:t>&lt;/NumAm&gt;</w:t>
      </w:r>
    </w:p>
    <w:p w:rsidR="002131D7" w:rsidRPr="00252254" w:rsidRDefault="002131D7" w:rsidP="002131D7">
      <w:pPr>
        <w:pStyle w:val="NormalBold"/>
      </w:pPr>
      <w:r>
        <w:rPr>
          <w:rStyle w:val="HideTWBExt"/>
          <w:b w:val="0"/>
        </w:rPr>
        <w:t>&lt;RepeatBlock-By&gt;&lt;Members&gt;</w:t>
      </w:r>
      <w:r>
        <w:t>Yannis Maniatis, Costas Mavrides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strateginį interesą užtikrinti rytinėje Viduržemio jūros regiono dalyje stabilumą ir saugumą, palaikant su visais subjektais abipusiškai naudingus santykius, grindžiamus pagarba žmogaus teisėms, tarptautinei teisei ir UNCLOS, žaliosios pertvarkos, energetinio saugumo, kovos su ekstremizmu ir terorizmu, taip pat neteisėtos prekybos ginklais ir prekybos žmonėmis srityse;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377</w:t>
      </w:r>
      <w:r>
        <w:rPr>
          <w:rStyle w:val="HideTWBExt"/>
        </w:rPr>
        <w:t>&lt;/NumAm&gt;</w:t>
      </w:r>
    </w:p>
    <w:p w:rsidR="002131D7" w:rsidRPr="00252254" w:rsidRDefault="002131D7" w:rsidP="002131D7">
      <w:pPr>
        <w:pStyle w:val="NormalBold"/>
      </w:pPr>
      <w:r>
        <w:rPr>
          <w:rStyle w:val="HideTWBExt"/>
          <w:b w:val="0"/>
        </w:rPr>
        <w:t>&lt;RepeatBlock-By&gt;&lt;Members&gt;</w:t>
      </w:r>
      <w:r>
        <w:t>Emmanouil Kefalogiannis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 xml:space="preserve">šiuo atžvilgiu Europos Sąjunga daug dėmesio teikia derybų dėl Kipro problemos sprendimo atnaujinimui ir pažangai šiose derybose toliau stiprinant </w:t>
            </w:r>
            <w:r>
              <w:rPr>
                <w:b/>
                <w:i/>
              </w:rPr>
              <w:lastRenderedPageBreak/>
              <w:t>ES ir Turkijos bendradarbiavimą.</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378</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Alessandra Moretti, Yannis Maniatis, 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4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ragina atidžiai išnagrinėti Turkijos kandidatavimo į BRICS ir ES BUSP nesuderinamumą;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379</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380</w:t>
      </w:r>
      <w:r>
        <w:rPr>
          <w:rStyle w:val="HideTWBExt"/>
        </w:rPr>
        <w:t>&lt;/NumAm&gt;</w:t>
      </w:r>
    </w:p>
    <w:p w:rsidR="002131D7" w:rsidRPr="00252254" w:rsidRDefault="002131D7" w:rsidP="002131D7">
      <w:pPr>
        <w:pStyle w:val="NormalBold"/>
      </w:pPr>
      <w:r>
        <w:rPr>
          <w:rStyle w:val="HideTWBExt"/>
          <w:b w:val="0"/>
        </w:rPr>
        <w:t>&lt;RepeatBlock-By&gt;&lt;Members&gt;</w:t>
      </w:r>
      <w:r>
        <w:t>Nathalie Loiseau, Urmas Paet, Hilde Vautmans, Lucia Yar, Petras Auštrevičius</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r>
            <w:r>
              <w:rPr>
                <w:b/>
                <w:i/>
              </w:rPr>
              <w:t>Sakartvele, nepaisant 2023 m. gruodžio 14 d. suteikto ES šalies kandidatės statuso, nuolat blogėja demokratinių standartų padėtis, kaip matyti iš 2024 m. spalio 26 d. parlamento rinkimuose fiksuotų pažeidimų ir bauginimo atvejų;</w:t>
            </w:r>
            <w:r>
              <w:t xml:space="preserve"> „užsienio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pritaria 2024 m. birželio 27 d. Europos Vadovų Tarybos išvadų teiginiui, jog nesugebėjimas pakeisti dabartinę veiksmų kryptį kelia grėsmę Sakartvelo keliui į ES ir de facto sustabdys stojimo procesą; ragina ES prasmingai reaguoti į neseniai įvykusių nesąžiningų rinkimų Sakartvele poveikį demokratijai ir teisinei valstybei;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381</w:t>
      </w:r>
      <w:r>
        <w:rPr>
          <w:rStyle w:val="HideTWBExt"/>
        </w:rPr>
        <w:t>&lt;/NumAm&gt;</w:t>
      </w:r>
    </w:p>
    <w:p w:rsidR="002131D7" w:rsidRPr="00252254" w:rsidRDefault="002131D7" w:rsidP="002131D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w:t>
            </w:r>
            <w:r>
              <w:lastRenderedPageBreak/>
              <w:t>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lastRenderedPageBreak/>
              <w:t>–</w:t>
            </w:r>
            <w:r>
              <w:tab/>
              <w:t xml:space="preserve">„užsienio įtakos skaidrumo“ įstatymas ir „šeimos vertybių ir nepilnamečių apsaugos“ įstatymas, taip pat Sakartvelo rinkimų kodekso pakeitimai yra nesuderinami su ES vertybėmis ir </w:t>
            </w:r>
            <w:r>
              <w:lastRenderedPageBreak/>
              <w:t xml:space="preserve">demokratijos principais; primena, kad Sakartvelo siekis įstoti į ES bus vertinamas atsižvelgiant į jo nuopelnus ir šalies sėkmę siekiant atitikti Kopenhagos narystės ES kriterijus; </w:t>
            </w:r>
            <w:r>
              <w:rPr>
                <w:b/>
                <w:i/>
              </w:rPr>
              <w:t>labai apgailestauja dėl nevienodų sąlygų pastaruosiuose parlamento rinkimuose, nesantaiką kurstančios kampanijos retorikos, kuri dar labiau poliarizavo visuomenę, ir dėl pažeidimų, apie kuriuos pranešta ir kurie kelia susirūpinimą dėl kai kurių rinkėjų galimybių balsuoti nebijant atsakomųjų veiksmų; ragina Sakartvelo valdžios institucijas atsižvelgti į Sakartvelo žmonių valią įstoti į ES ir taip užsitikrinti laisvus ir sąžiningus rinkimus, nutraukti demokratijos padėties blogėjimą, atsisakyti įstatymų, kurie kelia pavojų Sakartvelo ateičiai Europoje, ir vykdyti proeuropietiškas demokratines reformas;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382</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 xml:space="preserve">yra labai susirūpinęs dėl paskutiniu metu buvusio Gruzijos ministro pirmininko oligarcho Bidzinos Ivanišvili padarytų pareiškimų, be kita ko, dėl opozicinių partijų išformavimo šalyje, jei partija „Sakartvelo svajonė“ laimėtų </w:t>
            </w:r>
            <w:r>
              <w:rPr>
                <w:b/>
                <w:i/>
              </w:rPr>
              <w:lastRenderedPageBreak/>
              <w:t>rinkimus; mano, kad, atsižvelgiant į šias aplinkybes, šiuo metu neįmanoma paspartinti Sakartvelo narystės ES;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383</w:t>
      </w:r>
      <w:r>
        <w:rPr>
          <w:rStyle w:val="HideTWBExt"/>
        </w:rPr>
        <w:t>&lt;/NumAm&gt;</w:t>
      </w:r>
    </w:p>
    <w:p w:rsidR="002131D7" w:rsidRPr="00252254" w:rsidRDefault="002131D7" w:rsidP="002131D7">
      <w:pPr>
        <w:pStyle w:val="NormalBold"/>
      </w:pPr>
      <w:r>
        <w:rPr>
          <w:rStyle w:val="HideTWBExt"/>
          <w:b w:val="0"/>
        </w:rPr>
        <w:t>&lt;RepeatBlock-By&gt;&lt;Members&gt;</w:t>
      </w:r>
      <w:r>
        <w:t>Nacho Sánchez Amor, Sven Mikser, Alessandra Moretti, Yannis Maniatis, Vasile Dîncu, Hana Jalloul Muro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pažymi, kad Sakartvelo piliečiai išreiškė pagarbą demokratinėms vertybėms ir parodė, kad jų šalis padarė pažangą siekdama integracijos į ES; pabrėžia, kad demokratijos padėties blogėjimas Sakartvele turi būti sustabdytas ir reikia užtikrinti palankią aplinką žiniasklaidai, pilietinei visuomenei ir opozicijai;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384</w:t>
      </w:r>
      <w:r>
        <w:rPr>
          <w:rStyle w:val="HideTWBExt"/>
        </w:rPr>
        <w:t>&lt;/NumAm&gt;</w:t>
      </w:r>
    </w:p>
    <w:p w:rsidR="002131D7" w:rsidRPr="00252254" w:rsidRDefault="002131D7" w:rsidP="002131D7">
      <w:pPr>
        <w:pStyle w:val="NormalBold"/>
      </w:pPr>
      <w:r>
        <w:rPr>
          <w:rStyle w:val="HideTWBExt"/>
          <w:b w:val="0"/>
        </w:rPr>
        <w:t>&lt;RepeatBlock-By&gt;&lt;Members&gt;</w:t>
      </w:r>
      <w:r>
        <w:t>Urmas Paet, Hilde Vautmans, Petras Auštrevičius, Lucia Yar, Nathalie Loiseau, Ilhan Kyuchyuk</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lastRenderedPageBreak/>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labai apgailestauja dėl to, kad parlamento rinkimuose Sakartvelo valdžios institucijos neleido savo piliečiams laisvai pasirinkti, ar vėl siekti narystės Europos Sąjungoje ar stiprinti autoritarizmą;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385</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susirūpinęs stebėjo įtemptą ir itin poliarizuotą rinkimų kampaniją prieš 2024 m. spalio mėn. Sakartvele vykusius parlamento rinkimus ir yra susirūpinęs dėl demokratijos padėties šalyje blogėjimo;</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386</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„užsienio įtakos skaidrumo“ įstatymas ir „šeimos vertybių ir nepilnamečių apsaugos“ įstatymas, taip pat Sakartvelo rinkimų kodekso pakeitimai yra nesuderinami su ES vertybėmis ir demokratijos principais;</w:t>
            </w:r>
            <w:r>
              <w:t xml:space="preserve">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387</w:t>
      </w:r>
      <w:r>
        <w:rPr>
          <w:rStyle w:val="HideTWBExt"/>
        </w:rPr>
        <w:t>&lt;/NumAm&gt;</w:t>
      </w:r>
    </w:p>
    <w:p w:rsidR="002131D7" w:rsidRPr="00252254" w:rsidRDefault="002131D7" w:rsidP="002131D7">
      <w:pPr>
        <w:pStyle w:val="NormalBold"/>
      </w:pPr>
      <w:r>
        <w:rPr>
          <w:rStyle w:val="HideTWBExt"/>
          <w:b w:val="0"/>
        </w:rPr>
        <w:t>&lt;RepeatBlock-By&gt;&lt;Members&gt;</w:t>
      </w:r>
      <w:r>
        <w:t>Kinga Gál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„užsienio įtakos skaidrumo“ įstatymas ir „šeimos vertybių ir nepilnamečių apsaugos“ įstatymas, taip pat Sakartvelo rinkimų kodekso pakeitimai yra nesuderinami su ES vertybėmis ir demokratijos principais;</w:t>
            </w:r>
            <w:r>
              <w:t xml:space="preserve">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388</w:t>
      </w:r>
      <w:r>
        <w:rPr>
          <w:rStyle w:val="HideTWBExt"/>
        </w:rPr>
        <w:t>&lt;/NumAm&gt;</w:t>
      </w:r>
    </w:p>
    <w:p w:rsidR="002131D7" w:rsidRPr="00252254" w:rsidRDefault="002131D7" w:rsidP="002131D7">
      <w:pPr>
        <w:pStyle w:val="NormalBold"/>
      </w:pPr>
      <w:r>
        <w:rPr>
          <w:rStyle w:val="HideTWBExt"/>
          <w:b w:val="0"/>
        </w:rPr>
        <w:t>&lt;RepeatBlock-By&gt;&lt;Members&gt;</w:t>
      </w:r>
      <w:r>
        <w:t>Cristian Terheş</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„užsienio įtakos skaidrumo“ įstatymas ir „šeimos vertybių ir nepilnamečių apsaugos“ įstatymas, taip pat Sakartvelo rinkimų kodekso pakeitimai yra nesuderinami su ES vertybėmis ir demokratijos principais;</w:t>
            </w:r>
            <w:r>
              <w:t xml:space="preserve">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389</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w:t>
            </w:r>
            <w:r>
              <w:rPr>
                <w:b/>
                <w:i/>
              </w:rPr>
              <w:t>įstoti</w:t>
            </w:r>
            <w:r>
              <w:t xml:space="preserve">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primena, kad Sakartvelas taip pat turėtų laikytis pagrindinių ES užsienio reikalų ir saugumo principų, įskaitant sankcijų Rusijai laikymąsi;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390</w:t>
      </w:r>
      <w:r>
        <w:rPr>
          <w:rStyle w:val="HideTWBExt"/>
        </w:rPr>
        <w:t>&lt;/NumAm&gt;</w:t>
      </w:r>
    </w:p>
    <w:p w:rsidR="002131D7" w:rsidRPr="00252254" w:rsidRDefault="002131D7" w:rsidP="002131D7">
      <w:pPr>
        <w:pStyle w:val="NormalBold"/>
      </w:pPr>
      <w:r>
        <w:rPr>
          <w:rStyle w:val="HideTWBExt"/>
          <w:b w:val="0"/>
        </w:rPr>
        <w:lastRenderedPageBreak/>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 </w:t>
            </w:r>
            <w:r>
              <w:rPr>
                <w:b/>
                <w:i/>
              </w:rPr>
              <w:t>reiškia susirūpinimą dėl 2024 m. spalio 27 d. rinkimų pažeidimų ir neliberalių pokyčių Sakartvele;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391</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įstatymas </w:t>
            </w:r>
            <w:r>
              <w:rPr>
                <w:b/>
                <w:i/>
              </w:rPr>
              <w:t>ir „šeimos vertybių ir nepilnamečių apsaugos“ įstatymas</w:t>
            </w:r>
            <w:r>
              <w:t>,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392</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 yra nesuderinami su ES vertybėmis ir demokratijos principais;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„užsienio įtakos skaidrumo“ įstatymas ir „šeimos vertybių ir nepilnamečių apsaugos“ įstatymas, taip pat Sakartvelo rinkimų kodekso pakeitimai</w:t>
            </w:r>
            <w:r>
              <w:rPr>
                <w:b/>
                <w:i/>
              </w:rPr>
              <w:t xml:space="preserve"> nėra</w:t>
            </w:r>
            <w:r>
              <w:t xml:space="preserve"> nesuderinami su ES vertybėmis ir demokratijos principais; 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393</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w:t>
            </w:r>
            <w:r>
              <w:rPr>
                <w:b/>
                <w:i/>
              </w:rPr>
              <w:t>įstatymas</w:t>
            </w:r>
            <w:r>
              <w:t xml:space="preserve"> ir „šeimos vertybių ir nepilnamečių apsaugos“ </w:t>
            </w:r>
            <w:r>
              <w:rPr>
                <w:b/>
                <w:i/>
              </w:rPr>
              <w:t>įstatymas</w:t>
            </w:r>
            <w:r>
              <w:t xml:space="preserve">, taip pat Sakartvelo rinkimų kodekso </w:t>
            </w:r>
            <w:r>
              <w:rPr>
                <w:b/>
                <w:i/>
              </w:rPr>
              <w:t>pakeitimai yra nesuderinami su ES vertybėmis ir demokratijos principais</w:t>
            </w:r>
            <w:r>
              <w:t>; primena, kad Sakartvelo siekis įstoti į ES bus vertinamas atsižvelgiant į jo nuopelnus ir šalies sėkmę siekiant atitikti Kopenhagos narystės ES kriterijus;</w:t>
            </w:r>
          </w:p>
        </w:tc>
        <w:tc>
          <w:tcPr>
            <w:tcW w:w="4876" w:type="dxa"/>
            <w:tcBorders>
              <w:top w:val="nil"/>
              <w:left w:val="nil"/>
              <w:bottom w:val="nil"/>
              <w:right w:val="nil"/>
            </w:tcBorders>
          </w:tcPr>
          <w:p w:rsidR="002131D7" w:rsidRPr="00252254" w:rsidRDefault="002131D7" w:rsidP="00B46628">
            <w:pPr>
              <w:pStyle w:val="Normal6a"/>
            </w:pPr>
            <w:r>
              <w:t>–</w:t>
            </w:r>
            <w:r>
              <w:tab/>
              <w:t xml:space="preserve">„užsienio įtakos skaidrumo“ </w:t>
            </w:r>
            <w:r>
              <w:rPr>
                <w:b/>
                <w:i/>
              </w:rPr>
              <w:t>įstatymo</w:t>
            </w:r>
            <w:r>
              <w:t xml:space="preserve"> ir „šeimos vertybių ir nepilnamečių apsaugos“ </w:t>
            </w:r>
            <w:r>
              <w:rPr>
                <w:b/>
                <w:i/>
              </w:rPr>
              <w:t>įstatymo</w:t>
            </w:r>
            <w:r>
              <w:t xml:space="preserve">, taip pat Sakartvelo rinkimų kodekso </w:t>
            </w:r>
            <w:r>
              <w:rPr>
                <w:b/>
                <w:i/>
              </w:rPr>
              <w:t>pakeitimų priėmimas yra suvereni Sakartvelo teisė</w:t>
            </w:r>
            <w:r>
              <w:t>; primena, kad Sakartvelo siekis įstoti į ES bus vertinamas atsižvelgiant į jo nuopelnus ir šalies sėkmę siekiant atitikti Kopenhagos narystės ES kriterijus;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394</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5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pastebi, kad Rusija ir Kinija tapo svarbiomis veikėjomis pietinėse kaimyninėse šalyse, ypač Šiaurės Afrikoje, o Turkija ir Persijos įlankos valstybės: tarp jų – Saudo Arabijos Karalystė, Kataras ir Jungtiniai Arabų Emyratai, sustiprėjo kaip regioninės veikėjos; teigia, kad bendros Rytų ir Pietų Europos „kaimynystės“ idėja neatsižvelgiama į skirtingus joms kylančius iššūkius; ragina Sąjungos vyriausiąjį įgaliotinį užsienio reikalams ir saugumo politikai ir Komisijos pirmininko pavaduotoją ir Komisiją užtikrinti pakankamus išteklius, kad naujasis Viduržemio jūros regiono paktas būtų laiku ir veiksmingai įgyvendintas; pakartoja, kad šiuo nauju paktu daugiausia dėmesio turėtų būti skiriama dinamiškam strateginių partnerysčių tinklui, pritaikytam prie konkrečių mūsų pietinių kaimyninių šalių poreikių ir siekių; atsižvelgdamas į tai, mano, kad ES turėtų atlikti išsamią dabartinės paskatų struktūros, apimančios pažadą teikti finansinę paramą ir prekybos lengvatas, mainais už politines ir ekonomines reformas, peržiūrą; užtikrinti, kad ji atitiktų platesnius ES tikslus, įskaitant žmogaus teisių ir demokratinių vertybių propagavimą; pabrėžia, kad ES turėtų ne tik teikti pirmenybę dvišaliam bendradarbiavimui, bet ir toliau skatinti regioninį bendradarbiavimą pasitelkdama esamas sistemas, pvz., Viduržemio jūros sąjungą, kuri yra vertinga platforma dialogui ir bendriems veiksmams bendro intereso klausimais skatinti;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395</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396</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 Jorge Martín Frías, Hermann Tertsch</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 </w:t>
            </w:r>
            <w:r>
              <w:rPr>
                <w:b/>
                <w:i/>
              </w:rPr>
              <w:t>pabrėžia, kad Vidurinės Azijos šalys yra pagrindinės ekonominės partnerės siekiant užtikrinti ES energetinį savarankiškumą tiekiant ypatingos svarbos metalus, kurie yra būtini žemyno energetikos pertvarkai;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397</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 </w:t>
            </w:r>
            <w:r>
              <w:rPr>
                <w:b/>
                <w:i/>
              </w:rPr>
              <w:t>ragina Europą atnaujinti įsipareigojimą mūsų partneriams regione, siekiant pasipriešinti Rusijos ir Kinijos spaudimui; atkreipia dėmesį į regiono svarbą Europos energetiniam saugumui ir prekybai svarbiausiomis žaliavomis;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398</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r>
            <w:r>
              <w:rPr>
                <w:b/>
                <w:i/>
              </w:rPr>
              <w:t>Rusijos ir Kinijos Vidurinėje Azijoje daromas spaudimas kelia susirūpinimą ir pabrėžia, kad reaguojant į tai reikia didinti ES dalyvavimą Vidurinėje Azijoje;</w:t>
            </w:r>
            <w:r>
              <w:t xml:space="preserve"> akcentuoja ES interesą stiprinti ekonominius santykius ir politinius ryšius su Vidurinės Azijos šalimis</w:t>
            </w:r>
            <w:r>
              <w:rPr>
                <w:b/>
                <w:i/>
              </w:rPr>
              <w:t>, iš dalies siekiant spręsti sankcijų Rusijai ir Baltarusijai apėjimo problemą</w:t>
            </w:r>
            <w:r>
              <w:t>;</w:t>
            </w:r>
          </w:p>
        </w:tc>
        <w:tc>
          <w:tcPr>
            <w:tcW w:w="4876" w:type="dxa"/>
            <w:tcBorders>
              <w:top w:val="nil"/>
              <w:left w:val="nil"/>
              <w:bottom w:val="nil"/>
              <w:right w:val="nil"/>
            </w:tcBorders>
          </w:tcPr>
          <w:p w:rsidR="002131D7" w:rsidRPr="00252254" w:rsidRDefault="002131D7" w:rsidP="00B46628">
            <w:pPr>
              <w:pStyle w:val="Normal6a"/>
            </w:pPr>
            <w:r>
              <w:t>–</w:t>
            </w:r>
            <w:r>
              <w:tab/>
              <w:t>akcentuoja ES interesą stiprinti ekonominius santykius ir politinius ryšius su Vidurinės Azijos šalimis;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399</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susirūpinimą ir pabrėžia, kad reaguojant į tai reikia didinti ES dalyvavimą </w:t>
            </w:r>
            <w:r>
              <w:rPr>
                <w:b/>
                <w:bCs/>
                <w:i/>
                <w:iCs/>
              </w:rPr>
              <w:t>Vidurinėje Azijoje</w:t>
            </w:r>
            <w:r>
              <w:t>;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susirūpinimą ir pabrėžia, kad reaguojant į tai reikia didinti ES dalyvavimą </w:t>
            </w:r>
            <w:r>
              <w:rPr>
                <w:b/>
                <w:i/>
              </w:rPr>
              <w:t>regione</w:t>
            </w:r>
            <w:r>
              <w:t xml:space="preserve">; akcentuoja ES interesą stiprinti ekonominius santykius ir politinius ryšius su Vidurinės Azijos šalimis, </w:t>
            </w:r>
            <w:r>
              <w:rPr>
                <w:b/>
                <w:i/>
              </w:rPr>
              <w:t>Pietų Kaukazo ir Persijos įlankos valstybėmis,</w:t>
            </w:r>
            <w:r>
              <w:t xml:space="preserve">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400</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w:t>
            </w:r>
            <w:r>
              <w:rPr>
                <w:b/>
                <w:i/>
              </w:rPr>
              <w:t>susirūpinimą</w:t>
            </w:r>
            <w:r>
              <w:t xml:space="preserve"> ir </w:t>
            </w:r>
            <w:r>
              <w:rPr>
                <w:b/>
                <w:i/>
              </w:rPr>
              <w:t>pabrėžia, kad reaguojant į tai reikia didinti ES dalyvavimą</w:t>
            </w:r>
            <w:r>
              <w:t xml:space="preserve"> Vidurinėje </w:t>
            </w:r>
            <w:r>
              <w:rPr>
                <w:b/>
                <w:i/>
              </w:rPr>
              <w:t>Azijoje</w:t>
            </w:r>
            <w:r>
              <w:t>;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r>
            <w:r>
              <w:rPr>
                <w:b/>
                <w:i/>
              </w:rPr>
              <w:t>informuotumą</w:t>
            </w:r>
            <w:r>
              <w:t xml:space="preserve"> apie Rusijos ir Kinijos Vidurinėje Azijoje daromą spaudimą ir </w:t>
            </w:r>
            <w:r>
              <w:rPr>
                <w:b/>
                <w:i/>
              </w:rPr>
              <w:t>pabrėžia, kad, nesvarbu, kokius veiksmus regione vykdytų, ES turi gerbti</w:t>
            </w:r>
            <w:r>
              <w:t xml:space="preserve"> Vidurinės </w:t>
            </w:r>
            <w:r>
              <w:rPr>
                <w:b/>
                <w:i/>
              </w:rPr>
              <w:t>Azijos šalių suverenitetą ir netaikyti politikos, kuri galėtų būti laikoma išoriniu kišimusi</w:t>
            </w:r>
            <w:r>
              <w:t>; akcentuoja ES interesą stiprinti ekonominius santykius ir politinius ryšius su Vidurinės Azijos šalimis,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401</w:t>
      </w:r>
      <w:r>
        <w:rPr>
          <w:rStyle w:val="HideTWBExt"/>
        </w:rPr>
        <w:t>&lt;/NumAm&gt;</w:t>
      </w:r>
    </w:p>
    <w:p w:rsidR="002131D7" w:rsidRPr="00252254" w:rsidRDefault="002131D7" w:rsidP="002131D7">
      <w:pPr>
        <w:pStyle w:val="NormalBold"/>
      </w:pPr>
      <w:r>
        <w:rPr>
          <w:rStyle w:val="HideTWBExt"/>
          <w:b w:val="0"/>
        </w:rPr>
        <w:lastRenderedPageBreak/>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Rusijos ir Kinijos Vidurinėje Azijoje daromas spaudimas kelia susirūpinimą </w:t>
            </w:r>
            <w:r>
              <w:rPr>
                <w:b/>
                <w:i/>
              </w:rPr>
              <w:t>ir pabrėžia, kad reaguojant į tai reikia didinti ES dalyvavimą Vidurinėje Azijoje</w:t>
            </w:r>
            <w:r>
              <w:t>;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akcentuoja ES interesą stiprinti ekonominius santykius ir politinius ryšius su Vidurinės Azijos šalimis,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402</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w:t>
            </w:r>
            <w:r>
              <w:rPr>
                <w:b/>
                <w:i/>
              </w:rPr>
              <w:t>, atsižvelgiant į jos geostrateginę svarbą</w:t>
            </w:r>
            <w:r>
              <w:t>; akcentuoja ES interesą stiprinti ekonominius santykius ir politinius ryšius su Vidurinės Azijos šalimis,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403</w:t>
      </w:r>
      <w:r>
        <w:rPr>
          <w:rStyle w:val="HideTWBExt"/>
        </w:rPr>
        <w:t>&lt;/NumAm&gt;</w:t>
      </w:r>
    </w:p>
    <w:p w:rsidR="002131D7" w:rsidRPr="00252254" w:rsidRDefault="002131D7" w:rsidP="002131D7">
      <w:pPr>
        <w:pStyle w:val="NormalBold"/>
      </w:pPr>
      <w:r>
        <w:rPr>
          <w:rStyle w:val="HideTWBExt"/>
          <w:b w:val="0"/>
        </w:rPr>
        <w:t>&lt;RepeatBlock-By&gt;&lt;Members&gt;</w:t>
      </w:r>
      <w:r>
        <w:t>Εμμανουήλ Φράγκος, Γαλάτω Αλεξανδράκη, Γεάδης Γεάδη</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r>
            <w:r>
              <w:rPr>
                <w:b/>
                <w:bCs/>
                <w:i/>
                <w:iCs/>
              </w:rPr>
              <w:t xml:space="preserve">Turkijos, </w:t>
            </w:r>
            <w:r>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{EL}</w:t>
      </w:r>
      <w:r w:rsidRPr="00252254">
        <w:t>el</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404</w:t>
      </w:r>
      <w:r>
        <w:rPr>
          <w:rStyle w:val="HideTWBExt"/>
        </w:rPr>
        <w:t>&lt;/NumAm&gt;</w:t>
      </w:r>
    </w:p>
    <w:p w:rsidR="002131D7" w:rsidRPr="00252254" w:rsidRDefault="002131D7" w:rsidP="002131D7">
      <w:pPr>
        <w:pStyle w:val="NormalBold"/>
      </w:pPr>
      <w:r>
        <w:rPr>
          <w:rStyle w:val="HideTWBExt"/>
          <w:b w:val="0"/>
        </w:rPr>
        <w:t>&lt;RepeatBlock-By&gt;&lt;Members&gt;</w:t>
      </w:r>
      <w:r>
        <w:t>David McAllister</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c>
          <w:tcPr>
            <w:tcW w:w="4876" w:type="dxa"/>
            <w:tcBorders>
              <w:top w:val="nil"/>
              <w:left w:val="nil"/>
              <w:bottom w:val="nil"/>
              <w:right w:val="nil"/>
            </w:tcBorders>
          </w:tcPr>
          <w:p w:rsidR="002131D7" w:rsidRPr="00252254" w:rsidRDefault="002131D7" w:rsidP="00B46628">
            <w:pPr>
              <w:pStyle w:val="Normal6a"/>
            </w:pPr>
            <w:r>
              <w:t>–</w:t>
            </w:r>
            <w:r>
              <w:tab/>
              <w:t>Rusijos ir Kinijos Vidurinėje Azijoje daromas spaudimas kelia susirūpinimą ir pabrėžia, kad reaguojant į tai reikia didinti ES dalyvavimą Vidurinėje Azijoje; akcentuoja ES interesą stiprinti ekonominius santykius ir politinius ryšius su Vidurinės Azijos šalimis, iš dalies siekiant spręsti sankcijų Rusijai ir Baltarusijai apėjimo problemą;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405</w:t>
      </w:r>
      <w:r>
        <w:rPr>
          <w:rStyle w:val="HideTWBExt"/>
        </w:rPr>
        <w:t>&lt;/NumAm&gt;</w:t>
      </w:r>
    </w:p>
    <w:p w:rsidR="002131D7" w:rsidRPr="00252254" w:rsidRDefault="002131D7" w:rsidP="002131D7">
      <w:pPr>
        <w:pStyle w:val="NormalBold"/>
      </w:pPr>
      <w:r>
        <w:rPr>
          <w:rStyle w:val="HideTWBExt"/>
          <w:b w:val="0"/>
        </w:rPr>
        <w:t>&lt;RepeatBlock-By&gt;&lt;Members&gt;</w:t>
      </w:r>
      <w:r>
        <w:t>Antonio López-Istúriz White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pietinių kaimyninių šalių strateginės svarbos, stabilumo, ekonominės plėtros ir gerovės svarbą; akcentuoja jų svarbą ir strateginių konkurentų kišimąsi į šią sritį ir primygtinai ragina Europos Sąjungą siųsti tvirtą ir aiškią politinę žinią apie atnaujinto bendradarbiavimo su šiomis šalimis modelio svarbą; primena, kad nestabilumas ir nesaugumas pietinėse kaimyninėse šalyse tebėra nuolatinis Europos išorės sienų valdymo iššūkis;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406</w:t>
      </w:r>
      <w:r>
        <w:rPr>
          <w:rStyle w:val="HideTWBExt"/>
        </w:rPr>
        <w:t>&lt;/NumAm&gt;</w:t>
      </w:r>
    </w:p>
    <w:p w:rsidR="002131D7" w:rsidRPr="00252254" w:rsidRDefault="002131D7" w:rsidP="002131D7">
      <w:pPr>
        <w:pStyle w:val="NormalBold"/>
      </w:pPr>
      <w:r>
        <w:rPr>
          <w:rStyle w:val="HideTWBExt"/>
          <w:b w:val="0"/>
        </w:rPr>
        <w:t>&lt;RepeatBlock-By&gt;&lt;Members&gt;</w:t>
      </w:r>
      <w:r>
        <w:t>Michael Gahler, 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strateginę Taivano sąsiaurio ir Indijos ir Ramiojo vandenynų regiono svarbą, atsižvelgiant į didėjantį Kinijos vykdomą bauginimą regione, be kita ko, karinėmis ir hibridinėmis priemonėmis, ir pabrėžia, kad reaguojant reikia didinti ES dalyvavimą regionuose; pabrėžia, kad ES yra suinteresuota stiprinti ekonominius santykius ir tvirtus ryšius su panašiai mąstančiais partneriais regione, įskaitant Taivaną;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407</w:t>
      </w:r>
      <w:r>
        <w:rPr>
          <w:rStyle w:val="HideTWBExt"/>
        </w:rPr>
        <w:t>&lt;/NumAm&gt;</w:t>
      </w:r>
    </w:p>
    <w:p w:rsidR="002131D7" w:rsidRPr="00252254" w:rsidRDefault="002131D7" w:rsidP="002131D7">
      <w:pPr>
        <w:pStyle w:val="NormalBold"/>
      </w:pPr>
      <w:r>
        <w:rPr>
          <w:rStyle w:val="HideTWBExt"/>
          <w:b w:val="0"/>
        </w:rPr>
        <w:t>&lt;RepeatBlock-By&gt;&lt;Members&gt;</w:t>
      </w:r>
      <w:r>
        <w:t>Vasile Dîncu</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teikti daugiausia dėmesio atskaitomybei kibernetinėje erdvėje užtikrinti, įgyvendinant ES skaitmeninės diplomatijos priemonių rinkinį, ir kibernetiniam atsparumui visame pasaulyje stiprinti; ragina daugiau dėmesio skirti besivystančios demokratijos valstybių, kurių rinkimų sistemos susiduria su hibridiniais iššūkiais, kibernetinio atsparumo pajėgumams stiprinti;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408</w:t>
      </w:r>
      <w:r>
        <w:rPr>
          <w:rStyle w:val="HideTWBExt"/>
        </w:rPr>
        <w:t>&lt;/NumAm&gt;</w:t>
      </w:r>
    </w:p>
    <w:p w:rsidR="002131D7" w:rsidRPr="00252254" w:rsidRDefault="002131D7" w:rsidP="002131D7">
      <w:pPr>
        <w:pStyle w:val="NormalBold"/>
      </w:pPr>
      <w:r>
        <w:rPr>
          <w:rStyle w:val="HideTWBExt"/>
          <w:b w:val="0"/>
        </w:rPr>
        <w:t>&lt;RepeatBlock-By&gt;&lt;Members&gt;</w:t>
      </w:r>
      <w:r>
        <w:t>Kinga Gál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pabrėžia, kad, užtikrinant ES energetinį savarankiškumą, Vidurinės Azijos šalys yra pagrindinės ekonominės partnerės;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409</w:t>
      </w:r>
      <w:r>
        <w:rPr>
          <w:rStyle w:val="HideTWBExt"/>
        </w:rPr>
        <w:t>&lt;/NumAm&gt;</w:t>
      </w:r>
    </w:p>
    <w:p w:rsidR="002131D7" w:rsidRPr="00252254" w:rsidRDefault="002131D7" w:rsidP="002131D7">
      <w:pPr>
        <w:pStyle w:val="NormalBold"/>
      </w:pPr>
      <w:r>
        <w:rPr>
          <w:rStyle w:val="HideTWBExt"/>
          <w:b w:val="0"/>
        </w:rPr>
        <w:t>&lt;RepeatBlock-By&gt;&lt;Members&gt;</w:t>
      </w:r>
      <w:r>
        <w:t>Antonio López-Istúriz White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6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Persijos įlankos strategijos įgyvendinimo veiksmingumą; reikia daryti pažangą vykdant strateginės partnerystės susitarimus su kiekviena Persijos įlankos šalimi, bendradarbiauti siekiant skatinti pasaulinį ir regioninį saugumą ir gerovę;</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410</w:t>
      </w:r>
      <w:r>
        <w:rPr>
          <w:rStyle w:val="HideTWBExt"/>
        </w:rPr>
        <w:t>&lt;/NumAm&gt;</w:t>
      </w:r>
    </w:p>
    <w:p w:rsidR="002131D7" w:rsidRPr="00252254" w:rsidRDefault="002131D7" w:rsidP="002131D7">
      <w:pPr>
        <w:pStyle w:val="NormalBold"/>
      </w:pPr>
      <w:r>
        <w:rPr>
          <w:rStyle w:val="HideTWBExt"/>
          <w:b w:val="0"/>
        </w:rPr>
        <w:t>&lt;RepeatBlock-By&gt;&lt;Members&gt;</w:t>
      </w:r>
      <w:r>
        <w:t>Mariusz Kamiński, Michał Dworczyk</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Arktis yra geostrateginės svarbos regionas, kiek tai susiję su </w:t>
            </w:r>
            <w:r>
              <w:rPr>
                <w:b/>
                <w:i/>
              </w:rPr>
              <w:t>galimų</w:t>
            </w:r>
            <w:r>
              <w:t xml:space="preserve"> jūrinių kelių plėtra, prieiga prie gamtos išteklių, klimato apsauga, teritorinėmis pretenzijomis, be kita ko, dėl Rusijos karinės ekspansijos Tolimojoje Šiaurėje, ir laivybos laisve bei saugumu;</w:t>
            </w:r>
          </w:p>
        </w:tc>
        <w:tc>
          <w:tcPr>
            <w:tcW w:w="4876" w:type="dxa"/>
            <w:tcBorders>
              <w:top w:val="nil"/>
              <w:left w:val="nil"/>
              <w:bottom w:val="nil"/>
              <w:right w:val="nil"/>
            </w:tcBorders>
          </w:tcPr>
          <w:p w:rsidR="002131D7" w:rsidRPr="00252254" w:rsidRDefault="002131D7" w:rsidP="00B46628">
            <w:pPr>
              <w:pStyle w:val="Normal6a"/>
            </w:pPr>
            <w:r>
              <w:t>–</w:t>
            </w:r>
            <w:r>
              <w:tab/>
              <w:t xml:space="preserve">Arktis yra geostrateginės svarbos regionas, kiek tai susiję su </w:t>
            </w:r>
            <w:r>
              <w:rPr>
                <w:b/>
                <w:i/>
              </w:rPr>
              <w:t>potencialių</w:t>
            </w:r>
            <w:r>
              <w:t xml:space="preserve"> jūrinių kelių plėtra, prieiga prie gamtos išteklių, klimato apsauga, teritorinėmis pretenzijomis, be kita ko, dėl Rusijos karinės ekspansijos Tolimojoje Šiaurėje, ir laivybos laisve bei saugumu</w:t>
            </w:r>
            <w:r>
              <w:rPr>
                <w:b/>
                <w:i/>
              </w:rPr>
              <w:t>, taip pat Kinijos pasiskelbimu „šalia Arkties esančia valstybe“ ir jos pastangomis, glaudžiai bendradarbiaujant su Rusija, sukurti poliarinį šilko kelią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411</w:t>
      </w:r>
      <w:r>
        <w:rPr>
          <w:rStyle w:val="HideTWBExt"/>
        </w:rPr>
        <w:t>&lt;/NumAm&gt;</w:t>
      </w:r>
    </w:p>
    <w:p w:rsidR="002131D7" w:rsidRPr="00252254" w:rsidRDefault="002131D7" w:rsidP="002131D7">
      <w:pPr>
        <w:pStyle w:val="NormalBold"/>
      </w:pPr>
      <w:r>
        <w:rPr>
          <w:rStyle w:val="HideTWBExt"/>
          <w:b w:val="0"/>
        </w:rPr>
        <w:t>&lt;RepeatBlock-By&gt;&lt;Members&gt;</w:t>
      </w:r>
      <w:r>
        <w:t>Ana Miguel Pedro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Arktis yra geostrateginės svarbos regionas, kiek tai susiję su galimų jūrinių kelių plėtra, prieiga prie gamtos išteklių, klimato apsauga, teritorinėmis pretenzijomis</w:t>
            </w:r>
            <w:r>
              <w:rPr>
                <w:b/>
                <w:i/>
              </w:rPr>
              <w:t>, be kita ko, dėl</w:t>
            </w:r>
            <w:r>
              <w:t xml:space="preserve"> Rusijos karinės ekspansijos Tolimojoje Šiaurėje</w:t>
            </w:r>
            <w:r>
              <w:rPr>
                <w:b/>
                <w:i/>
              </w:rPr>
              <w:t>, ir</w:t>
            </w:r>
            <w:r>
              <w:t xml:space="preserve"> laivybos laisve bei saugumu;</w:t>
            </w:r>
          </w:p>
        </w:tc>
        <w:tc>
          <w:tcPr>
            <w:tcW w:w="4876" w:type="dxa"/>
            <w:tcBorders>
              <w:top w:val="nil"/>
              <w:left w:val="nil"/>
              <w:bottom w:val="nil"/>
              <w:right w:val="nil"/>
            </w:tcBorders>
          </w:tcPr>
          <w:p w:rsidR="002131D7" w:rsidRPr="00252254" w:rsidRDefault="002131D7" w:rsidP="00B46628">
            <w:pPr>
              <w:pStyle w:val="Normal6a"/>
            </w:pPr>
            <w:r>
              <w:t>–</w:t>
            </w:r>
            <w:r>
              <w:tab/>
              <w:t>Arktis yra geostrateginės svarbos regionas, kiek tai susiję su galimų jūrinių kelių plėtra, prieiga prie gamtos išteklių, klimato apsauga, teritorinėmis pretenzijomis</w:t>
            </w:r>
            <w:r>
              <w:rPr>
                <w:b/>
                <w:i/>
              </w:rPr>
              <w:t>; pabrėžia, kad jos svarba didėja ne tik dėl</w:t>
            </w:r>
            <w:r>
              <w:t xml:space="preserve"> Rusijos karinės ekspansijos Tolimojoje šiaurėje</w:t>
            </w:r>
            <w:r>
              <w:rPr>
                <w:b/>
                <w:i/>
              </w:rPr>
              <w:t>, bet ir dėl didėjančio Kinijos dalyvavimo ir susidomėjimo šiuo regionu; pabrėžia, kad, didėjant šių dviejų valstybių įtakai ir militarizavimui, reikia užtikrinti</w:t>
            </w:r>
            <w:r>
              <w:t xml:space="preserve"> laivybos laisvę ir saugumą;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lastRenderedPageBreak/>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412</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Arktis yra geostrateginės svarbos regionas, kiek tai susiję su galimų jūrinių kelių plėtra, prieiga prie gamtos išteklių, klimato apsauga</w:t>
            </w:r>
            <w:r>
              <w:rPr>
                <w:b/>
                <w:i/>
              </w:rPr>
              <w:t>, teritorinėmis pretenzijomis, be kita ko, dėl Rusijos karinės ekspansijos Tolimojoje Šiaurėje,</w:t>
            </w:r>
            <w:r>
              <w:t xml:space="preserve"> ir laivybos laisve bei saugumu;</w:t>
            </w:r>
          </w:p>
        </w:tc>
        <w:tc>
          <w:tcPr>
            <w:tcW w:w="4876" w:type="dxa"/>
            <w:tcBorders>
              <w:top w:val="nil"/>
              <w:left w:val="nil"/>
              <w:bottom w:val="nil"/>
              <w:right w:val="nil"/>
            </w:tcBorders>
          </w:tcPr>
          <w:p w:rsidR="002131D7" w:rsidRPr="00252254" w:rsidRDefault="002131D7" w:rsidP="00B46628">
            <w:pPr>
              <w:pStyle w:val="Normal6a"/>
            </w:pPr>
            <w:r>
              <w:t>–</w:t>
            </w:r>
            <w:r>
              <w:tab/>
              <w:t>Arktis yra geostrateginės svarbos regionas, kiek tai susiję su galimų jūrinių kelių plėtra, prieiga prie gamtos išteklių, klimato apsauga ir laivybos laisve bei saugumu;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413</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įtrauka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w:t>
            </w:r>
            <w:r>
              <w:tab/>
              <w:t xml:space="preserve">Arktis yra geostrateginės svarbos regionas, kiek tai susiję su galimų jūrinių kelių plėtra, prieiga prie gamtos išteklių, klimato apsauga, teritorinėmis pretenzijomis, </w:t>
            </w:r>
            <w:r>
              <w:rPr>
                <w:b/>
                <w:i/>
              </w:rPr>
              <w:t>be kita ko, dėl Rusijos karinės ekspansijos Tolimojoje Šiaurėje,</w:t>
            </w:r>
            <w:r>
              <w:t xml:space="preserve"> ir laivybos laisve bei saugumu;</w:t>
            </w:r>
          </w:p>
        </w:tc>
        <w:tc>
          <w:tcPr>
            <w:tcW w:w="4876" w:type="dxa"/>
            <w:tcBorders>
              <w:top w:val="nil"/>
              <w:left w:val="nil"/>
              <w:bottom w:val="nil"/>
              <w:right w:val="nil"/>
            </w:tcBorders>
          </w:tcPr>
          <w:p w:rsidR="002131D7" w:rsidRPr="00252254" w:rsidRDefault="002131D7" w:rsidP="00B46628">
            <w:pPr>
              <w:pStyle w:val="Normal6a"/>
            </w:pPr>
            <w:r>
              <w:t>–</w:t>
            </w:r>
            <w:r>
              <w:tab/>
              <w:t>Arktis yra geostrateginės svarbos regionas, kiek tai susiję su galimų jūrinių kelių plėtra, prieiga prie gamtos išteklių, klimato apsauga, teritorinėmis pretenzijomis ir laivybos laisve bei saugumu;</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414</w:t>
      </w:r>
      <w:r>
        <w:rPr>
          <w:rStyle w:val="HideTWBExt"/>
        </w:rPr>
        <w:t>&lt;/NumAm&gt;</w:t>
      </w:r>
    </w:p>
    <w:p w:rsidR="002131D7" w:rsidRPr="00252254" w:rsidRDefault="002131D7" w:rsidP="002131D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poreikį kovoti su nebaudžiamumu ir stiprinti pastangas užtikrinti atskaitomybę visame pasaulyje, be kita ko, padedant Tarptautiniam baudžiamajam teismui (TBT), ir ginti tarptautinę teisę bei tarptautinę humanitarinę teisę; tebėra labai susirūpinęs dėl tendencijos, kai valstybės pareigūnai menkina tarptautinių institucijų ir jų darbuotojų priimtus sprendimus; apgailestauja dėl to, kad kai kurios TBT valstybės narės nevykdo TBT arešto orderių ir taip kenkia teismų darbui;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415</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neatidėliotiną ir nuolatinį poreikį skatinti užtikrinti lyčių lygybę ir moterų įgalėjimą, vykdant visus ES išorės veiksmus pagal 2021–2025 m. lyčių lygybės veiksmų planą, ypač atsižvelgiant į dabartinį visuotinį moterų teisių pamynimą; pabrėžia, kad, atsižvelgiant į dabartinį pažangos tempą, užtikrinti lyčių lygybei visame pasaulyje reikės dar 131 metų, tad itin svarbu dėti daugiau pastangų tam, kad būtų apsaugomos ir puoselėjamos moterų teisės ir galimybės;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416</w:t>
      </w:r>
      <w:r>
        <w:rPr>
          <w:rStyle w:val="HideTWBExt"/>
        </w:rPr>
        <w:t>&lt;/NumAm&gt;</w:t>
      </w:r>
    </w:p>
    <w:p w:rsidR="002131D7" w:rsidRPr="00252254" w:rsidRDefault="002131D7" w:rsidP="002131D7">
      <w:pPr>
        <w:pStyle w:val="NormalBold"/>
      </w:pPr>
      <w:r>
        <w:rPr>
          <w:rStyle w:val="HideTWBExt"/>
          <w:b w:val="0"/>
        </w:rPr>
        <w:t>&lt;RepeatBlock-By&gt;&lt;Members&gt;</w:t>
      </w:r>
      <w:r>
        <w:t>Christophe Gomart</w:t>
      </w:r>
      <w:r>
        <w:rPr>
          <w:rStyle w:val="HideTWBExt"/>
          <w:b w:val="0"/>
        </w:rPr>
        <w:t>&lt;/Members&gt;</w:t>
      </w:r>
    </w:p>
    <w:p w:rsidR="002131D7" w:rsidRPr="00252254" w:rsidRDefault="002131D7" w:rsidP="002131D7">
      <w:pPr>
        <w:pStyle w:val="NormalBold"/>
      </w:pPr>
      <w:r>
        <w:rPr>
          <w:rStyle w:val="HideTWBExt"/>
          <w:b w:val="0"/>
        </w:rPr>
        <w:lastRenderedPageBreak/>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a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tai, kad svarbu, jog ES šalys kandidatės laikytųsi plėtros standartų, visų pirma, susijusių su aplinkos ir žemės ūkio normomis ir kova su korupcija;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417</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dalies 7 b įtrauka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w:t>
            </w:r>
            <w:r>
              <w:tab/>
            </w:r>
            <w:r>
              <w:rPr>
                <w:b/>
                <w:i/>
              </w:rPr>
              <w:t>neatidėliotiną poreikį apsaugoti žmogaus teisių gynėjus, kurie atlieka itin svarbų vaidmenį visame pasaulyje puoselėjant žmogaus teises, demokratiją ir teisinę valstybę; ragina tobulinti žmogaus teisių gynėjų, kurie susiduria su grasinimais, priekabiavimu ir smurtu, ypač didelės rizikos zonose arba dirbdami jautriais klausimais, pvz., aplinkos, čiabuvių ir moterų teisių klausimais, paramos ir apsaugos mechanizmus;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418</w:t>
      </w:r>
      <w:r>
        <w:rPr>
          <w:rStyle w:val="HideTWBExt"/>
        </w:rPr>
        <w:t>&lt;/NumAm&gt;</w:t>
      </w:r>
    </w:p>
    <w:p w:rsidR="002131D7" w:rsidRPr="00252254" w:rsidRDefault="002131D7" w:rsidP="002131D7">
      <w:pPr>
        <w:pStyle w:val="NormalBold"/>
      </w:pPr>
      <w:r>
        <w:rPr>
          <w:rStyle w:val="HideTWBExt"/>
          <w:b w:val="0"/>
        </w:rPr>
        <w:t>&lt;RepeatBlock-By&gt;&lt;Members&gt;</w:t>
      </w:r>
      <w:r>
        <w:t>Marc Botenga, Rima Hassan, Özlem Demirel</w:t>
      </w:r>
      <w:r>
        <w:rPr>
          <w:rStyle w:val="HideTWBExt"/>
          <w:b w:val="0"/>
        </w:rPr>
        <w:t>&lt;/Members&gt;</w:t>
      </w:r>
    </w:p>
    <w:p w:rsidR="002131D7" w:rsidRPr="00252254" w:rsidRDefault="002131D7" w:rsidP="002131D7">
      <w:r>
        <w:rPr>
          <w:rStyle w:val="HideTWBExt"/>
        </w:rPr>
        <w:t>&lt;AuNomDe&gt;</w:t>
      </w:r>
      <w:r>
        <w:rPr>
          <w:rStyle w:val="HideTWBInt"/>
        </w:rPr>
        <w:t>{The Left}</w:t>
      </w:r>
      <w:r>
        <w:t>The Left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4a.</w:t>
            </w:r>
            <w:r>
              <w:tab/>
            </w:r>
            <w:r>
              <w:rPr>
                <w:b/>
                <w:i/>
              </w:rPr>
              <w:t>pabrėžia, kad plėtra turėtų paskatinti aukštynkryptes socialines tendencijas, primena, kad minimalusis darbo užmokestis šalyse kandidatėse šiuo metu yra daug mažesnis už ES vidurkį ir kad tokiomis sąlygomis dėl plėtros darbuotojai patirtų didesnį socialinį dempingą;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419</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5.</w:t>
            </w:r>
            <w:r>
              <w:tab/>
              <w:t>tolesniame skirsnyje nurodo Parlamento 2025 m. BUSP tikslus</w:t>
            </w:r>
            <w:r>
              <w:rPr>
                <w:b/>
                <w:i/>
              </w:rPr>
              <w:t>, taip papildydamas Komisijos pirmininko pavaduotojo ir Sąjungos vyriausiojo įgaliotinio metinėje ataskaitoje dėl BUSP pareikštą nuomonę</w:t>
            </w:r>
            <w:r>
              <w:t>;</w:t>
            </w:r>
          </w:p>
        </w:tc>
        <w:tc>
          <w:tcPr>
            <w:tcW w:w="4876" w:type="dxa"/>
            <w:tcBorders>
              <w:top w:val="nil"/>
              <w:left w:val="nil"/>
              <w:bottom w:val="nil"/>
              <w:right w:val="nil"/>
            </w:tcBorders>
          </w:tcPr>
          <w:p w:rsidR="002131D7" w:rsidRPr="00252254" w:rsidRDefault="002131D7" w:rsidP="00B46628">
            <w:pPr>
              <w:pStyle w:val="Normal6a"/>
            </w:pPr>
            <w:r>
              <w:t>5.</w:t>
            </w:r>
            <w:r>
              <w:tab/>
              <w:t>tolesniame skirsnyje nurodo Parlamento 2025 m. BUSP tikslus;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420</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5a.</w:t>
            </w:r>
            <w:r>
              <w:tab/>
            </w:r>
            <w:r>
              <w:rPr>
                <w:b/>
                <w:i/>
              </w:rPr>
              <w:t xml:space="preserve">mano, kad Kinijos iškilimas tebėra vienas iš pagrindinių XXI amžiaus geopolitinių iššūkių, ir pažymi, kad ES ir Kinijos Liaudies Respublikos santykiams vis labiau būdinga ekonominė konkurencija ir sisteminis varžymasis; pakartoja savo prašymus parengti atnaujintą, ryžtingesnę, išsamesnę ir </w:t>
            </w:r>
            <w:r>
              <w:rPr>
                <w:b/>
                <w:i/>
              </w:rPr>
              <w:lastRenderedPageBreak/>
              <w:t>nuoseklesnę ES ir Kinijos strategiją, pagal kurią būtų formuojami visai ES naudingi santykiai su Kinijos Liaudies Respublika ir kuria būtų visapusiškai atsižvelgiama į iššūkius, kylančius dėl Kinijos Liaudies Respublikos, kaip pasaulinio masto veikėjos, iškilimo ir jos vis represyvesnės vidaus politikos bei ryžtingesnės užsienio politikos; pabrėžia, kad ES požiūrio į Kiniją patikimumas labai priklauso nuo valstybių narių noro laikytis vieningos pozicijos;</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421</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5b.</w:t>
            </w:r>
            <w:r>
              <w:tab/>
            </w:r>
            <w:r>
              <w:rPr>
                <w:b/>
                <w:i/>
              </w:rPr>
              <w:t>ragina Sąjungos vyriausiąjį įgaliotinį užsienio reikalams ir saugumo politikai ir Komisijos pirmininko pavaduotoją skatinti įtikinamą, ilgalaikį ir tikslingą demokratinį naratyvą, kuriuo parodoma, kad demokratija teikia naudą asmenims ir visuomenei visame pasaulyje ir gali atlaikyti autokratinį spaudimą bei įtaką; atsižvelgdamas į tai, ragina toliau stiprinti ES valstybių narių demokratijos atsparumą, kovojant su užsienio vykdomu manipuliavimu informacija ir kišimusi (FIMI) ir vėliau stiprinant ES strateginės komunikacijos priemonių rinkinį, ir šiuo atžvilgiu palankiai vertina investicijas į valstybių narių demokratijos atsparumą, taip pat strateginę komunikaciją ir kovą su užsienio kišimusi bei dezinformacijos plitimu, taip pat palankiai vertina EIVT bendradarbiavimą su JT rengiant visuotinį elgesio kodeksą dėl informacijos vientisumo;</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422</w:t>
      </w:r>
      <w:r>
        <w:rPr>
          <w:rStyle w:val="HideTWBExt"/>
        </w:rPr>
        <w:t>&lt;/NumAm&gt;</w:t>
      </w:r>
    </w:p>
    <w:p w:rsidR="002131D7" w:rsidRPr="00252254" w:rsidRDefault="002131D7" w:rsidP="002131D7">
      <w:pPr>
        <w:pStyle w:val="NormalBold"/>
      </w:pPr>
      <w:r>
        <w:rPr>
          <w:rStyle w:val="HideTWBExt"/>
          <w:b w:val="0"/>
        </w:rPr>
        <w:t>&lt;RepeatBlock-By&gt;&lt;Members&gt;</w:t>
      </w:r>
      <w:r>
        <w:t>Mariusz Kamiński, Adam Bielan</w:t>
      </w:r>
      <w:r>
        <w:rPr>
          <w:rStyle w:val="HideTWBExt"/>
          <w:b w:val="0"/>
        </w:rPr>
        <w:t>&lt;/Members&gt;</w:t>
      </w:r>
    </w:p>
    <w:p w:rsidR="002131D7" w:rsidRPr="00252254" w:rsidRDefault="002131D7" w:rsidP="002131D7">
      <w:r>
        <w:rPr>
          <w:rStyle w:val="HideTWBExt"/>
        </w:rPr>
        <w:t>&lt;AuNomDe&gt;</w:t>
      </w:r>
      <w:r>
        <w:rPr>
          <w:rStyle w:val="HideTWBInt"/>
        </w:rPr>
        <w:t>{ECR}</w:t>
      </w:r>
      <w:r>
        <w:t>ECR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 xml:space="preserve">Rusijos agresijos karo prieš Ukrainą </w:t>
            </w:r>
            <w:r>
              <w:rPr>
                <w:b/>
                <w:i/>
              </w:rPr>
              <w:t>pasaulinių padarinių</w:t>
            </w:r>
            <w:r>
              <w:t xml:space="preserve"> šalinimas</w:t>
            </w:r>
          </w:p>
        </w:tc>
        <w:tc>
          <w:tcPr>
            <w:tcW w:w="4876" w:type="dxa"/>
            <w:tcBorders>
              <w:top w:val="nil"/>
              <w:left w:val="nil"/>
              <w:bottom w:val="nil"/>
              <w:right w:val="nil"/>
            </w:tcBorders>
          </w:tcPr>
          <w:p w:rsidR="002131D7" w:rsidRPr="00252254" w:rsidRDefault="002131D7" w:rsidP="00B46628">
            <w:pPr>
              <w:pStyle w:val="Normal6a"/>
            </w:pPr>
            <w:r>
              <w:rPr>
                <w:b/>
                <w:i/>
              </w:rPr>
              <w:t>Rusijos</w:t>
            </w:r>
            <w:r>
              <w:t xml:space="preserve"> agresijos karas prieš Ukrainą </w:t>
            </w:r>
            <w:r>
              <w:rPr>
                <w:b/>
                <w:i/>
              </w:rPr>
              <w:t>ir jo pasaulinių padarinių šalinimas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423</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Rusijos agresijos karo prieš Ukrainą</w:t>
            </w:r>
            <w:r>
              <w:t xml:space="preserve"> pasaulinių padarinių šalinimas</w:t>
            </w:r>
          </w:p>
        </w:tc>
        <w:tc>
          <w:tcPr>
            <w:tcW w:w="4876" w:type="dxa"/>
            <w:tcBorders>
              <w:top w:val="nil"/>
              <w:left w:val="nil"/>
              <w:bottom w:val="nil"/>
              <w:right w:val="nil"/>
            </w:tcBorders>
          </w:tcPr>
          <w:p w:rsidR="002131D7" w:rsidRPr="00252254" w:rsidRDefault="002131D7" w:rsidP="00B46628">
            <w:pPr>
              <w:pStyle w:val="Normal6a"/>
            </w:pPr>
            <w:r>
              <w:rPr>
                <w:b/>
                <w:i/>
              </w:rPr>
              <w:t>Konflikto Ukrainoje sukeltų</w:t>
            </w:r>
            <w:r>
              <w:t xml:space="preserve"> pasaulinių padarinių šalinimas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424</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3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Rusijos agresijos karo prieš</w:t>
            </w:r>
            <w:r>
              <w:t xml:space="preserve"> Ukrainą </w:t>
            </w:r>
            <w:r>
              <w:rPr>
                <w:b/>
                <w:i/>
              </w:rPr>
              <w:t>pasaulinių padarinių</w:t>
            </w:r>
            <w:r>
              <w:t xml:space="preserve"> šalinimas</w:t>
            </w:r>
          </w:p>
        </w:tc>
        <w:tc>
          <w:tcPr>
            <w:tcW w:w="4876" w:type="dxa"/>
            <w:tcBorders>
              <w:top w:val="nil"/>
              <w:left w:val="nil"/>
              <w:bottom w:val="nil"/>
              <w:right w:val="nil"/>
            </w:tcBorders>
          </w:tcPr>
          <w:p w:rsidR="002131D7" w:rsidRPr="00252254" w:rsidRDefault="002131D7" w:rsidP="00B46628">
            <w:pPr>
              <w:pStyle w:val="Normal6a"/>
            </w:pPr>
            <w:r>
              <w:rPr>
                <w:b/>
                <w:i/>
              </w:rPr>
              <w:t>Teisingos ir ilgalaikės taikos</w:t>
            </w:r>
            <w:r>
              <w:t xml:space="preserve"> Ukrainoje užtikrinimas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lastRenderedPageBreak/>
        <w:t>&lt;Amend&gt;</w:t>
      </w:r>
      <w:r>
        <w:t>Pakeitimas</w:t>
      </w:r>
      <w:r>
        <w:tab/>
      </w:r>
      <w:r>
        <w:tab/>
      </w:r>
      <w:r>
        <w:rPr>
          <w:rStyle w:val="HideTWBExt"/>
        </w:rPr>
        <w:t>&lt;NumAm&gt;</w:t>
      </w:r>
      <w:r>
        <w:t>425</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w:t>
            </w:r>
            <w:r>
              <w:rPr>
                <w:b/>
                <w:i/>
              </w:rPr>
              <w:t>Rusijos</w:t>
            </w:r>
            <w:r>
              <w:t xml:space="preserve"> agresijos karą prieš Ukrainą atidžiai stebi autokratiniai </w:t>
            </w:r>
            <w:r>
              <w:rPr>
                <w:b/>
                <w:i/>
              </w:rPr>
              <w:t>subjektai visame pasaulyje ir jis turės lemiamos įtakos formuojant jų elgesį</w:t>
            </w:r>
            <w:r>
              <w:t xml:space="preserve"> tarptautinėje </w:t>
            </w:r>
            <w:r>
              <w:rPr>
                <w:b/>
                <w:i/>
              </w:rPr>
              <w:t>arenoje</w:t>
            </w:r>
            <w:r>
              <w:t>;</w:t>
            </w:r>
          </w:p>
        </w:tc>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w:t>
            </w:r>
            <w:r>
              <w:rPr>
                <w:b/>
                <w:i/>
              </w:rPr>
              <w:t>Rusijos</w:t>
            </w:r>
            <w:r>
              <w:t xml:space="preserve"> agresijos karą prieš Ukrainą </w:t>
            </w:r>
            <w:r>
              <w:rPr>
                <w:b/>
                <w:i/>
              </w:rPr>
              <w:t>ne tik</w:t>
            </w:r>
            <w:r>
              <w:t xml:space="preserve"> atidžiai stebi</w:t>
            </w:r>
            <w:r>
              <w:rPr>
                <w:b/>
                <w:i/>
              </w:rPr>
              <w:t>, bet ir aktyviai analizuoja</w:t>
            </w:r>
            <w:r>
              <w:t xml:space="preserve"> autokratiniai </w:t>
            </w:r>
            <w:r>
              <w:rPr>
                <w:b/>
                <w:i/>
              </w:rPr>
              <w:t>režimai visame pasaulyje: jie siekia pakenkti taisyklėmis grindžiamai</w:t>
            </w:r>
            <w:r>
              <w:t xml:space="preserve"> tarptautinei </w:t>
            </w:r>
            <w:r>
              <w:rPr>
                <w:b/>
                <w:i/>
              </w:rPr>
              <w:t>tvarkai, nustatydami konflikto metu atsiskleidusias silpnybes ir jas išnaudodami</w:t>
            </w:r>
            <w:r>
              <w:t xml:space="preserve">; </w:t>
            </w:r>
            <w:r>
              <w:rPr>
                <w:b/>
                <w:i/>
              </w:rPr>
              <w:t>pažymi, kad karas Ukrainoje tapo dideliu išbandymu Vakarų aljansų atsparumui, o suvokiamas pažeidžiamumas skatina autokratines jėgas plėsti savo įtaką, ypač globaliuosiuose Pietuose; pabrėžia, kad pastarojo meto įvykiai, pvz., 2024 m. spalio 22–24 d. Kazanėje (Rusija) surengtas BRICS aukščiausiojo lygio susitikimas, rodo, kad V. Putinas naudojasi tarptautinėmis platformomis, siekdamas kovoti su izoliacija ir kurti aljansus, tad tam, kad būtų laikomasi tarptautinės tvarkos principų, reikalingas vieningas strateginis ES atsakas;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426</w:t>
      </w:r>
      <w:r>
        <w:rPr>
          <w:rStyle w:val="HideTWBExt"/>
        </w:rPr>
        <w:t>&lt;/NumAm&gt;</w:t>
      </w:r>
    </w:p>
    <w:p w:rsidR="002131D7" w:rsidRPr="00252254" w:rsidRDefault="002131D7" w:rsidP="002131D7">
      <w:pPr>
        <w:pStyle w:val="NormalBold"/>
      </w:pPr>
      <w:r>
        <w:rPr>
          <w:rStyle w:val="HideTWBExt"/>
          <w:b w:val="0"/>
        </w:rPr>
        <w:t>&lt;RepeatBlock-By&gt;&lt;Members&gt;</w:t>
      </w:r>
      <w:r>
        <w:t>Željana Zovko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pažymi, kad ES atsaką į Rusijos agresijos karą prieš Ukrainą atidžiai stebi autokratiniai subjektai visame pasaulyje ir jis turės lemiamos įtakos formuojant jų elgesį tarptautinėje arenoje;</w:t>
            </w:r>
          </w:p>
        </w:tc>
        <w:tc>
          <w:tcPr>
            <w:tcW w:w="4876" w:type="dxa"/>
            <w:tcBorders>
              <w:top w:val="nil"/>
              <w:left w:val="nil"/>
              <w:bottom w:val="nil"/>
              <w:right w:val="nil"/>
            </w:tcBorders>
          </w:tcPr>
          <w:p w:rsidR="002131D7" w:rsidRPr="00252254" w:rsidRDefault="002131D7" w:rsidP="00B46628">
            <w:pPr>
              <w:pStyle w:val="Normal6a"/>
            </w:pPr>
            <w:r>
              <w:t>6.</w:t>
            </w:r>
            <w:r>
              <w:tab/>
              <w:t>pažymi, kad ES atsaką į Rusijos agresijos karą prieš Ukrainą atidžiai stebi autokratiniai subjektai visame pasaulyje ir jis turės lemiamos įtakos formuojant jų elgesį tarptautinėje arenoje;</w:t>
            </w:r>
            <w:r>
              <w:rPr>
                <w:b/>
                <w:i/>
              </w:rPr>
              <w:t xml:space="preserve"> pažymi, kad Rusijos agresija labai pakenkė Europos ir </w:t>
            </w:r>
            <w:r>
              <w:rPr>
                <w:b/>
                <w:i/>
              </w:rPr>
              <w:lastRenderedPageBreak/>
              <w:t>pasaulio saugumui ir sukėlė ekonominį netikrumą, maisto stygių bei aukštas energijos kainas; atkreipia dėmesį į tai, kad Rusijos agresijos karas prieš Ukrainą destabilizuoja tiek rytines kaimynines šalis, tiek Vakarų Balkanų šalis ir kelia tiesioginę grėsmę ES saugumui ir stabilumui; mano, kad, atsižvelgiant į šią didėjančią riziką, ES ir toliau turi teikti daugiausia dėmesio plėtros proceso spartinimui;</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427</w:t>
      </w:r>
      <w:r>
        <w:rPr>
          <w:rStyle w:val="HideTWBExt"/>
        </w:rPr>
        <w:t>&lt;/NumAm&gt;</w:t>
      </w:r>
    </w:p>
    <w:p w:rsidR="002131D7" w:rsidRPr="00252254" w:rsidRDefault="002131D7" w:rsidP="002131D7">
      <w:pPr>
        <w:pStyle w:val="NormalBold"/>
      </w:pPr>
      <w:r>
        <w:rPr>
          <w:rStyle w:val="HideTWBExt"/>
          <w:b w:val="0"/>
        </w:rPr>
        <w:t>&lt;RepeatBlock-By&gt;&lt;Members&gt;</w:t>
      </w:r>
      <w:r>
        <w:t>Miriam Lexmann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pažymi, kad ES atsaką į Rusijos agresijos karą prieš Ukrainą atidžiai stebi autokratiniai subjektai visame pasaulyje ir jis turės lemiamos įtakos formuojant jų elgesį tarptautinėje arenoje;</w:t>
            </w:r>
          </w:p>
        </w:tc>
        <w:tc>
          <w:tcPr>
            <w:tcW w:w="4876" w:type="dxa"/>
            <w:tcBorders>
              <w:top w:val="nil"/>
              <w:left w:val="nil"/>
              <w:bottom w:val="nil"/>
              <w:right w:val="nil"/>
            </w:tcBorders>
          </w:tcPr>
          <w:p w:rsidR="002131D7" w:rsidRPr="00252254" w:rsidRDefault="002131D7" w:rsidP="00B46628">
            <w:pPr>
              <w:pStyle w:val="Normal6a"/>
            </w:pPr>
            <w:r>
              <w:t>6.</w:t>
            </w:r>
            <w:r>
              <w:tab/>
              <w:t>pažymi, kad ES atsaką į Rusijos agresijos karą prieš Ukrainą atidžiai stebi autokratiniai subjektai visame pasaulyje ir jis turės lemiamos įtakos formuojant jų elgesį tarptautinėje arenoje</w:t>
            </w:r>
            <w:r>
              <w:rPr>
                <w:b/>
                <w:i/>
              </w:rPr>
              <w:t>, be kita ko, Taivano sąsiauryje</w:t>
            </w:r>
            <w:r>
              <w:t xml:space="preserve">; </w:t>
            </w:r>
            <w:r>
              <w:rPr>
                <w:b/>
                <w:i/>
              </w:rPr>
              <w:t>yra susirūpinęs dėl didėjančio autokratinių režimų bendradarbiavimo ir veiksmų koordinavimo, be kita ko, dėl jų materialinės ar kitokios paramos Rusijos agresijai prieš Ukrainą;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428</w:t>
      </w:r>
      <w:r>
        <w:rPr>
          <w:rStyle w:val="HideTWBExt"/>
        </w:rPr>
        <w:t>&lt;/NumAm&gt;</w:t>
      </w:r>
    </w:p>
    <w:p w:rsidR="002131D7" w:rsidRPr="00252254" w:rsidRDefault="002131D7" w:rsidP="002131D7">
      <w:pPr>
        <w:pStyle w:val="NormalBold"/>
      </w:pPr>
      <w:r>
        <w:rPr>
          <w:rStyle w:val="HideTWBExt"/>
          <w:b w:val="0"/>
        </w:rPr>
        <w:t>&lt;RepeatBlock-By&gt;&lt;Members&gt;</w:t>
      </w:r>
      <w:r>
        <w:t>Hannah Neumann</w:t>
      </w:r>
      <w:r>
        <w:rPr>
          <w:rStyle w:val="HideTWBExt"/>
          <w:b w:val="0"/>
        </w:rPr>
        <w:t>&lt;/Members&gt;</w:t>
      </w:r>
    </w:p>
    <w:p w:rsidR="002131D7" w:rsidRPr="00252254" w:rsidRDefault="002131D7" w:rsidP="002131D7">
      <w:r>
        <w:rPr>
          <w:rStyle w:val="HideTWBExt"/>
        </w:rPr>
        <w:t>&lt;AuNomDe&gt;</w:t>
      </w:r>
      <w:r>
        <w:rPr>
          <w:rStyle w:val="HideTWBInt"/>
        </w:rPr>
        <w:t>{Greens/EFA}</w:t>
      </w:r>
      <w:r>
        <w:t>Verts/ALE frakcijos vardu</w:t>
      </w:r>
      <w:r>
        <w:rPr>
          <w:rStyle w:val="HideTWBExt"/>
        </w:rPr>
        <w:t>&lt;/AuNomDe&gt;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lastRenderedPageBreak/>
              <w:t>6.</w:t>
            </w:r>
            <w:r>
              <w:tab/>
              <w:t>pažymi, kad ES atsaką į Rusijos agresijos karą prieš Ukrainą atidžiai stebi autokratiniai subjektai visame pasaulyje ir jis turės lemiamos įtakos formuojant jų elgesį tarptautinėje arenoje;</w:t>
            </w:r>
          </w:p>
        </w:tc>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Rusijos agresijos karą prieš Ukrainą atidžiai stebi autokratiniai subjektai visame pasaulyje ir jis turės lemiamos įtakos formuojant jų elgesį tarptautinėje arenoje; </w:t>
            </w:r>
            <w:r>
              <w:rPr>
                <w:b/>
                <w:i/>
              </w:rPr>
              <w:t>pabrėžia, kad vykdydama agresijos karą prieš Ukrainą Rusija pažeidžia taisyklėmis grindžiamą tarptautinę tvarką, pagrindinius tarptautinės teisės principus, įtvirtintus JT Chartijoje ir pagrindinėse konvencijose bei rezoliucijose;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429</w:t>
      </w:r>
      <w:r>
        <w:rPr>
          <w:rStyle w:val="HideTWBExt"/>
        </w:rPr>
        <w:t>&lt;/NumAm&gt;</w:t>
      </w:r>
    </w:p>
    <w:p w:rsidR="002131D7" w:rsidRPr="00252254" w:rsidRDefault="002131D7" w:rsidP="002131D7">
      <w:pPr>
        <w:pStyle w:val="NormalBold"/>
      </w:pPr>
      <w:r>
        <w:rPr>
          <w:rStyle w:val="HideTWBExt"/>
          <w:b w:val="0"/>
        </w:rPr>
        <w:t>&lt;RepeatBlock-By&gt;&lt;Members&gt;</w:t>
      </w:r>
      <w:r>
        <w:t>Sebastian Tynkkynen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pažymi, kad ES atsaką į Rusijos agresijos karą prieš Ukrainą atidžiai stebi autokratiniai subjektai visame pasaulyje ir jis turės lemiamos įtakos formuojant jų elgesį tarptautinėje arenoje;</w:t>
            </w:r>
          </w:p>
        </w:tc>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Rusijos agresijos karą prieš Ukrainą atidžiai stebi autokratiniai subjektai visame pasaulyje ir jis turės lemiamos įtakos formuojant jų elgesį tarptautinėje arenoje; </w:t>
            </w:r>
            <w:r>
              <w:rPr>
                <w:b/>
                <w:i/>
              </w:rPr>
              <w:t>todėl pabrėžia karo egzistencinį pobūdį visam Europos žemynui;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{FI}</w:t>
      </w:r>
      <w:r w:rsidRPr="00252254">
        <w:t>fi</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430</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w:t>
            </w:r>
            <w:r>
              <w:rPr>
                <w:b/>
                <w:i/>
              </w:rPr>
              <w:t>Rusijos agresijos karą prieš</w:t>
            </w:r>
            <w:r>
              <w:t xml:space="preserve"> Ukrainą </w:t>
            </w:r>
            <w:r>
              <w:rPr>
                <w:b/>
                <w:i/>
              </w:rPr>
              <w:t>atidžiai</w:t>
            </w:r>
            <w:r>
              <w:t xml:space="preserve"> stebi </w:t>
            </w:r>
            <w:r>
              <w:rPr>
                <w:b/>
                <w:i/>
              </w:rPr>
              <w:t>autokratiniai subjektai</w:t>
            </w:r>
            <w:r>
              <w:t xml:space="preserve"> visame pasaulyje ir jis </w:t>
            </w:r>
            <w:r>
              <w:rPr>
                <w:b/>
                <w:i/>
              </w:rPr>
              <w:t xml:space="preserve">turės lemiamos įtakos formuojant jų </w:t>
            </w:r>
            <w:r>
              <w:rPr>
                <w:b/>
                <w:i/>
              </w:rPr>
              <w:lastRenderedPageBreak/>
              <w:t>elgesį</w:t>
            </w:r>
            <w:r>
              <w:t xml:space="preserve"> tarptautinėje arenoje;</w:t>
            </w:r>
          </w:p>
        </w:tc>
        <w:tc>
          <w:tcPr>
            <w:tcW w:w="4876" w:type="dxa"/>
            <w:tcBorders>
              <w:top w:val="nil"/>
              <w:left w:val="nil"/>
              <w:bottom w:val="nil"/>
              <w:right w:val="nil"/>
            </w:tcBorders>
          </w:tcPr>
          <w:p w:rsidR="002131D7" w:rsidRPr="00252254" w:rsidRDefault="002131D7" w:rsidP="00B46628">
            <w:pPr>
              <w:pStyle w:val="Normal6a"/>
            </w:pPr>
            <w:r>
              <w:lastRenderedPageBreak/>
              <w:t>6.</w:t>
            </w:r>
            <w:r>
              <w:tab/>
              <w:t xml:space="preserve">pažymi, kad ES atsakas į </w:t>
            </w:r>
            <w:r>
              <w:rPr>
                <w:b/>
                <w:i/>
              </w:rPr>
              <w:t>karą</w:t>
            </w:r>
            <w:r>
              <w:t xml:space="preserve"> Ukrainoje stebimas visame pasaulyje ir </w:t>
            </w:r>
            <w:r>
              <w:rPr>
                <w:b/>
                <w:i/>
              </w:rPr>
              <w:t>daro neigiamą poveikį ES įvaizdžiui</w:t>
            </w:r>
            <w:r>
              <w:t xml:space="preserve"> tarptautinėje arenoje;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431</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w:t>
            </w:r>
            <w:r>
              <w:rPr>
                <w:b/>
                <w:i/>
              </w:rPr>
              <w:t>Rusijos agresijos karą prieš Ukrainą</w:t>
            </w:r>
            <w:r>
              <w:t xml:space="preserve"> atidžiai stebi</w:t>
            </w:r>
            <w:r>
              <w:rPr>
                <w:b/>
                <w:i/>
              </w:rPr>
              <w:t xml:space="preserve"> autokratiniai</w:t>
            </w:r>
            <w:r>
              <w:t xml:space="preserve"> subjektai visame pasaulyje ir jis turės lemiamos įtakos formuojant jų elgesį tarptautinėje arenoje;</w:t>
            </w:r>
          </w:p>
        </w:tc>
        <w:tc>
          <w:tcPr>
            <w:tcW w:w="4876" w:type="dxa"/>
            <w:tcBorders>
              <w:top w:val="nil"/>
              <w:left w:val="nil"/>
              <w:bottom w:val="nil"/>
              <w:right w:val="nil"/>
            </w:tcBorders>
          </w:tcPr>
          <w:p w:rsidR="002131D7" w:rsidRPr="00252254" w:rsidRDefault="002131D7" w:rsidP="00B46628">
            <w:pPr>
              <w:pStyle w:val="Normal6a"/>
            </w:pPr>
            <w:r>
              <w:t>6.</w:t>
            </w:r>
            <w:r>
              <w:tab/>
              <w:t xml:space="preserve">pažymi, kad ES atsaką į </w:t>
            </w:r>
            <w:r>
              <w:rPr>
                <w:b/>
                <w:i/>
              </w:rPr>
              <w:t>konfliktą Ukrainoje</w:t>
            </w:r>
            <w:r>
              <w:t xml:space="preserve"> atidžiai stebi subjektai visame pasaulyje ir jis turės lemiamos įtakos formuojant jų elgesį tarptautinėje arenoje;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432</w:t>
      </w:r>
      <w:r>
        <w:rPr>
          <w:rStyle w:val="HideTWBExt"/>
        </w:rPr>
        <w:t>&lt;/NumAm&gt;</w:t>
      </w:r>
    </w:p>
    <w:p w:rsidR="002131D7" w:rsidRPr="00252254" w:rsidRDefault="002131D7" w:rsidP="002131D7">
      <w:pPr>
        <w:pStyle w:val="NormalBold"/>
      </w:pPr>
      <w:r>
        <w:rPr>
          <w:rStyle w:val="HideTWBExt"/>
          <w:b w:val="0"/>
        </w:rPr>
        <w:t>&lt;RepeatBlock-By&gt;&lt;Members&gt;</w:t>
      </w:r>
      <w:r>
        <w:t>Andrey Kovatchev</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a)</w:t>
            </w:r>
            <w:r>
              <w:tab/>
            </w:r>
            <w:r>
              <w:rPr>
                <w:b/>
                <w:i/>
              </w:rPr>
              <w:t>pabrėžia, kad Rusijos invazija į Ukrainą aiškiai atskleidžia sąsają tarp užsienio mėginimų manipuliuoti informacija ir grėsmių ES, taip pat pasaulinio saugumo ir stabilumo; dar kartą ragina priimti suderintą ES strategiją siekiant kovoti su užsienio kišimusi ir didinti demokratijos atsparumą, ypač ES kaimyninėse šalyse;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433</w:t>
      </w:r>
      <w:r>
        <w:rPr>
          <w:rStyle w:val="HideTWBExt"/>
        </w:rPr>
        <w:t>&lt;/NumAm&gt;</w:t>
      </w:r>
    </w:p>
    <w:p w:rsidR="002131D7" w:rsidRPr="00252254" w:rsidRDefault="002131D7" w:rsidP="002131D7">
      <w:pPr>
        <w:pStyle w:val="NormalBold"/>
      </w:pPr>
      <w:r>
        <w:rPr>
          <w:rStyle w:val="HideTWBExt"/>
          <w:b w:val="0"/>
        </w:rPr>
        <w:t>&lt;RepeatBlock-By&gt;&lt;Members&gt;</w:t>
      </w:r>
      <w:r>
        <w:t>Kinga Gál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lastRenderedPageBreak/>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6a.</w:t>
            </w:r>
            <w:r>
              <w:tab/>
            </w:r>
            <w:r>
              <w:rPr>
                <w:b/>
                <w:i/>
              </w:rPr>
              <w:t>dar kartą patvirtina savo poziciją dėl nuolatinės paramos Ukrainos nepriklausomybei, suverenitetui ir teritoriniam vientisumui; ragina nedelsiant sustabdyti Rusijos agresijos karą prieš Ukrainą ir kraujo praliejimą bei naikinimą Ukrainoje; yra tvirtai įsitikinęs, kad konfliktas negali būti išspręstas karinėmis priemonėmis, todėl siekiant užbaigti karą reikia nuolatinių diplomatinių pastangų ir būtina rasti taikų sprendimą visų nuo konflikto nukentėjusių piliečių labui;</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434</w:t>
      </w:r>
      <w:r>
        <w:rPr>
          <w:rStyle w:val="HideTWBExt"/>
        </w:rPr>
        <w:t>&lt;/NumAm&gt;</w:t>
      </w:r>
    </w:p>
    <w:p w:rsidR="002131D7" w:rsidRPr="00252254" w:rsidRDefault="002131D7" w:rsidP="002131D7">
      <w:pPr>
        <w:pStyle w:val="NormalBold"/>
      </w:pPr>
      <w:r>
        <w:rPr>
          <w:rStyle w:val="HideTWBExt"/>
          <w:b w:val="0"/>
        </w:rPr>
        <w:t>&lt;RepeatBlock-By&gt;&lt;Members&gt;</w:t>
      </w:r>
      <w:r>
        <w:t>Reinis Pozņaks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6a.</w:t>
            </w:r>
            <w:r>
              <w:tab/>
            </w:r>
            <w:r>
              <w:rPr>
                <w:b/>
                <w:i/>
              </w:rPr>
              <w:t> pripažįsta, kad, Irano Islamo Respublikai suteikus tūkstančius bepiločių orlaivių „Shahed“ Rusijai, buvo dar labiau įtvirtinta Irano kaip izoliuotos valstybės padėtis, be to, Islamo revoliucijos gvardija gali įvykdyti karinę intervenciją Ukrainoje, kad paremtų Maskvos karo tikslus, o nuolatinė parama, kurią Rusijai teikia tokios šalys kaip Šiaurės Korėja ir Kinija, dar labiau išryškino jų tvirtą tarptautinės teisės ir normų nepaisymą;</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435</w:t>
      </w:r>
      <w:r>
        <w:rPr>
          <w:rStyle w:val="HideTWBExt"/>
        </w:rPr>
        <w:t>&lt;/NumAm&gt;</w:t>
      </w:r>
    </w:p>
    <w:p w:rsidR="002131D7" w:rsidRPr="00252254" w:rsidRDefault="002131D7" w:rsidP="002131D7">
      <w:pPr>
        <w:pStyle w:val="NormalBold"/>
      </w:pPr>
      <w:r>
        <w:rPr>
          <w:rStyle w:val="HideTWBExt"/>
          <w:b w:val="0"/>
        </w:rPr>
        <w:lastRenderedPageBreak/>
        <w:t>&lt;RepeatBlock-By&gt;&lt;Members&gt;</w:t>
      </w:r>
      <w:r>
        <w:t>Reinis Pozņaks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6b.</w:t>
            </w:r>
            <w:r>
              <w:tab/>
            </w:r>
            <w:r>
              <w:rPr>
                <w:b/>
                <w:i/>
              </w:rPr>
              <w:t>mano, kad rytinių ES valstybių narių patiriamos grėsmės susijusios ne tik su konfliktu su Rusija, bet ir su terorizmu, organizuotu nusikalstamumu, prekyba žmonėmis, korupcija, masine neteisėta migracija ir daugybe kitų grėsmių visuomenės sanglaudai ES ir už jos ribų;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436</w:t>
      </w:r>
      <w:r>
        <w:rPr>
          <w:rStyle w:val="HideTWBExt"/>
        </w:rPr>
        <w:t>&lt;/NumAm&gt;</w:t>
      </w:r>
    </w:p>
    <w:p w:rsidR="002131D7" w:rsidRPr="00252254" w:rsidRDefault="002131D7" w:rsidP="002131D7">
      <w:pPr>
        <w:pStyle w:val="NormalBold"/>
      </w:pPr>
      <w:r>
        <w:rPr>
          <w:rStyle w:val="HideTWBExt"/>
          <w:b w:val="0"/>
        </w:rPr>
        <w:t>&lt;RepeatBlock-By&gt;&lt;Members&gt;</w:t>
      </w:r>
      <w:r>
        <w:t>Reinis Pozņaks</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p>
        </w:tc>
        <w:tc>
          <w:tcPr>
            <w:tcW w:w="4876" w:type="dxa"/>
            <w:tcBorders>
              <w:top w:val="nil"/>
              <w:left w:val="nil"/>
              <w:bottom w:val="nil"/>
              <w:right w:val="nil"/>
            </w:tcBorders>
          </w:tcPr>
          <w:p w:rsidR="002131D7" w:rsidRPr="00252254" w:rsidRDefault="002131D7" w:rsidP="00B46628">
            <w:pPr>
              <w:pStyle w:val="Normal6a"/>
            </w:pPr>
            <w:r>
              <w:rPr>
                <w:b/>
                <w:i/>
              </w:rPr>
              <w:t>6c.</w:t>
            </w:r>
            <w:r>
              <w:tab/>
            </w:r>
            <w:r>
              <w:rPr>
                <w:b/>
                <w:i/>
              </w:rPr>
              <w:t>kuo griežčiausiai smerkia Šiaurės Korėjos pagalbą Rusijai vykdant agresijos karą prieš Ukrainą ir ragina imtis ryžtingų atsakomųjų priemonių, siekiant sustabdyti tiesioginę ir netiesioginę Šiaurės Korėjos paramą Rusijos karinėms pajėgoms ir dalyvavimą apeinant sankcijas, nes tai kelia grėsmę taikai ir stiprina jėgas, kurios vykdo veiklą, nukreiptą prieš tarptautinę taisyklėmis grindžiamą tvarką ir kolektyvinio saugumo sistemas visame pasaulyje;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437</w:t>
      </w:r>
      <w:r>
        <w:rPr>
          <w:rStyle w:val="HideTWBExt"/>
        </w:rPr>
        <w:t>&lt;/NumAm&gt;</w:t>
      </w:r>
    </w:p>
    <w:p w:rsidR="002131D7" w:rsidRPr="00252254" w:rsidRDefault="002131D7" w:rsidP="002131D7">
      <w:pPr>
        <w:pStyle w:val="NormalBold"/>
      </w:pPr>
      <w:r>
        <w:rPr>
          <w:rStyle w:val="HideTWBExt"/>
          <w:b w:val="0"/>
        </w:rPr>
        <w:t>&lt;RepeatBlock-By&gt;&lt;Members&gt;</w:t>
      </w:r>
      <w:r>
        <w:t>Hans Neuhoff</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7.</w:t>
            </w:r>
            <w:r>
              <w:tab/>
            </w:r>
            <w:r>
              <w:rPr>
                <w:b/>
                <w:i/>
              </w:rPr>
              <w:t>ragina Ukrainą toliau daryti pažangą siekiant narystės ES naudojantis visais jai pagal Ukrainos priemonę skirtais ištekliais ir užtikrinti prasmingą savo pilietinės visuomenės dalyvavimą šio proceso įgyvendinimo ir stebėsenos etapais;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{DE}</w:t>
      </w:r>
      <w:r w:rsidRPr="00252254">
        <w:t>de</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438</w:t>
      </w:r>
      <w:r>
        <w:rPr>
          <w:rStyle w:val="HideTWBExt"/>
        </w:rPr>
        <w:t>&lt;/NumAm&gt;</w:t>
      </w:r>
    </w:p>
    <w:p w:rsidR="002131D7" w:rsidRPr="00252254" w:rsidRDefault="002131D7" w:rsidP="002131D7">
      <w:pPr>
        <w:pStyle w:val="NormalBold"/>
      </w:pPr>
      <w:r>
        <w:rPr>
          <w:rStyle w:val="HideTWBExt"/>
          <w:b w:val="0"/>
        </w:rPr>
        <w:t>&lt;RepeatBlock-By&gt;&lt;Members&gt;</w:t>
      </w:r>
      <w:r>
        <w:t>Michael von der Schulenburg</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rPr>
                <w:b/>
                <w:i/>
              </w:rPr>
              <w:t>7.</w:t>
            </w:r>
            <w:r>
              <w:tab/>
            </w:r>
            <w:r>
              <w:rPr>
                <w:b/>
                <w:i/>
              </w:rPr>
              <w:t>ragina Ukrainą toliau daryti pažangą siekiant narystės ES naudojantis visais jai pagal Ukrainos priemonę skirtais ištekliais ir užtikrinti prasmingą savo pilietinės visuomenės dalyvavimą šio proceso įgyvendinimo ir stebėsenos etapais;</w:t>
            </w:r>
          </w:p>
        </w:tc>
        <w:tc>
          <w:tcPr>
            <w:tcW w:w="4876" w:type="dxa"/>
            <w:tcBorders>
              <w:top w:val="nil"/>
              <w:left w:val="nil"/>
              <w:bottom w:val="nil"/>
              <w:right w:val="nil"/>
            </w:tcBorders>
          </w:tcPr>
          <w:p w:rsidR="002131D7" w:rsidRPr="00252254" w:rsidRDefault="002131D7" w:rsidP="00B46628">
            <w:pPr>
              <w:pStyle w:val="Normal6a"/>
            </w:pPr>
            <w:r>
              <w:rPr>
                <w:b/>
                <w:i/>
              </w:rPr>
              <w:t>Išbraukta.</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439</w:t>
      </w:r>
      <w:r>
        <w:rPr>
          <w:rStyle w:val="HideTWBExt"/>
        </w:rPr>
        <w:t>&lt;/NumAm&gt;</w:t>
      </w:r>
    </w:p>
    <w:p w:rsidR="002131D7" w:rsidRPr="00252254" w:rsidRDefault="002131D7" w:rsidP="002131D7">
      <w:pPr>
        <w:pStyle w:val="NormalBold"/>
      </w:pPr>
      <w:r>
        <w:rPr>
          <w:rStyle w:val="HideTWBExt"/>
          <w:b w:val="0"/>
        </w:rPr>
        <w:t>&lt;RepeatBlock-By&gt;&lt;Members&gt;</w:t>
      </w:r>
      <w:r>
        <w:t>Wouter Beke</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 xml:space="preserve">ragina Ukrainą toliau daryti pažangą siekiant narystės ES naudojantis visais jai pagal Ukrainos priemonę skirtais ištekliais ir užtikrinti prasmingą savo pilietinės visuomenės dalyvavimą šio proceso įgyvendinimo ir stebėsenos </w:t>
            </w:r>
            <w:r>
              <w:lastRenderedPageBreak/>
              <w:t>etapais;</w:t>
            </w:r>
          </w:p>
        </w:tc>
        <w:tc>
          <w:tcPr>
            <w:tcW w:w="4876" w:type="dxa"/>
            <w:tcBorders>
              <w:top w:val="nil"/>
              <w:left w:val="nil"/>
              <w:bottom w:val="nil"/>
              <w:right w:val="nil"/>
            </w:tcBorders>
          </w:tcPr>
          <w:p w:rsidR="002131D7" w:rsidRPr="00252254" w:rsidRDefault="002131D7" w:rsidP="00B46628">
            <w:pPr>
              <w:pStyle w:val="Normal6a"/>
            </w:pPr>
            <w:r>
              <w:lastRenderedPageBreak/>
              <w:t>7.</w:t>
            </w:r>
            <w:r>
              <w:tab/>
              <w:t xml:space="preserve">ragina Ukrainą toliau daryti pažangą siekiant narystės ES naudojantis visais jai pagal Ukrainos priemonę skirtais ištekliais ir užtikrinti prasmingą savo pilietinės visuomenės dalyvavimą šio proceso įgyvendinimo ir stebėsenos </w:t>
            </w:r>
            <w:r>
              <w:lastRenderedPageBreak/>
              <w:t xml:space="preserve">etapais; </w:t>
            </w:r>
            <w:r>
              <w:rPr>
                <w:b/>
                <w:i/>
              </w:rPr>
              <w:t>primena, kad stojimas į ES yra griežtai nuopelnais grindžiamas procesas ir kad reikia atitikti narystės ES kriterijus, įskaitant kriterijus tokiose srityse kaip demokratija, teisinė valstybė, pagrindinės vertybės ir kova su korupcija;</w:t>
            </w:r>
          </w:p>
        </w:tc>
      </w:tr>
    </w:tbl>
    <w:p w:rsidR="002131D7" w:rsidRPr="00252254" w:rsidRDefault="002131D7" w:rsidP="002131D7">
      <w:pPr>
        <w:pStyle w:val="AmOrLang"/>
      </w:pPr>
      <w:r w:rsidRPr="00252254">
        <w:lastRenderedPageBreak/>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440</w:t>
      </w:r>
      <w:r>
        <w:rPr>
          <w:rStyle w:val="HideTWBExt"/>
        </w:rPr>
        <w:t>&lt;/NumAm&gt;</w:t>
      </w:r>
    </w:p>
    <w:p w:rsidR="002131D7" w:rsidRPr="00252254" w:rsidRDefault="002131D7" w:rsidP="002131D7">
      <w:pPr>
        <w:pStyle w:val="NormalBold"/>
      </w:pPr>
      <w:r>
        <w:rPr>
          <w:rStyle w:val="HideTWBExt"/>
          <w:b w:val="0"/>
        </w:rPr>
        <w:t>&lt;RepeatBlock-By&gt;&lt;Members&gt;</w:t>
      </w:r>
      <w:r>
        <w:t>Adam Bielan</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ragina Ukrainą toliau daryti</w:t>
            </w:r>
            <w:r>
              <w:rPr>
                <w:b/>
                <w:i/>
              </w:rPr>
              <w:t xml:space="preserve"> pažangą </w:t>
            </w:r>
            <w:r>
              <w:t>siekiant narystės ES</w:t>
            </w:r>
            <w:r>
              <w:rPr>
                <w:b/>
                <w:i/>
              </w:rPr>
              <w:t xml:space="preserve"> naudojantis visais</w:t>
            </w:r>
            <w:r>
              <w:t xml:space="preserve"> </w:t>
            </w:r>
            <w:r>
              <w:rPr>
                <w:b/>
                <w:i/>
              </w:rPr>
              <w:t xml:space="preserve">jai </w:t>
            </w:r>
            <w:r>
              <w:t xml:space="preserve">pagal Ukrainos priemonę </w:t>
            </w:r>
            <w:r>
              <w:rPr>
                <w:b/>
                <w:i/>
              </w:rPr>
              <w:t>skirtais</w:t>
            </w:r>
            <w:r>
              <w:t xml:space="preserve"> ištekliais</w:t>
            </w:r>
            <w:r>
              <w:rPr>
                <w:b/>
                <w:i/>
              </w:rPr>
              <w:t xml:space="preserve"> ir</w:t>
            </w:r>
            <w:r>
              <w:t xml:space="preserve"> užtikrinti prasmingą savo pilietinės visuomenės dalyvavimą šio proceso įgyvendinimo ir stebėsenos etapais;</w:t>
            </w:r>
          </w:p>
        </w:tc>
        <w:tc>
          <w:tcPr>
            <w:tcW w:w="4876" w:type="dxa"/>
            <w:tcBorders>
              <w:top w:val="nil"/>
              <w:left w:val="nil"/>
              <w:bottom w:val="nil"/>
              <w:right w:val="nil"/>
            </w:tcBorders>
          </w:tcPr>
          <w:p w:rsidR="002131D7" w:rsidRPr="00252254" w:rsidRDefault="002131D7" w:rsidP="00B46628">
            <w:pPr>
              <w:pStyle w:val="Normal6a"/>
            </w:pPr>
            <w:r>
              <w:t>7.</w:t>
            </w:r>
            <w:r>
              <w:tab/>
            </w:r>
            <w:r>
              <w:rPr>
                <w:b/>
                <w:i/>
              </w:rPr>
              <w:t>giria Ukrainą už jos pažangą stojimo į ES tikrinimo proceso konsultacijose ir</w:t>
            </w:r>
            <w:r>
              <w:t xml:space="preserve"> ragina ją tęsti savo </w:t>
            </w:r>
            <w:r>
              <w:rPr>
                <w:b/>
                <w:i/>
              </w:rPr>
              <w:t>pasiaukojamą darbą</w:t>
            </w:r>
            <w:r>
              <w:t xml:space="preserve"> siekiant narystės ES</w:t>
            </w:r>
            <w:r>
              <w:rPr>
                <w:b/>
                <w:i/>
              </w:rPr>
              <w:t>, visapusiškai panaudojant</w:t>
            </w:r>
            <w:r>
              <w:t xml:space="preserve"> pagal Ukrainos priemonę turimus išteklius;</w:t>
            </w:r>
            <w:r>
              <w:rPr>
                <w:b/>
                <w:i/>
              </w:rPr>
              <w:t xml:space="preserve"> skatina Ukrainą</w:t>
            </w:r>
            <w:r>
              <w:t xml:space="preserve"> užtikrinti prasmingą savo pilietinės visuomenės dalyvavimą </w:t>
            </w:r>
            <w:r>
              <w:rPr>
                <w:b/>
                <w:i/>
              </w:rPr>
              <w:t>šio proceso</w:t>
            </w:r>
            <w:r>
              <w:t xml:space="preserve"> įgyvendinimo ir stebėsenos etapuose;</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441</w:t>
      </w:r>
      <w:r>
        <w:rPr>
          <w:rStyle w:val="HideTWBExt"/>
        </w:rPr>
        <w:t>&lt;/NumAm&gt;</w:t>
      </w:r>
    </w:p>
    <w:p w:rsidR="002131D7" w:rsidRPr="00252254" w:rsidRDefault="002131D7" w:rsidP="002131D7">
      <w:pPr>
        <w:pStyle w:val="NormalBold"/>
      </w:pPr>
      <w:r>
        <w:rPr>
          <w:rStyle w:val="HideTWBExt"/>
          <w:b w:val="0"/>
        </w:rPr>
        <w:t>&lt;RepeatBlock-By&gt;&lt;Members&gt;</w:t>
      </w:r>
      <w:r>
        <w:t>Alexander Sell</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 xml:space="preserve">ragina </w:t>
            </w:r>
            <w:r>
              <w:rPr>
                <w:b/>
                <w:i/>
              </w:rPr>
              <w:t>Ukrainą toliau daryti pažangą</w:t>
            </w:r>
            <w:r>
              <w:t xml:space="preserve"> siekiant narystės </w:t>
            </w:r>
            <w:r>
              <w:rPr>
                <w:b/>
                <w:i/>
              </w:rPr>
              <w:t>ES</w:t>
            </w:r>
            <w:r>
              <w:t xml:space="preserve"> </w:t>
            </w:r>
            <w:r>
              <w:rPr>
                <w:b/>
                <w:i/>
              </w:rPr>
              <w:t xml:space="preserve">naudojantis visais jai pagal Ukrainos priemonę skirtais ištekliais ir užtikrinti prasmingą savo pilietinės visuomenės dalyvavimą šio proceso įgyvendinimo ir stebėsenos </w:t>
            </w:r>
            <w:r>
              <w:rPr>
                <w:b/>
                <w:i/>
              </w:rPr>
              <w:lastRenderedPageBreak/>
              <w:t>etapais</w:t>
            </w:r>
            <w:r>
              <w:t>;</w:t>
            </w:r>
          </w:p>
        </w:tc>
        <w:tc>
          <w:tcPr>
            <w:tcW w:w="4876" w:type="dxa"/>
            <w:tcBorders>
              <w:top w:val="nil"/>
              <w:left w:val="nil"/>
              <w:bottom w:val="nil"/>
              <w:right w:val="nil"/>
            </w:tcBorders>
          </w:tcPr>
          <w:p w:rsidR="002131D7" w:rsidRPr="00252254" w:rsidRDefault="002131D7" w:rsidP="00B46628">
            <w:pPr>
              <w:pStyle w:val="Normal6a"/>
            </w:pPr>
            <w:r>
              <w:lastRenderedPageBreak/>
              <w:t>7.</w:t>
            </w:r>
            <w:r>
              <w:tab/>
              <w:t xml:space="preserve">ragina, prieš imantis veiksmų narystės klausimu, </w:t>
            </w:r>
            <w:r>
              <w:rPr>
                <w:b/>
                <w:i/>
              </w:rPr>
              <w:t>atidžiai įvertinti Ukrainos pasirengimą</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442</w:t>
      </w:r>
      <w:r>
        <w:rPr>
          <w:rStyle w:val="HideTWBExt"/>
        </w:rPr>
        <w:t>&lt;/NumAm&gt;</w:t>
      </w:r>
    </w:p>
    <w:p w:rsidR="002131D7" w:rsidRPr="00252254" w:rsidRDefault="002131D7" w:rsidP="002131D7">
      <w:pPr>
        <w:pStyle w:val="NormalBold"/>
      </w:pPr>
      <w:r>
        <w:rPr>
          <w:rStyle w:val="HideTWBExt"/>
          <w:b w:val="0"/>
        </w:rPr>
        <w:t>&lt;RepeatBlock-By&gt;&lt;Members&gt;</w:t>
      </w:r>
      <w:r>
        <w:t>António Tânger Corrêa</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 xml:space="preserve">ragina Ukrainą toliau daryti pažangą siekiant narystės ES </w:t>
            </w:r>
            <w:r>
              <w:rPr>
                <w:b/>
                <w:i/>
              </w:rPr>
              <w:t>naudojantis visais jai pagal Ukrainos priemonę skirtais ištekliais ir užtikrinti prasmingą savo pilietinės visuomenės dalyvavimą šio proceso įgyvendinimo ir stebėsenos etapais</w:t>
            </w:r>
            <w:r>
              <w:t>;</w:t>
            </w:r>
          </w:p>
        </w:tc>
        <w:tc>
          <w:tcPr>
            <w:tcW w:w="4876" w:type="dxa"/>
            <w:tcBorders>
              <w:top w:val="nil"/>
              <w:left w:val="nil"/>
              <w:bottom w:val="nil"/>
              <w:right w:val="nil"/>
            </w:tcBorders>
          </w:tcPr>
          <w:p w:rsidR="002131D7" w:rsidRPr="00252254" w:rsidRDefault="002131D7" w:rsidP="00B46628">
            <w:pPr>
              <w:pStyle w:val="Normal6a"/>
            </w:pPr>
            <w:r>
              <w:t>7.</w:t>
            </w:r>
            <w:r>
              <w:tab/>
              <w:t xml:space="preserve">ragina Ukrainą toliau daryti pažangą siekiant narystės ES </w:t>
            </w:r>
            <w:r>
              <w:rPr>
                <w:b/>
                <w:i/>
              </w:rPr>
              <w:t>laikantis Kopenhagos kriterijų</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443</w:t>
      </w:r>
      <w:r>
        <w:rPr>
          <w:rStyle w:val="HideTWBExt"/>
        </w:rPr>
        <w:t>&lt;/NumAm&gt;</w:t>
      </w:r>
    </w:p>
    <w:p w:rsidR="002131D7" w:rsidRPr="00252254" w:rsidRDefault="002131D7" w:rsidP="002131D7">
      <w:pPr>
        <w:pStyle w:val="NormalBold"/>
      </w:pPr>
      <w:r>
        <w:rPr>
          <w:rStyle w:val="HideTWBExt"/>
          <w:b w:val="0"/>
        </w:rPr>
        <w:t>&lt;RepeatBlock-By&gt;&lt;Members&gt;</w:t>
      </w:r>
      <w:r>
        <w:t>Robert Biedroń, Sven Mikser, Marco Tarquinio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ragina Ukrainą toliau daryti pažangą siekiant narystės ES naudojantis visais jai pagal Ukrainos priemonę skirtais ištekliais ir užtikrinti prasmingą savo pilietinės visuomenės dalyvavimą šio proceso įgyvendinimo ir stebėsenos etapais;</w:t>
            </w:r>
          </w:p>
        </w:tc>
        <w:tc>
          <w:tcPr>
            <w:tcW w:w="4876" w:type="dxa"/>
            <w:tcBorders>
              <w:top w:val="nil"/>
              <w:left w:val="nil"/>
              <w:bottom w:val="nil"/>
              <w:right w:val="nil"/>
            </w:tcBorders>
          </w:tcPr>
          <w:p w:rsidR="002131D7" w:rsidRPr="00252254" w:rsidRDefault="002131D7" w:rsidP="00B46628">
            <w:pPr>
              <w:pStyle w:val="Normal6a"/>
            </w:pPr>
            <w:r>
              <w:t>7.</w:t>
            </w:r>
            <w:r>
              <w:tab/>
              <w:t xml:space="preserve">ragina Ukrainą toliau daryti pažangą siekiant narystės ES naudojantis visais jai pagal Ukrainos priemonę skirtais ištekliais ir užtikrinti prasmingą savo pilietinės visuomenės dalyvavimą šio proceso įgyvendinimo ir stebėsenos etapais; </w:t>
            </w:r>
            <w:r>
              <w:rPr>
                <w:b/>
                <w:i/>
              </w:rPr>
              <w:t>primena, kad sėkminga deoligarchizacija ir toliau turi būti didžiausias prioritetas;</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Pr="00252254"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444</w:t>
      </w:r>
      <w:r>
        <w:rPr>
          <w:rStyle w:val="HideTWBExt"/>
        </w:rPr>
        <w:t>&lt;/NumAm&gt;</w:t>
      </w:r>
    </w:p>
    <w:p w:rsidR="002131D7" w:rsidRPr="00252254" w:rsidRDefault="002131D7" w:rsidP="002131D7">
      <w:pPr>
        <w:pStyle w:val="NormalBold"/>
      </w:pPr>
      <w:r>
        <w:rPr>
          <w:rStyle w:val="HideTWBExt"/>
          <w:b w:val="0"/>
        </w:rPr>
        <w:lastRenderedPageBreak/>
        <w:t>&lt;RepeatBlock-By&gt;&lt;Members&gt;</w:t>
      </w:r>
      <w:r>
        <w:t>Ana Miguel Pedro</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ragina Ukrainą toliau daryti pažangą siekiant narystės ES naudojantis visais jai pagal Ukrainos priemonę skirtais ištekliais ir užtikrinti prasmingą savo pilietinės visuomenės dalyvavimą šio proceso įgyvendinimo ir stebėsenos etapais;</w:t>
            </w:r>
          </w:p>
        </w:tc>
        <w:tc>
          <w:tcPr>
            <w:tcW w:w="4876" w:type="dxa"/>
            <w:tcBorders>
              <w:top w:val="nil"/>
              <w:left w:val="nil"/>
              <w:bottom w:val="nil"/>
              <w:right w:val="nil"/>
            </w:tcBorders>
          </w:tcPr>
          <w:p w:rsidR="002131D7" w:rsidRPr="00252254" w:rsidRDefault="002131D7" w:rsidP="00B46628">
            <w:pPr>
              <w:pStyle w:val="Normal6a"/>
            </w:pPr>
            <w:r>
              <w:t>7.</w:t>
            </w:r>
            <w:r>
              <w:tab/>
              <w:t xml:space="preserve">ragina Ukrainą toliau daryti pažangą siekiant narystės ES naudojantis visais jai pagal Ukrainos priemonę skirtais ištekliais ir užtikrinti prasmingą savo pilietinės visuomenės dalyvavimą šio proceso įgyvendinimo ir stebėsenos etapais; </w:t>
            </w:r>
            <w:r>
              <w:rPr>
                <w:b/>
                <w:i/>
              </w:rPr>
              <w:t>laikantis Kopenhagos kriterijų;</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{EN}</w:t>
      </w:r>
      <w:r w:rsidRPr="00252254">
        <w:t>en</w:t>
      </w:r>
      <w:r w:rsidRPr="00252254">
        <w:rPr>
          <w:rStyle w:val="HideTWBExt"/>
        </w:rPr>
        <w:t>&lt;/Original&gt;</w:t>
      </w:r>
    </w:p>
    <w:p w:rsidR="002131D7" w:rsidRDefault="002131D7" w:rsidP="002131D7">
      <w:r>
        <w:rPr>
          <w:rStyle w:val="HideTWBExt"/>
        </w:rPr>
        <w:t>&lt;/Amend&gt;</w:t>
      </w:r>
    </w:p>
    <w:p w:rsidR="002131D7" w:rsidRPr="00252254" w:rsidRDefault="002131D7" w:rsidP="002131D7">
      <w:pPr>
        <w:pStyle w:val="AmNumberTabs"/>
      </w:pPr>
      <w:r>
        <w:rPr>
          <w:rStyle w:val="HideTWBExt"/>
        </w:rPr>
        <w:t>&lt;Amend&gt;</w:t>
      </w:r>
      <w:r>
        <w:t>Pakeitimas</w:t>
      </w:r>
      <w:r>
        <w:tab/>
      </w:r>
      <w:r>
        <w:tab/>
      </w:r>
      <w:r>
        <w:rPr>
          <w:rStyle w:val="HideTWBExt"/>
        </w:rPr>
        <w:t>&lt;NumAm&gt;</w:t>
      </w:r>
      <w:r>
        <w:t>445</w:t>
      </w:r>
      <w:r>
        <w:rPr>
          <w:rStyle w:val="HideTWBExt"/>
        </w:rPr>
        <w:t>&lt;/NumAm&gt;</w:t>
      </w:r>
    </w:p>
    <w:p w:rsidR="002131D7" w:rsidRPr="00252254" w:rsidRDefault="002131D7" w:rsidP="002131D7">
      <w:pPr>
        <w:pStyle w:val="NormalBold"/>
      </w:pPr>
      <w:r>
        <w:rPr>
          <w:rStyle w:val="HideTWBExt"/>
          <w:b w:val="0"/>
        </w:rPr>
        <w:t>&lt;RepeatBlock-By&gt;&lt;Members&gt;</w:t>
      </w:r>
      <w:r>
        <w:t>Jordan Bardella, Pierre-Romain Thionnet, Matthieu Valet</w:t>
      </w:r>
      <w:r>
        <w:rPr>
          <w:rStyle w:val="HideTWBExt"/>
          <w:b w:val="0"/>
        </w:rPr>
        <w:t>&lt;/Members&gt;</w:t>
      </w:r>
    </w:p>
    <w:p w:rsidR="002131D7" w:rsidRPr="00252254" w:rsidRDefault="002131D7" w:rsidP="002131D7">
      <w:pPr>
        <w:pStyle w:val="NormalBold"/>
      </w:pPr>
      <w:r>
        <w:rPr>
          <w:rStyle w:val="HideTWBExt"/>
          <w:b w:val="0"/>
        </w:rPr>
        <w:t>&lt;/RepeatBlock-By&gt;</w:t>
      </w:r>
    </w:p>
    <w:p w:rsidR="002131D7" w:rsidRPr="00252254" w:rsidRDefault="002131D7" w:rsidP="002131D7">
      <w:pPr>
        <w:pStyle w:val="NormalBold"/>
      </w:pPr>
      <w:r>
        <w:rPr>
          <w:rStyle w:val="HideTWBExt"/>
        </w:rPr>
        <w:t>&lt;DocAmend&gt;</w:t>
      </w:r>
      <w:r>
        <w:t>Pasiūlymas dėl rezoliucijos</w:t>
      </w:r>
      <w:r>
        <w:rPr>
          <w:rStyle w:val="HideTWBExt"/>
        </w:rPr>
        <w:t>&lt;/DocAmend&gt;</w:t>
      </w:r>
    </w:p>
    <w:p w:rsidR="002131D7" w:rsidRPr="00252254" w:rsidRDefault="002131D7" w:rsidP="002131D7">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31D7" w:rsidTr="00B46628">
        <w:trPr>
          <w:trHeight w:hRule="exact" w:val="240"/>
          <w:jc w:val="center"/>
        </w:trPr>
        <w:tc>
          <w:tcPr>
            <w:tcW w:w="9752" w:type="dxa"/>
            <w:gridSpan w:val="2"/>
            <w:tcBorders>
              <w:top w:val="nil"/>
              <w:left w:val="nil"/>
              <w:bottom w:val="nil"/>
              <w:right w:val="nil"/>
            </w:tcBorders>
          </w:tcPr>
          <w:p w:rsidR="002131D7" w:rsidRPr="00252254" w:rsidRDefault="002131D7" w:rsidP="00B46628"/>
        </w:tc>
      </w:tr>
      <w:tr w:rsidR="002131D7" w:rsidTr="00B46628">
        <w:trPr>
          <w:trHeight w:val="240"/>
          <w:jc w:val="center"/>
        </w:trPr>
        <w:tc>
          <w:tcPr>
            <w:tcW w:w="4876" w:type="dxa"/>
            <w:tcBorders>
              <w:top w:val="nil"/>
              <w:left w:val="nil"/>
              <w:bottom w:val="nil"/>
              <w:right w:val="nil"/>
            </w:tcBorders>
          </w:tcPr>
          <w:p w:rsidR="002131D7" w:rsidRPr="00252254" w:rsidRDefault="002131D7" w:rsidP="00B46628">
            <w:pPr>
              <w:pStyle w:val="AmColumnHeading"/>
            </w:pPr>
            <w:r>
              <w:t>Pasiūlymas dėl rezoliucijos</w:t>
            </w:r>
          </w:p>
        </w:tc>
        <w:tc>
          <w:tcPr>
            <w:tcW w:w="4876" w:type="dxa"/>
            <w:tcBorders>
              <w:top w:val="nil"/>
              <w:left w:val="nil"/>
              <w:bottom w:val="nil"/>
              <w:right w:val="nil"/>
            </w:tcBorders>
          </w:tcPr>
          <w:p w:rsidR="002131D7" w:rsidRPr="00252254" w:rsidRDefault="002131D7" w:rsidP="00B46628">
            <w:pPr>
              <w:pStyle w:val="AmColumnHeading"/>
            </w:pPr>
            <w:r>
              <w:t>Pakeitimas</w:t>
            </w:r>
          </w:p>
        </w:tc>
      </w:tr>
      <w:tr w:rsidR="002131D7" w:rsidTr="00B46628">
        <w:trPr>
          <w:jc w:val="center"/>
        </w:trPr>
        <w:tc>
          <w:tcPr>
            <w:tcW w:w="4876" w:type="dxa"/>
            <w:tcBorders>
              <w:top w:val="nil"/>
              <w:left w:val="nil"/>
              <w:bottom w:val="nil"/>
              <w:right w:val="nil"/>
            </w:tcBorders>
          </w:tcPr>
          <w:p w:rsidR="002131D7" w:rsidRPr="00252254" w:rsidRDefault="002131D7" w:rsidP="00B46628">
            <w:pPr>
              <w:pStyle w:val="Normal6a"/>
            </w:pPr>
            <w:r>
              <w:t>7.</w:t>
            </w:r>
            <w:r>
              <w:tab/>
              <w:t xml:space="preserve">ragina </w:t>
            </w:r>
            <w:r>
              <w:rPr>
                <w:b/>
                <w:i/>
              </w:rPr>
              <w:t>Ukrainą</w:t>
            </w:r>
            <w:r>
              <w:t xml:space="preserve"> toliau </w:t>
            </w:r>
            <w:r>
              <w:rPr>
                <w:b/>
                <w:i/>
              </w:rPr>
              <w:t>daryti pažangą siekiant narystės ES naudojantis visais jai pagal Ukrainos priemonę skirtais ištekliais</w:t>
            </w:r>
            <w:r>
              <w:t xml:space="preserve"> ir </w:t>
            </w:r>
            <w:r>
              <w:rPr>
                <w:b/>
                <w:i/>
              </w:rPr>
              <w:t>užtikrinti prasmingą savo pilietinės visuomenės dalyvavimą šio proceso įgyvendinimo ir stebėsenos etapais</w:t>
            </w:r>
            <w:r>
              <w:t>;</w:t>
            </w:r>
          </w:p>
        </w:tc>
        <w:tc>
          <w:tcPr>
            <w:tcW w:w="4876" w:type="dxa"/>
            <w:tcBorders>
              <w:top w:val="nil"/>
              <w:left w:val="nil"/>
              <w:bottom w:val="nil"/>
              <w:right w:val="nil"/>
            </w:tcBorders>
          </w:tcPr>
          <w:p w:rsidR="002131D7" w:rsidRPr="00252254" w:rsidRDefault="002131D7" w:rsidP="00B46628">
            <w:pPr>
              <w:pStyle w:val="Normal6a"/>
            </w:pPr>
            <w:r>
              <w:t>7.</w:t>
            </w:r>
            <w:r>
              <w:tab/>
              <w:t xml:space="preserve">ragina </w:t>
            </w:r>
            <w:r>
              <w:rPr>
                <w:b/>
                <w:i/>
              </w:rPr>
              <w:t>ES ir jos valstybes nares</w:t>
            </w:r>
            <w:r>
              <w:t xml:space="preserve"> toliau </w:t>
            </w:r>
            <w:r>
              <w:rPr>
                <w:b/>
                <w:i/>
              </w:rPr>
              <w:t>teikti karinę paramą Ukrainai, visų pirma susijusią su karine gynybos įranga, šaudmenimis</w:t>
            </w:r>
            <w:r>
              <w:t xml:space="preserve"> ir </w:t>
            </w:r>
            <w:r>
              <w:rPr>
                <w:b/>
                <w:i/>
              </w:rPr>
              <w:t>sprogmenimis; mano, kad Ukraina yra kariaujanti šalis, todėl, vadovaujantis Kopenhagos kriterijais, negali būti ES narystės siekianti šalis kandidatė</w:t>
            </w:r>
            <w:r>
              <w:t>;</w:t>
            </w:r>
          </w:p>
        </w:tc>
      </w:tr>
    </w:tbl>
    <w:p w:rsidR="002131D7" w:rsidRPr="00252254" w:rsidRDefault="002131D7" w:rsidP="002131D7">
      <w:pPr>
        <w:pStyle w:val="AmOrLang"/>
      </w:pPr>
      <w:r w:rsidRPr="00252254">
        <w:t xml:space="preserve">Or. </w:t>
      </w:r>
      <w:r w:rsidRPr="00252254">
        <w:rPr>
          <w:rStyle w:val="HideTWBExt"/>
        </w:rPr>
        <w:t>&lt;Original&gt;</w:t>
      </w:r>
      <w:r w:rsidRPr="00252254">
        <w:rPr>
          <w:rStyle w:val="HideTWBInt"/>
        </w:rPr>
        <w:t>{FR}</w:t>
      </w:r>
      <w:r w:rsidRPr="00252254">
        <w:t>fr</w:t>
      </w:r>
      <w:r w:rsidRPr="00252254">
        <w:rPr>
          <w:rStyle w:val="HideTWBExt"/>
        </w:rPr>
        <w:t>&lt;/Original&gt;</w:t>
      </w:r>
    </w:p>
    <w:p w:rsidR="002131D7" w:rsidRPr="00252254" w:rsidRDefault="002131D7" w:rsidP="002131D7">
      <w:r>
        <w:rPr>
          <w:rStyle w:val="HideTWBExt"/>
        </w:rPr>
        <w:t>&lt;/Amend&gt;</w:t>
      </w:r>
      <w:r w:rsidRPr="002131D7">
        <w:rPr>
          <w:rStyle w:val="HideTWBExt"/>
        </w:rPr>
        <w:t>&lt;/RepeatBlock-Amend&gt;</w:t>
      </w:r>
      <w:bookmarkStart w:id="0" w:name="_GoBack"/>
      <w:bookmarkEnd w:id="0"/>
    </w:p>
    <w:p w:rsidR="00294A09" w:rsidRPr="00252254" w:rsidRDefault="00294A09" w:rsidP="002131D7"/>
    <w:sectPr w:rsidR="00294A09" w:rsidRPr="00252254" w:rsidSect="00F52B5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131D7">
      <w:r>
        <w:separator/>
      </w:r>
    </w:p>
  </w:endnote>
  <w:endnote w:type="continuationSeparator" w:id="0">
    <w:p w:rsidR="00000000" w:rsidRDefault="0021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B55" w:rsidRPr="00252254" w:rsidRDefault="002131D7" w:rsidP="00F52B55">
    <w:pPr>
      <w:pStyle w:val="EPFooter"/>
    </w:pPr>
    <w:r w:rsidRPr="00252254">
      <w:t>PE</w:t>
    </w:r>
    <w:r w:rsidRPr="00252254">
      <w:rPr>
        <w:rStyle w:val="HideTWBExt"/>
      </w:rPr>
      <w:t>&lt;NoPE&gt;</w:t>
    </w:r>
    <w:r w:rsidRPr="00252254">
      <w:t>765.312</w:t>
    </w:r>
    <w:r w:rsidRPr="00252254">
      <w:rPr>
        <w:rStyle w:val="HideTWBExt"/>
      </w:rPr>
      <w:t>&lt;/NoPE&gt;&lt;Version&gt;</w:t>
    </w:r>
    <w:r w:rsidRPr="00252254">
      <w:t>v01-00</w:t>
    </w:r>
    <w:r w:rsidRPr="00252254">
      <w:rPr>
        <w:rStyle w:val="HideTWBExt"/>
      </w:rPr>
      <w:t>&lt;/Version&gt;</w:t>
    </w:r>
    <w:r w:rsidRPr="00252254">
      <w:tab/>
    </w:r>
    <w:r w:rsidRPr="00252254">
      <w:fldChar w:fldCharType="begin"/>
    </w:r>
    <w:r w:rsidRPr="00252254">
      <w:instrText xml:space="preserve"> PAGE  \* MERGEFORMAT </w:instrText>
    </w:r>
    <w:r w:rsidRPr="00252254">
      <w:fldChar w:fldCharType="separate"/>
    </w:r>
    <w:r>
      <w:rPr>
        <w:noProof/>
      </w:rPr>
      <w:t>182</w:t>
    </w:r>
    <w:r w:rsidRPr="00252254">
      <w:fldChar w:fldCharType="end"/>
    </w:r>
    <w:r w:rsidRPr="00252254">
      <w:t>/</w:t>
    </w:r>
    <w:r w:rsidR="00862FF2">
      <w:fldChar w:fldCharType="begin"/>
    </w:r>
    <w:r>
      <w:instrText xml:space="preserve"> NUMPAGES  \* MERGEFORMAT </w:instrText>
    </w:r>
    <w:r w:rsidR="00862FF2">
      <w:fldChar w:fldCharType="separate"/>
    </w:r>
    <w:r>
      <w:rPr>
        <w:noProof/>
      </w:rPr>
      <w:t>182</w:t>
    </w:r>
    <w:r w:rsidR="00862FF2">
      <w:rPr>
        <w:noProof/>
      </w:rPr>
      <w:fldChar w:fldCharType="end"/>
    </w:r>
    <w:r w:rsidRPr="00252254">
      <w:tab/>
    </w:r>
    <w:r w:rsidRPr="00252254">
      <w:rPr>
        <w:rStyle w:val="HideTWBExt"/>
      </w:rPr>
      <w:t>&lt;PathFdR&gt;</w:t>
    </w:r>
    <w:r w:rsidRPr="00252254">
      <w:t>AM\1309976LT.docx</w:t>
    </w:r>
    <w:r w:rsidRPr="00252254">
      <w:rPr>
        <w:rStyle w:val="HideTWBExt"/>
      </w:rPr>
      <w:t>&lt;/PathFdR&gt;</w:t>
    </w:r>
  </w:p>
  <w:p w:rsidR="00294A09" w:rsidRPr="00252254" w:rsidRDefault="002131D7" w:rsidP="00F52B55">
    <w:pPr>
      <w:pStyle w:val="EPFooter2"/>
    </w:pPr>
    <w:r w:rsidRPr="0025225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B55" w:rsidRPr="00252254" w:rsidRDefault="002131D7" w:rsidP="00F52B55">
    <w:pPr>
      <w:pStyle w:val="EPFooter"/>
    </w:pPr>
    <w:r w:rsidRPr="00252254">
      <w:rPr>
        <w:rStyle w:val="HideTWBExt"/>
      </w:rPr>
      <w:t>&lt;PathFdR&gt;</w:t>
    </w:r>
    <w:r w:rsidRPr="00252254">
      <w:t>AM\1309976LT.docx</w:t>
    </w:r>
    <w:r w:rsidRPr="00252254">
      <w:rPr>
        <w:rStyle w:val="HideTWBExt"/>
      </w:rPr>
      <w:t>&lt;/PathFdR&gt;</w:t>
    </w:r>
    <w:r w:rsidRPr="00252254">
      <w:tab/>
    </w:r>
    <w:r w:rsidRPr="00252254">
      <w:fldChar w:fldCharType="begin"/>
    </w:r>
    <w:r w:rsidRPr="00252254">
      <w:instrText xml:space="preserve"> PAGE  \* MERGEFORMAT </w:instrText>
    </w:r>
    <w:r w:rsidRPr="00252254">
      <w:fldChar w:fldCharType="separate"/>
    </w:r>
    <w:r>
      <w:rPr>
        <w:noProof/>
      </w:rPr>
      <w:t>181</w:t>
    </w:r>
    <w:r w:rsidRPr="00252254">
      <w:fldChar w:fldCharType="end"/>
    </w:r>
    <w:r w:rsidRPr="00252254">
      <w:t>/</w:t>
    </w:r>
    <w:r w:rsidR="00862FF2">
      <w:fldChar w:fldCharType="begin"/>
    </w:r>
    <w:r>
      <w:instrText xml:space="preserve"> NUMPAGES  \* MERGEFORMAT </w:instrText>
    </w:r>
    <w:r w:rsidR="00862FF2">
      <w:fldChar w:fldCharType="separate"/>
    </w:r>
    <w:r>
      <w:rPr>
        <w:noProof/>
      </w:rPr>
      <w:t>182</w:t>
    </w:r>
    <w:r w:rsidR="00862FF2">
      <w:rPr>
        <w:noProof/>
      </w:rPr>
      <w:fldChar w:fldCharType="end"/>
    </w:r>
    <w:r w:rsidRPr="00252254">
      <w:tab/>
      <w:t>PE</w:t>
    </w:r>
    <w:r w:rsidRPr="00252254">
      <w:rPr>
        <w:rStyle w:val="HideTWBExt"/>
      </w:rPr>
      <w:t>&lt;NoPE&gt;</w:t>
    </w:r>
    <w:r w:rsidRPr="00252254">
      <w:t>765.312</w:t>
    </w:r>
    <w:r w:rsidRPr="00252254">
      <w:rPr>
        <w:rStyle w:val="HideTWBExt"/>
      </w:rPr>
      <w:t>&lt;/NoPE&gt;&lt;Version&gt;</w:t>
    </w:r>
    <w:r w:rsidRPr="00252254">
      <w:t>v01-00</w:t>
    </w:r>
    <w:r w:rsidRPr="00252254">
      <w:rPr>
        <w:rStyle w:val="HideTWBExt"/>
      </w:rPr>
      <w:t>&lt;/Version&gt;</w:t>
    </w:r>
  </w:p>
  <w:p w:rsidR="00294A09" w:rsidRPr="00252254" w:rsidRDefault="002131D7" w:rsidP="00F52B55">
    <w:pPr>
      <w:pStyle w:val="EPFooter2"/>
    </w:pPr>
    <w:r w:rsidRPr="00252254">
      <w:tab/>
    </w:r>
    <w:r w:rsidRPr="0025225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B55" w:rsidRPr="00252254" w:rsidRDefault="002131D7" w:rsidP="00F52B55">
    <w:pPr>
      <w:pStyle w:val="EPFooter"/>
    </w:pPr>
    <w:r w:rsidRPr="00252254">
      <w:rPr>
        <w:rStyle w:val="HideTWBExt"/>
      </w:rPr>
      <w:t>&lt;PathFdR&gt;</w:t>
    </w:r>
    <w:r w:rsidRPr="00252254">
      <w:t>AM\1309976LT.docx</w:t>
    </w:r>
    <w:r w:rsidRPr="00252254">
      <w:rPr>
        <w:rStyle w:val="HideTWBExt"/>
      </w:rPr>
      <w:t>&lt;/PathFdR&gt;</w:t>
    </w:r>
    <w:r w:rsidRPr="00252254">
      <w:tab/>
    </w:r>
    <w:r w:rsidRPr="00252254">
      <w:tab/>
      <w:t>PE</w:t>
    </w:r>
    <w:r w:rsidRPr="00252254">
      <w:rPr>
        <w:rStyle w:val="HideTWBExt"/>
      </w:rPr>
      <w:t>&lt;NoPE&gt;</w:t>
    </w:r>
    <w:r w:rsidRPr="00252254">
      <w:t>765.312</w:t>
    </w:r>
    <w:r w:rsidRPr="00252254">
      <w:rPr>
        <w:rStyle w:val="HideTWBExt"/>
      </w:rPr>
      <w:t>&lt;/NoPE&gt;&lt;Version&gt;</w:t>
    </w:r>
    <w:r w:rsidRPr="00252254">
      <w:t>v01-00</w:t>
    </w:r>
    <w:r w:rsidRPr="00252254">
      <w:rPr>
        <w:rStyle w:val="HideTWBExt"/>
      </w:rPr>
      <w:t>&lt;/Version&gt;</w:t>
    </w:r>
  </w:p>
  <w:p w:rsidR="00294A09" w:rsidRPr="00252254" w:rsidRDefault="002131D7" w:rsidP="00F52B55">
    <w:pPr>
      <w:pStyle w:val="EPFooter2"/>
    </w:pPr>
    <w:r w:rsidRPr="00252254">
      <w:t>LT</w:t>
    </w:r>
    <w:r w:rsidRPr="00252254">
      <w:tab/>
    </w:r>
    <w:r w:rsidRPr="00252254">
      <w:rPr>
        <w:b w:val="0"/>
        <w:i/>
        <w:color w:val="C0C0C0"/>
        <w:sz w:val="22"/>
      </w:rPr>
      <w:t>Suvienijusi įvairovę</w:t>
    </w:r>
    <w:r w:rsidRPr="0025225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131D7">
      <w:r>
        <w:separator/>
      </w:r>
    </w:p>
  </w:footnote>
  <w:footnote w:type="continuationSeparator" w:id="0">
    <w:p w:rsidR="00000000" w:rsidRDefault="00213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D7" w:rsidRDefault="00213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D7" w:rsidRDefault="002131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D7" w:rsidRDefault="002131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LT"/>
    <w:docVar w:name="TXTLANGUEMIN" w:val="lt"/>
    <w:docVar w:name="TXTNRPE" w:val="765.312"/>
    <w:docVar w:name="TXTPEorAP" w:val="PE"/>
    <w:docVar w:name="TXTROUTE" w:val="AM\1309976LT.docx"/>
    <w:docVar w:name="TXTVERSION" w:val="01-00"/>
  </w:docVars>
  <w:rsids>
    <w:rsidRoot w:val="00A77B3E"/>
    <w:rsid w:val="002131D7"/>
    <w:rsid w:val="00252254"/>
    <w:rsid w:val="00294A09"/>
    <w:rsid w:val="00627CE8"/>
    <w:rsid w:val="00862FF2"/>
    <w:rsid w:val="008F627A"/>
    <w:rsid w:val="00A77B3E"/>
    <w:rsid w:val="00CA2A55"/>
    <w:rsid w:val="00D26FE0"/>
    <w:rsid w:val="00F52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3060BD"/>
  <w15:docId w15:val="{BA699DD9-F8CE-43BB-8DB0-0C46327F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52B55"/>
    <w:pPr>
      <w:tabs>
        <w:tab w:val="center" w:pos="4513"/>
        <w:tab w:val="right" w:pos="9026"/>
      </w:tabs>
    </w:pPr>
  </w:style>
  <w:style w:type="character" w:customStyle="1" w:styleId="HeaderChar">
    <w:name w:val="Header Char"/>
    <w:basedOn w:val="DefaultParagraphFont"/>
    <w:link w:val="Header"/>
    <w:rsid w:val="00F52B55"/>
    <w:rPr>
      <w:sz w:val="24"/>
      <w:szCs w:val="24"/>
    </w:rPr>
  </w:style>
  <w:style w:type="paragraph" w:styleId="Footer">
    <w:name w:val="footer"/>
    <w:basedOn w:val="Normal"/>
    <w:link w:val="FooterChar"/>
    <w:semiHidden/>
    <w:unhideWhenUsed/>
    <w:rsid w:val="002131D7"/>
    <w:pPr>
      <w:tabs>
        <w:tab w:val="center" w:pos="4513"/>
        <w:tab w:val="right" w:pos="9026"/>
      </w:tabs>
    </w:pPr>
  </w:style>
  <w:style w:type="character" w:customStyle="1" w:styleId="FooterChar">
    <w:name w:val="Footer Char"/>
    <w:basedOn w:val="DefaultParagraphFont"/>
    <w:link w:val="Footer"/>
    <w:semiHidden/>
    <w:rsid w:val="002131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34217</Words>
  <Characters>232505</Characters>
  <Application>Microsoft Office Word</Application>
  <DocSecurity>0</DocSecurity>
  <Lines>9520</Lines>
  <Paragraphs>3163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VAITIEKUTE Simona</cp:lastModifiedBy>
  <cp:revision>2</cp:revision>
  <dcterms:created xsi:type="dcterms:W3CDTF">2024-12-04T11:05:00Z</dcterms:created>
  <dcterms:modified xsi:type="dcterms:W3CDTF">2024-12-04T11:05:00Z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1309976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87434</vt:lpwstr>
  </property>
  <property fmtid="{D5CDD505-2E9C-101B-9397-08002B2CF9AE}" pid="7" name="dmxml.render.traceId">
    <vt:lpwstr>672e06a3acb080b0115e5fbfc5f0aa50</vt:lpwstr>
  </property>
  <property fmtid="{D5CDD505-2E9C-101B-9397-08002B2CF9AE}" pid="8" name="FooterPath">
    <vt:lpwstr>AM\1309976LT.docx</vt:lpwstr>
  </property>
  <property fmtid="{D5CDD505-2E9C-101B-9397-08002B2CF9AE}" pid="9" name="LastEdited with">
    <vt:lpwstr>10.0.0 Build [20241005]</vt:lpwstr>
  </property>
  <property fmtid="{D5CDD505-2E9C-101B-9397-08002B2CF9AE}" pid="10" name="PE Number">
    <vt:lpwstr>765.312</vt:lpwstr>
  </property>
  <property fmtid="{D5CDD505-2E9C-101B-9397-08002B2CF9AE}" pid="11" name="SDLStudio">
    <vt:lpwstr/>
  </property>
  <property fmtid="{D5CDD505-2E9C-101B-9397-08002B2CF9AE}" pid="12" name="UID">
    <vt:lpwstr>eu.europa.europarl-DIN1-2024-0000051286_01.00-xm-01.00_text-xml</vt:lpwstr>
  </property>
  <property fmtid="{D5CDD505-2E9C-101B-9397-08002B2CF9AE}" pid="13" name="Bookout">
    <vt:lpwstr>OK - 2024/12/04 12:05</vt:lpwstr>
  </property>
</Properties>
</file>