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70905" w:rsidRPr="005D638B">
        <w:trPr>
          <w:trHeight w:hRule="exact" w:val="1417"/>
          <w:jc w:val="center"/>
        </w:trPr>
        <w:tc>
          <w:tcPr>
            <w:tcW w:w="6804" w:type="dxa"/>
            <w:tcBorders>
              <w:top w:val="nil"/>
              <w:left w:val="nil"/>
              <w:bottom w:val="nil"/>
              <w:right w:val="nil"/>
            </w:tcBorders>
            <w:vAlign w:val="center"/>
          </w:tcPr>
          <w:p w:rsidR="00170905" w:rsidRPr="005D638B" w:rsidRDefault="00251D78">
            <w:pPr>
              <w:pStyle w:val="EPName"/>
            </w:pPr>
            <w:r>
              <w:t>Europäisches Parlament</w:t>
            </w:r>
          </w:p>
          <w:p w:rsidR="00170905" w:rsidRPr="005D638B" w:rsidRDefault="00242C57">
            <w:pPr>
              <w:pStyle w:val="EPTerm"/>
            </w:pPr>
            <w:r>
              <w:t>2024-2029</w:t>
            </w:r>
          </w:p>
        </w:tc>
        <w:tc>
          <w:tcPr>
            <w:tcW w:w="2268" w:type="dxa"/>
            <w:tcBorders>
              <w:top w:val="nil"/>
              <w:left w:val="nil"/>
              <w:bottom w:val="nil"/>
              <w:right w:val="nil"/>
            </w:tcBorders>
          </w:tcPr>
          <w:p w:rsidR="00170905" w:rsidRPr="005D638B" w:rsidRDefault="00930C00">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5pt;height:49.9pt">
                  <v:imagedata r:id="rId6" o:title=""/>
                </v:shape>
              </w:pict>
            </w:r>
          </w:p>
        </w:tc>
      </w:tr>
    </w:tbl>
    <w:p w:rsidR="00170905" w:rsidRPr="00242C57" w:rsidRDefault="00242C57">
      <w:pPr>
        <w:pStyle w:val="LineTop"/>
      </w:pPr>
      <w:r>
        <w:t xml:space="preserve"> </w:t>
      </w:r>
    </w:p>
    <w:p w:rsidR="00170905" w:rsidRPr="00251D78" w:rsidRDefault="00242C57">
      <w:pPr>
        <w:pStyle w:val="EPBody"/>
      </w:pPr>
      <w:r>
        <w:rPr>
          <w:rStyle w:val="HideTWBExt"/>
        </w:rPr>
        <w:t>&lt;Commission&gt;</w:t>
      </w:r>
      <w:r>
        <w:rPr>
          <w:rStyle w:val="HideTWBInt"/>
        </w:rPr>
        <w:t>{AFET}</w:t>
      </w:r>
      <w:r>
        <w:t>Ausschuss für auswärtige Angelegenheiten</w:t>
      </w:r>
      <w:r>
        <w:rPr>
          <w:rStyle w:val="HideTWBExt"/>
        </w:rPr>
        <w:t>&lt;/Commission&gt;</w:t>
      </w:r>
    </w:p>
    <w:p w:rsidR="00170905" w:rsidRPr="00251D78" w:rsidRDefault="00242C57">
      <w:pPr>
        <w:pStyle w:val="LineBottom"/>
      </w:pPr>
      <w:r>
        <w:t xml:space="preserve"> </w:t>
      </w:r>
    </w:p>
    <w:p w:rsidR="00170905" w:rsidRPr="00242C57" w:rsidRDefault="00242C57">
      <w:pPr>
        <w:pStyle w:val="CoverReference"/>
      </w:pPr>
      <w:r w:rsidRPr="00930C00">
        <w:rPr>
          <w:rStyle w:val="HideTWBExt"/>
        </w:rPr>
        <w:t>&lt;RefProc&gt;</w:t>
      </w:r>
      <w:r>
        <w:t>2024/2080</w:t>
      </w:r>
      <w:r w:rsidRPr="00930C00">
        <w:rPr>
          <w:rStyle w:val="HideTWBExt"/>
        </w:rPr>
        <w:t>&lt;/RefProc&gt;&lt;RefTypeProc&gt;</w:t>
      </w:r>
      <w:r>
        <w:t>(INI)</w:t>
      </w:r>
      <w:r w:rsidRPr="00930C00">
        <w:rPr>
          <w:rStyle w:val="HideTWBExt"/>
        </w:rPr>
        <w:t>&lt;/RefTypeProc&gt;</w:t>
      </w:r>
    </w:p>
    <w:p w:rsidR="00170905" w:rsidRPr="00242C57" w:rsidRDefault="00242C57">
      <w:pPr>
        <w:pStyle w:val="CoverDate"/>
      </w:pPr>
      <w:r w:rsidRPr="00930C00">
        <w:rPr>
          <w:rStyle w:val="HideTWBExt"/>
        </w:rPr>
        <w:t>&lt;Date&gt;</w:t>
      </w:r>
      <w:r w:rsidRPr="00930C00">
        <w:rPr>
          <w:rStyle w:val="HideTWBInt"/>
        </w:rPr>
        <w:t>{08/11/2024}</w:t>
      </w:r>
      <w:r>
        <w:t>8.11.2024</w:t>
      </w:r>
      <w:r w:rsidRPr="00930C00">
        <w:rPr>
          <w:rStyle w:val="HideTWBExt"/>
        </w:rPr>
        <w:t>&lt;/Date&gt;</w:t>
      </w:r>
      <w:bookmarkStart w:id="0" w:name="_GoBack"/>
      <w:bookmarkEnd w:id="0"/>
    </w:p>
    <w:p w:rsidR="00170905" w:rsidRPr="00242C57" w:rsidRDefault="00242C57">
      <w:pPr>
        <w:pStyle w:val="CoverDocType"/>
      </w:pPr>
      <w:r w:rsidRPr="00930C00">
        <w:rPr>
          <w:rStyle w:val="HideTWBExt"/>
        </w:rPr>
        <w:t>&lt;TypeAM&gt;</w:t>
      </w:r>
      <w:r>
        <w:t>ÄNDERUNGSANTRÄGE</w:t>
      </w:r>
      <w:r w:rsidRPr="00930C00">
        <w:rPr>
          <w:rStyle w:val="HideTWBExt"/>
        </w:rPr>
        <w:t>&lt;/TypeAM&gt;</w:t>
      </w:r>
    </w:p>
    <w:p w:rsidR="00170905" w:rsidRPr="00242C57" w:rsidRDefault="00242C57">
      <w:pPr>
        <w:pStyle w:val="CoverDocType24a"/>
      </w:pPr>
      <w:r w:rsidRPr="00930C00">
        <w:rPr>
          <w:rStyle w:val="HideTWBExt"/>
        </w:rPr>
        <w:t>&lt;RangeAM&gt;</w:t>
      </w:r>
      <w:r>
        <w:t>446 - 767</w:t>
      </w:r>
      <w:r w:rsidRPr="00930C00">
        <w:rPr>
          <w:rStyle w:val="HideTWBExt"/>
        </w:rPr>
        <w:t>&lt;/RangeAM&gt;</w:t>
      </w:r>
    </w:p>
    <w:p w:rsidR="00170905" w:rsidRPr="00251D78" w:rsidRDefault="00242C57">
      <w:pPr>
        <w:pStyle w:val="CoverBold"/>
      </w:pPr>
      <w:r>
        <w:rPr>
          <w:rStyle w:val="HideTWBExt"/>
        </w:rPr>
        <w:t>&lt;TitreType&gt;</w:t>
      </w:r>
      <w:r>
        <w:t>Entwurf eines Berichts</w:t>
      </w:r>
      <w:r>
        <w:rPr>
          <w:rStyle w:val="HideTWBExt"/>
        </w:rPr>
        <w:t>&lt;/TitreType&gt;</w:t>
      </w:r>
    </w:p>
    <w:p w:rsidR="00170905" w:rsidRPr="00930C00" w:rsidRDefault="00242C57">
      <w:pPr>
        <w:pStyle w:val="CoverBold"/>
        <w:rPr>
          <w:lang w:val="fr-FR"/>
        </w:rPr>
      </w:pPr>
      <w:r>
        <w:rPr>
          <w:rStyle w:val="HideTWBExt"/>
          <w:lang w:val="fr-FR"/>
        </w:rPr>
        <w:t>&lt;Rapporteur&gt;</w:t>
      </w:r>
      <w:r w:rsidRPr="00930C00">
        <w:rPr>
          <w:lang w:val="fr-FR"/>
        </w:rPr>
        <w:t>David McAllister</w:t>
      </w:r>
      <w:r>
        <w:rPr>
          <w:rStyle w:val="HideTWBExt"/>
          <w:lang w:val="fr-FR"/>
        </w:rPr>
        <w:t>&lt;/Rapporteur&gt;</w:t>
      </w:r>
    </w:p>
    <w:p w:rsidR="00170905" w:rsidRPr="00930C00" w:rsidRDefault="00242C57">
      <w:pPr>
        <w:pStyle w:val="CoverNormal24a"/>
        <w:rPr>
          <w:lang w:val="fr-FR"/>
        </w:rPr>
      </w:pPr>
      <w:r w:rsidRPr="00930C00">
        <w:rPr>
          <w:rStyle w:val="HideTWBExt"/>
          <w:lang w:val="fr-FR"/>
        </w:rPr>
        <w:t>&lt;DocRefPE&gt;</w:t>
      </w:r>
      <w:r w:rsidRPr="00930C00">
        <w:rPr>
          <w:lang w:val="fr-FR"/>
        </w:rPr>
        <w:t>(PE765.084v01-00)</w:t>
      </w:r>
      <w:r w:rsidRPr="00930C00">
        <w:rPr>
          <w:rStyle w:val="HideTWBExt"/>
          <w:lang w:val="fr-FR"/>
        </w:rPr>
        <w:t>&lt;/DocRefPE&gt;</w:t>
      </w:r>
    </w:p>
    <w:p w:rsidR="00170905" w:rsidRPr="00242C57" w:rsidRDefault="00242C57">
      <w:pPr>
        <w:pStyle w:val="CoverNormal"/>
      </w:pPr>
      <w:r w:rsidRPr="00930C00">
        <w:rPr>
          <w:rStyle w:val="HideTWBExt"/>
        </w:rPr>
        <w:t>&lt;Titre&gt;</w:t>
      </w:r>
      <w:r>
        <w:t>Umsetzung der Gemeinsamen Außen- und Sicherheitspolitik – Jahresbericht 2024</w:t>
      </w:r>
      <w:r w:rsidRPr="00930C00">
        <w:rPr>
          <w:rStyle w:val="HideTWBExt"/>
        </w:rPr>
        <w:t>&lt;/Titre&gt;</w:t>
      </w:r>
    </w:p>
    <w:p w:rsidR="00170905" w:rsidRPr="00242C57" w:rsidRDefault="00242C57">
      <w:pPr>
        <w:pStyle w:val="CoverNormal24a"/>
      </w:pPr>
      <w:r w:rsidRPr="00930C00">
        <w:rPr>
          <w:rStyle w:val="HideTWBExt"/>
        </w:rPr>
        <w:t>&lt;DocRef&gt;</w:t>
      </w:r>
      <w:r>
        <w:t>(2024/2080(INI))</w:t>
      </w:r>
      <w:r w:rsidRPr="00930C00">
        <w:rPr>
          <w:rStyle w:val="HideTWBExt"/>
        </w:rPr>
        <w:t>&lt;/DocRef&gt;</w:t>
      </w:r>
    </w:p>
    <w:p w:rsidR="00170905" w:rsidRPr="00242C57" w:rsidRDefault="00242C57">
      <w:r>
        <w:br w:type="page"/>
      </w:r>
      <w:r>
        <w:lastRenderedPageBreak/>
        <w:t>AM_Com_NonLegReport</w:t>
      </w:r>
    </w:p>
    <w:p w:rsidR="00930C00" w:rsidRPr="00E324B0" w:rsidRDefault="00242C57" w:rsidP="00930C00">
      <w:pPr>
        <w:pStyle w:val="AmNumberTabs"/>
      </w:pPr>
      <w:r>
        <w:br w:type="page"/>
      </w:r>
      <w:r w:rsidR="00930C00" w:rsidRPr="00930C00">
        <w:rPr>
          <w:rStyle w:val="HideTWBExt"/>
          <w:b w:val="0"/>
        </w:rPr>
        <w:lastRenderedPageBreak/>
        <w:t>&lt;RepeatBlock-Amend&gt;</w:t>
      </w:r>
      <w:r w:rsidR="00930C00">
        <w:rPr>
          <w:rStyle w:val="HideTWBExt"/>
        </w:rPr>
        <w:t>&lt;Amend&gt;</w:t>
      </w:r>
      <w:r w:rsidR="00930C00">
        <w:t>Änderungsantrag</w:t>
      </w:r>
      <w:r w:rsidR="00930C00">
        <w:tab/>
      </w:r>
      <w:r w:rsidR="00930C00">
        <w:tab/>
      </w:r>
      <w:r w:rsidR="00930C00">
        <w:rPr>
          <w:rStyle w:val="HideTWBExt"/>
        </w:rPr>
        <w:t>&lt;NumAm&gt;</w:t>
      </w:r>
      <w:r w:rsidR="00930C00">
        <w:t>446</w:t>
      </w:r>
      <w:r w:rsidR="00930C00">
        <w:rPr>
          <w:rStyle w:val="HideTWBExt"/>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Michael von der Schulenburg</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 Mitgliedstaaten auf, </w:t>
            </w:r>
            <w:r>
              <w:rPr>
                <w:b/>
                <w:i/>
              </w:rPr>
              <w:t xml:space="preserve">bis zum Sieg der Ukraine in jeder möglichen Weise </w:t>
            </w:r>
            <w:r>
              <w:t>humanitäre</w:t>
            </w:r>
            <w:r>
              <w:rPr>
                <w:b/>
                <w:i/>
              </w:rPr>
              <w:t>, militärische, wirtschaftliche, finanzielle und politische</w:t>
            </w:r>
            <w:r>
              <w:t xml:space="preserve"> Unterstützung zu leisten</w:t>
            </w:r>
            <w:r>
              <w:rPr>
                <w:b/>
                <w:i/>
              </w:rPr>
              <w:t>, um dem Angriffskrieg Russlands endlich ein Ende zu setzen</w:t>
            </w:r>
            <w:r>
              <w:t xml:space="preserve"> und </w:t>
            </w:r>
            <w:r>
              <w:rPr>
                <w:b/>
                <w:i/>
              </w:rPr>
              <w:t>es der Ukraine zu ermöglichen, ihr ganzes Volk zu befreien</w:t>
            </w:r>
            <w:r>
              <w:t xml:space="preserve"> und </w:t>
            </w:r>
            <w:r>
              <w:rPr>
                <w:b/>
                <w:i/>
              </w:rPr>
              <w:t>die vollständige Kontrolle über ihr gesamtes Hoheitsgebiet innerhalb ihrer international anerkannten Grenzen wiederzuerlangen;</w:t>
            </w:r>
            <w:r>
              <w:t xml:space="preserve"> </w:t>
            </w:r>
            <w:r>
              <w:rPr>
                <w:b/>
                <w:i/>
              </w:rPr>
              <w:t>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 Mitgliedstaaten auf, humanitäre Unterstützung zu leisten und </w:t>
            </w:r>
            <w:r>
              <w:rPr>
                <w:b/>
                <w:i/>
              </w:rPr>
              <w:t>durch eine Verhandlungslösung für einen gerechten</w:t>
            </w:r>
            <w:r>
              <w:t xml:space="preserve"> und </w:t>
            </w:r>
            <w:r>
              <w:rPr>
                <w:b/>
                <w:i/>
              </w:rPr>
              <w:t>dauerhaften Frieden in</w:t>
            </w:r>
            <w:r>
              <w:t xml:space="preserve"> der Ukraine </w:t>
            </w:r>
            <w:r>
              <w:rPr>
                <w:b/>
                <w:i/>
              </w:rPr>
              <w:t>einzutreten</w:t>
            </w:r>
            <w:r>
              <w:t xml:space="preserve">, </w:t>
            </w:r>
            <w:r>
              <w:rPr>
                <w:b/>
                <w:i/>
              </w:rPr>
              <w:t>diesen</w:t>
            </w:r>
            <w:r>
              <w:t xml:space="preserve"> zu </w:t>
            </w:r>
            <w:r>
              <w:rPr>
                <w:b/>
                <w:i/>
              </w:rPr>
              <w:t>erleichtern</w:t>
            </w:r>
            <w:r>
              <w:t xml:space="preserve"> und </w:t>
            </w:r>
            <w:r>
              <w:rPr>
                <w:b/>
                <w:i/>
              </w:rPr>
              <w:t>darauf hinzuarbeiten</w:t>
            </w:r>
            <w:r>
              <w: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447</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Alexander Sell</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9C2015" w:rsidRDefault="00930C00" w:rsidP="00930C00">
      <w:pPr>
        <w:pStyle w:val="NormalBold"/>
        <w:rPr>
          <w:lang w:val="en-GB"/>
        </w:rPr>
      </w:pPr>
      <w:r>
        <w:rPr>
          <w:rStyle w:val="HideTWBExt"/>
          <w:lang w:val="en-GB"/>
        </w:rPr>
        <w:t>&lt;DocAmend&gt;</w:t>
      </w:r>
      <w:r w:rsidRPr="009C2015">
        <w:rPr>
          <w:lang w:val="en-GB"/>
        </w:rPr>
        <w:t>Entschließungsantrag</w:t>
      </w:r>
      <w:r>
        <w:rPr>
          <w:rStyle w:val="HideTWBExt"/>
          <w:lang w:val="en-GB"/>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 Mitgliedstaaten auf, </w:t>
            </w:r>
            <w:r>
              <w:rPr>
                <w:b/>
                <w:i/>
              </w:rPr>
              <w:t xml:space="preserve">bis zum Sieg der Ukraine in jeder möglichen Weise </w:t>
            </w:r>
            <w:r>
              <w:lastRenderedPageBreak/>
              <w:t>humanitäre</w:t>
            </w:r>
            <w:r>
              <w:rPr>
                <w:b/>
                <w:i/>
              </w:rPr>
              <w:t>, militärische, wirtschaftliche, finanzielle</w:t>
            </w:r>
            <w:r>
              <w:t xml:space="preserve"> und </w:t>
            </w:r>
            <w:r>
              <w:rPr>
                <w:b/>
                <w:i/>
              </w:rPr>
              <w:t>politische</w:t>
            </w:r>
            <w:r>
              <w:t xml:space="preserve"> Unterstützung zu leisten, um </w:t>
            </w:r>
            <w:r>
              <w:rPr>
                <w:b/>
                <w:i/>
              </w:rPr>
              <w:t>dem Angriffskrieg Russlands endlich ein Ende</w:t>
            </w:r>
            <w:r>
              <w:t xml:space="preserve"> zu </w:t>
            </w:r>
            <w:r>
              <w:rPr>
                <w:b/>
                <w:i/>
              </w:rPr>
              <w:t>setzen und es der Ukraine zu ermöglichen, ihr ganzes Volk zu befreien und die vollständige Kontrolle über ihr gesamtes Hoheitsgebiet innerhalb ihrer international anerkannten Grenzen wiederzuerlangen</w:t>
            </w:r>
            <w:r>
              <w:t>;</w:t>
            </w:r>
            <w:r>
              <w:rPr>
                <w:b/>
                <w:i/>
              </w:rPr>
              <w:t xml:space="preserve"> betont insbesondere, dass der Ukraine dringend mehr Luftabwehrkapazitäten</w:t>
            </w:r>
            <w:r>
              <w:t xml:space="preserve"> zur </w:t>
            </w:r>
            <w:r>
              <w:rPr>
                <w:b/>
                <w:i/>
              </w:rPr>
              <w:t>Verfügung gestellt werden müssen, um ihre kritische Energieinfrastruktur vor dem kommenden Winter zu verteidigen, und fordert die Mitgliedstaaten auf</w:t>
            </w:r>
            <w:r>
              <w:t xml:space="preserve">, die </w:t>
            </w:r>
            <w:r>
              <w:rPr>
                <w:b/>
                <w:i/>
              </w:rPr>
              <w:t xml:space="preserve">Beschränkungen für den Einsatz von an </w:t>
            </w:r>
            <w:r>
              <w:t xml:space="preserve">die </w:t>
            </w:r>
            <w:r>
              <w:rPr>
                <w:b/>
                <w:i/>
              </w:rPr>
              <w:t>Ukraine gelieferten westlichen Waffensystemen gegen legitime militärische Ziele auf russischem Hoheitsgebiet unverzüglich aufzuheben</w:t>
            </w:r>
            <w:r>
              <w:t>;</w:t>
            </w:r>
          </w:p>
        </w:tc>
        <w:tc>
          <w:tcPr>
            <w:tcW w:w="4876" w:type="dxa"/>
            <w:tcBorders>
              <w:top w:val="nil"/>
              <w:left w:val="nil"/>
              <w:bottom w:val="nil"/>
              <w:right w:val="nil"/>
            </w:tcBorders>
          </w:tcPr>
          <w:p w:rsidR="00930C00" w:rsidRPr="00392752" w:rsidRDefault="00930C00" w:rsidP="00930C00">
            <w:pPr>
              <w:pStyle w:val="Normal6a"/>
            </w:pPr>
            <w:r>
              <w:lastRenderedPageBreak/>
              <w:t>8.</w:t>
            </w:r>
            <w:r>
              <w:tab/>
              <w:t xml:space="preserve">fordert die EU und ihre Mitgliedstaaten auf, humanitäre und </w:t>
            </w:r>
            <w:r>
              <w:rPr>
                <w:b/>
                <w:i/>
              </w:rPr>
              <w:t>diplomatische</w:t>
            </w:r>
            <w:r>
              <w:t xml:space="preserve"> Unterstützung zu leisten, um </w:t>
            </w:r>
            <w:r>
              <w:rPr>
                <w:b/>
                <w:i/>
              </w:rPr>
              <w:lastRenderedPageBreak/>
              <w:t>den Konflikt</w:t>
            </w:r>
            <w:r>
              <w:t xml:space="preserve"> zu </w:t>
            </w:r>
            <w:r>
              <w:rPr>
                <w:b/>
                <w:i/>
              </w:rPr>
              <w:t>beenden</w:t>
            </w:r>
            <w:r>
              <w:t xml:space="preserve">; </w:t>
            </w:r>
            <w:r>
              <w:rPr>
                <w:b/>
                <w:i/>
              </w:rPr>
              <w:t>fordert diplomatische Lösungen</w:t>
            </w:r>
            <w:r>
              <w:t xml:space="preserve"> zur </w:t>
            </w:r>
            <w:r>
              <w:rPr>
                <w:b/>
                <w:i/>
              </w:rPr>
              <w:t>Vermeidung finanzieller Verpflichtungen</w:t>
            </w:r>
            <w:r>
              <w:t xml:space="preserve">, die die </w:t>
            </w:r>
            <w:r>
              <w:rPr>
                <w:b/>
                <w:i/>
              </w:rPr>
              <w:t>europäischen Steuerzahler übermäßig belasten</w:t>
            </w:r>
            <w:r>
              <w:t>;</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448</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António Tânger Corrêa</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 Mitgliedstaaten auf, bis zum Sieg der Ukraine </w:t>
            </w:r>
            <w:r>
              <w:rPr>
                <w:b/>
                <w:i/>
              </w:rPr>
              <w:t xml:space="preserve">in jeder möglichen Weise </w:t>
            </w:r>
            <w:r>
              <w:t xml:space="preserve">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w:t>
            </w:r>
            <w:r>
              <w:rPr>
                <w:b/>
                <w:i/>
              </w:rPr>
              <w:t xml:space="preserve">betont insbesondere, dass der Ukraine dringend mehr Luftabwehrkapazitäten zur Verfügung gestellt werden müssen, um ihre kritische </w:t>
            </w:r>
            <w:r>
              <w:rPr>
                <w:b/>
                <w:i/>
              </w:rPr>
              <w:lastRenderedPageBreak/>
              <w:t>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392752" w:rsidRDefault="00930C00" w:rsidP="00930C00">
            <w:pPr>
              <w:pStyle w:val="Normal6a"/>
            </w:pPr>
            <w:r>
              <w:lastRenderedPageBreak/>
              <w:t>8.</w:t>
            </w:r>
            <w:r>
              <w:tab/>
              <w:t>fordert die EU und ihre Mitgliedstaaten auf, bis zum Sieg der Ukraine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449</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8</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8.</w:t>
            </w:r>
            <w:r w:rsidRPr="005D638B">
              <w:tab/>
              <w:t xml:space="preserve">fordert die EU und ihrer Mitgliedstaaten auf, bis zum </w:t>
            </w:r>
            <w:r w:rsidRPr="005D638B">
              <w:rPr>
                <w:b/>
                <w:i/>
              </w:rPr>
              <w:t>Sieg der Ukraine</w:t>
            </w:r>
            <w:r w:rsidRPr="005D638B">
              <w:t xml:space="preserve"> in jeder möglichen Weise humanitäre, </w:t>
            </w:r>
            <w:r w:rsidRPr="005D638B">
              <w:rPr>
                <w:b/>
                <w:i/>
              </w:rPr>
              <w:t>militärische, wirtschaftliche, finanzielle</w:t>
            </w:r>
            <w:r w:rsidRPr="005D638B">
              <w:t xml:space="preserve"> und politische Unterstützung zu leisten, um dem </w:t>
            </w:r>
            <w:r w:rsidRPr="005D638B">
              <w:rPr>
                <w:b/>
                <w:i/>
              </w:rPr>
              <w:t>Angriffskrieg Russlands</w:t>
            </w:r>
            <w:r w:rsidRPr="005D638B">
              <w:t xml:space="preserve"> endlich ein Ende zu setzen und es der Ukraine zu ermöglichen, </w:t>
            </w:r>
            <w:r w:rsidRPr="005D638B">
              <w:rPr>
                <w:b/>
                <w:i/>
              </w:rPr>
              <w:t>ihr ganzes Volk zu befreien und die vollständige Kontrolle über ihr gesamtes Hoheitsgebiet innerhalb ihrer international anerkannten Grenzen wiederzuerlangen</w:t>
            </w:r>
            <w:r w:rsidRPr="005D638B">
              <w:t xml:space="preserve">; betont insbesondere, dass </w:t>
            </w:r>
            <w:r w:rsidRPr="005D638B">
              <w:rPr>
                <w:b/>
                <w:i/>
              </w:rPr>
              <w:t>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w:t>
            </w:r>
            <w:r w:rsidRPr="005D638B">
              <w:t xml:space="preserve"> unverzüglich </w:t>
            </w:r>
            <w:r w:rsidRPr="005D638B">
              <w:rPr>
                <w:b/>
                <w:i/>
              </w:rPr>
              <w:t>aufzuheben</w:t>
            </w:r>
            <w:r w:rsidRPr="005D638B">
              <w:t>;</w:t>
            </w:r>
          </w:p>
        </w:tc>
        <w:tc>
          <w:tcPr>
            <w:tcW w:w="4876" w:type="dxa"/>
            <w:tcBorders>
              <w:top w:val="nil"/>
              <w:left w:val="nil"/>
              <w:bottom w:val="nil"/>
              <w:right w:val="nil"/>
            </w:tcBorders>
          </w:tcPr>
          <w:p w:rsidR="00930C00" w:rsidRPr="005D638B" w:rsidRDefault="00930C00" w:rsidP="00930C00">
            <w:pPr>
              <w:pStyle w:val="Normal6a"/>
            </w:pPr>
            <w:r w:rsidRPr="005D638B">
              <w:t>8.</w:t>
            </w:r>
            <w:r w:rsidRPr="005D638B">
              <w:tab/>
              <w:t xml:space="preserve">fordert die EU und ihrer Mitgliedstaaten auf, bis zum </w:t>
            </w:r>
            <w:r w:rsidRPr="005D638B">
              <w:rPr>
                <w:b/>
                <w:i/>
              </w:rPr>
              <w:t>Ende der Kampfhandlungen</w:t>
            </w:r>
            <w:r w:rsidRPr="005D638B">
              <w:t xml:space="preserve"> in jeder möglichen Weise humanitäre, </w:t>
            </w:r>
            <w:r w:rsidRPr="005D638B">
              <w:rPr>
                <w:b/>
                <w:i/>
              </w:rPr>
              <w:t>diplomatische</w:t>
            </w:r>
            <w:r w:rsidRPr="005D638B">
              <w:t xml:space="preserve"> und politische Unterstützung zu leisten, um dem </w:t>
            </w:r>
            <w:r w:rsidRPr="005D638B">
              <w:rPr>
                <w:b/>
                <w:i/>
              </w:rPr>
              <w:t>Ukraine-Konflikt</w:t>
            </w:r>
            <w:r w:rsidRPr="005D638B">
              <w:t xml:space="preserve"> endlich ein Ende zu setzen und es der Ukraine zu ermöglichen, </w:t>
            </w:r>
            <w:r w:rsidRPr="005D638B">
              <w:rPr>
                <w:b/>
                <w:i/>
              </w:rPr>
              <w:t>ihre Souveränität auf Dauer zu behalten</w:t>
            </w:r>
            <w:r w:rsidRPr="005D638B">
              <w:t xml:space="preserve">; betont insbesondere, dass </w:t>
            </w:r>
            <w:r w:rsidRPr="005D638B">
              <w:rPr>
                <w:b/>
                <w:i/>
              </w:rPr>
              <w:t>die ukrainische Führung die von ihr erlassenen Dekrete, mit denen sie sich selbst jegliche Verhandlungen mit Russland untersagen,</w:t>
            </w:r>
            <w:r w:rsidRPr="005D638B">
              <w:t xml:space="preserve"> unverzüglich </w:t>
            </w:r>
            <w:r w:rsidRPr="005D638B">
              <w:rPr>
                <w:b/>
                <w:i/>
              </w:rPr>
              <w:t>aufheben muss</w:t>
            </w:r>
            <w:r w:rsidRPr="005D638B">
              <w:t>;</w:t>
            </w:r>
          </w:p>
        </w:tc>
      </w:tr>
    </w:tbl>
    <w:p w:rsidR="00930C00" w:rsidRPr="00930C00" w:rsidRDefault="00930C00" w:rsidP="00930C00">
      <w:pPr>
        <w:pStyle w:val="AmOrLang"/>
      </w:pPr>
      <w:r w:rsidRPr="00930C00">
        <w:t xml:space="preserve">Or. </w:t>
      </w:r>
      <w:r w:rsidRPr="00930C00">
        <w:rPr>
          <w:rStyle w:val="HideTWBExt"/>
        </w:rPr>
        <w:t>&lt;Original&gt;</w:t>
      </w:r>
      <w:r w:rsidRPr="00930C00">
        <w:rPr>
          <w:rStyle w:val="HideTWBInt"/>
        </w:rPr>
        <w:t>{DE}</w:t>
      </w:r>
      <w:r w:rsidRPr="00930C00">
        <w:t>de</w:t>
      </w:r>
      <w:r w:rsidRPr="00930C00">
        <w:rPr>
          <w:rStyle w:val="HideTWBExt"/>
        </w:rPr>
        <w:t>&lt;/Original&gt;</w:t>
      </w:r>
    </w:p>
    <w:p w:rsidR="00930C00" w:rsidRPr="00930C00" w:rsidRDefault="00930C00" w:rsidP="00930C00">
      <w:r w:rsidRPr="00930C00">
        <w:rPr>
          <w:rStyle w:val="HideTWBExt"/>
        </w:rPr>
        <w:lastRenderedPageBreak/>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450</w:t>
      </w:r>
      <w:r w:rsidRPr="00930C00">
        <w:rPr>
          <w:rStyle w:val="HideTWBExt"/>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Emmanouil Kefalogiannis</w:t>
      </w:r>
      <w:r>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w:t>
            </w:r>
            <w:r>
              <w:rPr>
                <w:b/>
                <w:i/>
              </w:rPr>
              <w:t>, und fordert die Mitgliedstaaten auf</w:t>
            </w:r>
            <w:r>
              <w:t xml:space="preserve">, </w:t>
            </w:r>
            <w:r>
              <w:rPr>
                <w:b/>
                <w:i/>
              </w:rPr>
              <w:t>die Beschränkungen für den Einsatz von an die Ukraine gelieferten westlichen Waffensystemen gegen legitime militärische Ziele auf russischem Hoheitsgebiet unverzüglich aufzuheben</w:t>
            </w:r>
            <w:r>
              <w:t>;</w:t>
            </w:r>
          </w:p>
        </w:tc>
        <w:tc>
          <w:tcPr>
            <w:tcW w:w="4876" w:type="dxa"/>
            <w:tcBorders>
              <w:top w:val="nil"/>
              <w:left w:val="nil"/>
              <w:bottom w:val="nil"/>
              <w:right w:val="nil"/>
            </w:tcBorders>
          </w:tcPr>
          <w:p w:rsidR="00930C00" w:rsidRPr="00392752" w:rsidRDefault="00930C00" w:rsidP="00930C00">
            <w:pPr>
              <w:pStyle w:val="Normal6a"/>
            </w:pPr>
            <w:r>
              <w:t>8.</w:t>
            </w:r>
            <w:r>
              <w:tab/>
              <w:t>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w:t>
            </w:r>
            <w:r>
              <w:rPr>
                <w:b/>
                <w:i/>
              </w:rPr>
              <w:t>; stellt gleichzeitig fest, dass militärische Unterstützung</w:t>
            </w:r>
            <w:r>
              <w:t xml:space="preserve">, </w:t>
            </w:r>
            <w:r>
              <w:rPr>
                <w:b/>
                <w:i/>
              </w:rPr>
              <w:t>einschließlich Lieferungen aus Drittstaaten über alle verfügbaren EU-Instrumente, unter uneingeschränkter Achtung der Sicherheits- und Verteidigungspolitik bestimmter Mitgliedstaaten und unter Berücksichtigung der Sicherheits- und Verteidigungsinteressen aller Mitgliedstaaten geleistet wird</w:t>
            </w:r>
            <w:r>
              <w: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451</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David McAllister</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392752" w:rsidRDefault="00930C00" w:rsidP="00930C00">
            <w:pPr>
              <w:pStyle w:val="Normal6a"/>
            </w:pPr>
            <w:r>
              <w:t>8.</w:t>
            </w:r>
            <w:r>
              <w:tab/>
              <w:t>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w:t>
            </w:r>
            <w:r>
              <w:rPr>
                <w:b/>
                <w:i/>
              </w:rPr>
              <w:t>begrüßt die rasche Einrichtung und erfolgreiche Umsetzung der militärischen Unterstützungsmission der Europäischen Union zur Unterstützung der Ukraine und schlägt vor, dass die EU ihre Aufstockung in Erwägung zieht;</w:t>
            </w:r>
            <w:r>
              <w:t xml:space="preserve">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452</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Marc Botenga, Rima Hassan</w:t>
      </w:r>
      <w:r>
        <w:rPr>
          <w:rStyle w:val="HideTWBExt"/>
          <w:b w:val="0"/>
          <w:lang w:val="en-GB"/>
        </w:rPr>
        <w:t>&lt;/Members&gt;</w:t>
      </w:r>
    </w:p>
    <w:p w:rsidR="00930C00" w:rsidRPr="009C2015" w:rsidRDefault="00930C00" w:rsidP="00930C00">
      <w:pPr>
        <w:rPr>
          <w:lang w:val="en-GB"/>
        </w:rPr>
      </w:pPr>
      <w:r>
        <w:rPr>
          <w:rStyle w:val="HideTWBExt"/>
          <w:lang w:val="en-GB"/>
        </w:rPr>
        <w:t>&lt;AuNomDe&gt;</w:t>
      </w:r>
      <w:r>
        <w:rPr>
          <w:rStyle w:val="HideTWBInt"/>
          <w:lang w:val="en-GB"/>
        </w:rPr>
        <w:t>{The Left}</w:t>
      </w:r>
      <w:r>
        <w:rPr>
          <w:lang w:val="en-GB"/>
        </w:rPr>
        <w:t>im Namen der Fraktion The Left</w:t>
      </w:r>
      <w:r>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ihrer Mitgliedstaaten auf, bis zum Sieg der Ukraine in jeder möglichen Weise </w:t>
            </w:r>
            <w:r>
              <w:lastRenderedPageBreak/>
              <w:t>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w:t>
            </w:r>
            <w:r>
              <w:rPr>
                <w:b/>
                <w:i/>
              </w:rPr>
              <w:t>, und fordert die Mitgliedstaaten auf, die Beschränkungen für den Einsatz von an die Ukraine gelieferten westlichen Waffensystemen gegen legitime militärische Ziele auf russischem Hoheitsgebiet unverzüglich aufzuheben</w:t>
            </w:r>
            <w:r>
              <w:t>;</w:t>
            </w:r>
          </w:p>
        </w:tc>
        <w:tc>
          <w:tcPr>
            <w:tcW w:w="4876" w:type="dxa"/>
            <w:tcBorders>
              <w:top w:val="nil"/>
              <w:left w:val="nil"/>
              <w:bottom w:val="nil"/>
              <w:right w:val="nil"/>
            </w:tcBorders>
          </w:tcPr>
          <w:p w:rsidR="00930C00" w:rsidRPr="00392752" w:rsidRDefault="00930C00" w:rsidP="00930C00">
            <w:pPr>
              <w:pStyle w:val="Normal6a"/>
            </w:pPr>
            <w:r>
              <w:lastRenderedPageBreak/>
              <w:t>8.</w:t>
            </w:r>
            <w:r>
              <w:tab/>
              <w:t xml:space="preserve">fordert die EU und ihrer Mitgliedstaaten auf, bis zum Sieg der Ukraine in jeder möglichen Weise </w:t>
            </w:r>
            <w:r>
              <w:lastRenderedPageBreak/>
              <w:t>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453</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Reinis Pozņaks</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 Mitgliedstaaten auf, bis zum Sieg der Ukraine in jeder möglichen Weise humanitäre, militärische, wirtschaftliche, finanzielle und politische Unterstützung zu </w:t>
            </w:r>
            <w:r>
              <w:rPr>
                <w:b/>
                <w:i/>
              </w:rPr>
              <w:t>leisten</w:t>
            </w:r>
            <w:r>
              <w:t xml:space="preserve">, um dem Angriffskrieg Russlands endlich ein Ende zu setzen und es der Ukraine zu ermöglichen, ihr ganzes Volk zu befreien und die vollständige Kontrolle über ihr gesamtes Hoheitsgebiet innerhalb ihrer international anerkannten Grenzen wiederzuerlangen; betont insbesondere, </w:t>
            </w:r>
            <w:r>
              <w:rPr>
                <w:b/>
                <w:i/>
              </w:rPr>
              <w:t>dass</w:t>
            </w:r>
            <w:r>
              <w:t xml:space="preserve"> der </w:t>
            </w:r>
            <w:r>
              <w:rPr>
                <w:b/>
                <w:i/>
              </w:rPr>
              <w:t>Ukraine dringend mehr Luftabwehrkapazitäten zur Verfügung gestellt werden müssen</w:t>
            </w:r>
            <w:r>
              <w:t>,</w:t>
            </w:r>
            <w:r>
              <w:rPr>
                <w:b/>
                <w:i/>
              </w:rPr>
              <w:t xml:space="preserve"> um</w:t>
            </w:r>
            <w:r>
              <w:t xml:space="preserve"> ihre kritische </w:t>
            </w:r>
            <w:r>
              <w:lastRenderedPageBreak/>
              <w:t>Energieinfrastruktur vor dem kommenden Winter zu verteidigen</w:t>
            </w:r>
            <w:r>
              <w:rPr>
                <w:b/>
                <w:i/>
              </w:rPr>
              <w:t>, und</w:t>
            </w:r>
            <w:r>
              <w:t xml:space="preserve">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392752" w:rsidRDefault="00930C00" w:rsidP="00930C00">
            <w:pPr>
              <w:pStyle w:val="Normal6a"/>
            </w:pPr>
            <w:r>
              <w:lastRenderedPageBreak/>
              <w:t>8.</w:t>
            </w:r>
            <w:r>
              <w:tab/>
              <w:t xml:space="preserve">fordert die EU und ihre Mitgliedstaaten auf, bis zum Sieg der Ukraine in jeder möglichen Weise </w:t>
            </w:r>
            <w:r>
              <w:rPr>
                <w:b/>
                <w:i/>
              </w:rPr>
              <w:t xml:space="preserve">die </w:t>
            </w:r>
            <w:r>
              <w:t xml:space="preserve">humanitäre, militärische, wirtschaftliche, finanzielle und politische Unterstützung </w:t>
            </w:r>
            <w:r>
              <w:rPr>
                <w:b/>
                <w:i/>
              </w:rPr>
              <w:t xml:space="preserve">aufzustocken und </w:t>
            </w:r>
            <w:r>
              <w:t xml:space="preserve">zu </w:t>
            </w:r>
            <w:r>
              <w:rPr>
                <w:b/>
                <w:i/>
              </w:rPr>
              <w:t>beschleunigen</w:t>
            </w:r>
            <w:r>
              <w:t>, um dem Angriffskrieg Russlands endlich ein Ende zu setzen und es der Ukraine zu ermöglichen, ihr ganzes Volk zu befreien und die vollständige Kontrolle über ihr gesamtes Hoheitsgebiet innerhalb ihrer international anerkannten Grenzen wiederzuerlangen; betont insbesondere</w:t>
            </w:r>
            <w:r>
              <w:rPr>
                <w:b/>
                <w:i/>
              </w:rPr>
              <w:t xml:space="preserve"> die Bedeutung des sofortigen und verstärkten Einsatzes moderner Ausrüstung</w:t>
            </w:r>
            <w:r>
              <w:t xml:space="preserve">, </w:t>
            </w:r>
            <w:r>
              <w:rPr>
                <w:b/>
                <w:i/>
              </w:rPr>
              <w:t xml:space="preserve">Waffen </w:t>
            </w:r>
            <w:r>
              <w:rPr>
                <w:b/>
                <w:i/>
              </w:rPr>
              <w:lastRenderedPageBreak/>
              <w:t>und Luftabwehrsysteme</w:t>
            </w:r>
            <w:r>
              <w:t xml:space="preserve"> der </w:t>
            </w:r>
            <w:r>
              <w:rPr>
                <w:b/>
                <w:i/>
              </w:rPr>
              <w:t>nächsten Generation sowie von Boden/Boden-Systemen und die dringende Notwendigkeit</w:t>
            </w:r>
            <w:r>
              <w:t>, ihre kritische Energieinfrastruktur vor dem kommenden Winter zu verteidigen</w:t>
            </w:r>
            <w:r>
              <w:rPr>
                <w:b/>
                <w:i/>
              </w:rPr>
              <w:t>;</w:t>
            </w:r>
            <w:r>
              <w:t xml:space="preserve"> fordert die Mitgliedstaaten auf, die Beschränkungen für den Einsatz von an die Ukraine gelieferten westlichen Waffensystemen gegen legitime militärische Ziele auf russischem Hoheitsgebiet unverzüglich aufzuheben;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454</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Hannah Neumann</w:t>
      </w:r>
      <w:r>
        <w:rPr>
          <w:rStyle w:val="HideTWBExt"/>
          <w:b w:val="0"/>
          <w:lang w:val="en-GB"/>
        </w:rPr>
        <w:t>&lt;/Members&gt;</w:t>
      </w:r>
    </w:p>
    <w:p w:rsidR="00930C00" w:rsidRPr="009C2015" w:rsidRDefault="00930C00" w:rsidP="00930C00">
      <w:pPr>
        <w:rPr>
          <w:lang w:val="en-GB"/>
        </w:rPr>
      </w:pPr>
      <w:r>
        <w:rPr>
          <w:rStyle w:val="HideTWBExt"/>
          <w:lang w:val="en-GB"/>
        </w:rPr>
        <w:t>&lt;AuNomDe&gt;</w:t>
      </w:r>
      <w:r>
        <w:rPr>
          <w:rStyle w:val="HideTWBInt"/>
          <w:lang w:val="en-GB"/>
        </w:rPr>
        <w:t>{Greens/EFA}</w:t>
      </w:r>
      <w:r w:rsidRPr="009C2015">
        <w:rPr>
          <w:lang w:val="en-GB"/>
        </w:rPr>
        <w:t>im Namen der Verts/ALE-Fraktion</w:t>
      </w:r>
      <w:r>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w:t>
            </w:r>
            <w:r>
              <w:lastRenderedPageBreak/>
              <w:t>aufzuheben;</w:t>
            </w:r>
          </w:p>
        </w:tc>
        <w:tc>
          <w:tcPr>
            <w:tcW w:w="4876" w:type="dxa"/>
            <w:tcBorders>
              <w:top w:val="nil"/>
              <w:left w:val="nil"/>
              <w:bottom w:val="nil"/>
              <w:right w:val="nil"/>
            </w:tcBorders>
          </w:tcPr>
          <w:p w:rsidR="00930C00" w:rsidRPr="00392752" w:rsidRDefault="00930C00" w:rsidP="00930C00">
            <w:pPr>
              <w:pStyle w:val="Normal6a"/>
            </w:pPr>
            <w:r>
              <w:lastRenderedPageBreak/>
              <w:t>8.</w:t>
            </w:r>
            <w:r>
              <w:tab/>
              <w:t xml:space="preserve">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w:t>
            </w:r>
            <w:r>
              <w:lastRenderedPageBreak/>
              <w:t>aufzuheben</w:t>
            </w:r>
            <w:r>
              <w:rPr>
                <w:b/>
                <w:i/>
              </w:rPr>
              <w:t>, was mit dem Recht der Ukraine auf Selbstverteidigung gemäß der Charta der Vereinten Nationen vollständig im Einklang stehen würde</w:t>
            </w:r>
            <w:r>
              <w:t>;</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455</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Jordan Bardella, Pierre-Romain Thionnet, Matthieu Valet, Roberto Vannacci</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242C57"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8.</w:t>
            </w:r>
            <w:r>
              <w:tab/>
              <w:t xml:space="preserve">fordert die EU und ihrer Mitgliedstaaten auf, </w:t>
            </w:r>
            <w:r>
              <w:rPr>
                <w:b/>
                <w:i/>
              </w:rPr>
              <w:t xml:space="preserve">bis zum Sieg der Ukraine in jeder möglichen Weise </w:t>
            </w:r>
            <w:r>
              <w:t xml:space="preserve">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w:t>
            </w:r>
            <w:r>
              <w:rPr>
                <w:b/>
                <w:i/>
              </w:rPr>
              <w:t>unverzüglich aufzuheben</w:t>
            </w:r>
            <w:r>
              <w:t>;</w:t>
            </w:r>
          </w:p>
        </w:tc>
        <w:tc>
          <w:tcPr>
            <w:tcW w:w="4876" w:type="dxa"/>
            <w:tcBorders>
              <w:top w:val="nil"/>
              <w:left w:val="nil"/>
              <w:bottom w:val="nil"/>
              <w:right w:val="nil"/>
            </w:tcBorders>
          </w:tcPr>
          <w:p w:rsidR="00930C00" w:rsidRPr="00242C57" w:rsidRDefault="00930C00" w:rsidP="00930C00">
            <w:pPr>
              <w:pStyle w:val="Normal6a"/>
            </w:pPr>
            <w:r>
              <w:t>8.</w:t>
            </w:r>
            <w:r>
              <w:tab/>
              <w:t xml:space="preserve">fordert die EU und ihrer Mitgliedstaaten auf,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w:t>
            </w:r>
            <w:r>
              <w:rPr>
                <w:b/>
                <w:i/>
              </w:rPr>
              <w:t>beizubehalten, um eine Eskalation des Konfliktes zu verhindern</w:t>
            </w:r>
            <w:r>
              <w:rPr>
                <w:b/>
                <w:bCs/>
                <w:i/>
              </w:rPr>
              <w:t>, die zu Lasten der EU gehen würde</w:t>
            </w:r>
            <w:r>
              <w:t>;</w:t>
            </w:r>
          </w:p>
        </w:tc>
      </w:tr>
    </w:tbl>
    <w:p w:rsidR="00930C00" w:rsidRPr="00242C57" w:rsidRDefault="00930C00" w:rsidP="00930C00">
      <w:pPr>
        <w:pStyle w:val="AmOrLang"/>
        <w:rPr>
          <w:lang w:val="en-GB"/>
        </w:rPr>
      </w:pPr>
      <w:r w:rsidRPr="00242C57">
        <w:rPr>
          <w:lang w:val="en-GB"/>
        </w:rPr>
        <w:t xml:space="preserve">Or. </w:t>
      </w:r>
      <w:r w:rsidRPr="00242C57">
        <w:rPr>
          <w:rStyle w:val="HideTWBExt"/>
          <w:lang w:val="en-GB"/>
        </w:rPr>
        <w:t>&lt;Original&gt;</w:t>
      </w:r>
      <w:r w:rsidRPr="00242C57">
        <w:rPr>
          <w:rStyle w:val="HideTWBInt"/>
          <w:lang w:val="en-GB"/>
        </w:rPr>
        <w:t>{FR}</w:t>
      </w:r>
      <w:r w:rsidRPr="00242C57">
        <w:rPr>
          <w:lang w:val="en-GB"/>
        </w:rPr>
        <w:t>fr</w:t>
      </w:r>
      <w:r w:rsidRPr="00242C57">
        <w:rPr>
          <w:rStyle w:val="HideTWBExt"/>
          <w:lang w:val="en-GB"/>
        </w:rPr>
        <w:t>&lt;/Original&gt;</w:t>
      </w:r>
    </w:p>
    <w:p w:rsidR="00930C00" w:rsidRPr="00960FD7"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456</w:t>
      </w:r>
      <w:r>
        <w:rPr>
          <w:rStyle w:val="HideTWBExt"/>
          <w:lang w:val="en-GB"/>
        </w:rPr>
        <w:t>&lt;/NumAm&gt;</w:t>
      </w:r>
    </w:p>
    <w:p w:rsidR="00930C00" w:rsidRPr="009C2015" w:rsidRDefault="00930C00" w:rsidP="00930C00">
      <w:pPr>
        <w:pStyle w:val="NormalBold"/>
        <w:rPr>
          <w:lang w:val="en-GB"/>
        </w:rPr>
      </w:pPr>
      <w:r>
        <w:rPr>
          <w:rStyle w:val="HideTWBExt"/>
          <w:b w:val="0"/>
          <w:lang w:val="en-GB"/>
        </w:rPr>
        <w:lastRenderedPageBreak/>
        <w:t>&lt;RepeatBlock-By&gt;&lt;Members&gt;</w:t>
      </w:r>
      <w:r w:rsidRPr="009C2015">
        <w:rPr>
          <w:lang w:val="en-GB"/>
        </w:rPr>
        <w:t>Rihards Kols</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w:t>
            </w:r>
            <w:r>
              <w:rPr>
                <w:b/>
                <w:i/>
              </w:rPr>
              <w:t>ihrer</w:t>
            </w:r>
            <w:r>
              <w:t xml:space="preserve"> Mitgliedstaaten auf, </w:t>
            </w:r>
            <w:r>
              <w:rPr>
                <w:b/>
                <w:i/>
              </w:rPr>
              <w:t>bis zum Sieg der Ukraine in jeder möglichen Weise</w:t>
            </w:r>
            <w:r>
              <w:t xml:space="preserve"> humanitäre, militärische, wirtschaftliche</w:t>
            </w:r>
            <w:r>
              <w:rPr>
                <w:b/>
                <w:i/>
              </w:rPr>
              <w:t>, finanzielle</w:t>
            </w:r>
            <w:r>
              <w:t xml:space="preserve"> und </w:t>
            </w:r>
            <w:r>
              <w:rPr>
                <w:b/>
                <w:i/>
              </w:rPr>
              <w:t>politische</w:t>
            </w:r>
            <w:r>
              <w:t xml:space="preserve"> Unterstützung</w:t>
            </w:r>
            <w:r>
              <w:rPr>
                <w:b/>
                <w:i/>
              </w:rPr>
              <w:t xml:space="preserve"> zu leisten, um dem Angriffskrieg Russlands endlich ein Ende zu setzen und es der</w:t>
            </w:r>
            <w:r>
              <w:t xml:space="preserve"> Ukraine </w:t>
            </w:r>
            <w:r>
              <w:rPr>
                <w:b/>
                <w:i/>
              </w:rPr>
              <w:t>zu ermöglichen, ihr ganzes Volk zu befreien</w:t>
            </w:r>
            <w:r>
              <w:t xml:space="preserve"> und</w:t>
            </w:r>
            <w:r>
              <w:rPr>
                <w:b/>
                <w:i/>
              </w:rPr>
              <w:t xml:space="preserve"> die vollständige</w:t>
            </w:r>
            <w:r>
              <w:t xml:space="preserve"> Kontrolle über ihr gesamtes Hoheitsgebiet innerhalb ihrer international anerkannten Grenzen </w:t>
            </w:r>
            <w:r>
              <w:rPr>
                <w:b/>
                <w:i/>
              </w:rPr>
              <w:t>wiederzuerlangen; betont insbesondere, dass der Ukraine dringend mehr Luftabwehrkapazitäten zur Verfügung gestellt werden müssen, um ihre kritische Energieinfrastruktur vor dem kommenden Winter zu verteidigen</w:t>
            </w:r>
            <w:r>
              <w:t xml:space="preserve">, </w:t>
            </w:r>
            <w:r>
              <w:rPr>
                <w:b/>
                <w:i/>
              </w:rPr>
              <w:t>und fordert</w:t>
            </w:r>
            <w:r>
              <w:t xml:space="preserve"> die </w:t>
            </w:r>
            <w:r>
              <w:rPr>
                <w:b/>
                <w:i/>
              </w:rPr>
              <w:t>Mitgliedstaaten auf,</w:t>
            </w:r>
            <w:r>
              <w:t xml:space="preserve"> die </w:t>
            </w:r>
            <w:r>
              <w:rPr>
                <w:b/>
                <w:i/>
              </w:rPr>
              <w:t>Beschränkungen für den Einsatz von an die Ukraine gelieferten westlichen Waffensystemen gegen legitime militärische Ziele auf russischem Hoheitsgebiet unverzüglich aufzuheben</w:t>
            </w:r>
            <w:r>
              <w:t>;</w:t>
            </w:r>
          </w:p>
        </w:tc>
        <w:tc>
          <w:tcPr>
            <w:tcW w:w="4876" w:type="dxa"/>
            <w:tcBorders>
              <w:top w:val="nil"/>
              <w:left w:val="nil"/>
              <w:bottom w:val="nil"/>
              <w:right w:val="nil"/>
            </w:tcBorders>
          </w:tcPr>
          <w:p w:rsidR="00930C00" w:rsidRPr="00392752" w:rsidRDefault="00930C00" w:rsidP="00930C00">
            <w:pPr>
              <w:pStyle w:val="Normal6a"/>
            </w:pPr>
            <w:r>
              <w:t>8.</w:t>
            </w:r>
            <w:r>
              <w:tab/>
              <w:t xml:space="preserve">fordert die EU und </w:t>
            </w:r>
            <w:r>
              <w:rPr>
                <w:b/>
                <w:i/>
              </w:rPr>
              <w:t>ihre</w:t>
            </w:r>
            <w:r>
              <w:t xml:space="preserve"> Mitgliedstaaten auf, </w:t>
            </w:r>
            <w:r>
              <w:rPr>
                <w:b/>
                <w:i/>
              </w:rPr>
              <w:t>umfassende</w:t>
            </w:r>
            <w:r>
              <w:t xml:space="preserve"> humanitäre, militärische, wirtschaftliche und </w:t>
            </w:r>
            <w:r>
              <w:rPr>
                <w:b/>
                <w:i/>
              </w:rPr>
              <w:t>finanzielle</w:t>
            </w:r>
            <w:r>
              <w:t xml:space="preserve"> Unterstützung</w:t>
            </w:r>
            <w:r>
              <w:rPr>
                <w:b/>
                <w:i/>
              </w:rPr>
              <w:t>, einschließlich der uneingeschränkten Bereitstellung fortgeschrittener Luftabwehrsysteme und Artillerie, sowie uneingeschränkte politische Unterstützung für die</w:t>
            </w:r>
            <w:r>
              <w:t xml:space="preserve"> Ukraine </w:t>
            </w:r>
            <w:r>
              <w:rPr>
                <w:b/>
                <w:i/>
              </w:rPr>
              <w:t>bis zur vollständigen Wiederherstellung der Souveränität</w:t>
            </w:r>
            <w:r>
              <w:t xml:space="preserve"> und Kontrolle über ihr gesamtes Hoheitsgebiet innerhalb ihrer international anerkannten Grenzen </w:t>
            </w:r>
            <w:r>
              <w:rPr>
                <w:b/>
                <w:i/>
              </w:rPr>
              <w:t>zu leisten und alle Beschränkungen für den Einsatz westlicher Waffen gegen legitime militärische Ziele auf russischem Hoheitsgebiet aufzuheben; betont</w:t>
            </w:r>
            <w:r>
              <w:t xml:space="preserve">, </w:t>
            </w:r>
            <w:r>
              <w:rPr>
                <w:b/>
                <w:i/>
              </w:rPr>
              <w:t>dass</w:t>
            </w:r>
            <w:r>
              <w:t xml:space="preserve"> die </w:t>
            </w:r>
            <w:r>
              <w:rPr>
                <w:b/>
                <w:i/>
              </w:rPr>
              <w:t>Unterstützung durch</w:t>
            </w:r>
            <w:r>
              <w:t xml:space="preserve"> die </w:t>
            </w:r>
            <w:r>
              <w:rPr>
                <w:b/>
                <w:i/>
              </w:rPr>
              <w:t>EU mit einer regelmäßigen Zusammenarbeit mit den nationalen Parlamenten der Mitgliedstaaten einhergehen sollte, um für eine transparente und demokratische Kontrolle zu sorgen</w:t>
            </w:r>
            <w:r>
              <w: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457</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242C57"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8.</w:t>
            </w:r>
            <w:r>
              <w:tab/>
              <w:t xml:space="preserve">fordert die EU und ihrer Mitgliedstaaten auf, bis zum Sieg der Ukraine in jeder möglichen Weise humanitäre, militärische, wirtschaftliche, finanzielle und politische Unterstützung zu leisten, um dem Angriffskrieg Russlands </w:t>
            </w:r>
            <w:r>
              <w:lastRenderedPageBreak/>
              <w:t>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242C57" w:rsidRDefault="00930C00" w:rsidP="00930C00">
            <w:pPr>
              <w:pStyle w:val="Normal6a"/>
            </w:pPr>
            <w:r>
              <w:lastRenderedPageBreak/>
              <w:t>8.</w:t>
            </w:r>
            <w:r>
              <w:tab/>
              <w:t xml:space="preserve">fordert die EU und </w:t>
            </w:r>
            <w:r>
              <w:rPr>
                <w:b/>
                <w:i/>
              </w:rPr>
              <w:t>ihre</w:t>
            </w:r>
            <w:r>
              <w:t xml:space="preserve"> Mitgliedstaaten auf, </w:t>
            </w:r>
            <w:r>
              <w:rPr>
                <w:b/>
                <w:i/>
              </w:rPr>
              <w:t xml:space="preserve">rasch und entschlossen </w:t>
            </w:r>
            <w:r>
              <w:t xml:space="preserve">bis zum Sieg der Ukraine in jeder möglichen Weise </w:t>
            </w:r>
            <w:r>
              <w:rPr>
                <w:b/>
                <w:i/>
              </w:rPr>
              <w:t xml:space="preserve">ihre </w:t>
            </w:r>
            <w:r>
              <w:t xml:space="preserve">humanitäre, militärische, wirtschaftliche, finanzielle und politische Unterstützung zu </w:t>
            </w:r>
            <w:r>
              <w:rPr>
                <w:b/>
                <w:i/>
              </w:rPr>
              <w:t>steigern</w:t>
            </w:r>
            <w:r>
              <w:t xml:space="preserve">, </w:t>
            </w:r>
            <w:r>
              <w:lastRenderedPageBreak/>
              <w:t>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r>
    </w:tbl>
    <w:p w:rsidR="00930C00" w:rsidRPr="0007238A" w:rsidRDefault="00930C00" w:rsidP="00930C00">
      <w:pPr>
        <w:pStyle w:val="AmOrLang"/>
      </w:pPr>
      <w:r w:rsidRPr="0007238A">
        <w:lastRenderedPageBreak/>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458</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Petras Auštrevičius, Dan Barna, Urmas Paet, Ilhan Kyuchyuk, Lucia Yar, Marie-Agnes Strack-Zimmermann, Nathalie Loiseau</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8.</w:t>
            </w:r>
            <w:r>
              <w:tab/>
              <w:t xml:space="preserve">fordert die EU und ihrer Mitgliedstaaten auf, bis zum Sieg der Ukraine in jeder möglichen Weise 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Energieinfrastruktur vor dem kommenden </w:t>
            </w:r>
            <w:r>
              <w:lastRenderedPageBreak/>
              <w:t>Winter zu verteidigen, und fordert die Mitgliedstaaten auf, die Beschränkungen für den Einsatz von an die Ukraine gelieferten westlichen Waffensystemen gegen legitime militärische Ziele auf russischem Hoheitsgebiet unverzüglich aufzuheben;</w:t>
            </w:r>
          </w:p>
        </w:tc>
        <w:tc>
          <w:tcPr>
            <w:tcW w:w="4876" w:type="dxa"/>
            <w:tcBorders>
              <w:top w:val="nil"/>
              <w:left w:val="nil"/>
              <w:bottom w:val="nil"/>
              <w:right w:val="nil"/>
            </w:tcBorders>
          </w:tcPr>
          <w:p w:rsidR="00930C00" w:rsidRPr="00392752" w:rsidRDefault="00930C00" w:rsidP="00930C00">
            <w:pPr>
              <w:pStyle w:val="Normal6a"/>
            </w:pPr>
            <w:r>
              <w:lastRenderedPageBreak/>
              <w:t>8.</w:t>
            </w:r>
            <w:r>
              <w:tab/>
              <w:t xml:space="preserve">fordert die EU und ihrer Mitgliedstaaten auf, bis zum Sieg der Ukraine in jeder möglichen Weise </w:t>
            </w:r>
            <w:r>
              <w:rPr>
                <w:b/>
                <w:i/>
              </w:rPr>
              <w:t xml:space="preserve">kontinuierlich und zeitnah </w:t>
            </w:r>
            <w:r>
              <w:t xml:space="preserve">humanitäre, militärische, wirtschaftliche, finanzielle und politische Unterstützung zu leisten, um dem Angriffskrieg Russlands endlich ein Ende zu setzen und es der Ukraine zu ermöglichen, ihr ganzes Volk zu befreien und die vollständige Kontrolle über ihr gesamtes Hoheitsgebiet innerhalb ihrer international anerkannten Grenzen wiederzuerlangen; betont insbesondere, dass der Ukraine dringend mehr Luftabwehrkapazitäten zur Verfügung gestellt werden müssen, um ihre kritische </w:t>
            </w:r>
            <w:r>
              <w:lastRenderedPageBreak/>
              <w:t>Energieinfrastruktur vor dem kommenden Winter zu verteidigen, und fordert die Mitgliedstaaten auf, die Beschränkungen für den Einsatz von an die Ukraine gelieferten westlichen Waffensystemen gegen legitime militärische Ziele auf russischem Hoheitsgebiet unverzüglich aufzuheben;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459</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Petras Auštrevičius, Dan Barna, Urmas Paet, Ilhan Kyuchyuk, Lucia Yar, Marie-Agnes Strack-Zimmermann, Nathalie Loiseau</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8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8a.</w:t>
            </w:r>
            <w:r>
              <w:tab/>
            </w:r>
            <w:r>
              <w:rPr>
                <w:b/>
                <w:i/>
              </w:rPr>
              <w:t>fordert die EU und die Mitgliedstaaten auf, Maßnahmen zu ergreifen, um gegen die Verstöße Russlands gegen das Genfer Abkommen über die Behandlung der Kriegsgefangenen vorzugehen, insbesondere die Verweigerung des Zugangs für humanitäre Organisationen und medizinischer Behandlung von Gefangenen sowie die Hinrichtung von Gefangenen; bekräftigt seine Forderung, dass erforderliche Maßnahmen ergriffen werden, um zwangsweise abgeschobene und illegal adoptierte ukrainische Kinder aus Russland oder dem besetzten ukrainischen Hoheitsgebiet zurückzuholen; bedauert die Handlungen Russlands, an denen auch das belarussische Regime beteiligt ist, um ukrainische Kinder umzuerziehen und ihre nationale ukrainische Identität auszulöschen;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lastRenderedPageBreak/>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460</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pPr>
      <w:r w:rsidRPr="00930C00">
        <w:rPr>
          <w:rStyle w:val="HideTWBExt"/>
        </w:rPr>
        <w:t>&lt;Article&gt;</w:t>
      </w:r>
      <w:r w:rsidRPr="00930C00">
        <w:t>Ziffer 8 a (neu)</w:t>
      </w:r>
      <w:r w:rsidRPr="00930C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07238A"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242C57" w:rsidRDefault="00930C00" w:rsidP="00930C00">
            <w:pPr>
              <w:pStyle w:val="Normal6a"/>
            </w:pPr>
            <w:r>
              <w:rPr>
                <w:b/>
                <w:i/>
              </w:rPr>
              <w:t>8a.</w:t>
            </w:r>
            <w:r>
              <w:tab/>
            </w:r>
            <w:r>
              <w:rPr>
                <w:b/>
                <w:i/>
              </w:rPr>
              <w:t>bedauert die Zurückhaltung einiger Mitgliedstaaten, der Ukraine die erforderlichen Waffen zur Verfügung zu stellen, einschließlich der Taurus-Marschflugkörper; betont, dass sich die von Russland postulierten „roten Linien“ mit dem Voranschreiten des Krieges wiederholt geändert haben und sich als völlig bedeutungslos erwiesen haben; fordert die Mitgliedstaaten auf, alle mit der Lieferung von Waffensystemen einhergehenden Einschränkungen aufzuheben und der Ukraine auch die benötigten Langstreckenraketen zur Verfügung zu stellen;</w:t>
            </w:r>
          </w:p>
        </w:tc>
      </w:tr>
    </w:tbl>
    <w:p w:rsidR="00930C00" w:rsidRPr="0007238A" w:rsidRDefault="00930C00" w:rsidP="00930C00">
      <w:pPr>
        <w:pStyle w:val="AmOrLang"/>
      </w:pPr>
      <w:r w:rsidRPr="0007238A">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461</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Urmas Paet, Hilde Vautmans, Lucia Yar, Petras Auštrevičius</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8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8a.</w:t>
            </w:r>
            <w:r>
              <w:tab/>
            </w:r>
            <w:r>
              <w:rPr>
                <w:b/>
                <w:i/>
              </w:rPr>
              <w:t>verurteilt, dass Ungarn sein Vetorecht missbraucht, um die Gewährung wesentlicher EU-Hilfen an die Ukraine zu verzögern oder wirksam zu blockieren; verurteilt den sogenannten „Friedensbesuch“ von Viktor Orban in der Russischen Föderation am 5. Juli 2024 und betont, dass er die EU in keiner Weise oder Eigenschaft vertreten hat;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lastRenderedPageBreak/>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462</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Marc Botenga, Rima Hassan</w:t>
      </w:r>
      <w:r>
        <w:rPr>
          <w:rStyle w:val="HideTWBExt"/>
          <w:b w:val="0"/>
          <w:lang w:val="en-GB"/>
        </w:rPr>
        <w:t>&lt;/Members&gt;</w:t>
      </w:r>
    </w:p>
    <w:p w:rsidR="00930C00" w:rsidRPr="009C2015" w:rsidRDefault="00930C00" w:rsidP="00930C00">
      <w:pPr>
        <w:rPr>
          <w:lang w:val="en-GB"/>
        </w:rPr>
      </w:pPr>
      <w:r>
        <w:rPr>
          <w:rStyle w:val="HideTWBExt"/>
          <w:lang w:val="en-GB"/>
        </w:rPr>
        <w:t>&lt;AuNomDe&gt;</w:t>
      </w:r>
      <w:r>
        <w:rPr>
          <w:rStyle w:val="HideTWBInt"/>
          <w:lang w:val="en-GB"/>
        </w:rPr>
        <w:t>{The Left}</w:t>
      </w:r>
      <w:r>
        <w:rPr>
          <w:lang w:val="en-GB"/>
        </w:rPr>
        <w:t>im Namen der Fraktion The Left</w:t>
      </w:r>
      <w:r>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8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8a.</w:t>
            </w:r>
            <w:r>
              <w:tab/>
            </w:r>
            <w:r>
              <w:rPr>
                <w:b/>
                <w:i/>
              </w:rPr>
              <w:t>warnt vor einer zunehmenden Abhängigkeit der EU von den USA, insbesondere nach dem Krieg in der Ukraine;</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463</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Marc Botenga, Rima Hassan, Özlem Demirel</w:t>
      </w:r>
      <w:r>
        <w:rPr>
          <w:rStyle w:val="HideTWBExt"/>
          <w:b w:val="0"/>
          <w:lang w:val="en-GB"/>
        </w:rPr>
        <w:t>&lt;/Members&gt;</w:t>
      </w:r>
    </w:p>
    <w:p w:rsidR="00930C00" w:rsidRPr="009C2015" w:rsidRDefault="00930C00" w:rsidP="00930C00">
      <w:pPr>
        <w:rPr>
          <w:lang w:val="en-GB"/>
        </w:rPr>
      </w:pPr>
      <w:r>
        <w:rPr>
          <w:rStyle w:val="HideTWBExt"/>
          <w:lang w:val="en-GB"/>
        </w:rPr>
        <w:t>&lt;AuNomDe&gt;</w:t>
      </w:r>
      <w:r>
        <w:rPr>
          <w:rStyle w:val="HideTWBInt"/>
          <w:lang w:val="en-GB"/>
        </w:rPr>
        <w:t>{The Left}</w:t>
      </w:r>
      <w:r>
        <w:rPr>
          <w:lang w:val="en-GB"/>
        </w:rPr>
        <w:t>im Namen der Fraktion The Left</w:t>
      </w:r>
      <w:r>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8 b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8b.</w:t>
            </w:r>
            <w:r>
              <w:tab/>
            </w:r>
            <w:r>
              <w:rPr>
                <w:b/>
                <w:i/>
              </w:rPr>
              <w:t>fordert die EU auf, dringend eine ambitionierte diplomatische Initiative einzuleiten, um einen sofortigen Waffenstillstand in der Ukraine zu erreichen und den Krieg in der Ukraine und das Leid des ukrainischen Volkes zu beenden; fordert verstärkte Anstrengungen, um endlich Friedensverhandlungen einzuleiten, an denen alle Parteien beteiligt sind;</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464</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rPr>
                <w:b/>
                <w:i/>
              </w:rPr>
              <w:t>9.</w:t>
            </w:r>
            <w:r>
              <w:tab/>
            </w:r>
            <w:r>
              <w:rPr>
                <w:b/>
                <w:i/>
              </w:rPr>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E324B0" w:rsidRDefault="00930C00" w:rsidP="00930C00">
            <w:pPr>
              <w:pStyle w:val="Normal6a"/>
            </w:pPr>
            <w:r>
              <w:rPr>
                <w:b/>
                <w:i/>
              </w:rPr>
              <w:t>entfällt</w:t>
            </w:r>
          </w:p>
        </w:tc>
      </w:tr>
    </w:tbl>
    <w:p w:rsidR="00930C00" w:rsidRPr="00E324B0" w:rsidRDefault="00930C00" w:rsidP="00930C00">
      <w:pPr>
        <w:pStyle w:val="AmOrLang"/>
      </w:pPr>
      <w:r w:rsidRPr="00E324B0">
        <w:t xml:space="preserve">Or. </w:t>
      </w:r>
      <w:r w:rsidRPr="00E324B0">
        <w:rPr>
          <w:rStyle w:val="HideTWBExt"/>
        </w:rPr>
        <w:t>&lt;Original&gt;</w:t>
      </w:r>
      <w:r w:rsidRPr="00E324B0">
        <w:rPr>
          <w:rStyle w:val="HideTWBInt"/>
        </w:rPr>
        <w:t>{EN}</w:t>
      </w:r>
      <w:r w:rsidRPr="00E324B0">
        <w:t>en</w:t>
      </w:r>
      <w:r w:rsidRPr="00E324B0">
        <w:rPr>
          <w:rStyle w:val="HideTWBExt"/>
        </w:rPr>
        <w:t>&lt;/Original&gt;</w:t>
      </w:r>
    </w:p>
    <w:p w:rsidR="00930C00" w:rsidRPr="00E324B0" w:rsidRDefault="00930C00" w:rsidP="00930C00">
      <w:r>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465</w:t>
      </w:r>
      <w:r>
        <w:rPr>
          <w:rStyle w:val="HideTWBExt"/>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David McAllister</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w:t>
            </w:r>
            <w:r>
              <w:rPr>
                <w:b/>
                <w:i/>
              </w:rPr>
              <w:t>weist darauf hin, dass die konsequente und einheitliche Anwendung restriktiver Maßnahmen durch alle Mitgliedstaaten eine Voraussetzung für die Glaubwürdigkeit und Wirksamkeit des auswärtigen Handelns der EU ist;</w:t>
            </w:r>
            <w:r>
              <w:t xml:space="preserve"> fordert eine wirksame Zusammenarbeit mit gleichgesinnten Partnern auf der ganzen Welt, um den Druck auf Russland zu erhöhen; </w:t>
            </w:r>
            <w:r>
              <w:rPr>
                <w:b/>
                <w:i/>
              </w:rPr>
              <w:t xml:space="preserve">fordert eine proaktive Diplomatie mit Drittländern, um die Umgehung dieser Sanktionen so gering wie möglich zu halten; fordert, dass die EU und ihre Mitgliedstaaten die „Schattenflotten“ Russlands äußerst sorgfältig im Auge behalten, da sie nicht nur gegen die Sanktionen der EU und der G7 verstößt, </w:t>
            </w:r>
            <w:r>
              <w:rPr>
                <w:b/>
                <w:i/>
              </w:rPr>
              <w:lastRenderedPageBreak/>
              <w:t>sondern aufgrund ihrer technischen Mängel und häufigen Ausfälle auch eine große Umweltgefahr für das Ökosystem bedeuten; fordert die Kommission auf, die Unterstützung der EU für Drittländer, die die Aggression Russlands gegen die Ukraine aktiv unterstützen, kritisch zu bewerten, und fordert den Rat nachdrücklich auf, restriktive Maßnahmen gegen Drittländer zu verhängen, die den Angriffskrieg Russlands gegen die Ukraine ermöglichen, sei es durch die Erleichterung der Umgehung von Sanktionen oder durch die Bereitstellung direkter militärischer Hilfe, wie im Fall des Iran oder der Demokratischen Volksrepublik Korea (DVRK);</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60FD7" w:rsidRDefault="00930C00" w:rsidP="00930C00">
      <w:pPr>
        <w:pStyle w:val="AmNumberTabs"/>
        <w:rPr>
          <w:lang w:val="en-GB"/>
        </w:rPr>
      </w:pPr>
      <w:r>
        <w:rPr>
          <w:rStyle w:val="HideTWBExt"/>
          <w:lang w:val="en-GB"/>
        </w:rPr>
        <w:t>&lt;Amend&gt;</w:t>
      </w:r>
      <w:r w:rsidRPr="00960FD7">
        <w:rPr>
          <w:lang w:val="en-GB"/>
        </w:rPr>
        <w:t>Änderungsantrag</w:t>
      </w:r>
      <w:r w:rsidRPr="00960FD7">
        <w:rPr>
          <w:lang w:val="en-GB"/>
        </w:rPr>
        <w:tab/>
      </w:r>
      <w:r w:rsidRPr="00960FD7">
        <w:rPr>
          <w:lang w:val="en-GB"/>
        </w:rPr>
        <w:tab/>
      </w:r>
      <w:r>
        <w:rPr>
          <w:rStyle w:val="HideTWBExt"/>
          <w:lang w:val="en-GB"/>
        </w:rPr>
        <w:t>&lt;NumAm&gt;</w:t>
      </w:r>
      <w:r w:rsidRPr="00960FD7">
        <w:rPr>
          <w:lang w:val="en-GB"/>
        </w:rPr>
        <w:t>466</w:t>
      </w:r>
      <w:r>
        <w:rPr>
          <w:rStyle w:val="HideTWBExt"/>
          <w:lang w:val="en-GB"/>
        </w:rPr>
        <w:t>&lt;/NumAm&gt;</w:t>
      </w:r>
    </w:p>
    <w:p w:rsidR="00930C00" w:rsidRPr="00960FD7" w:rsidRDefault="00930C00" w:rsidP="00930C00">
      <w:pPr>
        <w:pStyle w:val="NormalBold"/>
        <w:rPr>
          <w:lang w:val="en-GB"/>
        </w:rPr>
      </w:pPr>
      <w:r>
        <w:rPr>
          <w:rStyle w:val="HideTWBExt"/>
          <w:b w:val="0"/>
          <w:lang w:val="en-GB"/>
        </w:rPr>
        <w:t>&lt;RepeatBlock-By&gt;&lt;Members&gt;</w:t>
      </w:r>
      <w:r w:rsidRPr="00960FD7">
        <w:rPr>
          <w:lang w:val="en-GB"/>
        </w:rPr>
        <w:t>Jordan Bardella, Pierre-Romain Thionnet, Matthieu Valet, Roberto Vannacci</w:t>
      </w:r>
      <w:r>
        <w:rPr>
          <w:rStyle w:val="HideTWBExt"/>
          <w:b w:val="0"/>
          <w:lang w:val="en-GB"/>
        </w:rPr>
        <w:t>&lt;/Members&gt;</w:t>
      </w:r>
    </w:p>
    <w:p w:rsidR="00930C00" w:rsidRPr="00960FD7" w:rsidRDefault="00930C00" w:rsidP="00930C00">
      <w:pPr>
        <w:pStyle w:val="NormalBold"/>
        <w:rPr>
          <w:lang w:val="en-GB"/>
        </w:rPr>
      </w:pPr>
      <w:r>
        <w:rPr>
          <w:rStyle w:val="HideTWBExt"/>
          <w:b w:val="0"/>
          <w:lang w:val="en-GB"/>
        </w:rPr>
        <w:t>&lt;/RepeatBlock-By&gt;</w:t>
      </w:r>
    </w:p>
    <w:p w:rsidR="00930C00" w:rsidRPr="00242C57"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9.</w:t>
            </w:r>
            <w:r>
              <w:tab/>
            </w:r>
            <w:r>
              <w:rPr>
                <w:b/>
                <w:i/>
              </w:rPr>
              <w:t>fordert</w:t>
            </w:r>
            <w:r>
              <w:t xml:space="preserve"> die </w:t>
            </w:r>
            <w:r>
              <w:rPr>
                <w:b/>
                <w:i/>
              </w:rPr>
              <w:t>EU und</w:t>
            </w:r>
            <w:r>
              <w:t xml:space="preserve"> die </w:t>
            </w:r>
            <w:r>
              <w:rPr>
                <w:b/>
                <w:i/>
              </w:rPr>
              <w:t>Mitgliedstaaten</w:t>
            </w:r>
            <w:r>
              <w:t xml:space="preserve"> auf, </w:t>
            </w:r>
            <w:r>
              <w:rPr>
                <w:b/>
                <w:i/>
              </w:rPr>
              <w:t>die Wirksamkeit ihrer bislang angenommenen 14 Sanktionspakete zu erhöhen</w:t>
            </w:r>
            <w:r>
              <w:t xml:space="preserve"> und </w:t>
            </w:r>
            <w:r>
              <w:rPr>
                <w:b/>
                <w:i/>
              </w:rPr>
              <w:t>neue Pakete zu verabschieden</w:t>
            </w:r>
            <w:r>
              <w:t xml:space="preserve">, </w:t>
            </w:r>
            <w:r>
              <w:rPr>
                <w:b/>
                <w:i/>
              </w:rPr>
              <w:t>sobald sich dies als notwendig erweist; fordert eine wirksame Zusammenarbeit mit gleichgesinnten Partnern auf</w:t>
            </w:r>
            <w:r>
              <w:t xml:space="preserve"> der </w:t>
            </w:r>
            <w:r>
              <w:rPr>
                <w:b/>
                <w:i/>
              </w:rPr>
              <w:t>ganzen Welt</w:t>
            </w:r>
            <w:r>
              <w:t xml:space="preserve">, </w:t>
            </w:r>
            <w:r>
              <w:rPr>
                <w:b/>
                <w:i/>
              </w:rPr>
              <w:t>um den Druck auf Russland zu erhöhen</w:t>
            </w:r>
            <w:r>
              <w:t>;</w:t>
            </w:r>
          </w:p>
        </w:tc>
        <w:tc>
          <w:tcPr>
            <w:tcW w:w="4876" w:type="dxa"/>
            <w:tcBorders>
              <w:top w:val="nil"/>
              <w:left w:val="nil"/>
              <w:bottom w:val="nil"/>
              <w:right w:val="nil"/>
            </w:tcBorders>
          </w:tcPr>
          <w:p w:rsidR="00930C00" w:rsidRPr="00242C57" w:rsidRDefault="00930C00" w:rsidP="00930C00">
            <w:pPr>
              <w:pStyle w:val="Normal6a"/>
            </w:pPr>
            <w:r>
              <w:t>9.</w:t>
            </w:r>
            <w:r>
              <w:tab/>
            </w:r>
            <w:r>
              <w:rPr>
                <w:b/>
                <w:i/>
              </w:rPr>
              <w:t>stellt fest, dass</w:t>
            </w:r>
            <w:r>
              <w:t xml:space="preserve"> die </w:t>
            </w:r>
            <w:r>
              <w:rPr>
                <w:b/>
                <w:i/>
              </w:rPr>
              <w:t>seit Beginn des Konflikts gegen Russland verhängten Wirtschaftssanktionen nicht</w:t>
            </w:r>
            <w:r>
              <w:t xml:space="preserve"> die </w:t>
            </w:r>
            <w:r>
              <w:rPr>
                <w:b/>
                <w:i/>
              </w:rPr>
              <w:t>ursprünglich angestrebte Wirkung hatten; stellt fest, dass sich Russland</w:t>
            </w:r>
            <w:r>
              <w:t xml:space="preserve"> auf</w:t>
            </w:r>
            <w:r>
              <w:rPr>
                <w:b/>
                <w:i/>
              </w:rPr>
              <w:t xml:space="preserve"> andere Handelspartner</w:t>
            </w:r>
            <w:r>
              <w:t xml:space="preserve">, </w:t>
            </w:r>
            <w:r>
              <w:rPr>
                <w:b/>
                <w:i/>
              </w:rPr>
              <w:t>insbesondere China und Indien, verlegen konnte, um sich Absatzmärkte für seine Ausfuhren von Rohstoffen</w:t>
            </w:r>
            <w:r>
              <w:t xml:space="preserve"> und </w:t>
            </w:r>
            <w:r>
              <w:rPr>
                <w:b/>
                <w:i/>
              </w:rPr>
              <w:t>Kohlenwasserstoffen zu sichern; bedauert, dass die Wirtschaftssanktionen in erster Linie die Europäische Union getroffen haben</w:t>
            </w:r>
            <w:r>
              <w:t xml:space="preserve">, </w:t>
            </w:r>
            <w:r>
              <w:rPr>
                <w:b/>
                <w:i/>
              </w:rPr>
              <w:t>da sie die Inflation der Energiepreise zulasten Kaufkraft der Europäer angeheizt und die Wettbewerbsfähigkeit</w:t>
            </w:r>
            <w:r>
              <w:t xml:space="preserve"> der </w:t>
            </w:r>
            <w:r>
              <w:rPr>
                <w:b/>
                <w:i/>
              </w:rPr>
              <w:t xml:space="preserve">europäischen Industrie beeinträchtigt </w:t>
            </w:r>
            <w:r>
              <w:rPr>
                <w:b/>
                <w:i/>
              </w:rPr>
              <w:lastRenderedPageBreak/>
              <w:t>haben;</w:t>
            </w:r>
            <w:r>
              <w:t xml:space="preserve"> </w:t>
            </w:r>
            <w:r>
              <w:rPr>
                <w:b/>
                <w:i/>
              </w:rPr>
              <w:t>stellt fest, dass die Europäische Union mit zweierlei Maß misst, da Indien ihr größter Lieferant von aus russischem Öl hergestellten Kraftstoffen und entsprechenden raffinierten Ölprodukten geworden ist;</w:t>
            </w:r>
          </w:p>
        </w:tc>
      </w:tr>
    </w:tbl>
    <w:p w:rsidR="00930C00" w:rsidRPr="00242C57" w:rsidRDefault="00930C00" w:rsidP="00930C00">
      <w:pPr>
        <w:pStyle w:val="AmOrLang"/>
        <w:rPr>
          <w:lang w:val="en-GB"/>
        </w:rPr>
      </w:pPr>
      <w:r w:rsidRPr="00242C57">
        <w:rPr>
          <w:lang w:val="en-GB"/>
        </w:rPr>
        <w:lastRenderedPageBreak/>
        <w:t xml:space="preserve">Or. </w:t>
      </w:r>
      <w:r w:rsidRPr="00242C57">
        <w:rPr>
          <w:rStyle w:val="HideTWBExt"/>
          <w:lang w:val="en-GB"/>
        </w:rPr>
        <w:t>&lt;Original&gt;</w:t>
      </w:r>
      <w:r w:rsidRPr="00242C57">
        <w:rPr>
          <w:rStyle w:val="HideTWBInt"/>
          <w:lang w:val="en-GB"/>
        </w:rPr>
        <w:t>{FR}</w:t>
      </w:r>
      <w:r w:rsidRPr="00242C57">
        <w:rPr>
          <w:lang w:val="en-GB"/>
        </w:rPr>
        <w:t>fr</w:t>
      </w:r>
      <w:r w:rsidRPr="00242C57">
        <w:rPr>
          <w:rStyle w:val="HideTWBExt"/>
          <w:lang w:val="en-GB"/>
        </w:rPr>
        <w:t>&lt;/Original&gt;</w:t>
      </w:r>
    </w:p>
    <w:p w:rsidR="00930C00" w:rsidRPr="00960FD7"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467</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Miriam Lexmann</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w:t>
            </w:r>
            <w:r>
              <w:rPr>
                <w:b/>
                <w:i/>
              </w:rPr>
              <w:t xml:space="preserve">sowie auf die Länder, die Russland unterstützen, einschließlich China, Iran, Nordkorea, Kuba und andere, </w:t>
            </w:r>
            <w:r>
              <w:t xml:space="preserve">zu erhöhen; </w:t>
            </w:r>
            <w:r>
              <w:rPr>
                <w:b/>
                <w:i/>
              </w:rPr>
              <w:t>stellt mit großer Besorgnis fest, dass der Einsatz iranischer Drohnen und Flugkörper, kubanischer und nordkoreanischer Truppen und chinesischer Ausrüstung mit doppeltem Verwendungszweck durch Russland das Ausmaß des Konflikts vergrößert;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468</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Pekka Toveri</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w:t>
            </w:r>
            <w:r>
              <w:rPr>
                <w:b/>
                <w:i/>
              </w:rPr>
              <w:t xml:space="preserve">die auch für Drittländer und nichtstaatliche Einrichtungen aus Drittländern wie Unternehmen bestimmt sind, </w:t>
            </w:r>
            <w:r>
              <w:t>sobald sich dies als notwendig erweist; fordert eine wirksame Zusammenarbeit mit gleichgesinnten Partnern auf der ganzen Welt, um den Druck auf Russland zu erhöhen;</w:t>
            </w:r>
            <w:r>
              <w:rPr>
                <w:b/>
                <w:i/>
              </w:rPr>
              <w:t> fordert die EU und die Mitgliedstaaten auf, entschlossene Maßnahmen gegen die russischen Schattenflotten zu ergreifen, die den Seeverkehr und die Umwelt weltweit gefährden;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469</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Petras Auštrevičius, Dan Barna, Urmas Paet, Lucia Yar, Marie-Agnes Strack-Zimmermann</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 </w:t>
            </w:r>
            <w:r>
              <w:rPr>
                <w:b/>
                <w:i/>
              </w:rPr>
              <w:t xml:space="preserve">fordert die EU und die Mitgliedstaaten nachdrücklich auf, die Entwicklungshilfe für Regierungen von Ländern, die den Angriffskrieg Russlands gegen die Ukraine offen unterstützen, </w:t>
            </w:r>
            <w:r>
              <w:rPr>
                <w:b/>
                <w:i/>
              </w:rPr>
              <w:lastRenderedPageBreak/>
              <w:t>insbesondere bei ihren Abstimmungen über einschlägige Resolutionen der Vereinten Nationen, zu überprüfen;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470</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Cristian Terheş</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 </w:t>
            </w:r>
            <w:r>
              <w:rPr>
                <w:b/>
                <w:i/>
              </w:rPr>
              <w:t>fordert die Kommission auf, Sanktionen gegen alle europäischen Unternehmen, einschließlich Raiffeisen und OMV, zu verhängen, die weiterhin Geschäfte mit der Russischen Föderation unterhalten;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471</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242C57"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9.</w:t>
            </w:r>
            <w:r>
              <w:tab/>
              <w:t xml:space="preserve">fordert die EU und die Mitgliedstaaten auf, die Wirksamkeit ihrer bislang angenommenen 14 Sanktionspakete zu erhöhen und neue Pakete zu verabschieden, sobald sich dies </w:t>
            </w:r>
            <w:r>
              <w:lastRenderedPageBreak/>
              <w:t>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242C57" w:rsidRDefault="00930C00" w:rsidP="00930C00">
            <w:pPr>
              <w:pStyle w:val="Normal6a"/>
            </w:pPr>
            <w:r>
              <w:lastRenderedPageBreak/>
              <w:t>9.</w:t>
            </w:r>
            <w:r>
              <w:tab/>
              <w:t xml:space="preserve">fordert die EU und die Mitgliedstaaten auf, die Wirksamkeit ihrer bislang angenommenen 14 Sanktionspakete zu erhöhen und neue Pakete zu verabschieden, sobald sich dies </w:t>
            </w:r>
            <w:r>
              <w:lastRenderedPageBreak/>
              <w:t xml:space="preserve">als notwendig erweist; fordert eine wirksame Zusammenarbeit mit gleichgesinnten Partnern auf der ganzen Welt, um den Druck auf Russland zu erhöhen; </w:t>
            </w:r>
            <w:r>
              <w:rPr>
                <w:b/>
                <w:i/>
              </w:rPr>
              <w:t>betont, dass China und Indien die Rüstungsindustrie Russlands erheblich unterstützen; fordert daher, dass Möglichkeiten ausgelotet werden, mit denen die Länder davon abgehalten werden können, Unterstützung zu leisten, die Russlands Angriffsvorhaben ermöglicht;</w:t>
            </w:r>
          </w:p>
        </w:tc>
      </w:tr>
    </w:tbl>
    <w:p w:rsidR="00930C00" w:rsidRPr="0007238A" w:rsidRDefault="00930C00" w:rsidP="00930C00">
      <w:pPr>
        <w:pStyle w:val="AmOrLang"/>
      </w:pPr>
      <w:r w:rsidRPr="0007238A">
        <w:lastRenderedPageBreak/>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242C57"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472</w:t>
      </w:r>
      <w:r w:rsidRPr="00930C00">
        <w:rPr>
          <w:rStyle w:val="HideTWBExt"/>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Rihards Kols</w:t>
      </w:r>
      <w:r>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w:t>
            </w:r>
            <w:r>
              <w:rPr>
                <w:b/>
                <w:i/>
              </w:rPr>
              <w:t>bislang angenommenen 14 </w:t>
            </w:r>
            <w:r>
              <w:t>Sanktionspakete zu erhöhen</w:t>
            </w:r>
            <w:r>
              <w:rPr>
                <w:b/>
                <w:i/>
              </w:rPr>
              <w:t xml:space="preserve"> und neue Pakete</w:t>
            </w:r>
            <w:r>
              <w:t xml:space="preserve"> zu </w:t>
            </w:r>
            <w:r>
              <w:rPr>
                <w:b/>
                <w:i/>
              </w:rPr>
              <w:t>verabschieden</w:t>
            </w:r>
            <w:r>
              <w:t xml:space="preserve">, </w:t>
            </w:r>
            <w:r>
              <w:rPr>
                <w:b/>
                <w:i/>
              </w:rPr>
              <w:t>sobald sich dies als notwendig erweist; fordert eine wirksame</w:t>
            </w:r>
            <w:r>
              <w:t xml:space="preserve"> Zusammenarbeit mit </w:t>
            </w:r>
            <w:r>
              <w:rPr>
                <w:b/>
                <w:i/>
              </w:rPr>
              <w:t>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Sanktionspakete zu erhöhen</w:t>
            </w:r>
            <w:r>
              <w:rPr>
                <w:b/>
                <w:i/>
              </w:rPr>
              <w:t>, indem sie eine spezielle EU-Sanktions-Taskforce einrichten, die das Mandat hat, Umgehungen zu überwachen und</w:t>
            </w:r>
            <w:r>
              <w:t xml:space="preserve"> zu </w:t>
            </w:r>
            <w:r>
              <w:rPr>
                <w:b/>
                <w:i/>
              </w:rPr>
              <w:t>verhindern</w:t>
            </w:r>
            <w:r>
              <w:t xml:space="preserve">, </w:t>
            </w:r>
            <w:r>
              <w:rPr>
                <w:b/>
                <w:i/>
              </w:rPr>
              <w:t>die Durchsetzung in allen Mitgliedstaaten zu koordinieren und die</w:t>
            </w:r>
            <w:r>
              <w:t xml:space="preserve"> Zusammenarbeit mit </w:t>
            </w:r>
            <w:r>
              <w:rPr>
                <w:b/>
                <w:i/>
              </w:rPr>
              <w:t>globalen Verbündeten zu verbessern; weist auf die strategische Partnerschaft zwischen Russland und dem Iran als koordinierte Anstrengung zur Untergrabung der europäischen Sicherheit hin, die eine verstärkte Kontrolle und reaktionsfähige Maßnahmen erfordert;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473</w:t>
      </w:r>
      <w:r w:rsidRPr="00930C00">
        <w:rPr>
          <w:rStyle w:val="HideTWBExt"/>
          <w:lang w:val="en-GB"/>
        </w:rPr>
        <w:t>&lt;/NumAm&gt;</w:t>
      </w:r>
    </w:p>
    <w:p w:rsidR="00930C00" w:rsidRPr="00291283" w:rsidRDefault="00930C00" w:rsidP="00930C00">
      <w:pPr>
        <w:pStyle w:val="NormalBold"/>
        <w:rPr>
          <w:lang w:val="en-GB"/>
        </w:rPr>
      </w:pPr>
      <w:r>
        <w:rPr>
          <w:rStyle w:val="HideTWBExt"/>
          <w:b w:val="0"/>
          <w:lang w:val="en-GB"/>
        </w:rPr>
        <w:t>&lt;RepeatBlock-By&gt;&lt;Members&gt;</w:t>
      </w:r>
      <w:r w:rsidRPr="00291283">
        <w:rPr>
          <w:lang w:val="en-GB"/>
        </w:rPr>
        <w:t>Francisco José Millán Mon</w:t>
      </w:r>
      <w:r>
        <w:rPr>
          <w:rStyle w:val="HideTWBExt"/>
          <w:b w:val="0"/>
          <w:lang w:val="en-GB"/>
        </w:rPr>
        <w:t>&lt;/Members&gt;</w:t>
      </w:r>
    </w:p>
    <w:p w:rsidR="00930C00" w:rsidRPr="00242C57" w:rsidRDefault="00930C00" w:rsidP="00930C00">
      <w:pPr>
        <w:pStyle w:val="NormalBold"/>
      </w:pPr>
      <w:r w:rsidRPr="00291283">
        <w:rPr>
          <w:rStyle w:val="HideTWBExt"/>
          <w:b w:val="0"/>
        </w:rPr>
        <w:t>&lt;/RepeatBlock-By&gt;</w:t>
      </w:r>
    </w:p>
    <w:p w:rsidR="00930C00" w:rsidRPr="00242C57" w:rsidRDefault="00930C00" w:rsidP="00930C00">
      <w:pPr>
        <w:pStyle w:val="NormalBold"/>
      </w:pPr>
      <w:r w:rsidRPr="00291283">
        <w:rPr>
          <w:rStyle w:val="HideTWBExt"/>
        </w:rPr>
        <w:lastRenderedPageBreak/>
        <w:t>&lt;DocAmend&gt;</w:t>
      </w:r>
      <w:r>
        <w:t>Entschließungsantrag</w:t>
      </w:r>
      <w:r w:rsidRPr="00291283">
        <w:rPr>
          <w:rStyle w:val="HideTWBExt"/>
        </w:rPr>
        <w:t>&lt;/DocAmend&gt;</w:t>
      </w:r>
    </w:p>
    <w:p w:rsidR="00930C00" w:rsidRPr="005D638B"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242C57"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w:t>
            </w:r>
            <w:r>
              <w:rPr>
                <w:b/>
                <w:i/>
              </w:rPr>
              <w:t>weist darauf hin, dass die konsequente und einheitliche Anwendung restriktiver Maßnahmen durch alle Mitgliedstaaten für die Wirksamkeit und Glaubwürdigkeit des auswärtigen Handelns der EU notwendig ist;</w:t>
            </w:r>
            <w:r>
              <w:t xml:space="preserve"> fordert eine wirksame Zusammenarbeit mit gleichgesinnten Partnern auf der ganzen Welt, um den Druck auf Russland zu erhöhen;</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242C57" w:rsidRDefault="00930C00" w:rsidP="00930C00">
      <w:r w:rsidRPr="00291283">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474</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Andrey Kovatchev</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w:t>
            </w:r>
            <w:r>
              <w:rPr>
                <w:b/>
                <w:i/>
              </w:rPr>
              <w:t>, dass die Rolle des Europäischen Parlaments in den Diskussionen über die Notwendigkeit, weitere Personen und Einrichtungen zu sanktionieren, ausgeweitet wird; fordert</w:t>
            </w:r>
            <w:r>
              <w:t xml:space="preserve"> eine wirksame Zusammenarbeit mit gleichgesinnten Partnern auf der ganzen Welt, um den Druck auf Russland zu erhöhen;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475</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9</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9.</w:t>
            </w:r>
            <w:r w:rsidRPr="005D638B">
              <w:tab/>
              <w:t xml:space="preserve">fordert die EU und die Mitgliedstaaten auf, die Wirksamkeit ihrer bislang angenommenen 14 Sanktionspakete zu </w:t>
            </w:r>
            <w:r w:rsidRPr="005D638B">
              <w:rPr>
                <w:b/>
                <w:i/>
              </w:rPr>
              <w:t>erhöhen und neue Pakete zu verabschieden, sobald sich dies als notwendig erweist; fordert eine wirksame Zusammenarbeit mit gleichgesinnten Partnern auf der ganzen Welt, um den</w:t>
            </w:r>
            <w:r w:rsidRPr="005D638B">
              <w:t xml:space="preserve"> Druck auf Russland </w:t>
            </w:r>
            <w:r w:rsidRPr="005D638B">
              <w:rPr>
                <w:b/>
                <w:i/>
              </w:rPr>
              <w:t>zu erhöhen</w:t>
            </w:r>
            <w:r w:rsidRPr="005D638B">
              <w:t>;</w:t>
            </w:r>
          </w:p>
        </w:tc>
        <w:tc>
          <w:tcPr>
            <w:tcW w:w="4876" w:type="dxa"/>
            <w:tcBorders>
              <w:top w:val="nil"/>
              <w:left w:val="nil"/>
              <w:bottom w:val="nil"/>
              <w:right w:val="nil"/>
            </w:tcBorders>
          </w:tcPr>
          <w:p w:rsidR="00930C00" w:rsidRPr="005D638B" w:rsidRDefault="00930C00" w:rsidP="00930C00">
            <w:pPr>
              <w:pStyle w:val="Normal6a"/>
            </w:pPr>
            <w:r w:rsidRPr="005D638B">
              <w:t>9.</w:t>
            </w:r>
            <w:r w:rsidRPr="005D638B">
              <w:tab/>
              <w:t xml:space="preserve">fordert die EU und die Mitgliedstaaten auf, die Wirksamkeit ihrer bislang angenommenen 14 Sanktionspakete zu </w:t>
            </w:r>
            <w:r w:rsidRPr="005D638B">
              <w:rPr>
                <w:b/>
                <w:i/>
              </w:rPr>
              <w:t>überprüfen bevor eine Verabschiedung von neuen Paketen in Betracht gezogen wird; merkt an, dass bisherige Bemühungen,</w:t>
            </w:r>
            <w:r w:rsidRPr="005D638B">
              <w:t xml:space="preserve"> Druck auf Russland </w:t>
            </w:r>
            <w:r w:rsidRPr="005D638B">
              <w:rPr>
                <w:b/>
                <w:i/>
              </w:rPr>
              <w:t>mittels Sanktionen aufzubauen, nicht nur nicht im Geringsten zur Konfliktbeilegung beigetragen haben, sondern bei den Mitgliedstaaten selbst erheblichen wirtschaftlichen Schaden verursacht haben</w:t>
            </w:r>
            <w:r w:rsidRPr="005D638B">
              <w: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476</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Urmas Paet, Hilde Vautmans, Lucia Yar, Petras Auštrevičius</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 </w:t>
            </w:r>
            <w:r>
              <w:rPr>
                <w:b/>
                <w:i/>
              </w:rPr>
              <w:t xml:space="preserve">unterstützt uneingeschränkt die </w:t>
            </w:r>
            <w:r>
              <w:rPr>
                <w:b/>
                <w:i/>
              </w:rPr>
              <w:lastRenderedPageBreak/>
              <w:t>Ankündigung eines künftigen Fahrplans zur Beendigung der Energieimporte aus Russland;</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477</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Hannah Neumann</w:t>
      </w:r>
      <w:r>
        <w:rPr>
          <w:rStyle w:val="HideTWBExt"/>
          <w:b w:val="0"/>
          <w:lang w:val="en-GB"/>
        </w:rPr>
        <w:t>&lt;/Members&gt;</w:t>
      </w:r>
    </w:p>
    <w:p w:rsidR="00930C00" w:rsidRPr="009C2015" w:rsidRDefault="00930C00" w:rsidP="00930C00">
      <w:pPr>
        <w:rPr>
          <w:lang w:val="en-GB"/>
        </w:rPr>
      </w:pPr>
      <w:r>
        <w:rPr>
          <w:rStyle w:val="HideTWBExt"/>
          <w:lang w:val="en-GB"/>
        </w:rPr>
        <w:t>&lt;AuNomDe&gt;</w:t>
      </w:r>
      <w:r>
        <w:rPr>
          <w:rStyle w:val="HideTWBInt"/>
          <w:lang w:val="en-GB"/>
        </w:rPr>
        <w:t>{Greens/EFA}</w:t>
      </w:r>
      <w:r w:rsidRPr="009C2015">
        <w:rPr>
          <w:lang w:val="en-GB"/>
        </w:rPr>
        <w:t>im Namen der Verts/ALE-Fraktion</w:t>
      </w:r>
      <w:r>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fordert die EU und die Mitgliedstaaten auf, die Wirksamkeit ihrer bislang angenommenen 14 Sanktionspakete zu erhöhen und neue Pakete zu verabschieden, sobald sich dies als notwendig erweist; fordert eine 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w:t>
            </w:r>
            <w:r>
              <w:rPr>
                <w:b/>
                <w:i/>
              </w:rPr>
              <w:t xml:space="preserve">deren strikte Durchsetzung zu verstärken und </w:t>
            </w:r>
            <w:r>
              <w:t>neue Pakete zu verabschieden, sobald sich dies als notwendig erweist; fordert eine wirksame Zusammenarbeit mit gleichgesinnten Partnern auf der ganzen Welt, um den Druck auf Russland zu erhöhen</w:t>
            </w:r>
            <w:r>
              <w:rPr>
                <w:b/>
                <w:i/>
              </w:rPr>
              <w:t>, sowie eine weitere Überprüfung und mehr Handeln in Bezug auf die Umgehung von Sanktionen</w:t>
            </w:r>
            <w:r>
              <w: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478</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Adam Bielan</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erhöhen und neue Pakete zu verabschieden, </w:t>
            </w:r>
            <w:r>
              <w:rPr>
                <w:b/>
                <w:i/>
              </w:rPr>
              <w:t>sobald sich</w:t>
            </w:r>
            <w:r>
              <w:t xml:space="preserve"> dies </w:t>
            </w:r>
            <w:r>
              <w:rPr>
                <w:b/>
                <w:i/>
              </w:rPr>
              <w:t>als notwendig erweist</w:t>
            </w:r>
            <w:r>
              <w:t xml:space="preserve">; fordert eine </w:t>
            </w:r>
            <w:r>
              <w:lastRenderedPageBreak/>
              <w:t>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lastRenderedPageBreak/>
              <w:t>9.</w:t>
            </w:r>
            <w:r>
              <w:tab/>
              <w:t xml:space="preserve">fordert die EU und die Mitgliedstaaten auf, die Wirksamkeit ihrer bislang angenommenen 14 Sanktionspakete zu erhöhen und neue Pakete zu verabschieden, </w:t>
            </w:r>
            <w:r>
              <w:rPr>
                <w:b/>
                <w:i/>
              </w:rPr>
              <w:t>wenn die Situation</w:t>
            </w:r>
            <w:r>
              <w:t xml:space="preserve"> dies </w:t>
            </w:r>
            <w:r>
              <w:rPr>
                <w:b/>
                <w:i/>
              </w:rPr>
              <w:t xml:space="preserve">erfordert, und gleichzeitig </w:t>
            </w:r>
            <w:r>
              <w:rPr>
                <w:b/>
                <w:i/>
              </w:rPr>
              <w:lastRenderedPageBreak/>
              <w:t>die anhaltende Notwendigkeit für weitere Maßnahmen anzuerkennen</w:t>
            </w:r>
            <w:r>
              <w:t>; fordert eine wirksame Zusammenarbeit mit gleichgesinnten Partnern auf der ganzen Welt, um den Druck auf Russland zu erhöhen;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479</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Alexander Sell</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9C2015" w:rsidRDefault="00930C00" w:rsidP="00930C00">
      <w:pPr>
        <w:pStyle w:val="NormalBold"/>
        <w:rPr>
          <w:lang w:val="en-GB"/>
        </w:rPr>
      </w:pPr>
      <w:r>
        <w:rPr>
          <w:rStyle w:val="HideTWBExt"/>
          <w:lang w:val="en-GB"/>
        </w:rPr>
        <w:t>&lt;DocAmend&gt;</w:t>
      </w:r>
      <w:r w:rsidRPr="009C2015">
        <w:rPr>
          <w:lang w:val="en-GB"/>
        </w:rPr>
        <w:t>Entschließungsantrag</w:t>
      </w:r>
      <w:r>
        <w:rPr>
          <w:rStyle w:val="HideTWBExt"/>
          <w:lang w:val="en-GB"/>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w:t>
            </w:r>
            <w:r>
              <w:rPr>
                <w:b/>
                <w:i/>
              </w:rPr>
              <w:t xml:space="preserve">bislang </w:t>
            </w:r>
            <w:r>
              <w:t xml:space="preserve">angenommenen 14 Sanktionspakete zu </w:t>
            </w:r>
            <w:r>
              <w:rPr>
                <w:b/>
                <w:i/>
              </w:rPr>
              <w:t>erhöhen und neue Pakete zu verabschieden, sobald sich dies als notwendig erweist</w:t>
            </w:r>
            <w:r>
              <w:t xml:space="preserve">; fordert eine wirksame Zusammenarbeit mit gleichgesinnten Partnern auf der ganzen Welt, um </w:t>
            </w:r>
            <w:r>
              <w:rPr>
                <w:b/>
                <w:i/>
              </w:rPr>
              <w:t>den Druck auf Russland zu erhöhen</w:t>
            </w:r>
            <w:r>
              <w:t>;</w:t>
            </w:r>
          </w:p>
        </w:tc>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angenommenen 14 Sanktionspakete zu </w:t>
            </w:r>
            <w:r>
              <w:rPr>
                <w:b/>
                <w:i/>
              </w:rPr>
              <w:t>bewerten</w:t>
            </w:r>
            <w:r>
              <w:t xml:space="preserve">; fordert eine wirksame Zusammenarbeit mit gleichgesinnten Partnern auf der ganzen Welt, um </w:t>
            </w:r>
            <w:r>
              <w:rPr>
                <w:b/>
                <w:i/>
              </w:rPr>
              <w:t>einen konstruktiven Dialog mit Russland anzustoßen</w:t>
            </w:r>
            <w:r>
              <w:t>;</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480</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António Tânger Corrêa, Jordan Bardella, Matthieu Valet, Pierre-Romain Thionnet</w:t>
      </w:r>
      <w:r>
        <w:rPr>
          <w:rStyle w:val="HideTWBExt"/>
          <w:b w:val="0"/>
          <w:lang w:val="en-GB"/>
        </w:rPr>
        <w:t>&lt;/Members&gt;</w:t>
      </w:r>
    </w:p>
    <w:p w:rsidR="00930C00" w:rsidRPr="009C2015" w:rsidRDefault="00930C00" w:rsidP="00930C00">
      <w:pPr>
        <w:pStyle w:val="NormalBold"/>
        <w:rPr>
          <w:lang w:val="en-GB"/>
        </w:rPr>
      </w:pPr>
      <w:r>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9.</w:t>
            </w:r>
            <w:r>
              <w:tab/>
              <w:t xml:space="preserve">fordert die EU und die Mitgliedstaaten auf, die Wirksamkeit ihrer bislang angenommenen 14 Sanktionspakete zu </w:t>
            </w:r>
            <w:r>
              <w:rPr>
                <w:b/>
                <w:i/>
              </w:rPr>
              <w:t>erhöhen</w:t>
            </w:r>
            <w:r>
              <w:t xml:space="preserve"> und neue Pakete zu verabschieden, sobald sich dies als notwendig erweist; fordert eine </w:t>
            </w:r>
            <w:r>
              <w:lastRenderedPageBreak/>
              <w:t>wirksame Zusammenarbeit mit gleichgesinnten Partnern auf der ganzen Welt, um den Druck auf Russland zu erhöhen;</w:t>
            </w:r>
          </w:p>
        </w:tc>
        <w:tc>
          <w:tcPr>
            <w:tcW w:w="4876" w:type="dxa"/>
            <w:tcBorders>
              <w:top w:val="nil"/>
              <w:left w:val="nil"/>
              <w:bottom w:val="nil"/>
              <w:right w:val="nil"/>
            </w:tcBorders>
          </w:tcPr>
          <w:p w:rsidR="00930C00" w:rsidRPr="00392752" w:rsidRDefault="00930C00" w:rsidP="00930C00">
            <w:pPr>
              <w:pStyle w:val="Normal6a"/>
            </w:pPr>
            <w:r>
              <w:lastRenderedPageBreak/>
              <w:t>9.</w:t>
            </w:r>
            <w:r>
              <w:tab/>
              <w:t xml:space="preserve">fordert die EU und die Mitgliedstaaten auf, die Wirksamkeit ihrer bislang angenommenen 14 Sanktionspakete zu </w:t>
            </w:r>
            <w:r>
              <w:rPr>
                <w:b/>
                <w:i/>
              </w:rPr>
              <w:t>evaluieren</w:t>
            </w:r>
            <w:r>
              <w:t xml:space="preserve"> und neue Pakete zu verabschieden, sobald sich dies als notwendig erweist; fordert eine </w:t>
            </w:r>
            <w:r>
              <w:lastRenderedPageBreak/>
              <w:t>wirksame Zusammenarbeit mit gleichgesinnten Partnern auf der ganzen Welt, um den Druck auf Russland zu erhöhen;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481</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Nathalie Loiseau, Urmas Paet, Hilde Vautmans, Lucia Yar, Petras Auštrevičius</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9a.</w:t>
            </w:r>
            <w:r>
              <w:tab/>
            </w:r>
            <w:r>
              <w:rPr>
                <w:b/>
                <w:i/>
              </w:rPr>
              <w:t>weist darauf hin, dass Russland von Hilfe und Ressourcen, einschließlich militärischer Mittel, profitiert, die von einem Netzwerk von Verbündeten, darunter Iran, China und Nordkorea, bereitgestellt werden und es ihm ermöglichen, seinen Angriffskrieg gegen die Ukraine mit dem wahrscheinlichen Ziel, daraus einen Zermürbungskrieg zu machen, aufrechtzuerhalten; bringt seine tiefste Besorgnis über die bestätigten Berichte zum Ausdruck, wonach nordkoreanische Truppen im Gebiet Kursk stationiert wurden; betont, dass dies eine inakzeptable Verlängerung des Konflikts darstellt, die durch spürbare Vergeltungsmaßnahmen der Verbündeten der Ukraine bewältigt werden muss;</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482</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Cristian Terheş</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9a.</w:t>
            </w:r>
            <w:r>
              <w:tab/>
            </w:r>
            <w:r>
              <w:rPr>
                <w:b/>
                <w:i/>
              </w:rPr>
              <w:t>hebt das unglaubliche Risiko für die Seeverkehrs- und Umweltsicherheit hervor, das von den Tankschiffen der russischen Schattenflotte ausgeht, die ihre automatischen Schiffsidentifizierungssysteme (AIS) abschalten oder manipulieren; betont, dass diese Tankschiffe jeden Monat schätzungsweise 12 Mrd. USD für das Kriegsbudget Russlands bereitstellen und damit seine aggressiven Militäroperationen direkt finanzieren; fordert die EU-Mitgliedstaaten auf, entschlossen gegen die russische Schattenflotte vorzugehen;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483</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David McAllister</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9a.</w:t>
            </w:r>
            <w:r>
              <w:tab/>
            </w:r>
            <w:r>
              <w:rPr>
                <w:b/>
                <w:i/>
              </w:rPr>
              <w:t>fordert die Kommission und den Rat auf, die russische staatlich finanzierte private militärische Wagner-Gruppe als terroristische Organisation einzustufen; weist auf das sogenannte „Afrikakorps“ hin, das nach dem Tod des ehemaligen Anführers der Wagner-Gruppe, Yevgeny Prigozhin, im August 2023 eingerichtet und direkt dem russischen Verteidigungsministerium unterstellt wurde, um Teile der Wagner-Gruppe unter der Kontrolle der Regierung zusammenzufassen;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484</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242C57" w:rsidRDefault="00930C00" w:rsidP="00930C00">
      <w:pPr>
        <w:pStyle w:val="NormalBold"/>
      </w:pPr>
      <w:r w:rsidRPr="00291283">
        <w:rPr>
          <w:rStyle w:val="HideTWBExt"/>
          <w:b w:val="0"/>
        </w:rPr>
        <w:t>&lt;/RepeatBlock-By&gt;</w:t>
      </w:r>
    </w:p>
    <w:p w:rsidR="00930C00" w:rsidRPr="00242C57" w:rsidRDefault="00930C00" w:rsidP="00930C00">
      <w:pPr>
        <w:pStyle w:val="NormalBold"/>
      </w:pPr>
      <w:r w:rsidRPr="00291283">
        <w:rPr>
          <w:rStyle w:val="HideTWBExt"/>
        </w:rPr>
        <w:lastRenderedPageBreak/>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242C57"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242C57" w:rsidRDefault="00930C00" w:rsidP="00930C00">
            <w:pPr>
              <w:pStyle w:val="Normal6a"/>
            </w:pPr>
            <w:r>
              <w:rPr>
                <w:b/>
                <w:i/>
              </w:rPr>
              <w:t>9a.</w:t>
            </w:r>
            <w:r>
              <w:tab/>
            </w:r>
            <w:r>
              <w:rPr>
                <w:b/>
                <w:i/>
              </w:rPr>
              <w:t>hält es für angemessen, weiterhin diplomatischen Druck auf Drittländer auszuüben, damit sie sich unserem Standpunkt, den Angriffskrieg Russlands gegen die Ukraine zu verurteilen, anschließen; fordert, weiterhin mit Drittländern zu verhandeln, damit sie Russland nicht dabei helfen, die Sanktionen zu umgehen;</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485</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Petras Auštrevičius, Dan Barna, Urmas Paet, Marie-Agnes Strack-Zimmermann, Nathalie Loiseau</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Pr>
          <w:rStyle w:val="HideTWBExt"/>
          <w:lang w:val="fr-FR"/>
        </w:rPr>
        <w:t>&lt;Article&gt;</w:t>
      </w:r>
      <w:r w:rsidRPr="009C2015">
        <w:rPr>
          <w:lang w:val="fr-FR"/>
        </w:rPr>
        <w:t>Ziffer 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392752"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392752" w:rsidRDefault="00930C00" w:rsidP="00930C00">
            <w:pPr>
              <w:pStyle w:val="Normal6a"/>
            </w:pPr>
            <w:r>
              <w:rPr>
                <w:b/>
                <w:i/>
              </w:rPr>
              <w:t>9a.</w:t>
            </w:r>
            <w:r>
              <w:tab/>
            </w:r>
            <w:r>
              <w:rPr>
                <w:b/>
                <w:i/>
              </w:rPr>
              <w:t>fordert die EU und die Mitgliedstaaten auf, rasch Maßnahmen zu ergreifen, um die sogenannte Schattenflotte Russlands aus alten und unsicheren Tankschiffen zu beseitigen und darauf vorbereitet zu sein, jede durch diese Schiffe verursachte Umweltkatastrophe zu bewältigen, bis diese an der Beförderung von Öl und Ölerzeugnissen aus Russland gehindert sind;</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486</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242C57" w:rsidRDefault="00930C00" w:rsidP="00930C00">
      <w:pPr>
        <w:pStyle w:val="NormalBold"/>
      </w:pPr>
      <w:r w:rsidRPr="00291283">
        <w:rPr>
          <w:rStyle w:val="HideTWBExt"/>
          <w:b w:val="0"/>
        </w:rPr>
        <w:t>&lt;/RepeatBlock-By&gt;</w:t>
      </w:r>
    </w:p>
    <w:p w:rsidR="00930C00" w:rsidRPr="00242C57"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9 b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242C57"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242C57" w:rsidRDefault="00930C00" w:rsidP="00930C00">
            <w:pPr>
              <w:pStyle w:val="Normal6a"/>
            </w:pPr>
            <w:r>
              <w:rPr>
                <w:b/>
                <w:i/>
              </w:rPr>
              <w:t>9b.</w:t>
            </w:r>
            <w:r>
              <w:tab/>
            </w:r>
            <w:r>
              <w:rPr>
                <w:b/>
                <w:i/>
              </w:rPr>
              <w:t>bekräftigt seine Bedenken darüber, dass einige Mitgliedstaaten weiterhin Erdgas aus Russland importieren;</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242C57" w:rsidRDefault="00930C00" w:rsidP="00930C00">
      <w:r w:rsidRPr="00291283">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487</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David McAllister</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10.</w:t>
            </w:r>
            <w:r>
              <w:tab/>
              <w:t>unterstützt unerschütterlich den vom ukrainischen Präsidenten Selenskyj vorgestellten 10-Punkte-Friedensplan und weist darauf hin, dass jede Initiative zur Beendigung des russischen Angriffskriegs auf den Vorschlägen der Ukraine beruhen und letztlich vom ukrainischen Volk akzeptiert werden muss;</w:t>
            </w:r>
          </w:p>
        </w:tc>
        <w:tc>
          <w:tcPr>
            <w:tcW w:w="4876" w:type="dxa"/>
            <w:tcBorders>
              <w:top w:val="nil"/>
              <w:left w:val="nil"/>
              <w:bottom w:val="nil"/>
              <w:right w:val="nil"/>
            </w:tcBorders>
          </w:tcPr>
          <w:p w:rsidR="00930C00" w:rsidRPr="00392752"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Vorschlägen der Ukraine beruhen und letztlich vom ukrainischen Volk akzeptiert werden muss; </w:t>
            </w:r>
            <w:r>
              <w:rPr>
                <w:b/>
                <w:i/>
              </w:rPr>
              <w:t>fordert die Kommission, die VP/HR und die Mitgliedstaaten auf, internationale Unterstützung für die von der Ukraine vorgelegte Friedensformel zu mobilisieren und sich für Sicherheitsverpflichtungen gegenüber der Ukraine, wie im Sicherheitspakt von Kyjiw empfohlen, einzusetzen;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488</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Sebastiaan Stöteler</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lastRenderedPageBreak/>
              <w:t>10.</w:t>
            </w:r>
            <w:r>
              <w:tab/>
              <w:t>unterstützt unerschütterlich den vom ukrainischen Präsidenten Selenskyj vorgestellten 10-Punkte-Friedensplan und weist darauf hin, dass jede Initiative zur Beendigung des russischen Angriffskriegs auf den Vorschlägen der Ukraine beruhen und letztlich vom ukrainischen Volk akzeptiert werden muss;</w:t>
            </w:r>
          </w:p>
        </w:tc>
        <w:tc>
          <w:tcPr>
            <w:tcW w:w="4876" w:type="dxa"/>
            <w:tcBorders>
              <w:top w:val="nil"/>
              <w:left w:val="nil"/>
              <w:bottom w:val="nil"/>
              <w:right w:val="nil"/>
            </w:tcBorders>
          </w:tcPr>
          <w:p w:rsidR="00930C00" w:rsidRPr="00392752"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Vorschlägen der Ukraine beruhen und letztlich vom ukrainischen Volk akzeptiert werden muss; </w:t>
            </w:r>
            <w:r>
              <w:rPr>
                <w:b/>
                <w:i/>
              </w:rPr>
              <w:t>betont, dass die Ukraine auf unsere Hilfe und kontinuierliche Unterstützung zählen kann, wenn sie beabsichtigt, Verhandlungen über einen möglichen Waffenstillstand aufzunehmen;</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489</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10.</w:t>
            </w:r>
            <w:r>
              <w:tab/>
            </w:r>
            <w:r>
              <w:rPr>
                <w:b/>
                <w:i/>
              </w:rPr>
              <w:t>unterstützt unerschütterlich den vom ukrainischen Präsidenten Selenskyj vorgestellten 10-Punkte-Friedensplan und</w:t>
            </w:r>
            <w:r>
              <w:t xml:space="preserve"> weist darauf hin, dass jede Initiative zur Beendigung des </w:t>
            </w:r>
            <w:r>
              <w:rPr>
                <w:b/>
                <w:i/>
              </w:rPr>
              <w:t>russischen Angriffskriegs auf den Vorschlägen</w:t>
            </w:r>
            <w:r>
              <w:t xml:space="preserve"> der Ukraine</w:t>
            </w:r>
            <w:r>
              <w:rPr>
                <w:b/>
                <w:i/>
              </w:rPr>
              <w:t xml:space="preserve"> beruhen und letztlich</w:t>
            </w:r>
            <w:r>
              <w:t xml:space="preserve"> vom ukrainischen Volk akzeptiert werden muss;</w:t>
            </w:r>
          </w:p>
        </w:tc>
        <w:tc>
          <w:tcPr>
            <w:tcW w:w="4876" w:type="dxa"/>
            <w:tcBorders>
              <w:top w:val="nil"/>
              <w:left w:val="nil"/>
              <w:bottom w:val="nil"/>
              <w:right w:val="nil"/>
            </w:tcBorders>
          </w:tcPr>
          <w:p w:rsidR="00930C00" w:rsidRPr="00392752" w:rsidRDefault="00930C00" w:rsidP="00930C00">
            <w:pPr>
              <w:pStyle w:val="Normal6a"/>
            </w:pPr>
            <w:r>
              <w:t>10.</w:t>
            </w:r>
            <w:r>
              <w:tab/>
              <w:t xml:space="preserve">weist darauf hin, dass jede Initiative zur Beendigung des </w:t>
            </w:r>
            <w:r>
              <w:rPr>
                <w:b/>
                <w:i/>
              </w:rPr>
              <w:t>Krieges in</w:t>
            </w:r>
            <w:r>
              <w:t xml:space="preserve"> der Ukraine vom ukrainischen Volk akzeptiert werden muss;</w:t>
            </w:r>
          </w:p>
        </w:tc>
      </w:tr>
    </w:tbl>
    <w:p w:rsidR="00930C00" w:rsidRPr="00392752" w:rsidRDefault="00930C00" w:rsidP="00930C00">
      <w:pPr>
        <w:pStyle w:val="AmOrLang"/>
        <w:rPr>
          <w:lang w:val="en-GB"/>
        </w:rPr>
      </w:pPr>
      <w:r w:rsidRPr="00392752">
        <w:rPr>
          <w:lang w:val="en-GB"/>
        </w:rPr>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490</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Nacho Sánchez Amor, Sven Mikser, Alessandra Moretti, Yannis Maniatis, Marco Tarquinio, Hana Jalloul Muro</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10.</w:t>
            </w:r>
            <w:r>
              <w:tab/>
              <w:t xml:space="preserve">unterstützt unerschütterlich den </w:t>
            </w:r>
            <w:r>
              <w:lastRenderedPageBreak/>
              <w:t>vom ukrainischen Präsidenten Selenskyj vorgestellten 10-Punkte-Friedensplan und weist darauf hin, dass jede Initiative zur Beendigung des russischen Angriffskriegs auf den Vorschlägen der Ukraine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lastRenderedPageBreak/>
              <w:t>10.</w:t>
            </w:r>
            <w:r>
              <w:tab/>
            </w:r>
            <w:r>
              <w:rPr>
                <w:b/>
                <w:i/>
              </w:rPr>
              <w:t xml:space="preserve">fordert nachdrücklich eine </w:t>
            </w:r>
            <w:r>
              <w:rPr>
                <w:b/>
                <w:i/>
              </w:rPr>
              <w:lastRenderedPageBreak/>
              <w:t>diplomatische Lösung des Krieges, bei der die internationalen Normen geachtet werden, um Frieden zu erreichen;</w:t>
            </w:r>
            <w:r>
              <w:t xml:space="preserve"> unterstützt unerschütterlich den vom ukrainischen Präsidenten Selenskyj vorgestellten 10-Punkte-Friedensplan und weist darauf hin, dass jede Initiative zur Beendigung des russischen Angriffskriegs auf den Vorschlägen der Ukraine beruhen und letztlich vom ukrainischen Volk akzeptiert werden muss;</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491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10.</w:t>
            </w:r>
            <w:r>
              <w:tab/>
            </w:r>
            <w:r>
              <w:rPr>
                <w:b/>
                <w:i/>
              </w:rPr>
              <w:t>unterstützt unerschütterlich den vom ukrainischen Präsidenten Selenskyj vorgestellten 10-Punkte-Friedensplan</w:t>
            </w:r>
            <w:r>
              <w:t xml:space="preserve"> und weist darauf hin, dass jede Initiative zur Beendigung des russischen Angriffskriegs auf den Vorschlägen der Ukraine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t>10.</w:t>
            </w:r>
            <w:r>
              <w:tab/>
            </w:r>
            <w:r>
              <w:rPr>
                <w:b/>
                <w:i/>
              </w:rPr>
              <w:t>fordert die EU und die Mitgliedstaaten auf, alle bestehenden diplomatischen Initiativen zu nutzen, um einen umfassenden Plan auszuarbeiten, der zu einem dauerhaften Frieden und kollektiver Sicherheit auf dem europäischen Kontinent führt,</w:t>
            </w:r>
            <w:r>
              <w:t xml:space="preserve"> und weist darauf hin, dass jede Initiative zur Beendigung des russischen Angriffskriegs auf den Vorschlägen der Ukraine beruhen und letztlich vom ukrainischen Volk akzeptiert werden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492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Alexander Sell</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9C2015" w:rsidRDefault="00930C00" w:rsidP="00930C00">
      <w:pPr>
        <w:pStyle w:val="NormalBold"/>
        <w:rPr>
          <w:lang w:val="en-GB"/>
        </w:rPr>
      </w:pPr>
      <w:r w:rsidRPr="009C2015">
        <w:rPr>
          <w:rStyle w:val="HideTWBExt"/>
          <w:lang w:val="en-GB"/>
        </w:rPr>
        <w:t>&lt;DocAmend&gt;</w:t>
      </w:r>
      <w:r w:rsidRPr="009C2015">
        <w:rPr>
          <w:lang w:val="en-GB"/>
        </w:rPr>
        <w:t>Entschließungsantrag</w:t>
      </w:r>
      <w:r w:rsidRPr="009C2015">
        <w:rPr>
          <w:rStyle w:val="HideTWBExt"/>
          <w:lang w:val="en-GB"/>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10.</w:t>
            </w:r>
            <w:r>
              <w:tab/>
            </w:r>
            <w:r>
              <w:rPr>
                <w:b/>
                <w:i/>
              </w:rPr>
              <w:t>unterstützt unerschütterlich den vom ukrainischen Präsidenten Selenskyj vorgestellten 10-Punkte-Friedensplan und</w:t>
            </w:r>
            <w:r>
              <w:t xml:space="preserve"> weist darauf hin, dass jede Initiative zur Beendigung des </w:t>
            </w:r>
            <w:r>
              <w:rPr>
                <w:b/>
                <w:i/>
              </w:rPr>
              <w:t>russischen Angriffskriegs</w:t>
            </w:r>
            <w:r>
              <w:t xml:space="preserve"> auf den Vorschlägen der Ukraine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t>10.</w:t>
            </w:r>
            <w:r>
              <w:tab/>
              <w:t xml:space="preserve">weist darauf hin, dass jede Initiative zur Beendigung des </w:t>
            </w:r>
            <w:r>
              <w:rPr>
                <w:b/>
                <w:i/>
              </w:rPr>
              <w:t>Krieges</w:t>
            </w:r>
            <w:r>
              <w:t xml:space="preserve"> auf den Vorschlägen der Ukraine</w:t>
            </w:r>
            <w:r>
              <w:rPr>
                <w:b/>
                <w:i/>
              </w:rPr>
              <w:t xml:space="preserve"> und Russlands</w:t>
            </w:r>
            <w:r>
              <w:t xml:space="preserve"> beruhen und letztlich vom ukrainischen Volk akzeptiert werden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493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Emmanouil Kefalogiannis</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w:t>
            </w:r>
            <w:r>
              <w:rPr>
                <w:b/>
                <w:i/>
              </w:rPr>
              <w:t>Vorschlägen</w:t>
            </w:r>
            <w:r>
              <w:t xml:space="preserve"> der </w:t>
            </w:r>
            <w:r>
              <w:rPr>
                <w:b/>
                <w:i/>
              </w:rPr>
              <w:t>Ukraine</w:t>
            </w:r>
            <w:r>
              <w:t xml:space="preserv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w:t>
            </w:r>
            <w:r>
              <w:rPr>
                <w:b/>
                <w:i/>
              </w:rPr>
              <w:t>Grundsätzen</w:t>
            </w:r>
            <w:r>
              <w:t xml:space="preserve"> der </w:t>
            </w:r>
            <w:r>
              <w:rPr>
                <w:b/>
                <w:i/>
              </w:rPr>
              <w:t>Charta der Vereinten Nationen und des Völkerrechts</w:t>
            </w:r>
            <w:r>
              <w:t xml:space="preserve"> beruhen und letztlich</w:t>
            </w:r>
            <w:r>
              <w:rPr>
                <w:b/>
                <w:i/>
              </w:rPr>
              <w:t xml:space="preserve"> von der Ukraine und</w:t>
            </w:r>
            <w:r>
              <w:t xml:space="preserve"> vom ukrainischen Volk akzeptiert werden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494</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10</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10.</w:t>
            </w:r>
            <w:r w:rsidRPr="005D638B">
              <w:tab/>
              <w:t xml:space="preserve">unterstützt unerschütterlich </w:t>
            </w:r>
            <w:r w:rsidRPr="005D638B">
              <w:rPr>
                <w:b/>
                <w:i/>
              </w:rPr>
              <w:t>den vom ukrainischen Präsidenten Selenskyj vorgestellten 10-Punkte-Friedensplan</w:t>
            </w:r>
            <w:r w:rsidRPr="005D638B">
              <w:t xml:space="preserve"> und </w:t>
            </w:r>
            <w:r w:rsidRPr="005D638B">
              <w:lastRenderedPageBreak/>
              <w:t xml:space="preserve">weist darauf hin, dass jede Initiative zur Beendigung des </w:t>
            </w:r>
            <w:r w:rsidRPr="005D638B">
              <w:rPr>
                <w:b/>
                <w:i/>
              </w:rPr>
              <w:t>russischen Angriffskriegs auf den Vorschlägen der Ukraine beruhen</w:t>
            </w:r>
            <w:r w:rsidRPr="005D638B">
              <w:t xml:space="preserve"> und letztlich </w:t>
            </w:r>
            <w:r w:rsidRPr="005D638B">
              <w:rPr>
                <w:b/>
                <w:i/>
              </w:rPr>
              <w:t>vom ukrainischen Volk</w:t>
            </w:r>
            <w:r w:rsidRPr="005D638B">
              <w:t xml:space="preserve"> akzeptiert werden muss;</w:t>
            </w:r>
          </w:p>
        </w:tc>
        <w:tc>
          <w:tcPr>
            <w:tcW w:w="4876" w:type="dxa"/>
            <w:tcBorders>
              <w:top w:val="nil"/>
              <w:left w:val="nil"/>
              <w:bottom w:val="nil"/>
              <w:right w:val="nil"/>
            </w:tcBorders>
          </w:tcPr>
          <w:p w:rsidR="00930C00" w:rsidRPr="005D638B" w:rsidRDefault="00930C00" w:rsidP="00930C00">
            <w:pPr>
              <w:pStyle w:val="Normal6a"/>
            </w:pPr>
            <w:r w:rsidRPr="005D638B">
              <w:lastRenderedPageBreak/>
              <w:t>10.</w:t>
            </w:r>
            <w:r w:rsidRPr="005D638B">
              <w:tab/>
              <w:t xml:space="preserve">unterstützt unerschütterlich </w:t>
            </w:r>
            <w:r w:rsidRPr="005D638B">
              <w:rPr>
                <w:b/>
                <w:i/>
              </w:rPr>
              <w:t>sämtliche Freidensinitiativen aller Akteure</w:t>
            </w:r>
            <w:r w:rsidRPr="005D638B">
              <w:t xml:space="preserve"> und weist darauf hin, dass jede </w:t>
            </w:r>
            <w:r w:rsidRPr="005D638B">
              <w:lastRenderedPageBreak/>
              <w:t xml:space="preserve">Initiative zur Beendigung des </w:t>
            </w:r>
            <w:r w:rsidRPr="005D638B">
              <w:rPr>
                <w:b/>
                <w:i/>
              </w:rPr>
              <w:t>Ukraine-Konflikts in erster Linie realistisch umsetzbar sein muss</w:t>
            </w:r>
            <w:r w:rsidRPr="005D638B">
              <w:t xml:space="preserve"> und letztlich </w:t>
            </w:r>
            <w:r w:rsidRPr="005D638B">
              <w:rPr>
                <w:b/>
                <w:i/>
              </w:rPr>
              <w:t>von allen Konfliktparteien</w:t>
            </w:r>
            <w:r w:rsidRPr="005D638B">
              <w:t xml:space="preserve"> akzeptiert werden muss;</w:t>
            </w:r>
          </w:p>
        </w:tc>
      </w:tr>
    </w:tbl>
    <w:p w:rsidR="00930C00" w:rsidRPr="00930C00" w:rsidRDefault="00930C00" w:rsidP="00930C00">
      <w:pPr>
        <w:pStyle w:val="AmOrLang"/>
      </w:pPr>
      <w:r w:rsidRPr="00930C00">
        <w:lastRenderedPageBreak/>
        <w:t xml:space="preserve">Or. </w:t>
      </w:r>
      <w:r w:rsidRPr="00930C00">
        <w:rPr>
          <w:rStyle w:val="HideTWBExt"/>
        </w:rPr>
        <w:t>&lt;Original&gt;</w:t>
      </w:r>
      <w:r w:rsidRPr="00930C00">
        <w:rPr>
          <w:rStyle w:val="HideTWBInt"/>
        </w:rPr>
        <w:t>{DE}</w:t>
      </w:r>
      <w:r w:rsidRPr="00930C00">
        <w:t>de</w:t>
      </w:r>
      <w:r w:rsidRPr="00930C00">
        <w:rPr>
          <w:rStyle w:val="HideTWBExt"/>
        </w:rPr>
        <w:t>&lt;/Original&gt;</w:t>
      </w:r>
    </w:p>
    <w:p w:rsidR="00930C00" w:rsidRPr="00930C00" w:rsidRDefault="00930C00" w:rsidP="00930C00">
      <w:r w:rsidRPr="00930C00">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495</w:t>
      </w:r>
      <w:r w:rsidRPr="00930C00">
        <w:rPr>
          <w:rStyle w:val="HideTWBExt"/>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w:t>
            </w:r>
            <w:r>
              <w:rPr>
                <w:b/>
                <w:i/>
              </w:rPr>
              <w:t>Vorschlägen</w:t>
            </w:r>
            <w:r>
              <w:t xml:space="preserve"> der Ukraine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t>10.</w:t>
            </w:r>
            <w:r>
              <w:tab/>
              <w:t xml:space="preserve">unterstützt unerschütterlich den vom ukrainischen Präsidenten Selenskyj vorgestellten 10-Punkte-Friedensplan und weist darauf hin, dass jede Initiative zur Beendigung des russischen Angriffskriegs auf den </w:t>
            </w:r>
            <w:r>
              <w:rPr>
                <w:b/>
                <w:i/>
              </w:rPr>
              <w:t>Bedingungen</w:t>
            </w:r>
            <w:r>
              <w:t xml:space="preserve"> der Ukraine beruhen und letztlich vom ukrainischen Volk akzeptiert werden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496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António Tânger Corrêa</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10.</w:t>
            </w:r>
            <w:r>
              <w:tab/>
              <w:t xml:space="preserve">unterstützt </w:t>
            </w:r>
            <w:r>
              <w:rPr>
                <w:b/>
                <w:i/>
              </w:rPr>
              <w:t xml:space="preserve">unerschütterlich </w:t>
            </w:r>
            <w:r>
              <w:t>den vom ukrainischen Präsidenten Selenskyj vorgestellten 10-Punkte-Friedensplan und weist darauf hin, dass jede Initiative zur Beendigung des russischen Angriffskriegs auf den Vorschlägen der Ukraine beruhen und letztlich vom ukrainischen Volk akzeptiert werden muss;</w:t>
            </w:r>
          </w:p>
        </w:tc>
        <w:tc>
          <w:tcPr>
            <w:tcW w:w="4876" w:type="dxa"/>
            <w:tcBorders>
              <w:top w:val="nil"/>
              <w:left w:val="nil"/>
              <w:bottom w:val="nil"/>
              <w:right w:val="nil"/>
            </w:tcBorders>
          </w:tcPr>
          <w:p w:rsidR="00930C00" w:rsidRPr="00E324B0" w:rsidRDefault="00930C00" w:rsidP="00930C00">
            <w:pPr>
              <w:pStyle w:val="Normal6a"/>
            </w:pPr>
            <w:r>
              <w:t>10.</w:t>
            </w:r>
            <w:r>
              <w:tab/>
              <w:t>unterstützt den vom ukrainischen Präsidenten Selenskyj vorgestellten 10-Punkte-Friedensplan und weist darauf hin, dass jede Initiative zur Beendigung des russischen Angriffskriegs auf den Vorschlägen der Ukraine beruhen und letztlich vom ukrainischen Volk akzeptiert werden muss;</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497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Reinis Pozņaks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10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10 a.</w:t>
            </w:r>
            <w:r>
              <w:tab/>
            </w:r>
            <w:r>
              <w:rPr>
                <w:b/>
                <w:i/>
              </w:rPr>
              <w:t>betont, dass eine Strategie zur Beendigung des Krieges auf folgenden vier Grundsätzen beruhen muss: Die Mitgliedstaaten und Verbündeten sollten die Ukraine militärisch und finanziell umfassend unterstützen, solange dies erforderlich ist; Russland muss für den furchtbaren Tod all der Menschen und die Schäden, die es in der Ukraine verursacht hat, Wiedergutmachung leisten; es kann de facto kein russisches Veto gegen Beschlüsse der EU oder der NATO geben, und es dürfen keine geheimen Vereinbarungen mit Moskau getroffen werden; die Aufhebung der gegen Russland verhängten Sanktionen wird nur als Folge des russischen Handelns und nur im Laufe der Zeit erfolgen;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498</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11</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11.</w:t>
            </w:r>
            <w:r w:rsidRPr="005D638B">
              <w:tab/>
            </w:r>
            <w:r w:rsidRPr="005D638B">
              <w:rPr>
                <w:b/>
                <w:i/>
              </w:rPr>
              <w:t xml:space="preserve">bekräftigt, dass die Ukraine als Opfer der Aggression gemäß Artikel 51 der Charta der Vereinten Nationen das legitime Recht zur Selbstverteidigung hat; fordert den HR/VP, die Kommission, den </w:t>
            </w:r>
            <w:r w:rsidRPr="005D638B">
              <w:rPr>
                <w:b/>
                <w:i/>
              </w:rPr>
              <w:lastRenderedPageBreak/>
              <w:t>Rat und die betroffenen Mitgliedstaaten auf, wirksame Gegenmaßnahmen der Ukraine gegen Russland zu ermöglichen;</w:t>
            </w:r>
            <w:r w:rsidRPr="005D638B">
              <w:t xml:space="preserve"> weist darauf hin, dass Russland </w:t>
            </w:r>
            <w:r w:rsidRPr="005D638B">
              <w:rPr>
                <w:b/>
                <w:i/>
              </w:rPr>
              <w:t>gegen das Völkerrecht verstößt und dass</w:t>
            </w:r>
            <w:r w:rsidRPr="005D638B">
              <w:t xml:space="preserve"> die vollständige Beschlagnahme der eingefrorenen Vermögenswerte Russlands </w:t>
            </w:r>
            <w:r w:rsidRPr="005D638B">
              <w:rPr>
                <w:b/>
                <w:i/>
              </w:rPr>
              <w:t>ein</w:t>
            </w:r>
            <w:r w:rsidRPr="005D638B">
              <w:t xml:space="preserve"> angemessener Schritt zur </w:t>
            </w:r>
            <w:r w:rsidRPr="005D638B">
              <w:rPr>
                <w:b/>
                <w:i/>
              </w:rPr>
              <w:t>Durchsetzung der Verpflichtung Russlands ist, sich an das Völkerrecht zu halten und die Ukraine und andere Geschädigte für die durch den Angriffskrieg Russlands verursachten Verluste zu entschädigen</w:t>
            </w:r>
            <w:r w:rsidRPr="005D638B">
              <w:t>;</w:t>
            </w:r>
          </w:p>
        </w:tc>
        <w:tc>
          <w:tcPr>
            <w:tcW w:w="4876" w:type="dxa"/>
            <w:tcBorders>
              <w:top w:val="nil"/>
              <w:left w:val="nil"/>
              <w:bottom w:val="nil"/>
              <w:right w:val="nil"/>
            </w:tcBorders>
          </w:tcPr>
          <w:p w:rsidR="00930C00" w:rsidRPr="005D638B" w:rsidRDefault="00930C00" w:rsidP="00930C00">
            <w:pPr>
              <w:pStyle w:val="Normal6a"/>
            </w:pPr>
            <w:r w:rsidRPr="005D638B">
              <w:lastRenderedPageBreak/>
              <w:t>11.</w:t>
            </w:r>
            <w:r w:rsidRPr="005D638B">
              <w:tab/>
              <w:t xml:space="preserve">weist darauf hin, dass </w:t>
            </w:r>
            <w:r w:rsidRPr="005D638B">
              <w:rPr>
                <w:b/>
                <w:i/>
              </w:rPr>
              <w:t>trotz des Völkerrechtsverstoßes durch</w:t>
            </w:r>
            <w:r w:rsidRPr="005D638B">
              <w:t xml:space="preserve"> Russland die vollständige Beschlagnahme der eingefrorenen Vermögenswerte Russlands </w:t>
            </w:r>
            <w:r w:rsidRPr="005D638B">
              <w:rPr>
                <w:b/>
                <w:i/>
              </w:rPr>
              <w:t>kein</w:t>
            </w:r>
            <w:r w:rsidRPr="005D638B">
              <w:t xml:space="preserve"> angemessener Schritt zur </w:t>
            </w:r>
            <w:r w:rsidRPr="005D638B">
              <w:rPr>
                <w:b/>
                <w:i/>
              </w:rPr>
              <w:lastRenderedPageBreak/>
              <w:t>Konfliktbeilegung ist, und dass ein solcher Schritt sich letztendlich ebenfalls negativ auf die internationale Reputation der EU und ihrer Mitgliedstaaten auswirken wird</w:t>
            </w:r>
            <w:r w:rsidRPr="005D638B">
              <w:t>;</w:t>
            </w:r>
          </w:p>
        </w:tc>
      </w:tr>
    </w:tbl>
    <w:p w:rsidR="00930C00" w:rsidRPr="00930C00" w:rsidRDefault="00930C00" w:rsidP="00930C00">
      <w:pPr>
        <w:pStyle w:val="AmOrLang"/>
      </w:pPr>
      <w:r w:rsidRPr="00930C00">
        <w:lastRenderedPageBreak/>
        <w:t xml:space="preserve">Or. </w:t>
      </w:r>
      <w:r w:rsidRPr="00930C00">
        <w:rPr>
          <w:rStyle w:val="HideTWBExt"/>
        </w:rPr>
        <w:t>&lt;Original&gt;</w:t>
      </w:r>
      <w:r w:rsidRPr="00930C00">
        <w:rPr>
          <w:rStyle w:val="HideTWBInt"/>
        </w:rPr>
        <w:t>{DE}</w:t>
      </w:r>
      <w:r w:rsidRPr="00930C00">
        <w:t>de</w:t>
      </w:r>
      <w:r w:rsidRPr="00930C00">
        <w:rPr>
          <w:rStyle w:val="HideTWBExt"/>
        </w:rPr>
        <w:t>&lt;/Original&gt;</w:t>
      </w:r>
    </w:p>
    <w:p w:rsidR="00930C00" w:rsidRPr="00930C00" w:rsidRDefault="00930C00" w:rsidP="00930C00">
      <w:r w:rsidRPr="00930C00">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499</w:t>
      </w:r>
      <w:r w:rsidRPr="00930C00">
        <w:rPr>
          <w:rStyle w:val="HideTWBExt"/>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die HR/VP, die Kommission, den Rat und die betroffenen Mitgliedstaaten auf, </w:t>
            </w:r>
            <w:r>
              <w:rPr>
                <w:b/>
                <w:i/>
              </w:rPr>
              <w:t xml:space="preserve">im Rahmen des Völkerrechts </w:t>
            </w:r>
            <w:r>
              <w:t xml:space="preserve">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 </w:t>
            </w:r>
            <w:r>
              <w:rPr>
                <w:b/>
                <w:i/>
              </w:rPr>
              <w:t xml:space="preserve">betont, dass die Verwendung eingefrorener russischer </w:t>
            </w:r>
            <w:r>
              <w:rPr>
                <w:b/>
                <w:i/>
              </w:rPr>
              <w:lastRenderedPageBreak/>
              <w:t>Vermögenswerte zur finanziellen Unterstützung der Ukraine derzeit noch ein theoretischer Vorschlag ist; stellt fest, dass solche Mittel als zusätzliche Mittel betrachtet werden sollten und die Mittel für die Ukraine aus den Staatshaushalten nicht ersetzen können;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500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Andrey Kovatchev, Rasa Juknevičienė</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 </w:t>
            </w:r>
            <w:r>
              <w:rPr>
                <w:b/>
                <w:i/>
              </w:rPr>
              <w:t>betont, dass alle beweglichen oder unbeweglichen Vermögenswerte nicht nur des russischen Staates, sondern auch der lokalen russischen Behörden, russischen staatseigenen Unternehmen, russischen Oligarchen und aller Personen, die auf der EU-Sanktionsliste stehen, sowie ihrer Familien als russische Vermögenswerte aufgenommen werden müssen;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501</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242C57"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242C57"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 </w:t>
            </w:r>
            <w:r>
              <w:rPr>
                <w:b/>
                <w:i/>
              </w:rPr>
              <w:t>fordert, dass die Möglichkeit der Einrichtung eines Rechtsmechanismus geprüft wird, der den Transfer aller eingefrorener russischer Vermögenswerte ermöglichen würde, um damit die Ukraine zu unterstützen;</w:t>
            </w:r>
          </w:p>
        </w:tc>
      </w:tr>
    </w:tbl>
    <w:p w:rsidR="00930C00" w:rsidRPr="0007238A" w:rsidRDefault="00930C00" w:rsidP="00930C00">
      <w:pPr>
        <w:pStyle w:val="AmOrLang"/>
      </w:pPr>
      <w:r w:rsidRPr="0007238A">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502</w:t>
      </w:r>
      <w:r>
        <w:rPr>
          <w:rStyle w:val="HideTWBExt"/>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Michael von der Schulenburg</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w:t>
            </w:r>
            <w:r>
              <w:lastRenderedPageBreak/>
              <w:t xml:space="preserve">Opfer der Aggression gemäß Artikel 51 der Charta der Vereinten Nationen das legitime Recht zur Selbstverteidigung hat; </w:t>
            </w:r>
            <w:r>
              <w:rPr>
                <w:b/>
                <w:i/>
              </w:rPr>
              <w:t>fordert den HR/VP</w:t>
            </w:r>
            <w:r>
              <w:t xml:space="preserve">, </w:t>
            </w:r>
            <w:r>
              <w:rPr>
                <w:b/>
                <w:i/>
              </w:rPr>
              <w:t>die Kommission, den Rat und</w:t>
            </w:r>
            <w:r>
              <w:t xml:space="preserve"> die </w:t>
            </w:r>
            <w:r>
              <w:rPr>
                <w:b/>
                <w:i/>
              </w:rPr>
              <w:t>betroffenen Mitgliedstaaten auf, wirksame Gegenmaßnahmen</w:t>
            </w:r>
            <w:r>
              <w:t xml:space="preserve"> der </w:t>
            </w:r>
            <w:r>
              <w:rPr>
                <w:b/>
                <w:i/>
              </w:rPr>
              <w:t>Ukraine gegen Russland zu ermöglichen; weist darauf hin</w:t>
            </w:r>
            <w:r>
              <w:t xml:space="preserve">, </w:t>
            </w:r>
            <w:r>
              <w:rPr>
                <w:b/>
                <w:i/>
              </w:rPr>
              <w:t>dass Russland gegen das Völkerrecht verstößt und dass die vollständige Beschlagnahme</w:t>
            </w:r>
            <w:r>
              <w:t xml:space="preserve"> der </w:t>
            </w:r>
            <w:r>
              <w:rPr>
                <w:b/>
                <w:i/>
              </w:rPr>
              <w:t>eingefrorenen Vermögenswerte Russlands ein angemessener Schritt zur Durchsetzung der Verpflichtung Russlands ist</w:t>
            </w:r>
            <w:r>
              <w:t xml:space="preserve">, </w:t>
            </w:r>
            <w:r>
              <w:rPr>
                <w:b/>
                <w:i/>
              </w:rPr>
              <w:t>sich an das Völkerrecht</w:t>
            </w:r>
            <w:r>
              <w:t xml:space="preserve"> zu </w:t>
            </w:r>
            <w:r>
              <w:rPr>
                <w:b/>
                <w:i/>
              </w:rPr>
              <w:t>halten</w:t>
            </w:r>
            <w:r>
              <w:t xml:space="preserve"> und </w:t>
            </w:r>
            <w:r>
              <w:rPr>
                <w:b/>
                <w:i/>
              </w:rPr>
              <w:t>die Ukraine und andere Geschädigte für</w:t>
            </w:r>
            <w:r>
              <w:t xml:space="preserve"> die </w:t>
            </w:r>
            <w:r>
              <w:rPr>
                <w:b/>
                <w:i/>
              </w:rPr>
              <w:t>durch den Angriffskrieg Russlands verursachten Verluste zu entschädigen</w:t>
            </w:r>
            <w:r>
              <w:t>;</w:t>
            </w:r>
          </w:p>
        </w:tc>
        <w:tc>
          <w:tcPr>
            <w:tcW w:w="4876" w:type="dxa"/>
            <w:tcBorders>
              <w:top w:val="nil"/>
              <w:left w:val="nil"/>
              <w:bottom w:val="nil"/>
              <w:right w:val="nil"/>
            </w:tcBorders>
          </w:tcPr>
          <w:p w:rsidR="00930C00" w:rsidRPr="00E324B0" w:rsidRDefault="00930C00" w:rsidP="00930C00">
            <w:pPr>
              <w:pStyle w:val="Normal6a"/>
            </w:pPr>
            <w:r>
              <w:lastRenderedPageBreak/>
              <w:t>11.</w:t>
            </w:r>
            <w:r>
              <w:tab/>
              <w:t xml:space="preserve">bekräftigt, dass die Ukraine als </w:t>
            </w:r>
            <w:r>
              <w:lastRenderedPageBreak/>
              <w:t xml:space="preserve">Opfer der Aggression gemäß Artikel 51 der Charta der Vereinten Nationen das legitime Recht zur Selbstverteidigung hat; </w:t>
            </w:r>
            <w:r>
              <w:rPr>
                <w:b/>
                <w:i/>
              </w:rPr>
              <w:t>bekräftigt, dass die Charta der Vereinten Nationen auch mit der Forderung beginnt, künftige Generationen vor der Geißel des Krieges zu retten, und somit alle Staaten verpflichtet, Friedensbemühungen zu unterstützen und zu fördern; weist auf</w:t>
            </w:r>
            <w:r>
              <w:t xml:space="preserve"> die </w:t>
            </w:r>
            <w:r>
              <w:rPr>
                <w:b/>
                <w:i/>
              </w:rPr>
              <w:t>diesbezüglichen Verpflichtungen der EU-Mitgliedstaaten hin</w:t>
            </w:r>
            <w:r>
              <w:t>;</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503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António Tânger Corrêa</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bekräftigt, dass die Ukraine als Opfer der Aggression gemäß Artikel 51 der Charta der Vereinten Nationen das legitime Recht zur Selbstverteidigung hat;</w:t>
            </w:r>
            <w:r>
              <w:rPr>
                <w:b/>
                <w:i/>
              </w:rPr>
              <w:t xml:space="preserve"> fordert den HR/VP, die Kommission, den Rat und die betroffenen Mitgliedstaaten auf, wirksame Gegenmaßnahmen der Ukraine gegen Russland zu ermöglichen;</w:t>
            </w:r>
            <w:r>
              <w:t xml:space="preserve">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w:t>
            </w:r>
            <w:r>
              <w:lastRenderedPageBreak/>
              <w:t>Verluste zu entschädigen;</w:t>
            </w:r>
          </w:p>
        </w:tc>
        <w:tc>
          <w:tcPr>
            <w:tcW w:w="4876" w:type="dxa"/>
            <w:tcBorders>
              <w:top w:val="nil"/>
              <w:left w:val="nil"/>
              <w:bottom w:val="nil"/>
              <w:right w:val="nil"/>
            </w:tcBorders>
          </w:tcPr>
          <w:p w:rsidR="00930C00" w:rsidRPr="00E324B0" w:rsidRDefault="00930C00" w:rsidP="00930C00">
            <w:pPr>
              <w:pStyle w:val="Normal6a"/>
            </w:pPr>
            <w:r>
              <w:lastRenderedPageBreak/>
              <w:t>11.</w:t>
            </w:r>
            <w:r>
              <w:tab/>
              <w:t>bekräftigt, dass die Ukraine als Opfer der Aggression gemäß Artikel 51 der Charta der Vereinten Nationen das legitime Recht zur Selbstverteidigung hat;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504</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242C57" w:rsidRDefault="00930C00" w:rsidP="00930C00">
      <w:pPr>
        <w:pStyle w:val="NormalBold"/>
      </w:pPr>
      <w:r w:rsidRPr="00291283">
        <w:rPr>
          <w:rStyle w:val="HideTWBExt"/>
          <w:b w:val="0"/>
        </w:rPr>
        <w:t>&lt;/RepeatBlock-By&gt;</w:t>
      </w:r>
    </w:p>
    <w:p w:rsidR="00930C00" w:rsidRPr="00242C57"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5D638B"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242C57"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w:t>
            </w:r>
            <w:r>
              <w:rPr>
                <w:b/>
                <w:i/>
              </w:rPr>
              <w:t>, auch militärische</w:t>
            </w:r>
            <w:r>
              <w:t>;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242C57" w:rsidRDefault="00930C00" w:rsidP="00930C00">
      <w:r w:rsidRPr="00291283">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505</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David McAllister</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w:t>
            </w:r>
            <w:r>
              <w:lastRenderedPageBreak/>
              <w:t>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E324B0" w:rsidRDefault="00930C00" w:rsidP="00930C00">
            <w:pPr>
              <w:pStyle w:val="Normal6a"/>
            </w:pPr>
            <w:r>
              <w:lastRenderedPageBreak/>
              <w:t>11.</w:t>
            </w:r>
            <w:r>
              <w:tab/>
              <w:t xml:space="preserve">bekräftigt, dass die Ukraine als Opfer der Aggression gemäß Artikel 51 der Charta der Vereinten Nationen das legitime Recht zur Selbstverteidigung hat; fordert </w:t>
            </w:r>
            <w:r>
              <w:lastRenderedPageBreak/>
              <w:t>den HR/VP, die Kommission, den Rat und die betroffenen Mitgliedstaaten auf, wirksame Gegenmaßnahmen der Ukraine gegen Russland zu ermöglichen; weist darauf hin, dass Russland gegen das Völkerrecht</w:t>
            </w:r>
            <w:r>
              <w:rPr>
                <w:b/>
                <w:i/>
              </w:rPr>
              <w:t>, einschließlich der Charta der Vereinten Nationen,</w:t>
            </w:r>
            <w:r>
              <w:t xml:space="preserve">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506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Nathalie Loiseau, Urmas Paet, Hilde Vautmans, Lucia Yar, Petras Auštrevičius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weist darauf hin, dass Russland gegen das Völkerrecht verstößt und dass die vollständige Beschlagnahme der eingefrorenen Vermögenswerte Russlands ein angemessener </w:t>
            </w:r>
            <w:r>
              <w:rPr>
                <w:b/>
                <w:i/>
              </w:rPr>
              <w:t xml:space="preserve">und realisierbarer </w:t>
            </w:r>
            <w:r>
              <w:t>Schritt zur Durchsetzung der Verpflichtung Russlands ist, sich an das Völkerrecht zu halten und die Ukraine und andere Geschädigte für die durch den Angriffskrieg Russlands verursachten Verluste zu entschädigen;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507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Emmanouil Kefalogiannis</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t>
            </w:r>
            <w:r>
              <w:rPr>
                <w:b/>
                <w:i/>
              </w:rPr>
              <w:t>weist darauf hin</w:t>
            </w:r>
            <w:r>
              <w:t>,</w:t>
            </w:r>
            <w:r>
              <w:rPr>
                <w:b/>
                <w:i/>
              </w:rPr>
              <w:t xml:space="preserve"> dass Russland gegen das Völkerrecht verstößt und</w:t>
            </w:r>
            <w:r>
              <w:t xml:space="preserve"> dass die </w:t>
            </w:r>
            <w:r>
              <w:rPr>
                <w:b/>
                <w:i/>
              </w:rPr>
              <w:t xml:space="preserve">vollständige Beschlagnahme der eingefrorenen </w:t>
            </w:r>
            <w:r>
              <w:t xml:space="preserve">Vermögenswerte Russlands </w:t>
            </w:r>
            <w:r>
              <w:rPr>
                <w:b/>
                <w:i/>
              </w:rPr>
              <w:t>ein angemessener Schritt zur Durchsetzung der Verpflichtung Russlands ist</w:t>
            </w:r>
            <w:r>
              <w:t xml:space="preserve">, </w:t>
            </w:r>
            <w:r>
              <w:rPr>
                <w:b/>
                <w:i/>
              </w:rPr>
              <w:t>sich an das Völkerrecht zu halten und</w:t>
            </w:r>
            <w:r>
              <w:t xml:space="preserve"> die Ukraine und </w:t>
            </w:r>
            <w:r>
              <w:rPr>
                <w:b/>
                <w:i/>
              </w:rPr>
              <w:t>andere Geschädigte</w:t>
            </w:r>
            <w:r>
              <w:t xml:space="preserve"> für </w:t>
            </w:r>
            <w:r>
              <w:rPr>
                <w:b/>
                <w:i/>
              </w:rPr>
              <w:t>die</w:t>
            </w:r>
            <w:r>
              <w:t xml:space="preserve"> durch </w:t>
            </w:r>
            <w:r>
              <w:rPr>
                <w:b/>
                <w:i/>
              </w:rPr>
              <w:t>den Angriffskrieg Russlands</w:t>
            </w:r>
            <w:r>
              <w:t xml:space="preserve"> verursachten </w:t>
            </w:r>
            <w:r>
              <w:rPr>
                <w:b/>
                <w:i/>
              </w:rPr>
              <w:t>Verluste zu entschädigen</w:t>
            </w:r>
            <w:r>
              <w:t>;</w:t>
            </w:r>
          </w:p>
        </w:tc>
        <w:tc>
          <w:tcPr>
            <w:tcW w:w="4876" w:type="dxa"/>
            <w:tcBorders>
              <w:top w:val="nil"/>
              <w:left w:val="nil"/>
              <w:bottom w:val="nil"/>
              <w:right w:val="nil"/>
            </w:tcBorders>
          </w:tcPr>
          <w:p w:rsidR="00930C00" w:rsidRPr="00E324B0"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die betroffenen Mitgliedstaaten auf, wirksame Gegenmaßnahmen der Ukraine gegen Russland zu ermöglichen; </w:t>
            </w:r>
            <w:r>
              <w:rPr>
                <w:b/>
                <w:i/>
              </w:rPr>
              <w:t>fordert zudem</w:t>
            </w:r>
            <w:r>
              <w:t xml:space="preserve">, dass die Vermögenswerte Russlands </w:t>
            </w:r>
            <w:r>
              <w:rPr>
                <w:b/>
                <w:i/>
              </w:rPr>
              <w:t>unter Beachtung des EU-Rechts immobilisiert bleiben sollten</w:t>
            </w:r>
            <w:r>
              <w:t xml:space="preserve">, </w:t>
            </w:r>
            <w:r>
              <w:rPr>
                <w:b/>
                <w:i/>
              </w:rPr>
              <w:t>bis Russland seinen Angriffskrieg gegen</w:t>
            </w:r>
            <w:r>
              <w:t xml:space="preserve"> die Ukraine </w:t>
            </w:r>
            <w:r>
              <w:rPr>
                <w:b/>
                <w:i/>
              </w:rPr>
              <w:t xml:space="preserve">einstellt </w:t>
            </w:r>
            <w:r>
              <w:t xml:space="preserve">und </w:t>
            </w:r>
            <w:r>
              <w:rPr>
                <w:b/>
                <w:i/>
              </w:rPr>
              <w:t>das Land</w:t>
            </w:r>
            <w:r>
              <w:t xml:space="preserve"> für </w:t>
            </w:r>
            <w:r>
              <w:rPr>
                <w:b/>
                <w:i/>
              </w:rPr>
              <w:t>den</w:t>
            </w:r>
            <w:r>
              <w:t xml:space="preserve"> durch </w:t>
            </w:r>
            <w:r>
              <w:rPr>
                <w:b/>
                <w:i/>
              </w:rPr>
              <w:t>diesen Krieg</w:t>
            </w:r>
            <w:r>
              <w:t xml:space="preserve"> verursachten </w:t>
            </w:r>
            <w:r>
              <w:rPr>
                <w:b/>
                <w:i/>
              </w:rPr>
              <w:t>Schaden entschädigt</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508</w:t>
      </w:r>
      <w:r w:rsidRPr="00930C00">
        <w:rPr>
          <w:rStyle w:val="HideTWBExt"/>
          <w:lang w:val="en-GB"/>
        </w:rPr>
        <w:t>&lt;/NumAm&gt;</w:t>
      </w:r>
    </w:p>
    <w:p w:rsidR="00930C00" w:rsidRPr="00452D4B" w:rsidRDefault="00930C00" w:rsidP="00930C00">
      <w:pPr>
        <w:pStyle w:val="NormalBold"/>
        <w:rPr>
          <w:lang w:val="en-GB"/>
        </w:rPr>
      </w:pPr>
      <w:r>
        <w:rPr>
          <w:rStyle w:val="HideTWBExt"/>
          <w:b w:val="0"/>
          <w:lang w:val="en-GB"/>
        </w:rPr>
        <w:t>&lt;RepeatBlock-By&gt;&lt;Members&gt;</w:t>
      </w:r>
      <w:r w:rsidRPr="00452D4B">
        <w:rPr>
          <w:lang w:val="en-GB"/>
        </w:rPr>
        <w:t>Alice Teodorescu Måwe</w:t>
      </w:r>
      <w:r>
        <w:rPr>
          <w:rStyle w:val="HideTWBExt"/>
          <w:b w:val="0"/>
          <w:lang w:val="en-GB"/>
        </w:rPr>
        <w:t>&lt;/Members&gt;</w:t>
      </w:r>
    </w:p>
    <w:p w:rsidR="00930C00" w:rsidRPr="00242C57" w:rsidRDefault="00930C00" w:rsidP="00930C00">
      <w:pPr>
        <w:pStyle w:val="NormalBold"/>
      </w:pPr>
      <w:r w:rsidRPr="00452D4B">
        <w:rPr>
          <w:rStyle w:val="HideTWBExt"/>
          <w:b w:val="0"/>
        </w:rPr>
        <w:t>&lt;/RepeatBlock-By&gt;</w:t>
      </w:r>
    </w:p>
    <w:p w:rsidR="00930C00" w:rsidRPr="00242C57" w:rsidRDefault="00930C00" w:rsidP="00930C00">
      <w:pPr>
        <w:pStyle w:val="NormalBold"/>
      </w:pPr>
      <w:r w:rsidRPr="00452D4B">
        <w:rPr>
          <w:rStyle w:val="HideTWBExt"/>
        </w:rPr>
        <w:t>&lt;DocAmend&gt;</w:t>
      </w:r>
      <w:r>
        <w:t>Entschließungsantrag</w:t>
      </w:r>
      <w:r w:rsidRPr="00452D4B">
        <w:rPr>
          <w:rStyle w:val="HideTWBExt"/>
        </w:rPr>
        <w:t>&lt;/DocAmend&gt;</w:t>
      </w:r>
    </w:p>
    <w:p w:rsidR="00930C00" w:rsidRPr="005D638B" w:rsidRDefault="00930C00" w:rsidP="00930C00">
      <w:pPr>
        <w:pStyle w:val="NormalBold"/>
      </w:pPr>
      <w:r>
        <w:rPr>
          <w:rStyle w:val="HideTWBExt"/>
        </w:rPr>
        <w:t>&lt;Article&gt;</w:t>
      </w:r>
      <w:r>
        <w:t>Ziffer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11.</w:t>
            </w:r>
            <w:r>
              <w:tab/>
              <w:t xml:space="preserve">bekräftigt, dass die Ukraine als Opfer der Aggression gemäß Artikel 51 der Charta der Vereinten Nationen das legitime Recht zur Selbstverteidigung hat; fordert den HR/VP, die Kommission, den Rat und </w:t>
            </w:r>
            <w:r>
              <w:lastRenderedPageBreak/>
              <w:t xml:space="preserve">die </w:t>
            </w:r>
            <w:r>
              <w:rPr>
                <w:b/>
                <w:i/>
              </w:rPr>
              <w:t xml:space="preserve">betroffenen </w:t>
            </w:r>
            <w:r>
              <w:t>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c>
          <w:tcPr>
            <w:tcW w:w="4876" w:type="dxa"/>
            <w:tcBorders>
              <w:top w:val="nil"/>
              <w:left w:val="nil"/>
              <w:bottom w:val="nil"/>
              <w:right w:val="nil"/>
            </w:tcBorders>
          </w:tcPr>
          <w:p w:rsidR="00930C00" w:rsidRPr="00242C57" w:rsidRDefault="00930C00" w:rsidP="00930C00">
            <w:pPr>
              <w:pStyle w:val="Normal6a"/>
            </w:pPr>
            <w:r>
              <w:lastRenderedPageBreak/>
              <w:t>11.</w:t>
            </w:r>
            <w:r>
              <w:tab/>
              <w:t xml:space="preserve">bekräftigt, dass die Ukraine als Opfer der Aggression gemäß Artikel 51 der Charta der Vereinten Nationen das legitime Recht zur Selbstverteidigung hat; fordert den HR/VP, die Kommission, den Rat und </w:t>
            </w:r>
            <w:r>
              <w:lastRenderedPageBreak/>
              <w:t>die Mitgliedstaaten auf, wirksame Gegenmaßnahmen der Ukraine gegen Russland zu ermöglichen; weist darauf hin, dass Russland gegen das Völkerrecht verstößt und dass die vollständige Beschlagnahme der eingefrorenen Vermögenswerte Russlands ein angemessener Schritt zur Durchsetzung der Verpflichtung Russlands ist, sich an das Völkerrecht zu halten und die Ukraine und andere Geschädigte für die durch den Angriffskrieg Russlands verursachten Verluste zu entschädigen;</w:t>
            </w:r>
          </w:p>
        </w:tc>
      </w:tr>
    </w:tbl>
    <w:p w:rsidR="00930C00" w:rsidRPr="00242C57" w:rsidRDefault="00930C00" w:rsidP="00930C00">
      <w:pPr>
        <w:pStyle w:val="AmOrLang"/>
        <w:rPr>
          <w:lang w:val="en-GB"/>
        </w:rPr>
      </w:pPr>
      <w:r w:rsidRPr="00242C57">
        <w:rPr>
          <w:lang w:val="en-GB"/>
        </w:rPr>
        <w:lastRenderedPageBreak/>
        <w:t xml:space="preserve">Or. </w:t>
      </w:r>
      <w:r w:rsidRPr="00242C57">
        <w:rPr>
          <w:rStyle w:val="HideTWBExt"/>
          <w:lang w:val="en-GB"/>
        </w:rPr>
        <w:t>&lt;Original&gt;</w:t>
      </w:r>
      <w:r w:rsidRPr="00242C57">
        <w:rPr>
          <w:rStyle w:val="HideTWBInt"/>
          <w:lang w:val="en-GB"/>
        </w:rPr>
        <w:t>{SV}</w:t>
      </w:r>
      <w:r w:rsidRPr="00242C57">
        <w:rPr>
          <w:lang w:val="en-GB"/>
        </w:rPr>
        <w:t>sv</w:t>
      </w:r>
      <w:r w:rsidRPr="00242C57">
        <w:rPr>
          <w:rStyle w:val="HideTWBExt"/>
          <w:lang w:val="en-GB"/>
        </w:rPr>
        <w:t>&lt;/Original&gt;</w:t>
      </w:r>
    </w:p>
    <w:p w:rsidR="00930C00" w:rsidRPr="00452D4B"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509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Adam Bielan</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11a.</w:t>
            </w:r>
            <w:r>
              <w:tab/>
            </w:r>
            <w:r>
              <w:rPr>
                <w:b/>
                <w:i/>
              </w:rPr>
              <w:t xml:space="preserve">betont, dass die Aggression Russlands die Rolle der NATO als wichtigster Garant für die europäische Sicherheit deutlich gemacht hat; fordert die EU-Mitgliedstaaten auf, ihre Ausgaben zu erhöhen, um mindestens den Schwellenwert von 2 % zu erreichen, und für mehr Komplementarität und weniger Doppelarbeit zwischen der EU und der NATO zu sorgen; bekräftigt seinen früheren Standpunkt, dass alle EU-Mitgliedstaaten und NATO-Verbündeten gemeinsam und individuell ihre Zusage geben sollten, jährlich mindestens 0,25 % ihres Bruttoinlandsprodukts für die militärische Unterstützung der Ukraine aufzuwenden; hebt hervor, dass infolge der unzureichenden und verspäteten Waffen- und Munitionslieferungen die Gefahr besteht, dass die bisherigen Anstrengungen zunichtegemacht werden; fordert die Mitgliedstaaten daher </w:t>
            </w:r>
            <w:r>
              <w:rPr>
                <w:b/>
                <w:i/>
              </w:rPr>
              <w:lastRenderedPageBreak/>
              <w:t>nachdrücklich auf, ihre militärische Unterstützung erheblich aufzustocken und deutlich zu beschleunigen und die Kapazitäten ihrer Rüstungsindustrie massiv auszuweiten; begrüßt die Entscheidung der NATO, mit der garantiert wird, dass der Ukraine in naher Zukunft militärische Güter im Wert von mindestens 40 Mrd. EUR geliefert werden; ist der Ansicht, dass eine glaubwürdige Abschreckung und Verteidigung noch höhere Ausgaben als die 2 %-Leitlinie der NATO erfordern;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11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11a.</w:t>
            </w:r>
            <w:r>
              <w:tab/>
            </w:r>
            <w:r>
              <w:rPr>
                <w:b/>
                <w:i/>
              </w:rPr>
              <w:t>missbilligt die „unbegrenzte“ Partnerschaft zwischen Russland und China; ist zutiefst besorgt über die erneuerte Zusage Chinas und Russlands, ihre militärischen Beziehungen weiter zu stärken; ist in immer größerem Maße zutiefst besorgt darüber, dass China Russland in seinem Angriffskrieg gegen die Ukraine unterstützt, insbesondere durch die Ausfuhr von Gütern mit doppeltem Verwendungszweck und die Entsendung von eigenen Truppen nach Russland sowie die anhaltende Beteiligung von Unternehmen aus China an der Vermeidung und Umgehung von Sanktionen; begrüßt den Beschluss des Rates, Sanktionen gegen chinesische Unternehmen zu verhängen, die den Krieg Russlands gegen die Ukraine unterstützen;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11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11a.</w:t>
            </w:r>
            <w:r>
              <w:tab/>
            </w:r>
            <w:r>
              <w:rPr>
                <w:b/>
                <w:i/>
              </w:rPr>
              <w:t>bedauert zutiefst, dass Ungarn darüber hinaus sowohl den im März 2024 im Rahmen der Europäischen Friedensfazilität (EFF) neu eingerichteten Unterstützungsfonds für die Ukraine (UAF) mit Mitteln in Höhe von 5 Mrd. EUR als auch die achte Tranche der Erstattungen an die Mitgliedstaaten im Rahmen der EFF blockiert, mit der der Ukraine seit über 18 Monaten militärische Hilfe geleistet wird; fordert die HV/VP und die Mitgliedstaaten nachdrücklich auf, dafür dringend eine Lösung zu finden und sicherzustellen, dass das einzige Instrument der EU zur Unterstützung der militärischen Hilfe für die Ukraine wieder voll funktionsfähig wird und dass solche Blockaden in Zukunft verhindert werden, oder einen alternativen zuverlässigen Mechanismus zu finden;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11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11b.</w:t>
            </w:r>
            <w:r>
              <w:tab/>
            </w:r>
            <w:r>
              <w:rPr>
                <w:b/>
                <w:i/>
              </w:rPr>
              <w:t xml:space="preserve">ist zutiefst besorgt über die </w:t>
            </w:r>
            <w:r>
              <w:rPr>
                <w:b/>
                <w:i/>
              </w:rPr>
              <w:lastRenderedPageBreak/>
              <w:t>vermehrte Zusammenarbeit zwischen der Russischen Föderation und der Demokratischen Volksrepublik Korea (DVRK), insbesondere in den Bereichen Militär und Verteidigung; verurteilt jegliche Unterstützung, die die DVRK Russland in seinem Krieg gegen die Ukraine leistet, einschließlich Waffenlieferungen oder anderer militärischer Hilfe; fordert die EU und die internationalen Partner auf, diese Entwicklungen genau zu beobachten und darauf zu reagieren, um die internationale Sicherheit und Stabilität zu wahren;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11c.</w:t>
            </w:r>
            <w:r>
              <w:tab/>
            </w:r>
            <w:r>
              <w:rPr>
                <w:b/>
                <w:i/>
              </w:rPr>
              <w:t>zeigt sich zunehmend besorgt über die anhaltenden Versuche Russlands, Nachbarländer wie Georgien und Moldau zu destabilisieren; verurteilt aufs Schärfste den Einsatz von Migration als Waffe, Informationsmanipulation und Einflussnahme aus dem Ausland, politische Ermordung, Terrorakte und territoriale Besetzung; betont, dass die Kapazitäten der EU zur Verteidigung und Entwicklung demokratischer und wertebasierter Gesellschaften in den Nachbarländern gestärkt werden müssen;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lastRenderedPageBreak/>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11d.</w:t>
            </w:r>
            <w:r>
              <w:tab/>
            </w:r>
            <w:r>
              <w:rPr>
                <w:b/>
                <w:i/>
              </w:rPr>
              <w:t>fordert den Rat nachdrücklich auf, restriktive Maßnahmen gegen Drittländer zu verhängen, die den Einmarsch Russlands in die Ukraine ermöglichen, sei es durch die Beihilfe zur Umgehung von Sanktionen oder durch die Bereitstellung direkter militärischer Unterstützung; fordert insbesondere den Rat auf, ähnliche Maßnahmen gegen die Islamische Republik Iran, die DVRK und andere Länder zu verhängen, da diese neben anderen strategischen Militärgütern unbemannte Luftfahrzeuge und Boden/Boden-Flugkörper an die Russische Föderation geliefert haben, die gegen die Ukraine, insbesondere gegen zivile Ziele, eingesetzt werden sollen;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e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11e.</w:t>
            </w:r>
            <w:r>
              <w:tab/>
            </w:r>
            <w:r>
              <w:rPr>
                <w:b/>
                <w:i/>
              </w:rPr>
              <w:t>fordert alle Drittländer und insbesondere EU-Bewerberländer auf, sich unmissverständlich zum internationalen Recht und zu den Werten der EU zu bekennen und sich den restriktiven Maßnahmen der EU gegen Russland anzuschließen;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lastRenderedPageBreak/>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11 f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11f.</w:t>
            </w:r>
            <w:r>
              <w:tab/>
            </w:r>
            <w:r>
              <w:rPr>
                <w:b/>
                <w:i/>
              </w:rPr>
              <w:t xml:space="preserve">nimmt die Folgen des Angriffskriegs Russlands auf den Südkaukasus und zentralasiatische Staaten zur Kenntnis; begrüßt die verstärkte Zusammenarbeit der Union mit diesen Ländern und fordert eine verstärkte Kapazität der Mission, um zur Förderung einer stabileren und friedlichen Umgebung in diesen Regionen beizutragen; betont, dass das Zögern der zentralasiatischen Staaten, Russlands Angriffskrieg gegen die Ukraine zu unterstützen, ein Zeichen für den schwindenden regionalen Einfluss Russlands ist; stellt fest, dass der Angriffskrieg Russlands gegen die Ukraine Zentralasien ermutigt hat, die Zusammenarbeit mit anderen Akteuren fortzusetzen, und dass diese Akteure ihre Zusammenarbeit mit Zentralasien intensiviert haben; ist zutiefst besorgt darüber, dass die Staaten Zentralasiens die Sanktionen der Union gegen Russland umgehen, mit denen dazu beigetragen werden soll, dem Krieg in der Ukraine ein Ende zu setzen; fordert die Staatsorgane der Staaten Zentralasiens, vor allem Kasachstans, Kirgisistans und Usbekistans, auf, eng mit der Union, insbesondere mit ihren Sonderbeauftragten für die Umsetzung von Sanktionen, zusammenzuarbeiten; fordert die Union auf, die Förderung von Reformen in Politik und Wirtschaft fortzusetzen, mit denen die Rechtsstaatlichkeit, die Demokratie, die verantwortungsvolle Staatsführung und </w:t>
            </w:r>
            <w:r>
              <w:rPr>
                <w:b/>
                <w:i/>
              </w:rPr>
              <w:lastRenderedPageBreak/>
              <w:t>die Achtung der Menschenrechte gestärkt werden;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g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11g.</w:t>
            </w:r>
            <w:r>
              <w:tab/>
            </w:r>
            <w:r>
              <w:rPr>
                <w:b/>
                <w:i/>
              </w:rPr>
              <w:t>betont nachdrücklich, dass die Sanktionen gegen Russland auch für Belarus gelten müssen, da das Lukaschenko-Regime am Angriffskrieg gegen die Ukraine und an Kriegsverbrechen wie der Entführung Tausender ukrainischer Kinder umfassend beteiligt ist;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11 h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11h.</w:t>
            </w:r>
            <w:r>
              <w:tab/>
            </w:r>
            <w:r>
              <w:rPr>
                <w:b/>
                <w:i/>
              </w:rPr>
              <w:t xml:space="preserve">bekräftigt seine Unterstützung für die demokratische Opposition, alle politischen Gefangenen und die mutigen Aktivisten und Journalisten in Belarus, die trotz des anhaltenden harten Durchgreifens und schlimmer Schikanierungstaktiken, wobei insbesondere die Reisepassverlängerung für Belarussen im Ausland verweigert wird, weiterhin Widerstand gegen das unrechtmäßige belarussische Regime </w:t>
            </w:r>
            <w:r>
              <w:rPr>
                <w:b/>
                <w:i/>
              </w:rPr>
              <w:lastRenderedPageBreak/>
              <w:t>leisten; erkennt die demokratischen Bestrebungen des belarussischen Volkes an;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519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 Vasile Dîncu</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11 i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11i.</w:t>
            </w:r>
            <w:r>
              <w:tab/>
            </w:r>
            <w:r>
              <w:rPr>
                <w:b/>
                <w:i/>
              </w:rPr>
              <w:t>fordert, die bei der Unterstützung der Ukraine durch die Union gewonnenen Erkenntnisse zu nutzen, um ihre Bereitschaft für künftige Szenarien zu verbessern; fordert eine zügige und grundlegende Reform der EU-Verträge, in der eine vollwertige, entschlossene, wirksame und einheitliche Gemeinsame Außen- und Sicherheitspolitik der EU geschaffen wird;</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520</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rPr>
                <w:b/>
                <w:i/>
              </w:rPr>
              <w:t>12.</w:t>
            </w:r>
            <w:r>
              <w:tab/>
            </w:r>
            <w:r>
              <w:rPr>
                <w:b/>
                <w:i/>
              </w:rPr>
              <w:t xml:space="preserve">betont, dass die EU und die Mitgliedstaaten dringend auf die Einrichtung eines internationalen Sondergerichtshofs drängen müssen, damit das Verbrechen der Aggression gegen die Ukraine, das von der politischen und militärischen Führung der Russischen Föderation und ihrer </w:t>
            </w:r>
            <w:r>
              <w:rPr>
                <w:b/>
                <w:i/>
              </w:rPr>
              <w:lastRenderedPageBreak/>
              <w:t>Verbündeten begangen wird, strafrechtlich verfolgt wird;</w:t>
            </w:r>
          </w:p>
        </w:tc>
        <w:tc>
          <w:tcPr>
            <w:tcW w:w="4876" w:type="dxa"/>
            <w:tcBorders>
              <w:top w:val="nil"/>
              <w:left w:val="nil"/>
              <w:bottom w:val="nil"/>
              <w:right w:val="nil"/>
            </w:tcBorders>
          </w:tcPr>
          <w:p w:rsidR="00930C00" w:rsidRPr="00E324B0" w:rsidRDefault="00930C00" w:rsidP="00930C00">
            <w:pPr>
              <w:pStyle w:val="Normal6a"/>
            </w:pPr>
            <w:r>
              <w:rPr>
                <w:b/>
                <w:i/>
              </w:rPr>
              <w:lastRenderedPageBreak/>
              <w:t>entfällt</w:t>
            </w:r>
          </w:p>
        </w:tc>
      </w:tr>
    </w:tbl>
    <w:p w:rsidR="00930C00" w:rsidRPr="00E324B0" w:rsidRDefault="00930C00" w:rsidP="00930C00">
      <w:pPr>
        <w:pStyle w:val="AmOrLang"/>
      </w:pPr>
      <w:r w:rsidRPr="00E324B0">
        <w:t xml:space="preserve">Or. </w:t>
      </w:r>
      <w:r w:rsidRPr="00E324B0">
        <w:rPr>
          <w:rStyle w:val="HideTWBExt"/>
        </w:rPr>
        <w:t>&lt;Original&gt;</w:t>
      </w:r>
      <w:r w:rsidRPr="00E324B0">
        <w:rPr>
          <w:rStyle w:val="HideTWBInt"/>
        </w:rPr>
        <w:t>{EN}</w:t>
      </w:r>
      <w:r w:rsidRPr="00E324B0">
        <w:t>en</w:t>
      </w:r>
      <w:r w:rsidRPr="00E324B0">
        <w:rPr>
          <w:rStyle w:val="HideTWBExt"/>
        </w:rPr>
        <w:t>&lt;/Original&gt;</w:t>
      </w:r>
    </w:p>
    <w:p w:rsidR="00930C00" w:rsidRPr="00E324B0" w:rsidRDefault="00930C00" w:rsidP="00930C00">
      <w:r>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521</w:t>
      </w:r>
      <w:r>
        <w:rPr>
          <w:rStyle w:val="HideTWBExt"/>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Emmanouil Kefalogiannis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die Mitgliedstaaten </w:t>
            </w:r>
            <w:r>
              <w:rPr>
                <w:b/>
                <w:i/>
              </w:rPr>
              <w:t>dringend auf die Einrichtung eines internationalen Sondergerichtshofs drängen müssen, damit das</w:t>
            </w:r>
            <w:r>
              <w:t xml:space="preserve"> Verbrechen der Aggression gegen die Ukraine, das von der politischen und militärischen Führung der Russischen Föderation und ihrer Verbündeten begangen wird, </w:t>
            </w:r>
            <w:r>
              <w:rPr>
                <w:b/>
                <w:i/>
              </w:rPr>
              <w:t>strafrechtlich verfolgt wird</w:t>
            </w:r>
            <w:r>
              <w:t>;</w:t>
            </w:r>
          </w:p>
        </w:tc>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die Mitgliedstaaten </w:t>
            </w:r>
            <w:r>
              <w:rPr>
                <w:b/>
                <w:i/>
              </w:rPr>
              <w:t>wegen der</w:t>
            </w:r>
            <w:r>
              <w:t xml:space="preserve"> Verbrechen der Aggression gegen die Ukraine, das von der politischen und militärischen Führung der Russischen Föderation und ihrer Verbündeten begangen wird, </w:t>
            </w:r>
            <w:r>
              <w:rPr>
                <w:b/>
                <w:i/>
              </w:rPr>
              <w:t>dringend auf die Einrichtung eines Sondergerichtshofs drängen müssen</w:t>
            </w:r>
            <w:r>
              <w:t xml:space="preserve">; </w:t>
            </w:r>
            <w:r>
              <w:rPr>
                <w:b/>
                <w:i/>
              </w:rPr>
              <w:t>weist darauf hin, dass jede einschlägige Lösung den Zuständigkeiten der gesetzlichen Zweige des Europarats gebührend Rechnung tragen sollte und auch auf einer soliden Rechtsgrundlage beruhen, größtmögliche Legitimität und regionenübergreifende Unterstützung genießen und alle relevanten rechtlichen Fragen, einschließlich der Immunität, im Einklang mit dem Völkerrecht und den höchsten Standards der internationalen Strafjustiz behandeln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522</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12</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12.</w:t>
            </w:r>
            <w:r w:rsidRPr="005D638B">
              <w:tab/>
              <w:t xml:space="preserve">betont, dass die EU und die </w:t>
            </w:r>
            <w:r w:rsidRPr="005D638B">
              <w:lastRenderedPageBreak/>
              <w:t xml:space="preserve">Mitgliedstaaten dringend auf die Einrichtung eines internationalen Sondergerichtshofs drängen müssen, </w:t>
            </w:r>
            <w:r w:rsidRPr="005D638B">
              <w:rPr>
                <w:b/>
                <w:i/>
              </w:rPr>
              <w:t>damit das Verbrechen der Aggression gegen die Ukraine, das von der politischen und militärischen Führung der Russischen Föderation und ihrer Verbündeten begangen wird, strafrechtlich verfolgt wird</w:t>
            </w:r>
            <w:r w:rsidRPr="005D638B">
              <w:t>;</w:t>
            </w:r>
          </w:p>
        </w:tc>
        <w:tc>
          <w:tcPr>
            <w:tcW w:w="4876" w:type="dxa"/>
            <w:tcBorders>
              <w:top w:val="nil"/>
              <w:left w:val="nil"/>
              <w:bottom w:val="nil"/>
              <w:right w:val="nil"/>
            </w:tcBorders>
          </w:tcPr>
          <w:p w:rsidR="00930C00" w:rsidRPr="005D638B" w:rsidRDefault="00930C00" w:rsidP="00930C00">
            <w:pPr>
              <w:pStyle w:val="Normal6a"/>
            </w:pPr>
            <w:r w:rsidRPr="005D638B">
              <w:lastRenderedPageBreak/>
              <w:t>12.</w:t>
            </w:r>
            <w:r w:rsidRPr="005D638B">
              <w:tab/>
              <w:t xml:space="preserve">betont, dass die EU und die </w:t>
            </w:r>
            <w:r w:rsidRPr="005D638B">
              <w:lastRenderedPageBreak/>
              <w:t xml:space="preserve">Mitgliedstaaten dringend auf die Einrichtung eines internationalen Sondergerichtshofs drängen müssen, </w:t>
            </w:r>
            <w:r w:rsidRPr="005D638B">
              <w:rPr>
                <w:b/>
                <w:i/>
              </w:rPr>
              <w:t>um alle begangenen Kriegsverbrechen im Ukraine-Konflikt sorgfältig und unvoreingenommen zu untersuchen</w:t>
            </w:r>
            <w:r w:rsidRPr="005D638B">
              <w:t>;</w:t>
            </w:r>
          </w:p>
        </w:tc>
      </w:tr>
    </w:tbl>
    <w:p w:rsidR="00930C00" w:rsidRPr="00930C00" w:rsidRDefault="00930C00" w:rsidP="00930C00">
      <w:pPr>
        <w:pStyle w:val="AmOrLang"/>
      </w:pPr>
      <w:r w:rsidRPr="00930C00">
        <w:lastRenderedPageBreak/>
        <w:t xml:space="preserve">Or. </w:t>
      </w:r>
      <w:r w:rsidRPr="00930C00">
        <w:rPr>
          <w:rStyle w:val="HideTWBExt"/>
        </w:rPr>
        <w:t>&lt;Original&gt;</w:t>
      </w:r>
      <w:r w:rsidRPr="00930C00">
        <w:rPr>
          <w:rStyle w:val="HideTWBInt"/>
        </w:rPr>
        <w:t>{DE}</w:t>
      </w:r>
      <w:r w:rsidRPr="00930C00">
        <w:t>de</w:t>
      </w:r>
      <w:r w:rsidRPr="00930C00">
        <w:rPr>
          <w:rStyle w:val="HideTWBExt"/>
        </w:rPr>
        <w:t>&lt;/Original&gt;</w:t>
      </w:r>
    </w:p>
    <w:p w:rsidR="00930C00" w:rsidRPr="00930C00" w:rsidRDefault="00930C00" w:rsidP="00930C00">
      <w:r w:rsidRPr="00930C00">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523</w:t>
      </w:r>
      <w:r w:rsidRPr="00930C00">
        <w:rPr>
          <w:rStyle w:val="HideTWBExt"/>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Alexander Sell</w:t>
      </w:r>
      <w:r w:rsidRPr="009C2015">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930C00" w:rsidRDefault="00930C00" w:rsidP="00930C00">
      <w:pPr>
        <w:pStyle w:val="NormalBold"/>
      </w:pPr>
      <w:r w:rsidRPr="00930C00">
        <w:rPr>
          <w:rStyle w:val="HideTWBExt"/>
        </w:rPr>
        <w:t>&lt;DocAmend&gt;</w:t>
      </w:r>
      <w:r w:rsidRPr="00930C00">
        <w:t>Entschließungsantrag</w:t>
      </w:r>
      <w:r w:rsidRPr="00930C00">
        <w:rPr>
          <w:rStyle w:val="HideTWBExt"/>
        </w:rPr>
        <w:t>&lt;/DocAmend&gt;</w:t>
      </w:r>
    </w:p>
    <w:p w:rsidR="00930C00" w:rsidRPr="00E324B0" w:rsidRDefault="00930C00" w:rsidP="00930C00">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w:t>
            </w:r>
            <w:r>
              <w:rPr>
                <w:b/>
                <w:i/>
              </w:rPr>
              <w:t>die</w:t>
            </w:r>
            <w:r>
              <w:t xml:space="preserve"> Mitgliedstaaten </w:t>
            </w:r>
            <w:r>
              <w:rPr>
                <w:b/>
                <w:i/>
              </w:rPr>
              <w:t xml:space="preserve">dringend auf </w:t>
            </w:r>
            <w:r>
              <w:t xml:space="preserve">die </w:t>
            </w:r>
            <w:r>
              <w:rPr>
                <w:b/>
                <w:i/>
              </w:rPr>
              <w:t>Einrichtung eines</w:t>
            </w:r>
            <w:r>
              <w:t xml:space="preserve"> internationalen </w:t>
            </w:r>
            <w:r>
              <w:rPr>
                <w:b/>
                <w:i/>
              </w:rPr>
              <w:t>Sondergerichtshofs drängen müssen, damit das Verbrechen der Aggression gegen die Ukraine</w:t>
            </w:r>
            <w:r>
              <w:t xml:space="preserve">, </w:t>
            </w:r>
            <w:r>
              <w:rPr>
                <w:b/>
                <w:i/>
              </w:rPr>
              <w:t>das von der politischen und militärischen Führung</w:t>
            </w:r>
            <w:r>
              <w:t xml:space="preserve"> der </w:t>
            </w:r>
            <w:r>
              <w:rPr>
                <w:b/>
                <w:i/>
              </w:rPr>
              <w:t>Russischen Föderation und ihrer Verbündeten begangen wird, strafrechtlich verfolgt wird</w:t>
            </w:r>
            <w:r>
              <w:t>;</w:t>
            </w:r>
          </w:p>
        </w:tc>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w:t>
            </w:r>
            <w:r>
              <w:rPr>
                <w:b/>
                <w:i/>
              </w:rPr>
              <w:t>ihre</w:t>
            </w:r>
            <w:r>
              <w:t xml:space="preserve"> Mitgliedstaaten die </w:t>
            </w:r>
            <w:r>
              <w:rPr>
                <w:b/>
                <w:i/>
              </w:rPr>
              <w:t>bestehenden</w:t>
            </w:r>
            <w:r>
              <w:t xml:space="preserve"> internationalen </w:t>
            </w:r>
            <w:r>
              <w:rPr>
                <w:b/>
                <w:i/>
              </w:rPr>
              <w:t>legalen Kanäle nutzen müssen</w:t>
            </w:r>
            <w:r>
              <w:t xml:space="preserve">, </w:t>
            </w:r>
            <w:r>
              <w:rPr>
                <w:b/>
                <w:i/>
              </w:rPr>
              <w:t>anstatt neue Institutionen zur strafrechtlichen Verfolgung</w:t>
            </w:r>
            <w:r>
              <w:t xml:space="preserve"> der </w:t>
            </w:r>
            <w:r>
              <w:rPr>
                <w:b/>
                <w:i/>
              </w:rPr>
              <w:t>während des Krieges begangenen Verbrechen zu schaffen</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524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die Mitgliedstaaten dringend </w:t>
            </w:r>
            <w:r>
              <w:rPr>
                <w:b/>
                <w:i/>
              </w:rPr>
              <w:t>auf die Einrichtung eines</w:t>
            </w:r>
            <w:r>
              <w:t xml:space="preserve"> internationalen </w:t>
            </w:r>
            <w:r>
              <w:rPr>
                <w:b/>
                <w:i/>
              </w:rPr>
              <w:lastRenderedPageBreak/>
              <w:t>Sondergerichtshofs drängen</w:t>
            </w:r>
            <w:r>
              <w:t xml:space="preserve"> müssen, damit das Verbrechen der Aggression gegen die Ukraine, das von der politischen und militärischen Führung der Russischen Föderation und ihrer Verbündeten begangen wird, strafrechtlich verfolgt wird;</w:t>
            </w:r>
          </w:p>
        </w:tc>
        <w:tc>
          <w:tcPr>
            <w:tcW w:w="4876" w:type="dxa"/>
            <w:tcBorders>
              <w:top w:val="nil"/>
              <w:left w:val="nil"/>
              <w:bottom w:val="nil"/>
              <w:right w:val="nil"/>
            </w:tcBorders>
          </w:tcPr>
          <w:p w:rsidR="00930C00" w:rsidRPr="00E324B0" w:rsidRDefault="00930C00" w:rsidP="00930C00">
            <w:pPr>
              <w:pStyle w:val="Normal6a"/>
            </w:pPr>
            <w:r>
              <w:lastRenderedPageBreak/>
              <w:t>12.</w:t>
            </w:r>
            <w:r>
              <w:tab/>
              <w:t xml:space="preserve">betont, dass die EU und die Mitgliedstaaten </w:t>
            </w:r>
            <w:r>
              <w:rPr>
                <w:b/>
                <w:i/>
              </w:rPr>
              <w:t xml:space="preserve">sich </w:t>
            </w:r>
            <w:r>
              <w:t xml:space="preserve">dringend </w:t>
            </w:r>
            <w:r>
              <w:rPr>
                <w:b/>
                <w:i/>
              </w:rPr>
              <w:t>um Rechtsbehelfe in</w:t>
            </w:r>
            <w:r>
              <w:t xml:space="preserve"> internationalen </w:t>
            </w:r>
            <w:r>
              <w:rPr>
                <w:b/>
                <w:i/>
              </w:rPr>
              <w:t xml:space="preserve">oder </w:t>
            </w:r>
            <w:r>
              <w:rPr>
                <w:b/>
                <w:i/>
              </w:rPr>
              <w:lastRenderedPageBreak/>
              <w:t>nationalen Gerichten bemühen</w:t>
            </w:r>
            <w:r>
              <w:t xml:space="preserve"> müssen, damit das Verbrechen der Aggression gegen die Ukraine, das von der politischen und militärischen Führung der Russischen Föderation und ihrer Verbündeten begangen wird, strafrechtlich verfolgt wird;</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525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António Tânger Corrêa</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12.</w:t>
            </w:r>
            <w:r>
              <w:tab/>
              <w:t xml:space="preserve">betont, dass die EU und die Mitgliedstaaten </w:t>
            </w:r>
            <w:r>
              <w:rPr>
                <w:b/>
                <w:i/>
              </w:rPr>
              <w:t xml:space="preserve">dringend </w:t>
            </w:r>
            <w:r>
              <w:t>auf die Einrichtung eines internationalen Sondergerichtshofs drängen müssen, damit das Verbrechen der Aggression gegen die Ukraine, das von der politischen und militärischen Führung der Russischen Föderation und ihrer Verbündeten begangen wird, strafrechtlich verfolgt wird;</w:t>
            </w:r>
          </w:p>
        </w:tc>
        <w:tc>
          <w:tcPr>
            <w:tcW w:w="4876" w:type="dxa"/>
            <w:tcBorders>
              <w:top w:val="nil"/>
              <w:left w:val="nil"/>
              <w:bottom w:val="nil"/>
              <w:right w:val="nil"/>
            </w:tcBorders>
          </w:tcPr>
          <w:p w:rsidR="00930C00" w:rsidRPr="00E324B0" w:rsidRDefault="00930C00" w:rsidP="00930C00">
            <w:pPr>
              <w:pStyle w:val="Normal6a"/>
            </w:pPr>
            <w:r>
              <w:t>12.</w:t>
            </w:r>
            <w:r>
              <w:tab/>
              <w:t>betont, dass die EU und die Mitgliedstaaten auf die Einrichtung eines internationalen Sondergerichtshofs drängen müssen, damit das Verbrechen der Aggression gegen die Ukraine, das von der politischen und militärischen Führung der Russischen Föderation und ihrer Verbündeten begangen wird, strafrechtlich verfolgt wird;</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526</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pPr>
      <w:r w:rsidRPr="00930C00">
        <w:rPr>
          <w:rStyle w:val="HideTWBExt"/>
        </w:rPr>
        <w:t>&lt;Article&gt;</w:t>
      </w:r>
      <w:r w:rsidRPr="00930C00">
        <w:t>Ziffer 12 a (neu)</w:t>
      </w:r>
      <w:r w:rsidRPr="00930C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07238A"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242C57" w:rsidRDefault="00930C00" w:rsidP="00930C00">
            <w:pPr>
              <w:pStyle w:val="Normal6a"/>
            </w:pPr>
            <w:r>
              <w:rPr>
                <w:b/>
                <w:i/>
              </w:rPr>
              <w:t>12a.</w:t>
            </w:r>
            <w:r>
              <w:tab/>
            </w:r>
            <w:r>
              <w:rPr>
                <w:b/>
                <w:i/>
              </w:rPr>
              <w:t>weist darauf hin, dass der Internationale Strafgerichtshof</w:t>
            </w:r>
            <w:r w:rsidR="00974CFB">
              <w:rPr>
                <w:b/>
                <w:i/>
              </w:rPr>
              <w:t xml:space="preserve"> </w:t>
            </w:r>
            <w:r>
              <w:rPr>
                <w:b/>
                <w:i/>
              </w:rPr>
              <w:t xml:space="preserve">Haftbefehle gegen Wladimir Putin und die russische Kommissarin für Kinderrechte, Maria Lwowa-Belowa, wegen ihrer Beteiligung an der Verschleppung ukrainischer Kinder nach Russland ausgestellt hat; weist ferner </w:t>
            </w:r>
            <w:r>
              <w:rPr>
                <w:b/>
                <w:i/>
              </w:rPr>
              <w:lastRenderedPageBreak/>
              <w:t>darauf hin, dass der Internationale Strafgerichtshof Haftbefehle gegen Wiktor Sokolow, Sergei Kobylasch, Sergei Schoigu und Waleri Gerassimow, Mitglieder des militärischen Führungsstabs Russlands, erlassen hat, denen vorgeworfen wird, Angriffe auf zivile Ziele veranlasst zu haben;</w:t>
            </w:r>
          </w:p>
        </w:tc>
      </w:tr>
    </w:tbl>
    <w:p w:rsidR="00930C00" w:rsidRPr="00930C00" w:rsidRDefault="00930C00" w:rsidP="00930C00">
      <w:pPr>
        <w:pStyle w:val="AmOrLang"/>
        <w:rPr>
          <w:lang w:val="en-GB"/>
        </w:rPr>
      </w:pPr>
      <w:r w:rsidRPr="00930C00">
        <w:rPr>
          <w:lang w:val="en-GB"/>
        </w:rPr>
        <w:lastRenderedPageBreak/>
        <w:t xml:space="preserve">Or. </w:t>
      </w:r>
      <w:r w:rsidRPr="00930C00">
        <w:rPr>
          <w:rStyle w:val="HideTWBExt"/>
          <w:lang w:val="en-GB"/>
        </w:rPr>
        <w:t>&lt;Original&gt;</w:t>
      </w:r>
      <w:r w:rsidRPr="00930C00">
        <w:rPr>
          <w:rStyle w:val="HideTWBInt"/>
          <w:lang w:val="en-GB"/>
        </w:rPr>
        <w:t>{FI}</w:t>
      </w:r>
      <w:r w:rsidRPr="00930C00">
        <w:rPr>
          <w:lang w:val="en-GB"/>
        </w:rPr>
        <w:t>fi</w:t>
      </w:r>
      <w:r w:rsidRPr="00930C00">
        <w:rPr>
          <w:rStyle w:val="HideTWBExt"/>
          <w:lang w:val="en-GB"/>
        </w:rPr>
        <w:t>&lt;/Original&gt;</w:t>
      </w:r>
    </w:p>
    <w:p w:rsidR="00930C00" w:rsidRPr="00930C00" w:rsidRDefault="00930C00" w:rsidP="00930C00">
      <w:pPr>
        <w:rPr>
          <w:lang w:val="en-GB"/>
        </w:rPr>
      </w:pPr>
      <w:r w:rsidRPr="00930C00">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527</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13</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rPr>
                <w:b/>
                <w:i/>
              </w:rPr>
              <w:t>13.</w:t>
            </w:r>
            <w:r w:rsidRPr="005D638B">
              <w:tab/>
            </w:r>
            <w:r w:rsidRPr="005D638B">
              <w:rPr>
                <w:b/>
                <w:i/>
              </w:rPr>
              <w:t>begrüßt den 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c>
          <w:tcPr>
            <w:tcW w:w="4876" w:type="dxa"/>
            <w:tcBorders>
              <w:top w:val="nil"/>
              <w:left w:val="nil"/>
              <w:bottom w:val="nil"/>
              <w:right w:val="nil"/>
            </w:tcBorders>
          </w:tcPr>
          <w:p w:rsidR="00930C00" w:rsidRPr="005D638B" w:rsidRDefault="00930C00" w:rsidP="00930C00">
            <w:pPr>
              <w:pStyle w:val="Normal6a"/>
            </w:pPr>
            <w:r w:rsidRPr="005D638B">
              <w:rPr>
                <w:b/>
                <w:i/>
              </w:rPr>
              <w:t>entfällt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528</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rPr>
                <w:b/>
                <w:i/>
              </w:rPr>
              <w:t>13.</w:t>
            </w:r>
            <w:r>
              <w:tab/>
            </w:r>
            <w:r>
              <w:rPr>
                <w:b/>
                <w:i/>
              </w:rPr>
              <w:t>begrüßt den 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c>
          <w:tcPr>
            <w:tcW w:w="4876" w:type="dxa"/>
            <w:tcBorders>
              <w:top w:val="nil"/>
              <w:left w:val="nil"/>
              <w:bottom w:val="nil"/>
              <w:right w:val="nil"/>
            </w:tcBorders>
          </w:tcPr>
          <w:p w:rsidR="00930C00" w:rsidRPr="00E324B0" w:rsidRDefault="00930C00" w:rsidP="00930C00">
            <w:pPr>
              <w:pStyle w:val="Normal6a"/>
            </w:pPr>
            <w:r>
              <w:rPr>
                <w:b/>
                <w:i/>
              </w:rPr>
              <w:t>entfällt</w:t>
            </w:r>
          </w:p>
        </w:tc>
      </w:tr>
    </w:tbl>
    <w:p w:rsidR="00930C00" w:rsidRPr="00E324B0" w:rsidRDefault="00930C00" w:rsidP="00930C00">
      <w:pPr>
        <w:pStyle w:val="AmOrLang"/>
      </w:pPr>
      <w:r w:rsidRPr="00E324B0">
        <w:t xml:space="preserve">Or. </w:t>
      </w:r>
      <w:r w:rsidRPr="00E324B0">
        <w:rPr>
          <w:rStyle w:val="HideTWBExt"/>
        </w:rPr>
        <w:t>&lt;Original&gt;</w:t>
      </w:r>
      <w:r w:rsidRPr="00E324B0">
        <w:rPr>
          <w:rStyle w:val="HideTWBInt"/>
        </w:rPr>
        <w:t>{EN}</w:t>
      </w:r>
      <w:r w:rsidRPr="00E324B0">
        <w:t>en</w:t>
      </w:r>
      <w:r w:rsidRPr="00E324B0">
        <w:rPr>
          <w:rStyle w:val="HideTWBExt"/>
        </w:rPr>
        <w:t>&lt;/Original&gt;</w:t>
      </w:r>
    </w:p>
    <w:p w:rsidR="00930C00" w:rsidRPr="00E324B0" w:rsidRDefault="00930C00" w:rsidP="00930C00">
      <w:r>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529</w:t>
      </w:r>
      <w:r>
        <w:rPr>
          <w:rStyle w:val="HideTWBExt"/>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David McAllister</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13.</w:t>
            </w:r>
            <w:r>
              <w:tab/>
              <w:t xml:space="preserve">begrüßt den 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w:t>
            </w:r>
            <w:r>
              <w:lastRenderedPageBreak/>
              <w:t>50 Mrd. USD zu gewähren;</w:t>
            </w:r>
          </w:p>
        </w:tc>
        <w:tc>
          <w:tcPr>
            <w:tcW w:w="4876" w:type="dxa"/>
            <w:tcBorders>
              <w:top w:val="nil"/>
              <w:left w:val="nil"/>
              <w:bottom w:val="nil"/>
              <w:right w:val="nil"/>
            </w:tcBorders>
          </w:tcPr>
          <w:p w:rsidR="00930C00" w:rsidRPr="00E324B0" w:rsidRDefault="00930C00" w:rsidP="00930C00">
            <w:pPr>
              <w:pStyle w:val="Normal6a"/>
            </w:pPr>
            <w:r>
              <w:lastRenderedPageBreak/>
              <w:t>13.</w:t>
            </w:r>
            <w:r>
              <w:tab/>
              <w:t xml:space="preserve">begrüßt den 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w:t>
            </w:r>
            <w:r>
              <w:lastRenderedPageBreak/>
              <w:t xml:space="preserve">50 Mrd. USD zu gewähren; </w:t>
            </w:r>
            <w:r>
              <w:rPr>
                <w:b/>
                <w:i/>
              </w:rPr>
              <w:t>bringt seine Überzeugung zum Ausdruck, dass der neue Kooperationsmechanismus bei Ukraine-Darlehen ein wichtiger Schritt ist, um Russland für die massiven Schäden, die es in der Ukraine weiterhin verursacht, finanziell zur Verantwortung zu ziehen; besteht darauf, dass dies die Schaffung einer tragfähigen rechtlichen Regelung für die Einziehung der von der EU eingefrorenen staatlichen Vermögenswerte Russlands, die zugunsten der Ukraine verwendet werden sollen, nicht ausschließen sollte; fordert die Kommission und den EAD nachdrücklich auf, ihre Arbeit in dieser Richtung zu intensivieren;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530</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242C57"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242C57" w:rsidRDefault="00930C00" w:rsidP="00930C00">
            <w:pPr>
              <w:pStyle w:val="Normal6a"/>
            </w:pPr>
            <w:r>
              <w:t>13.</w:t>
            </w:r>
            <w:r>
              <w:tab/>
              <w:t xml:space="preserve">begrüßt </w:t>
            </w:r>
            <w:r>
              <w:rPr>
                <w:b/>
                <w:i/>
              </w:rPr>
              <w:t>den Vorschlag der Kommission, einen</w:t>
            </w:r>
            <w:r>
              <w:t xml:space="preserve"> Kooperationsmechanismus bei Ukraine-Darlehen in Höhe von schätzungsweise 35 Mrd. EUR</w:t>
            </w:r>
            <w:r>
              <w:rPr>
                <w:b/>
                <w:i/>
              </w:rPr>
              <w:t xml:space="preserve"> einzurichten</w:t>
            </w:r>
            <w:r>
              <w:t>,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c>
          <w:tcPr>
            <w:tcW w:w="4876" w:type="dxa"/>
            <w:tcBorders>
              <w:top w:val="nil"/>
              <w:left w:val="nil"/>
              <w:bottom w:val="nil"/>
              <w:right w:val="nil"/>
            </w:tcBorders>
          </w:tcPr>
          <w:p w:rsidR="00930C00" w:rsidRPr="00242C57" w:rsidRDefault="00930C00" w:rsidP="00930C00">
            <w:pPr>
              <w:pStyle w:val="Normal6a"/>
            </w:pPr>
            <w:r>
              <w:t>13.</w:t>
            </w:r>
            <w:r>
              <w:tab/>
              <w:t xml:space="preserve">begrüßt </w:t>
            </w:r>
            <w:r>
              <w:rPr>
                <w:b/>
                <w:bCs/>
                <w:i/>
                <w:iCs/>
              </w:rPr>
              <w:t>nachdrücklich die Einrichtung des</w:t>
            </w:r>
            <w:r>
              <w:t xml:space="preserve"> Kooperationsmechanismus bei Ukraine-Darlehen in Höhe von schätzungsweise 35 Mrd. EUR,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 </w:t>
            </w:r>
            <w:r>
              <w:rPr>
                <w:b/>
                <w:i/>
              </w:rPr>
              <w:t xml:space="preserve">ist der Ansicht, dass Anstrengungen </w:t>
            </w:r>
            <w:r>
              <w:rPr>
                <w:b/>
                <w:i/>
              </w:rPr>
              <w:lastRenderedPageBreak/>
              <w:t>unternommen werden sollten, um einen rechtlichen Mechanismus für die vollständige Übertragung eingefrorener russischer Vermögenswerte an die Ukraine zu finden;</w:t>
            </w:r>
          </w:p>
        </w:tc>
      </w:tr>
    </w:tbl>
    <w:p w:rsidR="00930C00" w:rsidRPr="0007238A" w:rsidRDefault="00930C00" w:rsidP="00930C00">
      <w:pPr>
        <w:pStyle w:val="AmOrLang"/>
      </w:pPr>
      <w:r w:rsidRPr="0007238A">
        <w:lastRenderedPageBreak/>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531</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Petras Auštrevičius, Dan Barna, Urmas Paet, Ilhan Kyuchyuk, Lucia Yar, Marie-Agnes Strack-Zimmermann, Nathalie Loiseau</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13.</w:t>
            </w:r>
            <w:r>
              <w:tab/>
              <w:t>begrüßt den 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c>
          <w:tcPr>
            <w:tcW w:w="4876" w:type="dxa"/>
            <w:tcBorders>
              <w:top w:val="nil"/>
              <w:left w:val="nil"/>
              <w:bottom w:val="nil"/>
              <w:right w:val="nil"/>
            </w:tcBorders>
          </w:tcPr>
          <w:p w:rsidR="00930C00" w:rsidRPr="00E324B0" w:rsidRDefault="00930C00" w:rsidP="00930C00">
            <w:pPr>
              <w:pStyle w:val="Normal6a"/>
            </w:pPr>
            <w:r>
              <w:t>13.</w:t>
            </w:r>
            <w:r>
              <w:tab/>
              <w:t xml:space="preserve">begrüßt den </w:t>
            </w:r>
            <w:r>
              <w:rPr>
                <w:b/>
                <w:i/>
              </w:rPr>
              <w:t xml:space="preserve">vom Europäischen Parlament genehmigten </w:t>
            </w:r>
            <w:r>
              <w:t>Vorschlag der Kommission, einen Kooperationsmechanismus bei Ukraine-Darlehen in Höhe von schätzungsweise 35 Mrd. EUR einzurichten, der der Forderung des Parlaments entspricht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532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13.</w:t>
            </w:r>
            <w:r>
              <w:tab/>
              <w:t xml:space="preserve">begrüßt den Vorschlag der Kommission, einen Kooperationsmechanismus bei Ukraine-Darlehen in Höhe von schätzungsweise 35 Mrd. EUR einzurichten, der der Forderung des Parlaments </w:t>
            </w:r>
            <w:r>
              <w:rPr>
                <w:b/>
                <w:i/>
              </w:rPr>
              <w:t>entspricht</w:t>
            </w:r>
            <w:r>
              <w:t xml:space="preserve">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c>
          <w:tcPr>
            <w:tcW w:w="4876" w:type="dxa"/>
            <w:tcBorders>
              <w:top w:val="nil"/>
              <w:left w:val="nil"/>
              <w:bottom w:val="nil"/>
              <w:right w:val="nil"/>
            </w:tcBorders>
          </w:tcPr>
          <w:p w:rsidR="00930C00" w:rsidRPr="00E324B0" w:rsidRDefault="00930C00" w:rsidP="00930C00">
            <w:pPr>
              <w:pStyle w:val="Normal6a"/>
            </w:pPr>
            <w:r>
              <w:t>13.</w:t>
            </w:r>
            <w:r>
              <w:tab/>
              <w:t xml:space="preserve">begrüßt den Vorschlag der Kommission, einen Kooperationsmechanismus bei Ukraine-Darlehen in Höhe von schätzungsweise 35 Mrd. EUR einzurichten, der </w:t>
            </w:r>
            <w:r>
              <w:rPr>
                <w:b/>
                <w:i/>
              </w:rPr>
              <w:t xml:space="preserve">dazu beiträgt, </w:t>
            </w:r>
            <w:r>
              <w:t xml:space="preserve">der Forderung des Parlaments </w:t>
            </w:r>
            <w:r>
              <w:rPr>
                <w:b/>
                <w:i/>
              </w:rPr>
              <w:t>zu entsprechen,</w:t>
            </w:r>
            <w:r>
              <w:t xml:space="preserve"> und auf dem Beschluss des Rates aufbaut, die außerordentlichen Einnahmen, die aus eingefrorenen staatlichen Vermögenswerten Russlands generiert werden, dem Unterstützungsfonds für die Ukraine und der Ukraine-Fazilität zuzuleiten, sowie auf dem Beschluss der G7, der Ukraine ein durch eingefrorene staatliche Vermögenswerte Russlands besichertes Darlehen in Höhe von 50 Mrd. USD zu gewähren;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533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Andrey Kovatchev, Rasa Juknevičienė</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13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13a.</w:t>
            </w:r>
            <w:r>
              <w:tab/>
            </w:r>
            <w:r>
              <w:rPr>
                <w:b/>
                <w:i/>
              </w:rPr>
              <w:t xml:space="preserve">verurteilt die systemische Fälschung und Verzerrung der Geschichte durch den Kreml und seine Verbündeten, die darauf abzielen, die Verbrechen Russlands zu rechtfertigen, die auf Nostalgie basierende Loyalität unter der russischen Bevölkerung zu fördern und seine imperialen Ambitionen zu Hause und bei russischen Unterstützern im Ausland zu fördern; verurteilt den Einsatz historischer Desinformation als Waffe in seinem Angriffskrieg gegen die Ukraine und seine hybride Aggression gegen den Westbalkan und die EU; fordert die EU </w:t>
            </w:r>
            <w:r>
              <w:rPr>
                <w:b/>
                <w:i/>
              </w:rPr>
              <w:lastRenderedPageBreak/>
              <w:t>auf, sowjetische Verbrechen unmissverständlich anzuerkennen und zu verurteilen und das Vermächtnis des Hitler-Stalin-Pakts anzuprangern, durch den Europa in Einflusszonen unterteilt wurde; fordert eine Sensibilisierung und systematische Einbeziehung der Geschichte nationalsozialistischer und kommunistischer totalitärer Verbrechen in die Lehrpläne der Schulen in allen EU-Mitgliedstaaten;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534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Urmas Paet, Hilde Vautmans, Petras Auštrevičius, Lucia Yar</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13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13a.</w:t>
            </w:r>
            <w:r>
              <w:tab/>
            </w:r>
            <w:r>
              <w:rPr>
                <w:b/>
                <w:i/>
              </w:rPr>
              <w:t xml:space="preserve">fordert gezieltere Sanktionen gegen die Schattenflotte im Rahmen des nächsten Sanktionspakets gegen Russland, wie etwa die Benennung aller möglichen einzelnen Schiffe der Schattenflotte sowie ihrer Eigentümer, Betreiber, Manager usw.; empfiehlt, den Verkauf von Tankschiffen an Länder zu verbieten, die den Handel mit Russland erleichtern; merkt an, dass die Flaggenstaaten, die die Schattenflotte Russlands unterstützen, auf diese Weise auch die Kriegsanstrengungen Russlands unterstützen; betont, dass die Kommission in dem Fall, dass die herkömmlichen diplomatischen Bemühungen scheitern, ihre Zusammenarbeit, d. h. unter anderem auch die Entwicklungszusammenarbeit und die Regelung „Alles außer Waffen“ (EBA), mit diesen Drittländern, die den außenpolitischen Maßnahmen der EU entgegenwirken, ernsthaft überdenken </w:t>
            </w:r>
            <w:r>
              <w:rPr>
                <w:b/>
                <w:i/>
              </w:rPr>
              <w:lastRenderedPageBreak/>
              <w:t>sollte;</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242C57" w:rsidRDefault="00930C00" w:rsidP="00930C00">
      <w:pPr>
        <w:pStyle w:val="AmNumberTabs"/>
        <w:rPr>
          <w:lang w:val="en-GB"/>
        </w:rPr>
      </w:pPr>
      <w:r w:rsidRPr="00242C57">
        <w:rPr>
          <w:rStyle w:val="HideTWBExt"/>
          <w:lang w:val="en-GB"/>
        </w:rPr>
        <w:t>&lt;Amend&gt;</w:t>
      </w:r>
      <w:r w:rsidRPr="00242C57">
        <w:rPr>
          <w:lang w:val="en-GB"/>
        </w:rPr>
        <w:t>Amendment</w:t>
      </w:r>
      <w:r w:rsidRPr="00242C57">
        <w:rPr>
          <w:lang w:val="en-GB"/>
        </w:rPr>
        <w:tab/>
      </w:r>
      <w:r w:rsidRPr="00242C57">
        <w:rPr>
          <w:lang w:val="en-GB"/>
        </w:rPr>
        <w:tab/>
      </w:r>
      <w:r w:rsidRPr="00242C57">
        <w:rPr>
          <w:rStyle w:val="HideTWBExt"/>
          <w:lang w:val="en-GB"/>
        </w:rPr>
        <w:t>&lt;NumAm&gt;</w:t>
      </w:r>
      <w:r w:rsidRPr="00242C57">
        <w:rPr>
          <w:lang w:val="en-GB"/>
        </w:rPr>
        <w:t>535</w:t>
      </w:r>
      <w:r w:rsidRPr="00242C57">
        <w:rPr>
          <w:rStyle w:val="HideTWBExt"/>
          <w:lang w:val="en-GB"/>
        </w:rPr>
        <w:t>&lt;/NumAm&gt;</w:t>
      </w:r>
    </w:p>
    <w:p w:rsidR="00930C00" w:rsidRPr="00242C57" w:rsidRDefault="00930C00" w:rsidP="00930C00">
      <w:pPr>
        <w:pStyle w:val="NormalBold"/>
        <w:rPr>
          <w:lang w:val="en-GB"/>
        </w:rPr>
      </w:pPr>
      <w:r w:rsidRPr="00242C57">
        <w:rPr>
          <w:rStyle w:val="HideTWBExt"/>
          <w:b w:val="0"/>
          <w:lang w:val="en-GB"/>
        </w:rPr>
        <w:t>&lt;RepeatBlock-By&gt;&lt;Members&gt;</w:t>
      </w:r>
      <w:r w:rsidRPr="00242C57">
        <w:rPr>
          <w:lang w:val="en-GB"/>
        </w:rPr>
        <w:t>Hans Neuhoff</w:t>
      </w:r>
      <w:r w:rsidRPr="00242C57">
        <w:rPr>
          <w:rStyle w:val="HideTWBExt"/>
          <w:b w:val="0"/>
          <w:lang w:val="en-GB"/>
        </w:rPr>
        <w:t>&lt;/Members&gt;</w:t>
      </w:r>
    </w:p>
    <w:p w:rsidR="00930C00" w:rsidRPr="00242C57" w:rsidRDefault="00930C00" w:rsidP="00930C00">
      <w:pPr>
        <w:pStyle w:val="NormalBold"/>
        <w:rPr>
          <w:lang w:val="en-GB"/>
        </w:rPr>
      </w:pPr>
      <w:r w:rsidRPr="00242C57">
        <w:rPr>
          <w:rStyle w:val="HideTWBExt"/>
          <w:b w:val="0"/>
          <w:lang w:val="en-GB"/>
        </w:rPr>
        <w:t>&lt;/RepeatBlock-By&gt;</w:t>
      </w:r>
    </w:p>
    <w:p w:rsidR="00930C00" w:rsidRPr="00242C57" w:rsidRDefault="00930C00" w:rsidP="00930C00">
      <w:pPr>
        <w:pStyle w:val="NormalBold"/>
        <w:rPr>
          <w:lang w:val="en-GB"/>
        </w:rPr>
      </w:pPr>
      <w:r w:rsidRPr="00242C57">
        <w:rPr>
          <w:rStyle w:val="HideTWBExt"/>
          <w:lang w:val="en-GB"/>
        </w:rPr>
        <w:t>&lt;DocAmend&gt;</w:t>
      </w:r>
      <w:r w:rsidRPr="00242C57">
        <w:rPr>
          <w:lang w:val="en-GB"/>
        </w:rPr>
        <w:t>Motion for a resolution</w:t>
      </w:r>
      <w:r w:rsidRPr="00242C57">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14</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rPr>
                <w:b/>
                <w:i/>
              </w:rPr>
              <w:t>14.</w:t>
            </w:r>
            <w:r w:rsidRPr="005D638B">
              <w:tab/>
            </w:r>
            <w:r w:rsidRPr="005D638B">
              <w:rPr>
                <w:b/>
                <w:i/>
              </w:rPr>
              <w:t>weist darauf hin, dass die Sicherheit 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5D638B" w:rsidRDefault="00930C00" w:rsidP="00930C00">
            <w:pPr>
              <w:pStyle w:val="Normal6a"/>
            </w:pPr>
            <w:r w:rsidRPr="005D638B">
              <w:rPr>
                <w:b/>
                <w:i/>
              </w:rPr>
              <w:t>entfällt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536</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rPr>
                <w:b/>
                <w:i/>
              </w:rPr>
              <w:t>14.</w:t>
            </w:r>
            <w:r>
              <w:tab/>
            </w:r>
            <w:r>
              <w:rPr>
                <w:b/>
                <w:i/>
              </w:rPr>
              <w:t xml:space="preserve">weist darauf hin, dass die Sicherheit der Republik Moldau untrennbar mit der Sicherheit der Ukraine verbunden ist, und betrachtet die Republik Moldau als die zweite </w:t>
            </w:r>
            <w:r>
              <w:rPr>
                <w:b/>
                <w:i/>
              </w:rPr>
              <w:lastRenderedPageBreak/>
              <w:t>Verteidigungslinie zum Schutz der europäischen Lebensweise; 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E324B0" w:rsidRDefault="00930C00" w:rsidP="00930C00">
            <w:pPr>
              <w:pStyle w:val="Normal6a"/>
            </w:pPr>
            <w:r>
              <w:rPr>
                <w:b/>
                <w:i/>
              </w:rPr>
              <w:lastRenderedPageBreak/>
              <w:t>entfällt</w:t>
            </w:r>
          </w:p>
        </w:tc>
      </w:tr>
    </w:tbl>
    <w:p w:rsidR="00930C00" w:rsidRPr="00E324B0" w:rsidRDefault="00930C00" w:rsidP="00930C00">
      <w:pPr>
        <w:pStyle w:val="AmOrLang"/>
      </w:pPr>
      <w:r w:rsidRPr="00E324B0">
        <w:t xml:space="preserve">Or. </w:t>
      </w:r>
      <w:r w:rsidRPr="00E324B0">
        <w:rPr>
          <w:rStyle w:val="HideTWBExt"/>
        </w:rPr>
        <w:t>&lt;Original&gt;</w:t>
      </w:r>
      <w:r w:rsidRPr="00E324B0">
        <w:rPr>
          <w:rStyle w:val="HideTWBInt"/>
        </w:rPr>
        <w:t>{EN}</w:t>
      </w:r>
      <w:r w:rsidRPr="00E324B0">
        <w:t>en</w:t>
      </w:r>
      <w:r w:rsidRPr="00E324B0">
        <w:rPr>
          <w:rStyle w:val="HideTWBExt"/>
        </w:rPr>
        <w:t>&lt;/Original&gt;</w:t>
      </w:r>
    </w:p>
    <w:p w:rsidR="00930C00" w:rsidRPr="00E324B0" w:rsidRDefault="00930C00" w:rsidP="00930C00">
      <w:r>
        <w:rPr>
          <w:rStyle w:val="HideTWBExt"/>
        </w:rPr>
        <w:t>&lt;/Amend&gt;</w:t>
      </w:r>
    </w:p>
    <w:p w:rsidR="00930C00" w:rsidRPr="00960FD7" w:rsidRDefault="00930C00" w:rsidP="00930C00">
      <w:pPr>
        <w:pStyle w:val="AmNumberTabs"/>
        <w:rPr>
          <w:lang w:val="en-GB"/>
        </w:rPr>
      </w:pPr>
      <w:r>
        <w:rPr>
          <w:rStyle w:val="HideTWBExt"/>
          <w:lang w:val="en-GB"/>
        </w:rPr>
        <w:t>&lt;Amend&gt;</w:t>
      </w:r>
      <w:r w:rsidRPr="00960FD7">
        <w:rPr>
          <w:lang w:val="en-GB"/>
        </w:rPr>
        <w:t>Änderungsantrag</w:t>
      </w:r>
      <w:r w:rsidRPr="00960FD7">
        <w:rPr>
          <w:lang w:val="en-GB"/>
        </w:rPr>
        <w:tab/>
      </w:r>
      <w:r w:rsidRPr="00960FD7">
        <w:rPr>
          <w:lang w:val="en-GB"/>
        </w:rPr>
        <w:tab/>
      </w:r>
      <w:r>
        <w:rPr>
          <w:rStyle w:val="HideTWBExt"/>
          <w:lang w:val="en-GB"/>
        </w:rPr>
        <w:t>&lt;NumAm&gt;</w:t>
      </w:r>
      <w:r w:rsidRPr="00960FD7">
        <w:rPr>
          <w:lang w:val="en-GB"/>
        </w:rPr>
        <w:t>537</w:t>
      </w:r>
      <w:r>
        <w:rPr>
          <w:rStyle w:val="HideTWBExt"/>
          <w:lang w:val="en-GB"/>
        </w:rPr>
        <w:t>&lt;/NumAm&gt;</w:t>
      </w:r>
    </w:p>
    <w:p w:rsidR="00930C00" w:rsidRPr="00960FD7" w:rsidRDefault="00930C00" w:rsidP="00930C00">
      <w:pPr>
        <w:pStyle w:val="NormalBold"/>
        <w:rPr>
          <w:lang w:val="en-GB"/>
        </w:rPr>
      </w:pPr>
      <w:r>
        <w:rPr>
          <w:rStyle w:val="HideTWBExt"/>
          <w:b w:val="0"/>
          <w:lang w:val="en-GB"/>
        </w:rPr>
        <w:t>&lt;RepeatBlock-By&gt;&lt;Members&gt;</w:t>
      </w:r>
      <w:r w:rsidRPr="00960FD7">
        <w:rPr>
          <w:lang w:val="en-GB"/>
        </w:rPr>
        <w:t>Jordan Bardella, Pierre-Romain Thionnet, Matthieu Valet, Roberto Vannacci</w:t>
      </w:r>
      <w:r>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746233"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46233" w:rsidRDefault="00930C00" w:rsidP="00930C00">
            <w:pPr>
              <w:pStyle w:val="Normal6a"/>
            </w:pPr>
            <w:r>
              <w:t>14.</w:t>
            </w:r>
            <w:r>
              <w:tab/>
              <w:t xml:space="preserve">weist darauf hin, dass die Sicherheit der Republik Moldau untrennbar mit der Sicherheit der Ukraine verbunden ist, und betrachtet die Republik Moldau als die zweite Verteidigungslinie zum Schutz der europäischen Lebensweise; </w:t>
            </w:r>
            <w:r>
              <w:rPr>
                <w:b/>
                <w:i/>
              </w:rPr>
              <w:t>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746233" w:rsidRDefault="00930C00" w:rsidP="00930C00">
            <w:pPr>
              <w:pStyle w:val="Normal6a"/>
            </w:pPr>
            <w:r>
              <w:t>14.</w:t>
            </w:r>
            <w:r>
              <w:tab/>
              <w:t>weist darauf hin, dass die Sicherheit der Republik Moldau untrennbar mit der Sicherheit der Ukraine verbunden ist, und betrachtet die Republik Moldau als die zweite Verteidigungslinie zum Schutz der europäischen Lebensweise;</w:t>
            </w:r>
          </w:p>
        </w:tc>
      </w:tr>
    </w:tbl>
    <w:p w:rsidR="00930C00" w:rsidRPr="00746233" w:rsidRDefault="00930C00" w:rsidP="00930C00">
      <w:pPr>
        <w:pStyle w:val="AmOrLang"/>
        <w:rPr>
          <w:lang w:val="en-GB"/>
        </w:rPr>
      </w:pPr>
      <w:r w:rsidRPr="00746233">
        <w:rPr>
          <w:lang w:val="en-GB"/>
        </w:rPr>
        <w:t xml:space="preserve">Or. </w:t>
      </w:r>
      <w:r w:rsidRPr="00746233">
        <w:rPr>
          <w:rStyle w:val="HideTWBExt"/>
          <w:lang w:val="en-GB"/>
        </w:rPr>
        <w:t>&lt;Original&gt;</w:t>
      </w:r>
      <w:r w:rsidRPr="00746233">
        <w:rPr>
          <w:rStyle w:val="HideTWBInt"/>
          <w:lang w:val="en-GB"/>
        </w:rPr>
        <w:t>{FR}</w:t>
      </w:r>
      <w:r w:rsidRPr="00746233">
        <w:rPr>
          <w:lang w:val="en-GB"/>
        </w:rPr>
        <w:t>fr</w:t>
      </w:r>
      <w:r w:rsidRPr="00746233">
        <w:rPr>
          <w:rStyle w:val="HideTWBExt"/>
          <w:lang w:val="en-GB"/>
        </w:rPr>
        <w:t>&lt;/Original&gt;</w:t>
      </w:r>
    </w:p>
    <w:p w:rsidR="00930C00" w:rsidRPr="00960FD7"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538</w:t>
      </w:r>
      <w:r w:rsidRPr="00930C00">
        <w:rPr>
          <w:rStyle w:val="HideTWBExt"/>
          <w:lang w:val="en-GB"/>
        </w:rPr>
        <w:t>&lt;/NumAm&gt;</w:t>
      </w:r>
    </w:p>
    <w:p w:rsidR="00930C00" w:rsidRPr="009C2015" w:rsidRDefault="00930C00" w:rsidP="00930C00">
      <w:pPr>
        <w:pStyle w:val="NormalBold"/>
        <w:rPr>
          <w:lang w:val="en-GB"/>
        </w:rPr>
      </w:pPr>
      <w:r w:rsidRPr="009C2015">
        <w:rPr>
          <w:rStyle w:val="HideTWBExt"/>
          <w:b w:val="0"/>
          <w:lang w:val="en-GB"/>
        </w:rPr>
        <w:lastRenderedPageBreak/>
        <w:t>&lt;RepeatBlock-By&gt;&lt;Members&gt;</w:t>
      </w:r>
      <w:r w:rsidRPr="009C2015">
        <w:rPr>
          <w:lang w:val="en-GB"/>
        </w:rPr>
        <w:t>David McAllister</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weist darauf hin, dass die Sicherheit 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E324B0" w:rsidRDefault="00930C00" w:rsidP="00930C00">
            <w:pPr>
              <w:pStyle w:val="Normal6a"/>
            </w:pPr>
            <w:r>
              <w:t>14.</w:t>
            </w:r>
            <w:r>
              <w:tab/>
              <w:t xml:space="preserve">weist darauf hin, dass die Sicherheit 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 </w:t>
            </w:r>
            <w:r>
              <w:rPr>
                <w:b/>
                <w:i/>
              </w:rPr>
              <w:t>begrüßt die Unterzeichnung der Sicherheits- und Verteidigungspartnerschaft zwischen der EU und der Republik Moldau und erachtet größere finanzielle Beiträge aus der Europäischen Friedensfazilität für notwendig, um die Verteidigungsfähigkeiten der Republik Moldau weiter zu verbessern, wobei ein besonderer Schwerpunkt auf Luftabwehrsystemen, Mobilität und Verkehr, Führung, elektronischer Kriegsführung und Logistik liegt;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539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António Tânger Corrêa</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 xml:space="preserve">weist darauf hin, dass die Sicherheit </w:t>
            </w:r>
            <w:r>
              <w:lastRenderedPageBreak/>
              <w:t xml:space="preserve">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w:t>
            </w:r>
            <w:r>
              <w:rPr>
                <w:b/>
                <w:i/>
              </w:rPr>
              <w:t xml:space="preserve">geeintes und starkes </w:t>
            </w:r>
            <w:r>
              <w:t xml:space="preserve">Europa </w:t>
            </w:r>
            <w:r>
              <w:rPr>
                <w:b/>
                <w:i/>
              </w:rPr>
              <w:t xml:space="preserve">wäre; fordert den HR/VP auf, die GASP-Partnerschaft mit </w:t>
            </w:r>
            <w:r>
              <w:t xml:space="preserve">der </w:t>
            </w:r>
            <w:r>
              <w:rPr>
                <w:b/>
                <w:i/>
              </w:rPr>
              <w:t>Ukraine und der Republik Moldau durch konkrete Maßnahmen und insbesondere durch Maßnahmen zur Gewährleistung der Unverletzlichkeit der Staatsgrenzen beider Länder zu stärken</w:t>
            </w:r>
            <w:r>
              <w:t>;</w:t>
            </w:r>
          </w:p>
        </w:tc>
        <w:tc>
          <w:tcPr>
            <w:tcW w:w="4876" w:type="dxa"/>
            <w:tcBorders>
              <w:top w:val="nil"/>
              <w:left w:val="nil"/>
              <w:bottom w:val="nil"/>
              <w:right w:val="nil"/>
            </w:tcBorders>
          </w:tcPr>
          <w:p w:rsidR="00930C00" w:rsidRPr="00E324B0" w:rsidRDefault="00930C00" w:rsidP="00930C00">
            <w:pPr>
              <w:pStyle w:val="Normal6a"/>
            </w:pPr>
            <w:r>
              <w:lastRenderedPageBreak/>
              <w:t>14.</w:t>
            </w:r>
            <w:r>
              <w:tab/>
              <w:t xml:space="preserve">weist darauf hin, dass die Sicherheit </w:t>
            </w:r>
            <w:r>
              <w:lastRenderedPageBreak/>
              <w:t xml:space="preserve">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Europa der </w:t>
            </w:r>
            <w:r>
              <w:rPr>
                <w:b/>
                <w:i/>
              </w:rPr>
              <w:t>Nationen sind</w:t>
            </w:r>
            <w:r>
              <w:t>;</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Urmas Paet, Hilde Vautmans, Petras Auštrevičius, Lucia Yar, Nathalie Loiseau, Ilhan Kyuchyuk</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weist darauf hin, dass die Sicherheit 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geeintes und starkes Europa wäre;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E324B0" w:rsidRDefault="00930C00" w:rsidP="00930C00">
            <w:pPr>
              <w:pStyle w:val="Normal6a"/>
            </w:pPr>
            <w:r>
              <w:t>14.</w:t>
            </w:r>
            <w:r>
              <w:tab/>
              <w:t xml:space="preserve">weist darauf hin, dass die Sicherheit der Republik Moldau untrennbar mit der Sicherheit der Ukraine verbunden ist, und betrachtet die Republik Moldau als die zweite Verteidigungslinie zum Schutz der europäischen Lebensweise; ist der Ansicht, dass sowohl der Beitritt der Ukraine als auch Moldaus zur EU eine geostrategische Investition in ein geeintes und starkes Europa wäre; </w:t>
            </w:r>
            <w:r>
              <w:rPr>
                <w:b/>
                <w:i/>
              </w:rPr>
              <w:t>begrüßt das Ergebnis des Referendums in Moldau über die Änderungen seiner Verfassung und das Engagement für seinen Beitritt zur EU;</w:t>
            </w:r>
            <w:r>
              <w:t xml:space="preserve"> fordert den HR/VP auf, die GASP-Partnerschaft mit der Ukraine und der Republik Moldau durch konkrete Maßnahmen und insbesondere durch Maßnahmen zur Gewährleistung der Unverletzlichkeit der Staatsgrenzen beider </w:t>
            </w:r>
            <w:r>
              <w:lastRenderedPageBreak/>
              <w:t>Länder zu stärken;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Christophe Gomart</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weist darauf hin, dass die Sicherheit der Republik Moldau untrennbar mit der Sicherheit der Ukraine verbunden ist, und betrachtet die Republik Moldau als die zweite Verteidigungslinie zum Schutz der europäischen Lebensweise;</w:t>
            </w:r>
            <w:r>
              <w:rPr>
                <w:b/>
                <w:i/>
              </w:rPr>
              <w:t xml:space="preserve"> ist der Ansicht, dass sowohl der Beitritt der Ukraine als auch Moldaus zur EU eine geostrategische Investition in ein geeintes und starkes Europa wäre;</w:t>
            </w:r>
            <w:r>
              <w:t xml:space="preserve"> fordert den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E324B0" w:rsidRDefault="00930C00" w:rsidP="00930C00">
            <w:pPr>
              <w:pStyle w:val="Normal6a"/>
            </w:pPr>
            <w:r>
              <w:t>14.</w:t>
            </w:r>
            <w:r>
              <w:tab/>
              <w:t>weist darauf hin, dass die Sicherheit der Republik Moldau untrennbar mit der Sicherheit der Ukraine verbunden ist, und betrachtet die Republik Moldau als die zweite Verteidigungslinie zum Schutz der europäischen Lebensweise; fordert den HR/VP auf, die GASP-Partnerschaft mit der Ukraine und der Republik Moldau durch konkrete Maßnahmen und insbesondere durch Maßnahmen zur Gewährleistung der Unverletzlichkeit der Staatsgrenzen beider Länder zu stärken;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Reinis Pozņaks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 xml:space="preserve">weist darauf hin, dass die Sicherheit der Republik Moldau untrennbar mit der Sicherheit der Ukraine verbunden ist, und betrachtet die Republik Moldau als die zweite Verteidigungslinie zum Schutz der europäischen Lebensweise; ist der Ansicht, </w:t>
            </w:r>
            <w:r>
              <w:lastRenderedPageBreak/>
              <w:t xml:space="preserve">dass sowohl der Beitritt der Ukraine als auch Moldaus zur EU eine geostrategische Investition in ein geeintes und starkes Europa wäre; fordert </w:t>
            </w:r>
            <w:r>
              <w:rPr>
                <w:b/>
                <w:i/>
              </w:rPr>
              <w:t>den</w:t>
            </w:r>
            <w:r>
              <w:t xml:space="preserve"> HR/VP auf, die GASP-Partnerschaft mit der Ukraine und der Republik Moldau durch konkrete Maßnahmen und insbesondere durch Maßnahmen zur Gewährleistung der Unverletzlichkeit der Staatsgrenzen beider Länder zu stärken;</w:t>
            </w:r>
          </w:p>
        </w:tc>
        <w:tc>
          <w:tcPr>
            <w:tcW w:w="4876" w:type="dxa"/>
            <w:tcBorders>
              <w:top w:val="nil"/>
              <w:left w:val="nil"/>
              <w:bottom w:val="nil"/>
              <w:right w:val="nil"/>
            </w:tcBorders>
          </w:tcPr>
          <w:p w:rsidR="00930C00" w:rsidRPr="00E324B0" w:rsidRDefault="00930C00" w:rsidP="00930C00">
            <w:pPr>
              <w:pStyle w:val="Normal6a"/>
            </w:pPr>
            <w:r>
              <w:lastRenderedPageBreak/>
              <w:t>14.</w:t>
            </w:r>
            <w:r>
              <w:tab/>
              <w:t xml:space="preserve">weist darauf hin, dass die Sicherheit der Republik Moldau untrennbar mit der Sicherheit der Ukraine verbunden ist, und betrachtet die Republik Moldau als die zweite Verteidigungslinie zum Schutz der europäischen Lebensweise; ist der Ansicht, </w:t>
            </w:r>
            <w:r>
              <w:lastRenderedPageBreak/>
              <w:t xml:space="preserve">dass sowohl der Beitritt der Ukraine als auch Moldaus zur EU eine geostrategische Investition in ein geeintes und starkes Europa wäre; fordert </w:t>
            </w:r>
            <w:r>
              <w:rPr>
                <w:b/>
                <w:i/>
              </w:rPr>
              <w:t>die</w:t>
            </w:r>
            <w:r>
              <w:t xml:space="preserve"> HR/VP auf, die GASP-Partnerschaft mit der Ukraine und der Republik Moldau durch konkrete Maßnahmen und insbesondere durch Maßnahmen zur Gewährleistung der Unverletzlichkeit der Staatsgrenzen beider Länder</w:t>
            </w:r>
            <w:r>
              <w:rPr>
                <w:b/>
                <w:i/>
              </w:rPr>
              <w:t xml:space="preserve"> und zur Unterstützung des Kampfes gegen Informationsmanipulation aus dem Ausland</w:t>
            </w:r>
            <w:r>
              <w:t xml:space="preserve"> zu stärken;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14.</w:t>
            </w:r>
            <w:r>
              <w:tab/>
              <w:t>weist darauf hin, dass die Sicherheit der Republik Moldau untrennbar mit der Sicherheit der Ukraine verbunden ist</w:t>
            </w:r>
            <w:r>
              <w:rPr>
                <w:b/>
                <w:i/>
              </w:rPr>
              <w:t>, und betrachtet die Republik Moldau als die zweite Verteidigungslinie zum Schutz der europäischen Lebensweise</w:t>
            </w:r>
            <w:r>
              <w:t xml:space="preserve">; ist der Ansicht, dass sowohl der Beitritt der Ukraine als auch Moldaus zur EU eine </w:t>
            </w:r>
            <w:r>
              <w:rPr>
                <w:b/>
                <w:i/>
              </w:rPr>
              <w:t>geostrategische</w:t>
            </w:r>
            <w:r>
              <w:t xml:space="preserve"> Investition in ein geeintes und starkes Europa wäre; fordert </w:t>
            </w:r>
            <w:r>
              <w:rPr>
                <w:b/>
                <w:i/>
              </w:rPr>
              <w:t>den</w:t>
            </w:r>
            <w:r>
              <w:t xml:space="preserve"> HR/VP auf, die GASP-Partnerschaft mit der Ukraine und der Republik Moldau durch konkrete Maßnahmen und insbesondere durch Maßnahmen zur Gewährleistung der Unverletzlichkeit der Staatsgrenzen beider Länder zu </w:t>
            </w:r>
            <w:r>
              <w:rPr>
                <w:b/>
                <w:i/>
              </w:rPr>
              <w:t>stärken</w:t>
            </w:r>
            <w:r>
              <w:t>;</w:t>
            </w:r>
          </w:p>
        </w:tc>
        <w:tc>
          <w:tcPr>
            <w:tcW w:w="4876" w:type="dxa"/>
            <w:tcBorders>
              <w:top w:val="nil"/>
              <w:left w:val="nil"/>
              <w:bottom w:val="nil"/>
              <w:right w:val="nil"/>
            </w:tcBorders>
          </w:tcPr>
          <w:p w:rsidR="00930C00" w:rsidRPr="00E324B0" w:rsidRDefault="00930C00" w:rsidP="00930C00">
            <w:pPr>
              <w:pStyle w:val="Normal6a"/>
            </w:pPr>
            <w:r>
              <w:t>14.</w:t>
            </w:r>
            <w:r>
              <w:tab/>
              <w:t xml:space="preserve">weist darauf hin, dass die Sicherheit der Republik Moldau untrennbar mit der Sicherheit der Ukraine verbunden ist; ist der Ansicht, dass sowohl der Beitritt der Ukraine als auch Moldaus zur EU eine </w:t>
            </w:r>
            <w:r>
              <w:rPr>
                <w:b/>
                <w:i/>
              </w:rPr>
              <w:t>für beide Seiten vorteilhafte</w:t>
            </w:r>
            <w:r>
              <w:t xml:space="preserve"> Investition in ein geeintes und starkes Europa wäre; fordert </w:t>
            </w:r>
            <w:r>
              <w:rPr>
                <w:b/>
                <w:i/>
              </w:rPr>
              <w:t>die</w:t>
            </w:r>
            <w:r>
              <w:t xml:space="preserve"> HR/VP auf, die GASP-Partnerschaft mit der Ukraine und der Republik Moldau durch konkrete Maßnahmen und insbesondere durch Maßnahmen zur Gewährleistung der Unverletzlichkeit der Staatsgrenzen beider Länder zu </w:t>
            </w:r>
            <w:r>
              <w:rPr>
                <w:b/>
                <w:i/>
              </w:rPr>
              <w:t>vertiefen</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lastRenderedPageBreak/>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 xml:space="preserve">verurteilt aufs Schärfste die ständigen und koordinierten Versuche der Russischen Föderation, prorussischer Oligarchen und von Russland geförderter Verbündeter vor Ort, die Republik Moldau zu destabilisieren, die Gesellschaft Moldaus zu spalten und das Land von seinem proeuropäischen Kurs durch hybride Angriffe, die Instrumentalisierung von Energielieferungen als Waffe, Desinformation, Bombenbedrohungen und böswillige Proteste abzubringen, sowie die Androhung oder den Einsatz von Gewalt; begrüßt die Ergebnisse des Referendums über den Beitritt zur EU und die historische Entscheidung der Bürgerinnen und Bürger der Republik Moldau für die Verankerung ihrer Zukunft in der EU, trotz massiver Einflussnahme und hybrider Attacken Russlands und seiner Helfer mit dem Ziel, die demokratische Abstimmung in Moldau zu untergraben; lobt die Einrichtung und die Operationen der EU-Partnerschaftsmission in Moldau (EUPM Moldova), durch die die Fähigkeit der staatlichen Stellen Moldaus, gegen die Einmischung Russlands vorzugehen, gestärkt wurde; fordert den Rat, die Kommission und den EAD auf, die zusätzlichen Ressourcen, einschließlich personeller und finanzieller Ressourcen, Ausrüstung und ziviler Experten, bereitzustellen, die erforderlich sind, um das Mandat der Mission nach Mai 2025 fortzuführen; fordert die Mitgliedstaaten ferner auf, zu prüfen, wie in anderen Bewerberländern gegebenenfalls ähnliche </w:t>
            </w:r>
            <w:r>
              <w:rPr>
                <w:b/>
                <w:i/>
              </w:rPr>
              <w:lastRenderedPageBreak/>
              <w:t>Missionen eingerichtet werden können, und zwar in enger Zusammenarbeit mit ihren nationalen Behörden;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stellt fest, dass die Ukraine in den kommenden Jahren erhebliche und belastende Schuldendienstzahlungen an den IWF und andere internationale Kreditgeber leisten muss; ist der Ansicht, dass angesichts der schwierigen wirtschaftlichen Lage in der Ukraine der Zugang der Ukraine zu öffentlichen Mitteln für den Wiederaufbau und die Bereitstellung öffentlicher Güter und Dienstleistungen erheblich eingeschränkt wird, wenn die vor dem Krieg und die während des Krieges entstandenen Schulden weiter beglichen werden; fordert die EU daher auf, die Auslandsschulden der Ukraine aufzuheben;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Nathalie Loiseau, Urmas Paet, Hilde Vautmans, Lucia Yar, Petras Auštrevičius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verurteilt die Einrichtung einer Schattenflotte aus älteren Tankschiffen mit undurchsichtigem Eigentum, die eine Gefahr für die Umwelt darstellt, durch Russland, um die EU-Sanktionen und Preisobergrenzen der EU/G7+ zu umgehen und um so ihre Effizienz erheblich zu verringern; fordert die Kommission auf, im Rahmen der Zusammenarbeit zwischen der EU und der Internationalen Seeschifffahrtsorganisation dringend Maßnahmen zu ergreifen, um die Tätigkeiten der Schattenflotte Russlands zu verhindern und einzuschränken;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Andrey Kovatchev</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begrüßt die Schritte Armeniens, sich von Russland und Belarus zu distanzieren, und die neuen positiven Impulse für die Beziehungen zwischen der EU und Armenien, die auch von Ministerpräsident Paschinjan in seiner Rede vor dem Europäischen Parlament im Oktober 2023 bestätigt wurden; fordert die Kommission und den Rat auf, Armeniens Wunsch nach verstärkter Zusammenarbeit mit der EU tatkräftig zu unterstützen; spricht sich für eine weitere Annäherung zwischen der EU und Armenien aus;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lastRenderedPageBreak/>
        <w:t>&lt;RepeatBlock-By&gt;&lt;Members&gt;</w:t>
      </w:r>
      <w:r w:rsidRPr="009C2015">
        <w:rPr>
          <w:lang w:val="en-GB"/>
        </w:rPr>
        <w:t>Eszter Lakos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ist besorgt über den zunehmenden Einfluss Russlands im Westbalkan, insbesondere durch Desinformationskampagnen über den Krieg in der Ukraine; ist beunruhigt darüber, dass mit dem Kreml verbundene Medien, die im Westbalkan tätig sind, ihre Aktivitäten nach Februar 2022 intensiviert haben, um prorussische Stimmungen zu fördern, die durch eine wiederkehrende antiwestliche Rhetorik angeheizt werden;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549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David McAllister</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betont, dass der Angriffskrieg Russlands gegen die Ukraine in Verbindung mit dem revisionistischen Verhalten der Russischen Föderation gegen eine Reihe von Staaten, die an das Schwarze Meer angrenzen, die östliche Nachbarschaft und den Westbalkan destabilisiert und bedroht, was wiederum die europäische Sicherheitsarchitektur untergräbt;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Adam Bielan</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lastRenderedPageBreak/>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betont, dass – wie im Strategischen Kompass der EU und durch die NATO dargelegt – die Stabilität in der Ostsee und im Schwarzen Meer für die Sicherheit Europas, einschließlich seiner Energiesicherheit, von größter Bedeutung ist, und daher umfassende Strategien und sinnvolle Maßnahmen erfordert;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Urmas Paet, Hilde Vautmans, Petras Auštrevičius, Lucia Yar, Nathalie Loiseau, Ilhan Kyuchyuk, Marie-Agnes Strack-Zimmermann</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bekräftigt seine Forderung an den Rat, bei Beschlüssen in Bereichen der GASP, die keine militärischen oder verteidigungspolitischen Bezüge haben, schrittweise zur Beschlussfassung mit qualifizierter Mehrheit überzugehen;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Nathalie Loiseau, Urmas Paet, Hilde Vautmans, Lucia Yar, Petras Auštrevičius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14b.</w:t>
            </w:r>
            <w:r>
              <w:tab/>
            </w:r>
            <w:r>
              <w:rPr>
                <w:b/>
                <w:i/>
              </w:rPr>
              <w:t xml:space="preserve">verurteilt die Versuche Russlands, </w:t>
            </w:r>
            <w:r>
              <w:rPr>
                <w:b/>
                <w:i/>
              </w:rPr>
              <w:lastRenderedPageBreak/>
              <w:t>dass Länder aus seinem früheren Einflussbereich, wie die Ukraine, Georgien und Moldau, aber auch Armenien, für die Entscheidung, den Weg der Demokratie einzuschlagen, einen hohen Preis dafür zahlen müssen; begrüßt die Entscheidung Armeniens, seine Mitgliedschaft in der Organisation des Vertrags über kollektive Sicherheit auszusetzen und alle Zahlungen an seinen Haushalt im Jahr 2024 einzustellen, nachdem Russland es versäumt hat, Armenien gegen die militärische Aggression Aserbaidschans zu unterstützen, und eine zuverlässigere Sicherheitsarchitektur anzustreben; unterstützt das offizielle Ersuchen Armeniens an die Russische Föderation, die ihrem Föderalen Dienst für Sicherheit angehörigen Grenzschutzbeamten vom internationalen Flughafen des Landes und von der armenisch-iranischen Grenze abzuziehen; begrüßt den Beschluss zur Annahme der Unterstützungsmaßnahmen im Rahmen der Europäischen Friedensfazilität zur Unterstützung der moldauischen und armenischen Streitkräfte am 13. Juni bzw. 22. Juli 2024;</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 Marco Tarquinio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14b.</w:t>
            </w:r>
            <w:r>
              <w:tab/>
            </w:r>
            <w:r>
              <w:rPr>
                <w:b/>
                <w:i/>
              </w:rPr>
              <w:t xml:space="preserve">lobt das moldauische Volk dafür, dass es die Präsidentschaftswahl trotz der anhaltenden massiven Einmischung Russlands und seiner Verbündeten </w:t>
            </w:r>
            <w:r>
              <w:rPr>
                <w:b/>
                <w:i/>
              </w:rPr>
              <w:lastRenderedPageBreak/>
              <w:t>professionell und mit außergewöhnlichem Verantwortungsbewusstsein und Engagement durchgeführt hat; fordert die staatlichen Stellen auf, diese Bemühungen im Hinblick auf die Parlamentswahl im nächsten Jahr fortzusetzen; bekräftigt seine Unterstützung für Moldau bei der Verteidigung seiner Demokratie;</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Urmas Paet, Hilde Vautmans, Petras Auštrevičius, Lucia Yar, Nathalie Loiseau, Ilhan Kyuchyuk, Marie-Agnes Strack-Zimmermann</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14b.</w:t>
            </w:r>
            <w:r>
              <w:tab/>
            </w:r>
            <w:r>
              <w:rPr>
                <w:b/>
                <w:i/>
              </w:rPr>
              <w:t>betont, dass angesichts der äußerst instabilen geopolitischen Lage und des internationalen Umfelds rund um die Union eine erhebliche finanzielle und budgetäre Aufstockung erforderlich ist, damit im Rahmen der europäischen Verteidigung die Herausforderungen kurz- und langfristig bewältigt werden können; fordert die Kommission auf, den an Russland und Belarus angrenzenden EU-Außengrenzen besondere Aufmerksamkeit zu widmen;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Adam Bielan</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 b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14b.</w:t>
            </w:r>
            <w:r>
              <w:tab/>
            </w:r>
            <w:r>
              <w:rPr>
                <w:b/>
                <w:i/>
              </w:rPr>
              <w:t>hebt hervor, dass der Europäischen Friedensfazilität (EFF) bei der Stärkung der Fähigkeit der EU, Konflikte zu verhindern, den Frieden zu fördern und die internationale Sicherheit zu stärken, eine große Bedeutung zukommt; fordert eine deutlich verstärkte militärische Unterstützung für Partnerländer, wie die Ukraine, die Republik Moldau, Georgien und die Länder des Westbalkans;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14b.</w:t>
            </w:r>
            <w:r>
              <w:tab/>
            </w:r>
            <w:r>
              <w:rPr>
                <w:b/>
                <w:i/>
              </w:rPr>
              <w:t>fordert die Kommission und den Rat auf, eine neue Architektur für die kollektive Sicherheit in Europa vorzulegen, die auf den Grundsätzen der Charta der Vereinten Nationen und des Helsinki-Prozesses beruht;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Urmas Paet, Hilde Vautmans, Petras Auštrevičius, Lucia Yar, Nathalie Loiseau, Ilhan Kyuchyuk, Marie-Agnes Strack-Zimmermann</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14c.</w:t>
            </w:r>
            <w:r>
              <w:tab/>
            </w:r>
            <w:r>
              <w:rPr>
                <w:b/>
                <w:i/>
              </w:rPr>
              <w:t xml:space="preserve">betont, wie wichtig es ist, die Bemühungen der EU in Zusammenarbeit mit der NATO und anderen internationalen Partnern zu verstärken, </w:t>
            </w:r>
            <w:r>
              <w:rPr>
                <w:b/>
                <w:i/>
              </w:rPr>
              <w:lastRenderedPageBreak/>
              <w:t>um die Widerstandsfähigkeit gegen hybride Bedrohungen, Cyberangriffe und Desinformations- und Propagandakampagnen sowohl innerhalb der Union als auch in Drittländern zu verbessern und zu fördern;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Nathalie Loiseau, Hilde Vautmans, Lucia Yar, Petras Auštrevičius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14c.</w:t>
            </w:r>
            <w:r>
              <w:tab/>
            </w:r>
            <w:r>
              <w:rPr>
                <w:b/>
                <w:i/>
              </w:rPr>
              <w:t>bedauert, dass es Russland und seinen Unterstützern bislang gelungen zu sein scheint, die Bestrebungen der großen Mehrheit des georgischen Volkes, in einer demokratischen Gesellschaft zu leben, zu vereiteln;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559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14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14c.</w:t>
            </w:r>
            <w:r>
              <w:tab/>
            </w:r>
            <w:r>
              <w:rPr>
                <w:b/>
                <w:i/>
              </w:rPr>
              <w:t>fordert die EU-Mitgliedstaaten auf, den Vertrag der Vereinten Nationen über das Verbot von Kernwaffen zu unterzeichnen und zu ratifizieren;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E324B0" w:rsidRDefault="00930C00" w:rsidP="00930C00">
      <w:pPr>
        <w:pStyle w:val="AmNumberTabs"/>
      </w:pPr>
      <w:r>
        <w:rPr>
          <w:rStyle w:val="HideTWBExt"/>
        </w:rPr>
        <w:lastRenderedPageBreak/>
        <w:t>&lt;Amend&gt;</w:t>
      </w:r>
      <w:r>
        <w:t>Änderungsantrag</w:t>
      </w:r>
      <w:r>
        <w:tab/>
      </w:r>
      <w:r>
        <w:tab/>
      </w:r>
      <w:r>
        <w:rPr>
          <w:rStyle w:val="HideTWBExt"/>
        </w:rPr>
        <w:t>&lt;NumAm&gt;</w:t>
      </w:r>
      <w:r>
        <w:t>560</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Zwischenüberschrift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rPr>
                <w:b/>
                <w:i/>
              </w:rPr>
              <w:t>Beilegung von Konflikten</w:t>
            </w:r>
            <w:r>
              <w:t xml:space="preserve"> und </w:t>
            </w:r>
            <w:r>
              <w:rPr>
                <w:b/>
                <w:i/>
              </w:rPr>
              <w:t>Unterstützung des Friedens</w:t>
            </w:r>
            <w:r>
              <w:t xml:space="preserve"> im Nahen Osten</w:t>
            </w:r>
          </w:p>
        </w:tc>
        <w:tc>
          <w:tcPr>
            <w:tcW w:w="4876" w:type="dxa"/>
            <w:tcBorders>
              <w:top w:val="nil"/>
              <w:left w:val="nil"/>
              <w:bottom w:val="nil"/>
              <w:right w:val="nil"/>
            </w:tcBorders>
          </w:tcPr>
          <w:p w:rsidR="00930C00" w:rsidRPr="00E324B0" w:rsidRDefault="00930C00" w:rsidP="00930C00">
            <w:pPr>
              <w:pStyle w:val="Normal6a"/>
            </w:pPr>
            <w:r>
              <w:rPr>
                <w:b/>
                <w:i/>
              </w:rPr>
              <w:t>Hinarbeiten auf einen gerechten</w:t>
            </w:r>
            <w:r>
              <w:t xml:space="preserve"> und </w:t>
            </w:r>
            <w:r>
              <w:rPr>
                <w:b/>
                <w:i/>
              </w:rPr>
              <w:t>dauerhaften Frieden</w:t>
            </w:r>
            <w:r>
              <w:t xml:space="preserve"> im Nahen Osten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14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14a.</w:t>
            </w:r>
            <w:r>
              <w:tab/>
            </w:r>
            <w:r>
              <w:rPr>
                <w:b/>
                <w:i/>
              </w:rPr>
              <w:t>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sowie sich zu einer Deeskalation zu verpflichten und von einer weiteren Eskalation abzusehen; fordert die HR/VP und die Mitgliedstaaten auf, ihre diplomatischen Bemühungen mit internationalen Partnern, auch mit den Golfstaaten, fortzusetzen und zu intensivieren, um eine dringend notwendige Deeskalation und einen sinnvollen Dialog zu fördern; bedauert zutiefst die Eskalation im Nahen Osten und den Verlust Tausender ziviler Menschenleben;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lastRenderedPageBreak/>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Sven Mikser, Lucia Annunziata, Nicola Zingaretti, Thijs Reuten, Alessandra Moretti, Giorgio Gori, Tobias Cremer, Yannis Maniatis, Marco Tarquinio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bekräftigt das Recht Israels, sich zu verteidigen, wie es im Völkerrecht verankert und durch dieses eingeschränkt ist; fordert die unverzügliche und bedingungslose Freilassung aller Geiseln und einen</w:t>
            </w:r>
            <w:r>
              <w:rPr>
                <w:b/>
                <w:i/>
              </w:rPr>
              <w:t xml:space="preserve"> anschließenden</w:t>
            </w:r>
            <w:r>
              <w:t xml:space="preserve">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w:t>
            </w:r>
            <w:r>
              <w:rPr>
                <w:b/>
                <w:i/>
              </w:rPr>
              <w:t>bringt seine tiefste Besorgnis über die unverhältnismäßigen militärischen Maßnahmen der israelischen Streitkräfte im Gazastreifen und im Westjordanland zum Ausdruck;</w:t>
            </w:r>
            <w:r>
              <w:t xml:space="preserve"> fordert die unverzügliche und bedingungslose Freilassung aller Geiseln und einen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 </w:t>
            </w:r>
            <w:r>
              <w:rPr>
                <w:b/>
                <w:i/>
              </w:rPr>
              <w:t xml:space="preserve">bringt seine tiefe Besorgnis über die vom israelischen Parlament gebilligten Rechtsvorschriften zum Ausdruck, die Kontakte zwischen staatlichen Einrichtungen Israels und dem Hilfswerk der Vereinten Nationen für Palästinaflüchtlinge (UNRWA) verbieten; betont, dass die Rechtsvorschriften gegen das Völkerrecht und gegen die grundlegenden humanitären Grundsätze der Menschlichkeit verstoßen und eine bereits schwere humanitäre Krise nur verschärfen, wodurch grundlegende Dienstleistungen wie Nahrungsmittel, Unterkunft, Bildung und Gesundheitsversorgung für Millionen palästinensischer Flüchtlinge in diesen Gebieten möglicherweise nicht mehr zur Verfügung stehen; fordert die EU-Organe </w:t>
            </w:r>
            <w:r>
              <w:rPr>
                <w:b/>
                <w:i/>
              </w:rPr>
              <w:lastRenderedPageBreak/>
              <w:t>und die Mitgliedstaaten nachdrücklich auf, sich weiterhin für die Unterstützung des UNRWA und seiner Mission einzusetzen;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Thijs Reuten, Nacho Sánchez Amor</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bekräftigt das Recht Israels, sich zu verteidigen, wie es im Völkerrecht verankert und durch dieses eingeschränkt ist; fordert die unverzügliche und bedingungslose Freilassung aller Geiseln und einen anschließenden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fordert die unverzügliche und bedingungslose Freilassung aller Geiseln und einen anschließenden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 </w:t>
            </w:r>
            <w:r>
              <w:rPr>
                <w:b/>
                <w:i/>
              </w:rPr>
              <w:t xml:space="preserve">weist darauf hin, dass die Unterstützung des UNRWA für die Strategie der EU zur Förderung der Stabilität sowie zur Unterstützung der Zivilbevölkerung und der Entwicklung im Nahen Osten nach wie vor von entscheidender Bedeutung ist; fordert angesichts des beispiellosen Bedarfs im Gazastreifen und in der gesamten Region eine dauerhafte und verstärkte Unterstützung des UNRWA; begrüßt die Maßnahmen, die die Vereinten Nationen nach schwerwiegenden Vorwürfen gegen das Personal des Hilfswerks ergriffen haben; begrüßt die uneingeschränkte Zusage des UNRWA, die Empfehlungen aus dem „Colonna-Bericht“ umzusetzen </w:t>
            </w:r>
            <w:r>
              <w:rPr>
                <w:b/>
                <w:i/>
              </w:rPr>
              <w:lastRenderedPageBreak/>
              <w:t>und den Schlussfolgerungen des Europäischen Rates vom 17. Oktober 2024 Rechnung zu tragen; verurteilt die Annahme von Gesetzen durch die israelische Knesset, die das UNRWA daran hindern könnten, seine wesentliche Arbeit fortzusetzen;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564</w:t>
      </w:r>
      <w:r>
        <w:rPr>
          <w:rStyle w:val="HideTWBExt"/>
        </w:rPr>
        <w:t>&lt;/NumAm&gt;</w:t>
      </w:r>
    </w:p>
    <w:p w:rsidR="00930C00" w:rsidRPr="00E324B0"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r>
            <w:r>
              <w:rPr>
                <w:b/>
                <w:i/>
              </w:rPr>
              <w:t>bekräftigt das Recht Israels, sich zu verteidigen, wie es im Völkerrecht verankert und durch dieses eingeschränkt ist;</w:t>
            </w:r>
            <w:r>
              <w:t xml:space="preserve"> fordert die unverzügliche und bedingungslose Freilassung aller Geiseln und einen anschließenden sofortigen und permanenten Waffenstillstand</w:t>
            </w:r>
            <w:r>
              <w:rPr>
                <w:b/>
                <w:i/>
              </w:rPr>
              <w:t>, um der Gefahr einer schweren Hungersnot und des Ausbruchs einer Gesundheitskrise</w:t>
            </w:r>
            <w:r>
              <w:t xml:space="preserve"> im Gazastreifen </w:t>
            </w:r>
            <w:r>
              <w:rPr>
                <w:b/>
                <w:i/>
              </w:rPr>
              <w:t xml:space="preserve">entgegenzuwirken; weist darauf hin, dass Israel auch verpflichtet ist, die Zivilbevölkerung zu schützen, und dass Militäreinsätze verhältnismäßig sein </w:t>
            </w:r>
            <w:r>
              <w:t xml:space="preserve">und im </w:t>
            </w:r>
            <w:r>
              <w:rPr>
                <w:b/>
                <w:i/>
              </w:rPr>
              <w:t>Einklang mit dem humanitären Völkerrecht stehen müssen</w:t>
            </w:r>
            <w:r>
              <w:t>;</w:t>
            </w:r>
          </w:p>
        </w:tc>
        <w:tc>
          <w:tcPr>
            <w:tcW w:w="4876" w:type="dxa"/>
            <w:tcBorders>
              <w:top w:val="nil"/>
              <w:left w:val="nil"/>
              <w:bottom w:val="nil"/>
              <w:right w:val="nil"/>
            </w:tcBorders>
          </w:tcPr>
          <w:p w:rsidR="00930C00" w:rsidRPr="00E324B0" w:rsidRDefault="00930C00" w:rsidP="00930C00">
            <w:pPr>
              <w:pStyle w:val="Normal6a"/>
            </w:pPr>
            <w:r>
              <w:t>15.</w:t>
            </w:r>
            <w:r>
              <w:tab/>
              <w:t xml:space="preserve">fordert die unverzügliche und bedingungslose Freilassung aller Geiseln und einen anschließenden sofortigen und permanenten Waffenstillstand im Gazastreifen und im </w:t>
            </w:r>
            <w:r>
              <w:rPr>
                <w:b/>
                <w:i/>
              </w:rPr>
              <w:t>Libanon</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Sebastiaan Stöteler</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w:t>
            </w:r>
            <w:r>
              <w:lastRenderedPageBreak/>
              <w:t>verteidigen, wie es im Völkerrecht verankert und durch dieses eingeschränkt ist; fordert die unverzügliche und bedingungslose Freilassung aller Geiseln</w:t>
            </w:r>
            <w:r>
              <w:rPr>
                <w:b/>
                <w:i/>
              </w:rPr>
              <w:t xml:space="preserve"> und einen anschließenden sofortigen und permanenten</w:t>
            </w:r>
            <w:r>
              <w:t xml:space="preserve"> Waffenstillstand, </w:t>
            </w:r>
            <w:r>
              <w:rPr>
                <w:b/>
                <w:i/>
              </w:rPr>
              <w:t xml:space="preserve">um </w:t>
            </w:r>
            <w:r>
              <w:t xml:space="preserve">der </w:t>
            </w:r>
            <w:r>
              <w:rPr>
                <w:b/>
                <w:i/>
              </w:rPr>
              <w:t>Gefahr einer schweren Hungersnot und</w:t>
            </w:r>
            <w:r>
              <w:t xml:space="preserve"> des </w:t>
            </w:r>
            <w:r>
              <w:rPr>
                <w:b/>
                <w:i/>
              </w:rPr>
              <w:t>Ausbruchs einer Gesundheitskrise im Gazastreifen entgegenzuwirken</w:t>
            </w:r>
            <w:r>
              <w:t>;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lastRenderedPageBreak/>
              <w:t>15.</w:t>
            </w:r>
            <w:r>
              <w:tab/>
              <w:t xml:space="preserve">bekräftigt das Recht Israels, sich zu </w:t>
            </w:r>
            <w:r>
              <w:lastRenderedPageBreak/>
              <w:t>verteidigen, wie es im Völkerrecht verankert und durch dieses eingeschränkt ist; fordert die unverzügliche und bedingungslose Freilassung aller Geiseln</w:t>
            </w:r>
            <w:r>
              <w:rPr>
                <w:b/>
                <w:i/>
              </w:rPr>
              <w:t>, die im Gazastreifen von palästinensischen Terrororganisationen, einschließlich der Hamas, festgehalten werden; unterstützt einen</w:t>
            </w:r>
            <w:r>
              <w:t xml:space="preserve"> Waffenstillstand, der </w:t>
            </w:r>
            <w:r>
              <w:rPr>
                <w:b/>
                <w:i/>
              </w:rPr>
              <w:t>sowohl den unschuldigen Zivilisten auf beiden Seiten</w:t>
            </w:r>
            <w:r>
              <w:t xml:space="preserve"> des </w:t>
            </w:r>
            <w:r>
              <w:rPr>
                <w:b/>
                <w:i/>
              </w:rPr>
              <w:t>Konflikts als auch dem Nahen Osten zugutekommen wird</w:t>
            </w:r>
            <w:r>
              <w:t xml:space="preserve">; weist darauf hin, dass Israel auch verpflichtet ist, die Zivilbevölkerung zu schützen, und dass Militäreinsätze verhältnismäßig sein und im Einklang mit dem humanitären Völkerrecht stehen müssen; </w:t>
            </w:r>
            <w:r>
              <w:rPr>
                <w:b/>
                <w:i/>
              </w:rPr>
              <w:t>weist darauf hin, dass Terrorismus, seine Unterstützung und seine Verherrlichung einer friedlichen Lösung des Konflikts zuwiderlaufen;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Miriam Lexmann</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bekräftigt das Recht Israels, sich zu verteidigen, wie es im Völkerrecht verankert und durch dieses eingeschränkt ist; fordert die unverzügliche und bedingungslose Freilassung aller Geiseln und einen anschließenden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fordert die unverzügliche und bedingungslose Freilassung aller Geiseln und einen anschließenden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 </w:t>
            </w:r>
            <w:r>
              <w:rPr>
                <w:b/>
                <w:i/>
              </w:rPr>
              <w:t xml:space="preserve">bekräftigt, </w:t>
            </w:r>
            <w:r>
              <w:rPr>
                <w:b/>
                <w:i/>
              </w:rPr>
              <w:lastRenderedPageBreak/>
              <w:t>dass die gesamte Verantwortung für den anhaltenden Konflikt beim Iran und seinen Verbündeten, einschließlich der Hamas und der Hisbollah, liegt;</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w:t>
            </w:r>
            <w:r>
              <w:rPr>
                <w:b/>
                <w:i/>
              </w:rPr>
              <w:t>Israels</w:t>
            </w:r>
            <w:r>
              <w:t xml:space="preserve">, sich zu verteidigen, wie es im Völkerrecht verankert und durch dieses eingeschränkt ist; fordert die unverzügliche und bedingungslose Freilassung aller Geiseln und </w:t>
            </w:r>
            <w:r>
              <w:rPr>
                <w:b/>
                <w:i/>
              </w:rPr>
              <w:t>einen anschließenden sofortigen und permanenten Waffenstillstand, um der Gefahr einer schweren Hungersnot</w:t>
            </w:r>
            <w:r>
              <w:t xml:space="preserve"> und </w:t>
            </w:r>
            <w:r>
              <w:rPr>
                <w:b/>
                <w:i/>
              </w:rPr>
              <w:t xml:space="preserve">des Ausbruchs einer Gesundheitskrise </w:t>
            </w:r>
            <w:r>
              <w:t xml:space="preserve">im </w:t>
            </w:r>
            <w:r>
              <w:rPr>
                <w:b/>
                <w:i/>
              </w:rPr>
              <w:t>Gazastreifen entgegenzuwirken</w:t>
            </w:r>
            <w:r>
              <w:t>;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t>15.</w:t>
            </w:r>
            <w:r>
              <w:tab/>
              <w:t>bekräftigt</w:t>
            </w:r>
            <w:r>
              <w:rPr>
                <w:b/>
                <w:i/>
              </w:rPr>
              <w:t>, dass Israel zwar</w:t>
            </w:r>
            <w:r>
              <w:t xml:space="preserve"> das Recht </w:t>
            </w:r>
            <w:r>
              <w:rPr>
                <w:b/>
                <w:i/>
              </w:rPr>
              <w:t>hatte</w:t>
            </w:r>
            <w:r>
              <w:t xml:space="preserve">, sich </w:t>
            </w:r>
            <w:r>
              <w:rPr>
                <w:b/>
                <w:i/>
              </w:rPr>
              <w:t xml:space="preserve">nach den Angriffen der Hamas vom 7. Oktober </w:t>
            </w:r>
            <w:r>
              <w:t>zu verteidigen, wie es im Völkerrecht verankert und durch dieses eingeschränkt ist</w:t>
            </w:r>
            <w:r>
              <w:rPr>
                <w:b/>
                <w:i/>
              </w:rPr>
              <w:t>, sein Handeln aber auch im Einklang mit den Grenzen des Völkerrechts stehen muss</w:t>
            </w:r>
            <w:r>
              <w:t xml:space="preserve">; fordert die unverzügliche und bedingungslose Freilassung aller Geiseln und </w:t>
            </w:r>
            <w:r>
              <w:rPr>
                <w:b/>
                <w:i/>
              </w:rPr>
              <w:t>das Beenden aller Formen von Gewalt gegen Zivilisten im Gazastreifen</w:t>
            </w:r>
            <w:r>
              <w:t xml:space="preserve"> und im </w:t>
            </w:r>
            <w:r>
              <w:rPr>
                <w:b/>
                <w:i/>
              </w:rPr>
              <w:t>Libanon</w:t>
            </w:r>
            <w:r>
              <w:t xml:space="preserve">; weist darauf hin, dass Israel auch verpflichtet ist, die Zivilbevölkerung zu schützen, und dass Militäreinsätze verhältnismäßig sein und im Einklang mit dem humanitären Völkerrecht stehen müssen; </w:t>
            </w:r>
            <w:r>
              <w:rPr>
                <w:b/>
                <w:i/>
              </w:rPr>
              <w:t>betont, dass es wichtig ist, humanitäre Hilfe bedingungslos bereitzustellen;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Hermann Tertsch, Jorge Martín Frías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w:t>
            </w:r>
            <w:r>
              <w:lastRenderedPageBreak/>
              <w:t>verteidigen, wie es im Völkerrecht verankert und durch dieses eingeschränkt ist; fordert die unverzügliche und bedingungslose Freilassung aller Geiseln</w:t>
            </w:r>
            <w:r>
              <w:rPr>
                <w:b/>
                <w:i/>
              </w:rPr>
              <w:t xml:space="preserve"> und einen anschließenden sofortigen und permanenten Waffenstillstand, um der Gefahr einer schweren Hungersnot und des Ausbruchs einer Gesundheitskrise im Gazastreifen entgegenzuwirken; weist darauf hin, dass Israel auch verpflichtet ist, die Zivilbevölkerung zu schützen</w:t>
            </w:r>
            <w:r>
              <w:t xml:space="preserve">, </w:t>
            </w:r>
            <w:r>
              <w:rPr>
                <w:b/>
                <w:i/>
              </w:rPr>
              <w:t>und dass Militäreinsätze verhältnismäßig sein und im Einklang mit dem humanitären Völkerrecht stehen müssen</w:t>
            </w:r>
            <w:r>
              <w:t>;</w:t>
            </w:r>
          </w:p>
        </w:tc>
        <w:tc>
          <w:tcPr>
            <w:tcW w:w="4876" w:type="dxa"/>
            <w:tcBorders>
              <w:top w:val="nil"/>
              <w:left w:val="nil"/>
              <w:bottom w:val="nil"/>
              <w:right w:val="nil"/>
            </w:tcBorders>
          </w:tcPr>
          <w:p w:rsidR="00930C00" w:rsidRPr="00E324B0" w:rsidRDefault="00930C00" w:rsidP="00930C00">
            <w:pPr>
              <w:pStyle w:val="Normal6a"/>
            </w:pPr>
            <w:r>
              <w:lastRenderedPageBreak/>
              <w:t>15.</w:t>
            </w:r>
            <w:r>
              <w:tab/>
              <w:t xml:space="preserve">bekräftigt das Recht Israels, sich zu </w:t>
            </w:r>
            <w:r>
              <w:lastRenderedPageBreak/>
              <w:t xml:space="preserve">verteidigen, wie es im Völkerrecht verankert und durch dieses eingeschränkt ist; fordert die unverzügliche und bedingungslose Freilassung aller </w:t>
            </w:r>
            <w:r>
              <w:rPr>
                <w:b/>
                <w:i/>
              </w:rPr>
              <w:t xml:space="preserve">israelischen </w:t>
            </w:r>
            <w:r>
              <w:t>Geiseln</w:t>
            </w:r>
            <w:r>
              <w:rPr>
                <w:b/>
                <w:i/>
              </w:rPr>
              <w:t>; erkennt an, dass die terroristische Organisation Hamas zunächst ausgemerzt werden muss, um einen dauerhaften Frieden und eine politische Verhandlungslösung zu erreichen; begrüßt in diesem Zusammenhang, dass die israelischen Streitkräfte die Führung der Hamas eliminiert haben</w:t>
            </w:r>
            <w:r>
              <w:t>;</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569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Nacho Sánchez Amor, Sven Mikser, Thijs Reuten, Alessandra Moretti, Yannis Maniatis, Marco Tarquinio, 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bekräftigt das Recht Israels, sich zu verteidigen, wie es im Völkerrecht verankert und durch dieses eingeschränkt ist; fordert die unverzügliche und bedingungslose Freilassung aller Geiseln und</w:t>
            </w:r>
            <w:r>
              <w:rPr>
                <w:b/>
                <w:i/>
              </w:rPr>
              <w:t xml:space="preserve"> einen anschließenden sofortigen und permanenten Waffenstillstand, um der Gefahr einer schweren Hungersnot und des Ausbruchs einer Gesundheitskrise im Gazastreifen entgegenzuwirken;</w:t>
            </w:r>
            <w:r>
              <w:t xml:space="preserve">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w:t>
            </w:r>
            <w:r>
              <w:rPr>
                <w:b/>
                <w:i/>
              </w:rPr>
              <w:t xml:space="preserve">und im humanitären Völkerrecht </w:t>
            </w:r>
            <w:r>
              <w:t>verankert und durch dieses eingeschränkt ist; fordert die unverzügliche und bedingungslose Freilassung aller Geiseln und weist darauf hin, dass Israel auch verpflichtet ist, die Zivilbevölkerung zu schützen, und dass Militäreinsätze verhältnismäßig sein und im Einklang mit dem humanitären Völkerrecht stehen müssen;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lastRenderedPageBreak/>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Hannah Neumann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{Greens/EFA}</w:t>
      </w:r>
      <w:r w:rsidRPr="009C2015">
        <w:rPr>
          <w:lang w:val="en-GB"/>
        </w:rPr>
        <w:t>im Namen der Verts/ALE-Fraktion</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bekräftigt das Recht Israels, sich zu verteidigen, wie es im Völkerrecht verankert und durch dieses eingeschränkt ist; fordert die unverzügliche und bedingungslose Freilassung aller Geiseln und einen anschließenden 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rPr>
                <w:i/>
              </w:rPr>
              <w:t>(Betrifft nicht die deutsche Fassung.)</w:t>
            </w:r>
            <w:r>
              <w:tab/>
            </w:r>
            <w:r w:rsidR="00974CFB">
              <w:t xml:space="preserve"> </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Nathalie Loiseau, Hilde Vautmans, Lucia Yar, Petras Auštrevičius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fordert die unverzügliche und bedingungslose Freilassung aller Geiseln und einen </w:t>
            </w:r>
            <w:r>
              <w:rPr>
                <w:b/>
                <w:i/>
              </w:rPr>
              <w:t xml:space="preserve">anschließenden </w:t>
            </w:r>
            <w:r>
              <w:t xml:space="preserve">sofortigen und permanenten Waffenstillstand, um der Gefahr einer schweren Hungersnot und des Ausbruchs einer Gesundheitskrise im Gazastreifen entgegenzuwirken; weist darauf hin, dass Israel auch verpflichtet ist, </w:t>
            </w:r>
            <w:r>
              <w:lastRenderedPageBreak/>
              <w:t>die Zivilbevölkerung zu schützen, und dass Militäreinsätze verhältnismäßig sein und im Einklang mit dem humanitären Völkerrecht stehen müssen;</w:t>
            </w:r>
          </w:p>
        </w:tc>
        <w:tc>
          <w:tcPr>
            <w:tcW w:w="4876" w:type="dxa"/>
            <w:tcBorders>
              <w:top w:val="nil"/>
              <w:left w:val="nil"/>
              <w:bottom w:val="nil"/>
              <w:right w:val="nil"/>
            </w:tcBorders>
          </w:tcPr>
          <w:p w:rsidR="00930C00" w:rsidRPr="00E324B0" w:rsidRDefault="00930C00" w:rsidP="00930C00">
            <w:pPr>
              <w:pStyle w:val="Normal6a"/>
            </w:pPr>
            <w:r>
              <w:lastRenderedPageBreak/>
              <w:t>15.</w:t>
            </w:r>
            <w:r>
              <w:tab/>
              <w:t>bekräftigt das Recht Israels, sich zu verteidigen, wie es im Völkerrecht verankert und durch dieses eingeschränkt ist; fordert die unverzügliche und bedingungslose Freilassung aller Geiseln und einen sofortigen und permanenten Waffenstillstand,</w:t>
            </w:r>
            <w:r>
              <w:rPr>
                <w:b/>
                <w:i/>
              </w:rPr>
              <w:t xml:space="preserve"> insbesondere</w:t>
            </w:r>
            <w:r>
              <w:t xml:space="preserve"> um der Gefahr einer schweren Hungersnot und des Ausbruchs einer Gesundheitskrise im Gazastreifen entgegenzuwirken; weist darauf hin, dass Israel auch verpflichtet ist, </w:t>
            </w:r>
            <w:r>
              <w:lastRenderedPageBreak/>
              <w:t>die Zivilbevölkerung zu schützen, und dass Militäreinsätze verhältnismäßig sein und im Einklang mit dem humanitären Völkerrecht stehen müssen;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fordert die unverzügliche und bedingungslose Freilassung aller Geiseln und einen </w:t>
            </w:r>
            <w:r>
              <w:rPr>
                <w:b/>
                <w:i/>
              </w:rPr>
              <w:t xml:space="preserve">anschließenden </w:t>
            </w:r>
            <w:r>
              <w:t xml:space="preserve">sofortigen und permanenten Waffenstillstand, um der Gefahr einer schweren Hungersnot und des Ausbruchs einer Gesundheitskrise im Gazastreifen entgegenzuwirken; weist darauf hin, dass Israel auch verpflichtet ist, die Zivilbevölkerung zu schützen, und dass Militäreinsätze verhältnismäßig </w:t>
            </w:r>
            <w:r>
              <w:rPr>
                <w:b/>
                <w:i/>
              </w:rPr>
              <w:t>sein</w:t>
            </w:r>
            <w:r>
              <w:t xml:space="preserve"> und </w:t>
            </w:r>
            <w:r>
              <w:rPr>
                <w:b/>
                <w:i/>
              </w:rPr>
              <w:t>im Einklang mit dem humanitären</w:t>
            </w:r>
            <w:r>
              <w:t xml:space="preserve"> Völkerrecht </w:t>
            </w:r>
            <w:r>
              <w:rPr>
                <w:b/>
                <w:i/>
              </w:rPr>
              <w:t>stehen müssen</w:t>
            </w:r>
            <w:r>
              <w:t>;</w:t>
            </w:r>
          </w:p>
        </w:tc>
        <w:tc>
          <w:tcPr>
            <w:tcW w:w="4876" w:type="dxa"/>
            <w:tcBorders>
              <w:top w:val="nil"/>
              <w:left w:val="nil"/>
              <w:bottom w:val="nil"/>
              <w:right w:val="nil"/>
            </w:tcBorders>
          </w:tcPr>
          <w:p w:rsidR="00930C00" w:rsidRPr="00E324B0" w:rsidRDefault="00930C00" w:rsidP="00930C00">
            <w:pPr>
              <w:pStyle w:val="Normal6a"/>
            </w:pPr>
            <w:r>
              <w:t>15.</w:t>
            </w:r>
            <w:r>
              <w:tab/>
              <w:t xml:space="preserve">bekräftigt das Recht Israels, sich zu verteidigen, wie es im Völkerrecht verankert und durch dieses eingeschränkt ist; fordert die unverzügliche und bedingungslose Freilassung aller Geiseln und einen sofortigen und permanenten Waffenstillstand, um der Gefahr einer schweren Hungersnot und des Ausbruchs einer Gesundheitskrise im Gazastreifen entgegenzuwirken; weist darauf hin, dass Israel auch verpflichtet ist, die Zivilbevölkerung zu schützen, und dass </w:t>
            </w:r>
            <w:r>
              <w:rPr>
                <w:b/>
                <w:i/>
              </w:rPr>
              <w:t xml:space="preserve">die israelischen </w:t>
            </w:r>
            <w:r>
              <w:t>Militäreinsätze</w:t>
            </w:r>
            <w:r>
              <w:rPr>
                <w:b/>
                <w:i/>
              </w:rPr>
              <w:t xml:space="preserve"> nicht</w:t>
            </w:r>
            <w:r>
              <w:t xml:space="preserve"> verhältnismäßig </w:t>
            </w:r>
            <w:r>
              <w:rPr>
                <w:b/>
                <w:i/>
              </w:rPr>
              <w:t>sind</w:t>
            </w:r>
            <w:r>
              <w:t xml:space="preserve"> und </w:t>
            </w:r>
            <w:r>
              <w:rPr>
                <w:b/>
                <w:i/>
              </w:rPr>
              <w:t>gegen das humanitäre</w:t>
            </w:r>
            <w:r>
              <w:t xml:space="preserve"> Völkerrecht </w:t>
            </w:r>
            <w:r>
              <w:rPr>
                <w:b/>
                <w:i/>
              </w:rPr>
              <w:t>verstoßen</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Cristian Terheş</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15a.</w:t>
            </w:r>
            <w:r>
              <w:tab/>
            </w:r>
            <w:r>
              <w:rPr>
                <w:b/>
                <w:i/>
              </w:rPr>
              <w:t xml:space="preserve">beharrt darauf, dass die Kommission dafür sorgt, dass keinerlei Unionsmittel für gleich welche Form von </w:t>
            </w:r>
            <w:r>
              <w:rPr>
                <w:b/>
                <w:i/>
              </w:rPr>
              <w:lastRenderedPageBreak/>
              <w:t>Terrorismus und/oder religiöser und politischer Radikalisierung bereitgestellt werden oder damit in Verbindung stehen; bekräftigt seinen Standpunkt, dass alle Schulbücher und Unterrichtsmaterialien, die mit Mitteln der Union unterstützt werden, den UNESCO-Standards für Frieden, Toleranz, Koexistenz und Gewaltlosigkeit entsprechen müssen; ist besorgt über Antisemitismus, Hetze und Aufstachelung zu Dschihad und Gewalt, die in indirekt von der EU finanzierten palästinensischen Schulbüchern vermittelt werden; betont, dass die Konditionalität der finanziellen Unterstützung der EU im Bereich Bildung gebührend berücksichtigt werden muss;</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Nacho Sánchez Amor, Sven Mikser, Thijs Reuten, Alessandra Moretti, Yannis Maniatis, Marco Tarquinio, 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15a.</w:t>
            </w:r>
            <w:r>
              <w:tab/>
            </w:r>
            <w:r>
              <w:rPr>
                <w:b/>
                <w:i/>
              </w:rPr>
              <w:t xml:space="preserve">begrüßt die Sanktionen, die gegen extremistische israelische Siedler im besetzten Westjordanland und Ostjerusalem sowie gegen gewalttätige Aktivisten verhängt wurden und die humanitäre Hilfe für Gaza blockieren; fordert die Annahme eines Sanktionspakets gegen die staatlichen Stellen Israels und das für Kriegsverbrechen und Verbrechen gegen die Menschlichkeit in der Region verantwortliche Militär; fordert nachdrücklich, das Assoziierungsabkommen zwischen der EU und Israel unverzüglich zu überprüfen und seine Aussetzung im Falle der Nichteinhaltung von </w:t>
            </w:r>
            <w:r>
              <w:rPr>
                <w:b/>
                <w:i/>
              </w:rPr>
              <w:lastRenderedPageBreak/>
              <w:t>Menschenrechtsverpflichtungen in Erwägung zu ziehen;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15a.</w:t>
            </w:r>
            <w:r>
              <w:tab/>
            </w:r>
            <w:r>
              <w:rPr>
                <w:b/>
                <w:i/>
              </w:rPr>
              <w:t>fordert nachdrücklich die sofortige Umsetzung eines Waffenstillstands, um große Hungersnot und Gesundheitskrisen im Gazastreifen zu verhindern; fordert alle Parteien auf, das Völkerrecht und das humanitäre Völkerrecht zu achten, den Schutz der Zivilbevölkerung zu gewährleisten und dringend Anstrengungen zur Deeskalation zu unternehmen, um Menschenleben zu retten; betont, dass diese Bemühungen mit dem Streben nach einer Zweistaatenlösung abgestimmt werden sollten, um dauerhaften Frieden und Stabilität in der Region zu gewährleisten;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a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15a.</w:t>
            </w:r>
            <w:r>
              <w:tab/>
            </w:r>
            <w:r>
              <w:rPr>
                <w:b/>
                <w:i/>
              </w:rPr>
              <w:t xml:space="preserve">verurteilt aufs Schärfste den von Israel begangenen Völkermord im Gazastreifen, die ethnische Säuberung im Westjordanland und Ostjerusalem und die wahllose Bombardierung des Libanon </w:t>
            </w:r>
            <w:r>
              <w:rPr>
                <w:b/>
                <w:i/>
              </w:rPr>
              <w:lastRenderedPageBreak/>
              <w:t>durch Israel sowie das gezielte Vorgehen gegen Arbeitskräfte der Vereinten Nationen, Kinder, Journalisten, Ärzte und Zivilisten und fordert die sofortige Einstellung dieses Völkermords;</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Kinga Gál</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15a.</w:t>
            </w:r>
            <w:r>
              <w:tab/>
            </w:r>
            <w:r>
              <w:rPr>
                <w:b/>
                <w:i/>
              </w:rPr>
              <w:t>fordert die Kommission auf, die Überwachung der Zahlungen von EU-Mitteln an palästinensische Institutionen und Organisationen zu verbessern und sicherzustellen, dass mit EU-Mitteln niemals terroristische Organisationen finanziert werden;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15b.</w:t>
            </w:r>
            <w:r>
              <w:tab/>
            </w:r>
            <w:r>
              <w:rPr>
                <w:b/>
                <w:i/>
              </w:rPr>
              <w:t xml:space="preserve">fordert die uneingeschränkte Achtung der Tätigkeiten der Organisationen der Vereinten Nationen, einschließlich des UNRWA, im Gazastreifen und im Westjordanland, und betont deren unerlässliche Rolle bei der Bereitstellung humanitärer Hilfe für die betroffene Bevölkerung; verurteilt alle legislativen Maßnahmen, die die humanitäre Hilfe behindern würden, und betont, dass im Einklang mit dem </w:t>
            </w:r>
            <w:r>
              <w:rPr>
                <w:b/>
                <w:i/>
              </w:rPr>
              <w:lastRenderedPageBreak/>
              <w:t>humanitären Völkerrecht ein ungehinderter Zugang für alle humanitären Akteure sichergestellt werden muss;</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579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Cristian Terheş</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15b.</w:t>
            </w:r>
            <w:r>
              <w:tab/>
            </w:r>
            <w:r>
              <w:rPr>
                <w:b/>
                <w:i/>
              </w:rPr>
              <w:t>fordert die Kommission angesichts der jüngsten Entdeckung, dass das UNRWA eine Person beschäftigte, die von Israel als Anführer der Hamas im Libanon identifiziert wurde, auf, die Zuweisung von EU-Mitteln an das UNRWA und deren Verwendung unverzüglich zu untersuchen und ihre laufende finanzielle Unterstützung für Organisationen, die möglicherweise an Terrorismus beteiligt sind, neu zu bewerten</w:t>
            </w:r>
            <w:r>
              <w:rPr>
                <w:b/>
                <w:i/>
                <w:vertAlign w:val="superscript"/>
              </w:rPr>
              <w:t>1a</w:t>
            </w:r>
            <w:r>
              <w:rPr>
                <w:b/>
                <w:i/>
              </w:rPr>
              <w:t>;</w:t>
            </w:r>
          </w:p>
        </w:tc>
      </w:tr>
      <w:tr w:rsidR="00930C00" w:rsidTr="00930C00">
        <w:trPr>
          <w:jc w:val="center"/>
        </w:trPr>
        <w:tc>
          <w:tcPr>
            <w:tcW w:w="4876" w:type="dxa"/>
            <w:tcBorders>
              <w:top w:val="nil"/>
              <w:left w:val="nil"/>
              <w:bottom w:val="nil"/>
              <w:right w:val="nil"/>
            </w:tcBorders>
          </w:tcPr>
          <w:p w:rsidR="00930C00" w:rsidRPr="00E324B0" w:rsidRDefault="00930C00" w:rsidP="00930C00"/>
        </w:tc>
        <w:tc>
          <w:tcPr>
            <w:tcW w:w="4876" w:type="dxa"/>
            <w:tcBorders>
              <w:top w:val="nil"/>
              <w:left w:val="nil"/>
              <w:bottom w:val="nil"/>
              <w:right w:val="nil"/>
            </w:tcBorders>
          </w:tcPr>
          <w:p w:rsidR="00930C00" w:rsidRPr="00E324B0" w:rsidRDefault="00930C00" w:rsidP="00930C00">
            <w:pPr>
              <w:pStyle w:val="Normal6a"/>
            </w:pPr>
            <w:r>
              <w:rPr>
                <w:b/>
                <w:i/>
              </w:rPr>
              <w:t>_________________</w:t>
            </w:r>
          </w:p>
        </w:tc>
      </w:tr>
      <w:tr w:rsidR="00930C00" w:rsidRPr="00930C00" w:rsidTr="00930C00">
        <w:trPr>
          <w:jc w:val="center"/>
        </w:trPr>
        <w:tc>
          <w:tcPr>
            <w:tcW w:w="4876" w:type="dxa"/>
            <w:tcBorders>
              <w:top w:val="nil"/>
              <w:left w:val="nil"/>
              <w:bottom w:val="nil"/>
              <w:right w:val="nil"/>
            </w:tcBorders>
          </w:tcPr>
          <w:p w:rsidR="00930C00" w:rsidRPr="00E324B0" w:rsidRDefault="00930C00" w:rsidP="00930C00"/>
        </w:tc>
        <w:tc>
          <w:tcPr>
            <w:tcW w:w="4876" w:type="dxa"/>
            <w:tcBorders>
              <w:top w:val="nil"/>
              <w:left w:val="nil"/>
              <w:bottom w:val="nil"/>
              <w:right w:val="nil"/>
            </w:tcBorders>
          </w:tcPr>
          <w:p w:rsidR="00930C00" w:rsidRPr="009C2015" w:rsidRDefault="00930C00" w:rsidP="00930C00">
            <w:pPr>
              <w:pStyle w:val="Normal6a"/>
              <w:rPr>
                <w:lang w:val="pt-PT"/>
              </w:rPr>
            </w:pPr>
            <w:r w:rsidRPr="009C2015">
              <w:rPr>
                <w:b/>
                <w:i/>
                <w:vertAlign w:val="superscript"/>
                <w:lang w:val="pt-PT"/>
              </w:rPr>
              <w:t>1a</w:t>
            </w:r>
            <w:r w:rsidRPr="009C2015">
              <w:rPr>
                <w:lang w:val="pt-PT"/>
              </w:rPr>
              <w:t xml:space="preserve"> </w:t>
            </w:r>
            <w:r w:rsidRPr="009C2015">
              <w:rPr>
                <w:b/>
                <w:i/>
                <w:lang w:val="pt-PT"/>
              </w:rPr>
              <w:t>https://news.sky.com/story/hamas-leader-in-lebanon-killed-by-israel-was-un-employee-unwra-confirms-13225258</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15b.</w:t>
            </w:r>
            <w:r>
              <w:tab/>
            </w:r>
            <w:r>
              <w:rPr>
                <w:b/>
                <w:i/>
              </w:rPr>
              <w:t xml:space="preserve">fordert einen sofortigen </w:t>
            </w:r>
            <w:r>
              <w:rPr>
                <w:b/>
                <w:i/>
              </w:rPr>
              <w:lastRenderedPageBreak/>
              <w:t>Waffenstillstand und die Aufhebung aller Einreisebeschränkungen für humanitäre Hilfsmissionen und andere zivile Hilfsmissionen in ganz Palästina und insbesondere im Gazastreifen;</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581</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Nacho Sánchez Amor, Sven Mikser, Thijs Reuten, Alessandra Moretti, Yannis Maniatis, Marco Tarquinio, 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t>&lt;Article&gt;</w:t>
      </w:r>
      <w:r w:rsidRPr="009C2015">
        <w:rPr>
          <w:lang w:val="fr-FR"/>
        </w:rPr>
        <w:t>Ziffer 15 b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15b.</w:t>
            </w:r>
            <w:r>
              <w:tab/>
            </w:r>
            <w:r>
              <w:rPr>
                <w:b/>
                <w:i/>
              </w:rPr>
              <w:t>fordert einen sofortigen und permanenten Waffenstillstand;</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15c.</w:t>
            </w:r>
            <w:r>
              <w:tab/>
            </w:r>
            <w:r>
              <w:rPr>
                <w:b/>
                <w:i/>
              </w:rPr>
              <w:t>betont, dass Israel vor dem Internationalen Gerichtshof des Völkermords beschuldigt wird und dass dieser einstweilige Maßnahmen angeordnet hat; fordert daher im Einklang mit der Konvention über die Verhütung und Bestrafung des Völkermordes ein sofortiges und vollständiges Militärembargo gegen Israel;</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lastRenderedPageBreak/>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Nacho Sánchez Amor, Sven Mikser, Thijs Reuten, Alessandra Moretti, Yannis Maniatis, Marco Tarquinio, 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15c.</w:t>
            </w:r>
            <w:r>
              <w:tab/>
            </w:r>
            <w:r>
              <w:rPr>
                <w:b/>
                <w:i/>
              </w:rPr>
              <w:t>fordert nachdrücklich, dem Risiko einer Hungersnot, der Verschlechterung der Hygienebedingungen und des Ausbruchs einer Gesundheitskrise im Gazastreifen entgegenzuwirken;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584</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Hana Jalloul Muro</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15c.</w:t>
            </w:r>
            <w:r>
              <w:tab/>
            </w:r>
            <w:r>
              <w:rPr>
                <w:b/>
                <w:i/>
              </w:rPr>
              <w:t>erkennt an, dass das Assoziierungsabkommen zwischen Israel und der EU aus dem Jahr 2000 im Hinblick auf einen Verstoß gegen Artikel 2 über die Achtung der Menschenrechte überprüft werden muss;</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585</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15d.</w:t>
            </w:r>
            <w:r>
              <w:tab/>
            </w:r>
            <w:r>
              <w:rPr>
                <w:b/>
                <w:i/>
              </w:rPr>
              <w:t xml:space="preserve">begrüßt das wegweisende Urteil des Internationalen Gerichtshofs vom </w:t>
            </w:r>
            <w:r>
              <w:rPr>
                <w:b/>
                <w:i/>
              </w:rPr>
              <w:lastRenderedPageBreak/>
              <w:t>19. Juli 2024, wonach die Besetzung des Gazastreifens und des Westjordanlands, einschließlich Ostjerusalems, durch Israel zusammen mit dem damit verbundenen Siedlungssystem, der Annexion und der Nutzung natürlicher Ressourcen rechtswidrig sind; betont, dass die EU und die Mitgliedstaaten die verbindliche Entscheidung des Internationalen Gerichtshofs unverzüglich einhalten müssen, und fordert daher die sofortige Beendigung des Assoziierungsabkommens zwischen der EU und Israel;</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586</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e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15e.</w:t>
            </w:r>
            <w:r>
              <w:tab/>
            </w:r>
            <w:r>
              <w:rPr>
                <w:b/>
                <w:i/>
              </w:rPr>
              <w:t>fordert die Mitgliedstaaten auf, Waffenausfuhren nach Israel im Einklang mit 2008/944/GASP unverzüglich einzustellen; weist warnend darauf hin, dass die Unterstützung Israels durch Waffenlieferungen vor dem Internationalen Gerichtshof wegen Mittäterschaft an Völkermord im Einklang mit Artikel 3e der Konvention über die Verhütung und Bestrafung des Völkermordes verklagt werden kann;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587</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9C2015" w:rsidRDefault="00930C00" w:rsidP="00930C00">
      <w:pPr>
        <w:pStyle w:val="NormalBold"/>
        <w:rPr>
          <w:lang w:val="fr-FR"/>
        </w:rPr>
      </w:pPr>
      <w:r w:rsidRPr="009C2015">
        <w:rPr>
          <w:rStyle w:val="HideTWBExt"/>
          <w:lang w:val="fr-FR"/>
        </w:rPr>
        <w:lastRenderedPageBreak/>
        <w:t>&lt;Article&gt;</w:t>
      </w:r>
      <w:r w:rsidRPr="009C2015">
        <w:rPr>
          <w:lang w:val="fr-FR"/>
        </w:rPr>
        <w:t>Ziffer 15 f (neu)</w:t>
      </w:r>
      <w:r w:rsidRPr="009C2015">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C2015"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15f.</w:t>
            </w:r>
            <w:r>
              <w:tab/>
            </w:r>
            <w:r>
              <w:rPr>
                <w:b/>
                <w:i/>
              </w:rPr>
              <w:t>hebt erneut die Arbeit des Internationalen Strafgerichtshofs hervor; fordert den IStGH auf, endlich die von seiner Generalstaatsanwaltschaft geforderten Haftbefehle, auch gegen israelische Führer, auszustellen;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588</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g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15g.</w:t>
            </w:r>
            <w:r>
              <w:tab/>
            </w:r>
            <w:r>
              <w:rPr>
                <w:b/>
                <w:i/>
              </w:rPr>
              <w:t>fordert die Kommission, den Rat und die HR/VP auf, die zunehmend systematische Angleichung der EU an die Außenpolitik der Vereinigten Staaten zu durchbrechen, insbesondere was ihre Unterstützung für Israel betrifft;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589</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Marc Botenga, Rima Hassan, Özlem Demirel</w:t>
      </w:r>
      <w:r w:rsidRPr="009C2015">
        <w:rPr>
          <w:rStyle w:val="HideTWBExt"/>
          <w:b w:val="0"/>
          <w:lang w:val="en-GB"/>
        </w:rPr>
        <w:t>&lt;/Members&gt;</w:t>
      </w:r>
    </w:p>
    <w:p w:rsidR="00930C00" w:rsidRPr="009C2015" w:rsidRDefault="00930C00" w:rsidP="00930C00">
      <w:pPr>
        <w:rPr>
          <w:lang w:val="en-GB"/>
        </w:rPr>
      </w:pPr>
      <w:r w:rsidRPr="009C2015">
        <w:rPr>
          <w:rStyle w:val="HideTWBExt"/>
          <w:lang w:val="en-GB"/>
        </w:rPr>
        <w:t>&lt;AuNomDe&gt;</w:t>
      </w:r>
      <w:r w:rsidRPr="009C2015">
        <w:rPr>
          <w:rStyle w:val="HideTWBInt"/>
          <w:lang w:val="en-GB"/>
        </w:rPr>
        <w:t>{The Left}</w:t>
      </w:r>
      <w:r>
        <w:rPr>
          <w:lang w:val="en-GB"/>
        </w:rPr>
        <w:t>im Namen der Fraktion The Left</w:t>
      </w:r>
      <w:r w:rsidRPr="009C2015">
        <w:rPr>
          <w:rStyle w:val="HideTWBExt"/>
          <w:lang w:val="en-GB"/>
        </w:rPr>
        <w:t>&lt;/AuNomDe&gt;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15 h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p>
        </w:tc>
        <w:tc>
          <w:tcPr>
            <w:tcW w:w="4876" w:type="dxa"/>
            <w:tcBorders>
              <w:top w:val="nil"/>
              <w:left w:val="nil"/>
              <w:bottom w:val="nil"/>
              <w:right w:val="nil"/>
            </w:tcBorders>
          </w:tcPr>
          <w:p w:rsidR="00930C00" w:rsidRPr="00E324B0" w:rsidRDefault="00930C00" w:rsidP="00930C00">
            <w:pPr>
              <w:pStyle w:val="Normal6a"/>
            </w:pPr>
            <w:r>
              <w:rPr>
                <w:b/>
                <w:i/>
              </w:rPr>
              <w:t>15h.</w:t>
            </w:r>
            <w:r>
              <w:tab/>
            </w:r>
            <w:r>
              <w:rPr>
                <w:b/>
                <w:i/>
              </w:rPr>
              <w:t xml:space="preserve">bekräftigt seine unerschütterliche Unterstützung für das UNRWA und sein Mandat und verurteilt aufs Schärfste die Kampagne gegen das Hilfswerk und die von der Knesset verabschiedeten </w:t>
            </w:r>
            <w:r>
              <w:rPr>
                <w:b/>
                <w:i/>
              </w:rPr>
              <w:lastRenderedPageBreak/>
              <w:t>Rechtsvorschriften, die die entscheidende Arbeit des UNRWA in der Region verhindern könnten; fordert nachdrücklich eine fortgesetzte und verstärkte politische und finanzielle Unterstützung der Agentur, wobei es ihre entscheidende Rolle bei der Bereitstellung lebensrettender Hilfe, bei der Förderung der menschlichen Entwicklung und beim Schutz der Rechte von Millionen palästinensischer Flüchtlinge anerkennt;</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590</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Hermann Tertsch, Jorge Martín Frías</w:t>
      </w:r>
      <w:r w:rsidRPr="009C2015">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rPr>
                <w:b/>
                <w:i/>
              </w:rPr>
              <w:t>16.</w:t>
            </w:r>
            <w:r>
              <w:tab/>
            </w:r>
            <w:r>
              <w:rPr>
                <w:b/>
                <w:i/>
              </w:rPr>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E324B0" w:rsidRDefault="00930C00" w:rsidP="00930C00">
            <w:pPr>
              <w:pStyle w:val="Normal6a"/>
            </w:pPr>
            <w:r>
              <w:rPr>
                <w:b/>
                <w:i/>
              </w:rPr>
              <w:t>entfällt</w:t>
            </w:r>
          </w:p>
        </w:tc>
      </w:tr>
    </w:tbl>
    <w:p w:rsidR="00930C00" w:rsidRPr="00E324B0" w:rsidRDefault="00930C00" w:rsidP="00930C00">
      <w:pPr>
        <w:pStyle w:val="AmOrLang"/>
      </w:pPr>
      <w:r w:rsidRPr="00E324B0">
        <w:lastRenderedPageBreak/>
        <w:t xml:space="preserve">Or. </w:t>
      </w:r>
      <w:r w:rsidRPr="00E324B0">
        <w:rPr>
          <w:rStyle w:val="HideTWBExt"/>
        </w:rPr>
        <w:t>&lt;Original&gt;</w:t>
      </w:r>
      <w:r w:rsidRPr="00E324B0">
        <w:rPr>
          <w:rStyle w:val="HideTWBInt"/>
        </w:rPr>
        <w:t>{EN}</w:t>
      </w:r>
      <w:r w:rsidRPr="00E324B0">
        <w:t>en</w:t>
      </w:r>
      <w:r w:rsidRPr="00E324B0">
        <w:rPr>
          <w:rStyle w:val="HideTWBExt"/>
        </w:rPr>
        <w:t>&lt;/Original&gt;</w:t>
      </w:r>
    </w:p>
    <w:p w:rsidR="00930C00" w:rsidRPr="00E324B0" w:rsidRDefault="00930C00" w:rsidP="00930C00">
      <w:r>
        <w:rPr>
          <w:rStyle w:val="HideTWBExt"/>
        </w:rPr>
        <w:t>&lt;/Amend&gt;</w:t>
      </w:r>
    </w:p>
    <w:p w:rsidR="00930C00" w:rsidRPr="00E324B0" w:rsidRDefault="00930C00" w:rsidP="00930C00">
      <w:pPr>
        <w:pStyle w:val="AmNumberTabs"/>
      </w:pPr>
      <w:r>
        <w:rPr>
          <w:rStyle w:val="HideTWBExt"/>
        </w:rPr>
        <w:t>&lt;Amend&gt;</w:t>
      </w:r>
      <w:r>
        <w:t>Änderungsantrag</w:t>
      </w:r>
      <w:r>
        <w:tab/>
      </w:r>
      <w:r>
        <w:tab/>
      </w:r>
      <w:r>
        <w:rPr>
          <w:rStyle w:val="HideTWBExt"/>
        </w:rPr>
        <w:t>&lt;NumAm&gt;</w:t>
      </w:r>
      <w:r>
        <w:t>591</w:t>
      </w:r>
      <w:r>
        <w:rPr>
          <w:rStyle w:val="HideTWBExt"/>
        </w:rPr>
        <w:t>&lt;/NumAm&gt;</w:t>
      </w:r>
    </w:p>
    <w:p w:rsidR="00930C00" w:rsidRPr="00E324B0" w:rsidRDefault="00930C00" w:rsidP="00930C00">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E324B0"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w:t>
            </w:r>
            <w:r>
              <w:rPr>
                <w:b/>
                <w:i/>
              </w:rPr>
              <w:t xml:space="preserve"> fordert die EU auf, den Aufbau des palästinensischen Staates sowie die Institutionen und ihre Fähigkeit zur Vorbereitung auf die künftige Staatlichkeit weiterhin nachdrücklich zu unterstützen, da dies ein entscheidendes Instrument für die Wiederherstellung eines politischen Horizonts hin zu einer Zweistaatenlösung ist; weist darauf hin, dass Norwegen, Irland und Spanien am 28. Mai 2024 den Staat Palästina anerkannt haben, gefolgt vom Beschluss des Parlaments in Slowenien vom 4. Juni 2024; fordert die Hohe Vertreterin auf, ihre Bemühungen um die Schaffung der Voraussetzungen für die Anerkennung des palästinensischen Staates durch alle EU-Mitgliedstaaten fortzusetzen;</w:t>
            </w:r>
            <w:r>
              <w:t xml:space="preserve">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w:t>
            </w:r>
            <w:r>
              <w:rPr>
                <w:b/>
                <w:i/>
              </w:rPr>
              <w:t xml:space="preserve">unterstützt das vom Hohen Vertreter eingeleitete Verfahren, mit denen die Mitgliedstaaten aufgefordert werden, diejenigen Minister </w:t>
            </w:r>
            <w:r>
              <w:rPr>
                <w:b/>
                <w:i/>
              </w:rPr>
              <w:lastRenderedPageBreak/>
              <w:t>Israels, die Hassbotschaften und Erklärungen gegen das Völkerrecht abgegeben und den Status quo über Haram al-Sharif/Tempelberg bedrohen, in die Sanktionsliste aufzunehmen; ist der Ansicht, dass die EU nach der unverhältnismäßigen militärischen Reaktion und den anhaltenden Verstößen gegen humanitäres Völkerrecht und das Völkerrecht das Assoziierungsabkommen zwischen der EU und Israel unverzüglich überprüfen und im Falle der Nichteinhaltung von Menschenrechtsverpflichtungen seine Aussetzung in Erwägung ziehen sollte;</w:t>
            </w:r>
            <w:r>
              <w:t xml:space="preserve"> bekundet seine Unterstützung für den dreistufigen Friedensplan von US-Präsident Biden und bedauert den mangelnden Willen beider Seiten, diesen umzusetzen; bedauert ferner, dass die jüngsten Friedensgespräche keine greifbaren Ergebnisse erbracht haben; </w:t>
            </w:r>
            <w:r>
              <w:rPr>
                <w:b/>
                <w:i/>
              </w:rPr>
              <w:t>zeigt sich zutiefst besorgt angesichts der militärischen Eskalation in Libanon und beklagt die nicht hinnehmbare Zahl ziviler Opfer, die Vertreibungen als Folge der eskalierenden Gewalt und die anhaltende Anwendung militärischer Gewalt; fordert eine sofortige Waffenruhe entlang der Blauen Linie und die vollständige und symmetrische Umsetzung der Resolution 1701 des VN-Sicherheitsrates; ist zutiefst besorgt angesichts der Angriffe der israelischen Streitkräfte auf die Interimstruppe der Vereinten Nationen im Libanon (UNIFIL); weist erneut darauf hin, dass solche Angriffe gegen Friedenssicherungskräfte der Vereinten Nationen eine schwere Verletzung des Völkerrechts darstellen und vollkommen inakzeptabel sind;</w:t>
            </w:r>
          </w:p>
        </w:tc>
      </w:tr>
    </w:tbl>
    <w:p w:rsidR="00930C00" w:rsidRPr="009C2015" w:rsidRDefault="00930C00" w:rsidP="00930C00">
      <w:pPr>
        <w:pStyle w:val="AmOrLang"/>
        <w:rPr>
          <w:lang w:val="en-GB"/>
        </w:rPr>
      </w:pPr>
      <w:r w:rsidRPr="009C2015">
        <w:rPr>
          <w:lang w:val="en-GB"/>
        </w:rPr>
        <w:lastRenderedPageBreak/>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592</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lastRenderedPageBreak/>
        <w:t>&lt;RepeatBlock-By&gt;&lt;Members&gt;</w:t>
      </w:r>
      <w:r w:rsidRPr="009C2015">
        <w:rPr>
          <w:lang w:val="en-GB"/>
        </w:rPr>
        <w:t>Adam Bielan</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E324B0"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 </w:t>
            </w:r>
            <w:r>
              <w:rPr>
                <w:b/>
                <w:i/>
              </w:rPr>
              <w:t>ist der festen Überzeugung, dass es keine Aussicht auf Frieden, Sicherheit, Stabilität und Wohlstand für den Gazastreifen oder auf eine Aussöhnung zwischen Palästinensern und Israelis gibt, solange die Hamas und andere terroristische Gruppen eine Rolle im Gazastreifen spielen; bekräftigt, dass Terrorismus, Aufwiegelung und Gewalt mit einer friedlichen Lösung des Konflikts zwischen Israel und Palästina unvereinbar sind; fordert die EU auf, in Zusammenarbeit mit den Mitgliedstaaten eine umfassende Strategie zu entwickeln, um der Radikalisierung junger Palästinenser Einhalt zu gebieten;</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C2015" w:rsidRDefault="00930C00" w:rsidP="00930C00">
      <w:pPr>
        <w:pStyle w:val="AmNumberTabs"/>
        <w:rPr>
          <w:lang w:val="en-GB"/>
        </w:rPr>
      </w:pPr>
      <w:r w:rsidRPr="009C2015">
        <w:rPr>
          <w:rStyle w:val="HideTWBExt"/>
          <w:lang w:val="en-GB"/>
        </w:rPr>
        <w:lastRenderedPageBreak/>
        <w:t>&lt;Amend&gt;</w:t>
      </w:r>
      <w:r w:rsidRPr="009C2015">
        <w:rPr>
          <w:lang w:val="en-GB"/>
        </w:rPr>
        <w:t>Änderungsantrag</w:t>
      </w:r>
      <w:r w:rsidRPr="009C2015">
        <w:rPr>
          <w:lang w:val="en-GB"/>
        </w:rPr>
        <w:tab/>
      </w:r>
      <w:r w:rsidRPr="009C2015">
        <w:rPr>
          <w:lang w:val="en-GB"/>
        </w:rPr>
        <w:tab/>
      </w:r>
      <w:r w:rsidRPr="009C2015">
        <w:rPr>
          <w:rStyle w:val="HideTWBExt"/>
          <w:lang w:val="en-GB"/>
        </w:rPr>
        <w:t>&lt;NumAm&gt;</w:t>
      </w:r>
      <w:r w:rsidRPr="009C2015">
        <w:rPr>
          <w:lang w:val="en-GB"/>
        </w:rPr>
        <w:t>593</w:t>
      </w:r>
      <w:r w:rsidRPr="009C2015">
        <w:rPr>
          <w:rStyle w:val="HideTWBExt"/>
          <w:lang w:val="en-GB"/>
        </w:rPr>
        <w:t>&lt;/NumAm&gt;</w:t>
      </w:r>
    </w:p>
    <w:p w:rsidR="00930C00" w:rsidRPr="009C2015" w:rsidRDefault="00930C00" w:rsidP="00930C00">
      <w:pPr>
        <w:pStyle w:val="NormalBold"/>
        <w:rPr>
          <w:lang w:val="en-GB"/>
        </w:rPr>
      </w:pPr>
      <w:r w:rsidRPr="009C2015">
        <w:rPr>
          <w:rStyle w:val="HideTWBExt"/>
          <w:b w:val="0"/>
          <w:lang w:val="en-GB"/>
        </w:rPr>
        <w:t>&lt;RepeatBlock-By&gt;&lt;Members&gt;</w:t>
      </w:r>
      <w:r w:rsidRPr="009C2015">
        <w:rPr>
          <w:lang w:val="en-GB"/>
        </w:rPr>
        <w:t>António Tânger Corrêa</w:t>
      </w:r>
      <w:r w:rsidRPr="009C2015">
        <w:rPr>
          <w:rStyle w:val="HideTWBExt"/>
          <w:b w:val="0"/>
          <w:lang w:val="en-GB"/>
        </w:rPr>
        <w:t>&lt;/Members&gt;</w:t>
      </w:r>
    </w:p>
    <w:p w:rsidR="00930C00" w:rsidRPr="009C2015" w:rsidRDefault="00930C00" w:rsidP="00930C00">
      <w:pPr>
        <w:pStyle w:val="NormalBold"/>
        <w:rPr>
          <w:lang w:val="en-GB"/>
        </w:rPr>
      </w:pPr>
      <w:r w:rsidRPr="009C2015">
        <w:rPr>
          <w:rStyle w:val="HideTWBExt"/>
          <w:b w:val="0"/>
          <w:lang w:val="en-GB"/>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16.</w:t>
            </w:r>
            <w:r>
              <w:tab/>
            </w:r>
            <w:r>
              <w:rPr>
                <w:b/>
                <w:i/>
              </w:rPr>
              <w:t>bekräftigt seine unerschütterliche Unterstützung für</w:t>
            </w:r>
            <w:r>
              <w:t xml:space="preserve"> eine auf Verhandlungen beruhende Zweistaatenlösung </w:t>
            </w:r>
            <w:r>
              <w:rPr>
                <w:b/>
                <w:i/>
              </w:rPr>
              <w:t>auf der Grundlage der Grenzen von 1967 mit zwei souveränen</w:t>
            </w:r>
            <w:r>
              <w:t xml:space="preserve">, </w:t>
            </w:r>
            <w:r>
              <w:rPr>
                <w:b/>
                <w:i/>
              </w:rPr>
              <w:t>demokratischen Staaten als friedliche Nachbarn</w:t>
            </w:r>
            <w:r>
              <w:t xml:space="preserve"> und </w:t>
            </w:r>
            <w:r>
              <w:rPr>
                <w:b/>
                <w:i/>
              </w:rPr>
              <w:t>Jerusalem als gemeinsamer Hauptstadt</w:t>
            </w:r>
            <w:r>
              <w:t>;</w:t>
            </w:r>
            <w:r>
              <w:rPr>
                <w:b/>
                <w:i/>
              </w:rPr>
              <w:t xml:space="preserve"> verurteilt die</w:t>
            </w:r>
            <w:r>
              <w:t xml:space="preserve"> sich </w:t>
            </w:r>
            <w:r>
              <w:rPr>
                <w:b/>
                <w:i/>
              </w:rPr>
              <w:t>beschleunigende rechtswidrige Besiedlung palästinensischer Gebiete durch Israel, die einen Verstoß gegen das Völkerrecht darstellt</w:t>
            </w:r>
            <w:r>
              <w:t>;</w:t>
            </w:r>
            <w:r>
              <w:rPr>
                <w:b/>
                <w:i/>
              </w:rPr>
              <w:t xml:space="preserve"> ist besorgt über die zunehmende Gewalt vonseiten</w:t>
            </w:r>
            <w:r>
              <w:t xml:space="preserve"> der israelischen </w:t>
            </w:r>
            <w:r>
              <w:rPr>
                <w:b/>
                <w:i/>
              </w:rPr>
              <w:t>Streitkräfte und extremistischer Siedler im Westjordanland und in Ost-Jerusalem; bekundet seine Unterstützung für den dreistufigen Friedensplan</w:t>
            </w:r>
            <w:r>
              <w:t xml:space="preserve"> von </w:t>
            </w:r>
            <w:r>
              <w:rPr>
                <w:b/>
                <w:i/>
              </w:rPr>
              <w:t>US-Präsident Biden und bedauert den mangelnden Willen beider Seiten, diesen umzusetzen;</w:t>
            </w:r>
            <w:r>
              <w:t xml:space="preserve"> </w:t>
            </w:r>
            <w:r>
              <w:rPr>
                <w:b/>
                <w:i/>
              </w:rPr>
              <w:t>bedauert ferner, dass die jüngsten Friedensgespräche keine greifbaren Ergebnisse erbracht haben;</w:t>
            </w:r>
          </w:p>
        </w:tc>
        <w:tc>
          <w:tcPr>
            <w:tcW w:w="4876" w:type="dxa"/>
            <w:tcBorders>
              <w:top w:val="nil"/>
              <w:left w:val="nil"/>
              <w:bottom w:val="nil"/>
              <w:right w:val="nil"/>
            </w:tcBorders>
          </w:tcPr>
          <w:p w:rsidR="00930C00" w:rsidRPr="00392752" w:rsidRDefault="00930C00" w:rsidP="00930C00">
            <w:pPr>
              <w:pStyle w:val="Normal6a"/>
            </w:pPr>
            <w:r>
              <w:t>16.</w:t>
            </w:r>
            <w:r>
              <w:tab/>
            </w:r>
            <w:r>
              <w:rPr>
                <w:b/>
                <w:i/>
              </w:rPr>
              <w:t>lehnt</w:t>
            </w:r>
            <w:r>
              <w:t xml:space="preserve"> eine auf Verhandlungen beruhende Zweistaatenlösung </w:t>
            </w:r>
            <w:r>
              <w:rPr>
                <w:b/>
                <w:i/>
              </w:rPr>
              <w:t>aus pragmatischen Gründen ab</w:t>
            </w:r>
            <w:r>
              <w:t xml:space="preserve">, </w:t>
            </w:r>
            <w:r>
              <w:rPr>
                <w:b/>
                <w:i/>
              </w:rPr>
              <w:t>nämlich aufgrund fehlender geografischer Kontinuität und des Fehlens einer legitimen Behörde; spricht</w:t>
            </w:r>
            <w:r>
              <w:t xml:space="preserve"> sich </w:t>
            </w:r>
            <w:r>
              <w:rPr>
                <w:b/>
                <w:i/>
              </w:rPr>
              <w:t>für eine Lösung mit dem Gebiet unter internationalem Schutz aus</w:t>
            </w:r>
            <w:r>
              <w:t>;</w:t>
            </w:r>
            <w:r>
              <w:rPr>
                <w:b/>
                <w:i/>
              </w:rPr>
              <w:t xml:space="preserve"> unterstützt das Ende</w:t>
            </w:r>
            <w:r>
              <w:t xml:space="preserve"> der israelischen </w:t>
            </w:r>
            <w:r>
              <w:rPr>
                <w:b/>
                <w:i/>
              </w:rPr>
              <w:t>Siedlungen als Mittel zur Erreichung</w:t>
            </w:r>
            <w:r>
              <w:t xml:space="preserve"> von </w:t>
            </w:r>
            <w:r>
              <w:rPr>
                <w:b/>
                <w:i/>
              </w:rPr>
              <w:t>Frieden</w:t>
            </w:r>
            <w:r>
              <w:t>;</w:t>
            </w:r>
          </w:p>
        </w:tc>
      </w:tr>
    </w:tbl>
    <w:p w:rsidR="00930C00" w:rsidRPr="009C2015" w:rsidRDefault="00930C00" w:rsidP="00930C00">
      <w:pPr>
        <w:pStyle w:val="AmOrLang"/>
        <w:rPr>
          <w:lang w:val="en-GB"/>
        </w:rPr>
      </w:pPr>
      <w:r w:rsidRPr="009C2015">
        <w:rPr>
          <w:lang w:val="en-GB"/>
        </w:rPr>
        <w:t xml:space="preserve">Or. </w:t>
      </w:r>
      <w:r w:rsidRPr="009C2015">
        <w:rPr>
          <w:rStyle w:val="HideTWBExt"/>
          <w:lang w:val="en-GB"/>
        </w:rPr>
        <w:t>&lt;Original&gt;</w:t>
      </w:r>
      <w:r w:rsidRPr="009C2015">
        <w:rPr>
          <w:rStyle w:val="HideTWBInt"/>
          <w:lang w:val="en-GB"/>
        </w:rPr>
        <w:t>{EN}</w:t>
      </w:r>
      <w:r w:rsidRPr="009C2015">
        <w:rPr>
          <w:lang w:val="en-GB"/>
        </w:rPr>
        <w:t>en</w:t>
      </w:r>
      <w:r w:rsidRPr="009C2015">
        <w:rPr>
          <w:rStyle w:val="HideTWBExt"/>
          <w:lang w:val="en-GB"/>
        </w:rPr>
        <w:t>&lt;/Original&gt;</w:t>
      </w:r>
    </w:p>
    <w:p w:rsidR="00930C00" w:rsidRPr="009C2015" w:rsidRDefault="00930C00" w:rsidP="00930C00">
      <w:pPr>
        <w:rPr>
          <w:lang w:val="en-GB"/>
        </w:rPr>
      </w:pPr>
      <w:r w:rsidRPr="009C2015">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594</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16</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16.</w:t>
            </w:r>
            <w:r w:rsidRPr="005D638B">
              <w:tab/>
              <w:t xml:space="preserve">bekräftigt seine </w:t>
            </w:r>
            <w:r w:rsidRPr="005D638B">
              <w:rPr>
                <w:b/>
                <w:i/>
              </w:rPr>
              <w:t>unerschütterliche</w:t>
            </w:r>
            <w:r w:rsidRPr="005D638B">
              <w:t xml:space="preserve"> Unterstützung für eine auf Verhandlungen beruhende Zweistaatenlösung </w:t>
            </w:r>
            <w:r w:rsidRPr="005D638B">
              <w:rPr>
                <w:b/>
                <w:i/>
              </w:rPr>
              <w:t>auf der Grundlage der Grenzen von 1967</w:t>
            </w:r>
            <w:r w:rsidRPr="005D638B">
              <w:t xml:space="preserve"> mit zwei souveränen, demokratischen Staaten als friedliche Nachbarn </w:t>
            </w:r>
            <w:r w:rsidRPr="005D638B">
              <w:rPr>
                <w:b/>
                <w:i/>
              </w:rPr>
              <w:t xml:space="preserve">und Jerusalem als </w:t>
            </w:r>
            <w:r w:rsidRPr="005D638B">
              <w:rPr>
                <w:b/>
                <w:i/>
              </w:rPr>
              <w:lastRenderedPageBreak/>
              <w:t>gemeinsamer Hauptstadt; verurteilt die sich beschleunigende rechtswidrige Besiedlung palästinensischer Gebiete durch Israel, die einen Verstoß gegen das Völkerrecht darstellt</w:t>
            </w:r>
            <w:r w:rsidRPr="005D638B">
              <w:t xml:space="preserve">; ist besorgt über die </w:t>
            </w:r>
            <w:r w:rsidRPr="005D638B">
              <w:rPr>
                <w:b/>
                <w:i/>
              </w:rPr>
              <w:t>zunehmende</w:t>
            </w:r>
            <w:r w:rsidRPr="005D638B">
              <w:t xml:space="preserve"> Gewalt </w:t>
            </w:r>
            <w:r w:rsidRPr="005D638B">
              <w:rPr>
                <w:b/>
                <w:i/>
              </w:rPr>
              <w:t>vonseiten der israelischen Streitkräfte und extremistischer</w:t>
            </w:r>
            <w:r w:rsidRPr="005D638B">
              <w:t xml:space="preserve"> Siedler im Westjordanland </w:t>
            </w:r>
            <w:r w:rsidRPr="005D638B">
              <w:rPr>
                <w:b/>
                <w:i/>
              </w:rPr>
              <w:t>und in Ost-Jerusalem</w:t>
            </w:r>
            <w:r w:rsidRPr="005D638B">
              <w:t xml:space="preserve">; bekundet seine Unterstützung für den dreistufigen Friedensplan von US-Präsident Biden und bedauert den mangelnden Willen beider Seiten, diesen umzusetzen; </w:t>
            </w:r>
            <w:r w:rsidRPr="005D638B">
              <w:rPr>
                <w:b/>
                <w:i/>
              </w:rPr>
              <w:t>bedauert ferner, dass die jüngsten Friedensgespräche keine greifbaren Ergebnisse erbracht haben;</w:t>
            </w:r>
          </w:p>
        </w:tc>
        <w:tc>
          <w:tcPr>
            <w:tcW w:w="4876" w:type="dxa"/>
            <w:tcBorders>
              <w:top w:val="nil"/>
              <w:left w:val="nil"/>
              <w:bottom w:val="nil"/>
              <w:right w:val="nil"/>
            </w:tcBorders>
          </w:tcPr>
          <w:p w:rsidR="00930C00" w:rsidRPr="005D638B" w:rsidRDefault="00930C00" w:rsidP="00930C00">
            <w:pPr>
              <w:pStyle w:val="Normal6a"/>
            </w:pPr>
            <w:r w:rsidRPr="005D638B">
              <w:lastRenderedPageBreak/>
              <w:t>16.</w:t>
            </w:r>
            <w:r w:rsidRPr="005D638B">
              <w:tab/>
              <w:t xml:space="preserve">bekräftigt seine Unterstützung für eine auf Verhandlungen beruhende Zweistaatenlösung mit zwei souveränen, demokratischen Staaten als friedliche Nachbarn; ist besorgt über die </w:t>
            </w:r>
            <w:r w:rsidRPr="005D638B">
              <w:rPr>
                <w:b/>
                <w:i/>
              </w:rPr>
              <w:t>wechselseitige</w:t>
            </w:r>
            <w:r w:rsidRPr="005D638B">
              <w:t xml:space="preserve"> Gewalt </w:t>
            </w:r>
            <w:r w:rsidRPr="005D638B">
              <w:rPr>
                <w:b/>
                <w:i/>
              </w:rPr>
              <w:t xml:space="preserve">zwischen den </w:t>
            </w:r>
            <w:r w:rsidRPr="005D638B">
              <w:rPr>
                <w:b/>
                <w:i/>
              </w:rPr>
              <w:lastRenderedPageBreak/>
              <w:t>palästinensischen Aktivisten und jüdischen</w:t>
            </w:r>
            <w:r w:rsidRPr="005D638B">
              <w:t xml:space="preserve"> Siedler im Westjordanland; bekundet seine Unterstützung für den dreistufigen Friedensplan von US-Präsident Biden und bedauert den mangelnden Willen beider Seiten, diesen umzusetzen;</w:t>
            </w:r>
          </w:p>
        </w:tc>
      </w:tr>
    </w:tbl>
    <w:p w:rsidR="00930C00" w:rsidRPr="005D638B" w:rsidRDefault="00930C00" w:rsidP="00930C00">
      <w:pPr>
        <w:pStyle w:val="AmOrLang"/>
      </w:pPr>
      <w:r w:rsidRPr="005D638B">
        <w:lastRenderedPageBreak/>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595</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Hilde Vautmans, Lucia Yar, Petras Auštrevičius</w:t>
      </w:r>
      <w:r w:rsidRPr="00930C00">
        <w:rPr>
          <w:rStyle w:val="HideTWBExt"/>
          <w:b w:val="0"/>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E324B0"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w:t>
            </w:r>
            <w:r>
              <w:lastRenderedPageBreak/>
              <w:t>umzusetzen; bedauert ferner, dass die jüngsten Friedensgespräche keine greifbaren Ergebnisse erbracht haben;</w:t>
            </w:r>
          </w:p>
        </w:tc>
        <w:tc>
          <w:tcPr>
            <w:tcW w:w="4876" w:type="dxa"/>
            <w:tcBorders>
              <w:top w:val="nil"/>
              <w:left w:val="nil"/>
              <w:bottom w:val="nil"/>
              <w:right w:val="nil"/>
            </w:tcBorders>
          </w:tcPr>
          <w:p w:rsidR="00930C00" w:rsidRPr="00E324B0" w:rsidRDefault="00930C00" w:rsidP="00930C00">
            <w:pPr>
              <w:pStyle w:val="Normal6a"/>
            </w:pPr>
            <w:r>
              <w:lastRenderedPageBreak/>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w:t>
            </w:r>
            <w:r>
              <w:rPr>
                <w:b/>
                <w:i/>
              </w:rPr>
              <w:t>unterstützt die Entscheidung des Rates, Sanktionen gegen mehrere gewaltbereite extremistische Siedler zu verhängen;</w:t>
            </w:r>
            <w:r>
              <w:t xml:space="preserve"> bekundet seine Unterstützung für den </w:t>
            </w:r>
            <w:r>
              <w:lastRenderedPageBreak/>
              <w:t xml:space="preserve">dreistufigen Friedensplan von US-Präsident Biden und bedauert den mangelnden Willen beider Seiten, diesen umzusetzen; bedauert ferner, dass die jüngsten Friedensgespräche keine greifbaren Ergebnisse erbracht haben; </w:t>
            </w:r>
            <w:r>
              <w:rPr>
                <w:b/>
                <w:i/>
              </w:rPr>
              <w:t>begrüßt die Ankündigung einer künftigen EU-Strategie für den Nahen Osten und betont, dass diese Strategie innerhalb der ersten Monate nach dem Amtsantritt des neuen Kollegiums der Kommissionsmitglieder konkretisiert werden muss, damit sie spürbare Auswirkungen auf eine sich rasch verschlechternde Lage haben kann;</w:t>
            </w:r>
          </w:p>
        </w:tc>
      </w:tr>
    </w:tbl>
    <w:p w:rsidR="00930C00" w:rsidRPr="00392752" w:rsidRDefault="00930C00" w:rsidP="00930C00">
      <w:pPr>
        <w:pStyle w:val="AmOrLang"/>
        <w:rPr>
          <w:lang w:val="en-GB"/>
        </w:rPr>
      </w:pPr>
      <w:r w:rsidRPr="00392752">
        <w:rPr>
          <w:lang w:val="en-GB"/>
        </w:rPr>
        <w:lastRenderedPageBreak/>
        <w:t xml:space="preserve">Or. </w:t>
      </w:r>
      <w:r w:rsidRPr="00392752">
        <w:rPr>
          <w:rStyle w:val="HideTWBExt"/>
          <w:lang w:val="en-GB"/>
        </w:rPr>
        <w:t>&lt;Original&gt;</w:t>
      </w:r>
      <w:r w:rsidRPr="00392752">
        <w:rPr>
          <w:rStyle w:val="HideTWBInt"/>
          <w:lang w:val="en-GB"/>
        </w:rPr>
        <w:t>{EN}</w:t>
      </w:r>
      <w:r w:rsidRPr="00392752">
        <w:rPr>
          <w:lang w:val="en-GB"/>
        </w:rPr>
        <w:t>en</w:t>
      </w:r>
      <w:r w:rsidRPr="00392752">
        <w:rPr>
          <w:rStyle w:val="HideTWBExt"/>
          <w:lang w:val="en-GB"/>
        </w:rPr>
        <w:t>&lt;/Original&gt;</w:t>
      </w:r>
    </w:p>
    <w:p w:rsidR="00930C00" w:rsidRPr="009C2015" w:rsidRDefault="00930C00" w:rsidP="00930C00">
      <w:pPr>
        <w:rPr>
          <w:lang w:val="en-GB"/>
        </w:rPr>
      </w:pPr>
      <w:r>
        <w:rPr>
          <w:rStyle w:val="HideTWBExt"/>
          <w:lang w:val="en-GB"/>
        </w:rPr>
        <w:t>&lt;/Amend&gt;</w:t>
      </w:r>
    </w:p>
    <w:p w:rsidR="00930C00" w:rsidRPr="009C2015" w:rsidRDefault="00930C00" w:rsidP="00930C00">
      <w:pPr>
        <w:pStyle w:val="AmNumberTabs"/>
        <w:rPr>
          <w:lang w:val="en-GB"/>
        </w:rPr>
      </w:pPr>
      <w:r>
        <w:rPr>
          <w:rStyle w:val="HideTWBExt"/>
          <w:lang w:val="en-GB"/>
        </w:rPr>
        <w:t>&lt;Amend&gt;</w:t>
      </w:r>
      <w:r w:rsidRPr="009C2015">
        <w:rPr>
          <w:lang w:val="en-GB"/>
        </w:rPr>
        <w:t>Änderungsantrag</w:t>
      </w:r>
      <w:r w:rsidRPr="009C2015">
        <w:rPr>
          <w:lang w:val="en-GB"/>
        </w:rPr>
        <w:tab/>
      </w:r>
      <w:r w:rsidRPr="009C2015">
        <w:rPr>
          <w:lang w:val="en-GB"/>
        </w:rPr>
        <w:tab/>
      </w:r>
      <w:r>
        <w:rPr>
          <w:rStyle w:val="HideTWBExt"/>
          <w:lang w:val="en-GB"/>
        </w:rPr>
        <w:t>&lt;NumAm&gt;</w:t>
      </w:r>
      <w:r w:rsidRPr="009C2015">
        <w:rPr>
          <w:lang w:val="en-GB"/>
        </w:rPr>
        <w:t>596</w:t>
      </w:r>
      <w:r>
        <w:rPr>
          <w:rStyle w:val="HideTWBExt"/>
          <w:lang w:val="en-GB"/>
        </w:rPr>
        <w:t>&lt;/NumAm&gt;</w:t>
      </w:r>
    </w:p>
    <w:p w:rsidR="00930C00" w:rsidRPr="009C2015" w:rsidRDefault="00930C00" w:rsidP="00930C00">
      <w:pPr>
        <w:pStyle w:val="NormalBold"/>
        <w:rPr>
          <w:lang w:val="en-GB"/>
        </w:rPr>
      </w:pPr>
      <w:r>
        <w:rPr>
          <w:rStyle w:val="HideTWBExt"/>
          <w:b w:val="0"/>
          <w:lang w:val="en-GB"/>
        </w:rPr>
        <w:t>&lt;RepeatBlock-By&gt;&lt;Members&gt;</w:t>
      </w:r>
      <w:r w:rsidRPr="009C2015">
        <w:rPr>
          <w:lang w:val="en-GB"/>
        </w:rPr>
        <w:t>David McAllister</w:t>
      </w:r>
      <w:r>
        <w:rPr>
          <w:rStyle w:val="HideTWBExt"/>
          <w:b w:val="0"/>
          <w:lang w:val="en-GB"/>
        </w:rPr>
        <w:t>&lt;/Members&gt;</w:t>
      </w:r>
    </w:p>
    <w:p w:rsidR="00930C00" w:rsidRPr="00E324B0" w:rsidRDefault="00930C00" w:rsidP="00930C00">
      <w:pPr>
        <w:pStyle w:val="NormalBold"/>
      </w:pPr>
      <w:r>
        <w:rPr>
          <w:rStyle w:val="HideTWBExt"/>
          <w:b w:val="0"/>
        </w:rPr>
        <w:t>&lt;/RepeatBlock-By&gt;</w:t>
      </w:r>
    </w:p>
    <w:p w:rsidR="00930C00" w:rsidRPr="00E324B0" w:rsidRDefault="00930C00" w:rsidP="00930C00">
      <w:pPr>
        <w:pStyle w:val="NormalBold"/>
      </w:pPr>
      <w:r>
        <w:rPr>
          <w:rStyle w:val="HideTWBExt"/>
        </w:rPr>
        <w:t>&lt;DocAmend&gt;</w:t>
      </w:r>
      <w:r>
        <w:t>Entschließungsantrag</w:t>
      </w:r>
      <w:r>
        <w:rPr>
          <w:rStyle w:val="HideTWBExt"/>
        </w:rPr>
        <w:t>&lt;/DocAmend&gt;</w:t>
      </w:r>
    </w:p>
    <w:p w:rsidR="00930C00" w:rsidRPr="00E324B0"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E324B0" w:rsidRDefault="00930C00" w:rsidP="00930C00"/>
        </w:tc>
      </w:tr>
      <w:tr w:rsidR="00930C00" w:rsidTr="00930C00">
        <w:trPr>
          <w:trHeight w:val="240"/>
          <w:jc w:val="center"/>
        </w:trPr>
        <w:tc>
          <w:tcPr>
            <w:tcW w:w="4876" w:type="dxa"/>
            <w:tcBorders>
              <w:top w:val="nil"/>
              <w:left w:val="nil"/>
              <w:bottom w:val="nil"/>
              <w:right w:val="nil"/>
            </w:tcBorders>
          </w:tcPr>
          <w:p w:rsidR="00930C00" w:rsidRPr="00E324B0" w:rsidRDefault="00930C00" w:rsidP="00930C00">
            <w:pPr>
              <w:pStyle w:val="AmColumnHeading"/>
            </w:pPr>
            <w:r>
              <w:t>Entschließungsantrag</w:t>
            </w:r>
          </w:p>
        </w:tc>
        <w:tc>
          <w:tcPr>
            <w:tcW w:w="4876" w:type="dxa"/>
            <w:tcBorders>
              <w:top w:val="nil"/>
              <w:left w:val="nil"/>
              <w:bottom w:val="nil"/>
              <w:right w:val="nil"/>
            </w:tcBorders>
          </w:tcPr>
          <w:p w:rsidR="00930C00" w:rsidRPr="00E324B0"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392752"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w:t>
            </w:r>
            <w:r>
              <w:lastRenderedPageBreak/>
              <w:t>greifbaren Ergebnisse erbracht haben;</w:t>
            </w:r>
          </w:p>
        </w:tc>
        <w:tc>
          <w:tcPr>
            <w:tcW w:w="4876" w:type="dxa"/>
            <w:tcBorders>
              <w:top w:val="nil"/>
              <w:left w:val="nil"/>
              <w:bottom w:val="nil"/>
              <w:right w:val="nil"/>
            </w:tcBorders>
          </w:tcPr>
          <w:p w:rsidR="00930C00" w:rsidRPr="00392752" w:rsidRDefault="00930C00" w:rsidP="00930C00">
            <w:pPr>
              <w:pStyle w:val="Normal6a"/>
            </w:pPr>
            <w:r>
              <w:lastRenderedPageBreak/>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w:t>
            </w:r>
            <w:r>
              <w:lastRenderedPageBreak/>
              <w:t xml:space="preserve">greifbaren Ergebnisse erbracht haben; </w:t>
            </w:r>
            <w:r>
              <w:rPr>
                <w:b/>
                <w:i/>
              </w:rPr>
              <w:t>ist sich des Umstands bewusst, dass für die Wiederaufnahme der Verhandlungen die internationalen Akteure, einschließlich der USA, der Vereinten Nationen, der EU und der Arabischen Staaten, ihre Bemühungen gegenseitig ergänzen müssen, damit die Verhandlungen konstruktiv verlaufen können; setzt sich für die künftigen Bemühungen um eine Normalisierung zwischen Israel und den Arabischen Staaten in der Region ein;</w:t>
            </w:r>
          </w:p>
        </w:tc>
      </w:tr>
    </w:tbl>
    <w:p w:rsidR="00930C00" w:rsidRPr="005C30ED" w:rsidRDefault="00930C00" w:rsidP="00930C00"/>
    <w:p w:rsidR="00930C00" w:rsidRPr="00930C00" w:rsidRDefault="00930C00" w:rsidP="00930C00">
      <w:pPr>
        <w:pStyle w:val="AmOrLang"/>
        <w:rPr>
          <w:lang w:val="en-GB"/>
        </w:rPr>
      </w:pPr>
      <w:r w:rsidRPr="00930C00">
        <w:rPr>
          <w:lang w:val="en-GB"/>
        </w:rPr>
        <w:t xml:space="preserve">Or. </w:t>
      </w:r>
      <w:r w:rsidRPr="00930C00">
        <w:rPr>
          <w:rStyle w:val="HideTWBExt"/>
          <w:lang w:val="en-GB"/>
        </w:rPr>
        <w:t>&lt;Original&gt;</w:t>
      </w:r>
      <w:r w:rsidRPr="00930C00">
        <w:rPr>
          <w:rStyle w:val="HideTWBInt"/>
          <w:lang w:val="en-GB"/>
        </w:rPr>
        <w:t>{EN}</w:t>
      </w:r>
      <w:r w:rsidRPr="00930C00">
        <w:rPr>
          <w:lang w:val="en-GB"/>
        </w:rPr>
        <w:t>en</w:t>
      </w:r>
      <w:r w:rsidRPr="00930C00">
        <w:rPr>
          <w:rStyle w:val="HideTWBExt"/>
          <w:lang w:val="en-GB"/>
        </w:rPr>
        <w:t>&lt;/Original&gt;</w:t>
      </w:r>
    </w:p>
    <w:p w:rsidR="00930C00" w:rsidRPr="00930C00" w:rsidRDefault="00930C00" w:rsidP="00930C00">
      <w:pPr>
        <w:rPr>
          <w:lang w:val="en-GB"/>
        </w:rPr>
      </w:pPr>
      <w:r w:rsidRPr="00930C00">
        <w:rPr>
          <w:rStyle w:val="HideTWBExt"/>
          <w:lang w:val="en-GB"/>
        </w:rPr>
        <w:t>&lt;/Amend&gt;</w:t>
      </w:r>
    </w:p>
    <w:p w:rsidR="00930C00" w:rsidRPr="00452D4B" w:rsidRDefault="00930C00" w:rsidP="00930C00">
      <w:pPr>
        <w:pStyle w:val="AmNumberTabs"/>
        <w:rPr>
          <w:lang w:val="en-GB"/>
        </w:rPr>
      </w:pPr>
      <w:r>
        <w:rPr>
          <w:rStyle w:val="HideTWBExt"/>
          <w:lang w:val="en-GB"/>
        </w:rPr>
        <w:t>&lt;Amend&gt;</w:t>
      </w:r>
      <w:r w:rsidRPr="00452D4B">
        <w:rPr>
          <w:lang w:val="en-GB"/>
        </w:rPr>
        <w:t>Änderungsantrag</w:t>
      </w:r>
      <w:r w:rsidRPr="00452D4B">
        <w:rPr>
          <w:lang w:val="en-GB"/>
        </w:rPr>
        <w:tab/>
      </w:r>
      <w:r w:rsidRPr="00452D4B">
        <w:rPr>
          <w:lang w:val="en-GB"/>
        </w:rPr>
        <w:tab/>
      </w:r>
      <w:r>
        <w:rPr>
          <w:rStyle w:val="HideTWBExt"/>
          <w:lang w:val="en-GB"/>
        </w:rPr>
        <w:t>&lt;NumAm&gt;</w:t>
      </w:r>
      <w:r w:rsidRPr="00452D4B">
        <w:rPr>
          <w:lang w:val="en-GB"/>
        </w:rPr>
        <w:t>597</w:t>
      </w:r>
      <w:r>
        <w:rPr>
          <w:rStyle w:val="HideTWBExt"/>
          <w:lang w:val="en-GB"/>
        </w:rPr>
        <w:t>&lt;/NumAm&gt;</w:t>
      </w:r>
    </w:p>
    <w:p w:rsidR="00930C00" w:rsidRPr="00452D4B" w:rsidRDefault="00930C00" w:rsidP="00930C00">
      <w:pPr>
        <w:pStyle w:val="NormalBold"/>
        <w:rPr>
          <w:lang w:val="en-GB"/>
        </w:rPr>
      </w:pPr>
      <w:r>
        <w:rPr>
          <w:rStyle w:val="HideTWBExt"/>
          <w:b w:val="0"/>
          <w:lang w:val="en-GB"/>
        </w:rPr>
        <w:t>&lt;RepeatBlock-By&gt;&lt;Members&gt;</w:t>
      </w:r>
      <w:r w:rsidRPr="00452D4B">
        <w:rPr>
          <w:lang w:val="en-GB"/>
        </w:rPr>
        <w:t>Alice Teodorescu Måwe</w:t>
      </w:r>
      <w:r>
        <w:rPr>
          <w:rStyle w:val="HideTWBExt"/>
          <w:b w:val="0"/>
          <w:lang w:val="en-GB"/>
        </w:rPr>
        <w:t>&lt;/Members&gt;</w:t>
      </w:r>
    </w:p>
    <w:p w:rsidR="00930C00" w:rsidRPr="00042372" w:rsidRDefault="00930C00" w:rsidP="00930C00">
      <w:pPr>
        <w:pStyle w:val="NormalBold"/>
      </w:pPr>
      <w:r w:rsidRPr="00452D4B">
        <w:rPr>
          <w:rStyle w:val="HideTWBExt"/>
          <w:b w:val="0"/>
        </w:rPr>
        <w:t>&lt;/RepeatBlock-By&gt;</w:t>
      </w:r>
    </w:p>
    <w:p w:rsidR="00930C00" w:rsidRPr="00042372" w:rsidRDefault="00930C00" w:rsidP="00930C00">
      <w:pPr>
        <w:pStyle w:val="NormalBold"/>
      </w:pPr>
      <w:r w:rsidRPr="00452D4B">
        <w:rPr>
          <w:rStyle w:val="HideTWBExt"/>
        </w:rPr>
        <w:t>&lt;DocAmend&gt;</w:t>
      </w:r>
      <w:r>
        <w:t>Entschließungsantrag</w:t>
      </w:r>
      <w:r w:rsidRPr="00452D4B">
        <w:rPr>
          <w:rStyle w:val="HideTWBExt"/>
        </w:rPr>
        <w:t>&lt;/DocAmend&gt;</w:t>
      </w:r>
    </w:p>
    <w:p w:rsidR="00930C00" w:rsidRPr="005D638B"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042372"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042372"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 </w:t>
            </w:r>
            <w:r>
              <w:rPr>
                <w:b/>
                <w:i/>
              </w:rPr>
              <w:t xml:space="preserve">weist darauf hin, dass vor dem 7. Oktober </w:t>
            </w:r>
            <w:r>
              <w:rPr>
                <w:b/>
                <w:i/>
              </w:rPr>
              <w:lastRenderedPageBreak/>
              <w:t>2023 ein Waffenstillstand bestand, der von der Hamas gebrochen wurde, und dass die Hamas unschuldige Menschen, die als Geiseln genommen wurden, hingerichtet hat, während sie gleichzeitig behauptete, über einen Waffenstillstand verhandeln zu wollen;</w:t>
            </w:r>
          </w:p>
        </w:tc>
      </w:tr>
    </w:tbl>
    <w:p w:rsidR="00930C00" w:rsidRPr="00042372" w:rsidRDefault="00930C00" w:rsidP="00930C00">
      <w:pPr>
        <w:pStyle w:val="AmOrLang"/>
        <w:rPr>
          <w:lang w:val="en-GB"/>
        </w:rPr>
      </w:pPr>
      <w:r w:rsidRPr="00042372">
        <w:rPr>
          <w:lang w:val="en-GB"/>
        </w:rPr>
        <w:lastRenderedPageBreak/>
        <w:t xml:space="preserve">Or. </w:t>
      </w:r>
      <w:r w:rsidRPr="00042372">
        <w:rPr>
          <w:rStyle w:val="HideTWBExt"/>
          <w:lang w:val="en-GB"/>
        </w:rPr>
        <w:t>&lt;Original&gt;</w:t>
      </w:r>
      <w:r w:rsidRPr="00042372">
        <w:rPr>
          <w:rStyle w:val="HideTWBInt"/>
          <w:lang w:val="en-GB"/>
        </w:rPr>
        <w:t>{SV}</w:t>
      </w:r>
      <w:r w:rsidRPr="00042372">
        <w:rPr>
          <w:lang w:val="en-GB"/>
        </w:rPr>
        <w:t>sv</w:t>
      </w:r>
      <w:r w:rsidRPr="00042372">
        <w:rPr>
          <w:rStyle w:val="HideTWBExt"/>
          <w:lang w:val="en-GB"/>
        </w:rPr>
        <w:t>&lt;/Original&gt;</w:t>
      </w:r>
    </w:p>
    <w:p w:rsidR="00930C00" w:rsidRPr="00452D4B"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598</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Nacho Sánchez Amor, Sven Mikser, Thijs Reuten, Alessandra Moretti, Yannis Maniatis, Vasile Dîncu, Marco Tarquinio, Hana Jalloul Muro</w:t>
      </w:r>
      <w:r w:rsidRPr="00930C00">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5C30ED"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w:t>
            </w:r>
            <w:r>
              <w:rPr>
                <w:b/>
                <w:i/>
              </w:rPr>
              <w:t xml:space="preserve"> begrüßt den Start der Globalen Allianz für die Umsetzung einer Zweistaatenlösung und fordert den HR/VP auf, sich weiterhin intensiv für einen Waffenstillstand und eine friedliche Lösung des Konflikts einzusetzen;</w:t>
            </w:r>
            <w:r>
              <w:t xml:space="preserve">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w:t>
            </w:r>
            <w:r>
              <w:lastRenderedPageBreak/>
              <w:t>greifbaren Ergebnisse erbracht haben;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599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5C30ED" w:rsidRDefault="00930C00" w:rsidP="00930C00">
            <w:pPr>
              <w:pStyle w:val="Normal6a"/>
            </w:pPr>
            <w:r>
              <w:t>16.</w:t>
            </w:r>
            <w:r>
              <w:tab/>
              <w:t>bekräftigt seine unerschütterliche Unterstützung für eine auf Verhandlungen beruhende Zweistaatenlösung auf der Grundlage der Grenzen von 1967 mit zwei souveränen, demokratischen Staaten als friedliche Nachbarn und Jerusalem als gemeinsamer Hauptstadt;</w:t>
            </w:r>
            <w:r>
              <w:rPr>
                <w:b/>
                <w:i/>
              </w:rPr>
              <w:t xml:space="preserve"> stellt jedoch fest, dass die Palästinensische Behörde bis heute keinem der vorgeschlagenen Friedenspläne zugestimmt hat, die zu einer Zweistaatenlösung führen würden;</w:t>
            </w:r>
            <w:r>
              <w:t xml:space="preserve">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w:t>
            </w:r>
            <w:r>
              <w:rPr>
                <w:b/>
                <w:i/>
              </w:rPr>
              <w:t>bedauert den mangelnden Willen beider</w:t>
            </w:r>
            <w:r>
              <w:t xml:space="preserve"> Seiten</w:t>
            </w:r>
            <w:r>
              <w:rPr>
                <w:b/>
                <w:i/>
              </w:rPr>
              <w:t>, diesen umzusetzen</w:t>
            </w:r>
            <w:r>
              <w:t xml:space="preserve">; </w:t>
            </w:r>
            <w:r>
              <w:rPr>
                <w:b/>
                <w:i/>
              </w:rPr>
              <w:t>bedauert ferner, dass die jüngsten Friedensgespräche keine greifbaren Ergebnisse erbracht haben</w:t>
            </w:r>
            <w:r>
              <w:t>;</w:t>
            </w:r>
          </w:p>
        </w:tc>
        <w:tc>
          <w:tcPr>
            <w:tcW w:w="4876" w:type="dxa"/>
            <w:tcBorders>
              <w:top w:val="nil"/>
              <w:left w:val="nil"/>
              <w:bottom w:val="nil"/>
              <w:right w:val="nil"/>
            </w:tcBorders>
          </w:tcPr>
          <w:p w:rsidR="00930C00" w:rsidRPr="005C30ED"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gemeinsamer Hauptstadt; verurteilt die sich beschleunigende rechtswidrige Besiedlung palästinensischer Gebiete durch Israel, die einen Verstoß gegen das Völkerrecht darstellt; ist besorgt über die zunehmende Gewalt vonseiten der israelischen Streitkräfte und extremistischer Siedler im Westjordanland und in Ost-Jerusalem; bekundet seine Unterstützung für den dreistufigen Friedensplan von US-Präsident Biden und </w:t>
            </w:r>
            <w:r>
              <w:rPr>
                <w:b/>
                <w:i/>
              </w:rPr>
              <w:t>fordert beide</w:t>
            </w:r>
            <w:r>
              <w:t xml:space="preserve"> Seiten </w:t>
            </w:r>
            <w:r>
              <w:rPr>
                <w:b/>
                <w:i/>
              </w:rPr>
              <w:t>nachdrücklich auf, sich uneingeschränkt für dessen Umsetzung einzusetzen</w:t>
            </w:r>
            <w:r>
              <w:t xml:space="preserve">; </w:t>
            </w:r>
            <w:r>
              <w:rPr>
                <w:b/>
                <w:i/>
              </w:rPr>
              <w:t>fordert erneute diplomatische Bemühungen der EU, um eine konstruktive Zusammenarbeit zwischen allen Parteien zu fördern; fordert, dass Siedlern mit doppelter Staatsangehörigkeit im Westjordanland und in Ost-Jerusalem die Staatsbürgerschaft entzogen wird</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16.</w:t>
            </w:r>
            <w:r>
              <w:tab/>
              <w:t xml:space="preserve">bekräftigt seine unerschütterliche Unterstützung für eine auf Verhandlungen beruhende Zweistaatenlösung auf der Grundlage der Grenzen von 1967 mit zwei souveränen, demokratischen Staaten als friedliche Nachbarn und Jerusalem als </w:t>
            </w:r>
            <w:r>
              <w:lastRenderedPageBreak/>
              <w:t xml:space="preserve">gemeinsamer Hauptstadt; verurteilt die sich beschleunigende rechtswidrige Besiedlung palästinensischer Gebiete durch Israel, die einen Verstoß gegen das Völkerrecht darstellt; </w:t>
            </w:r>
            <w:r>
              <w:rPr>
                <w:b/>
                <w:i/>
              </w:rPr>
              <w:t xml:space="preserve">ist besorgt über </w:t>
            </w:r>
            <w:r>
              <w:t xml:space="preserve">die zunehmende Gewalt </w:t>
            </w:r>
            <w:r>
              <w:rPr>
                <w:b/>
                <w:i/>
              </w:rPr>
              <w:t>vonseiten</w:t>
            </w:r>
            <w:r>
              <w:t xml:space="preserve"> der israelischen Streitkräfte und extremistischer Siedler im Westjordanland und in Ost-Jerusalem; bekundet seine Unterstützung für den dreistufigen Friedensplan von US-Präsident Biden und bedauert den mangelnden Willen beider Seiten, diesen umzusetzen; bedauert ferner, dass die jüngsten Friedensgespräche keine greifbaren Ergebnisse erbracht haben;</w:t>
            </w:r>
          </w:p>
        </w:tc>
        <w:tc>
          <w:tcPr>
            <w:tcW w:w="4876" w:type="dxa"/>
            <w:tcBorders>
              <w:top w:val="nil"/>
              <w:left w:val="nil"/>
              <w:bottom w:val="nil"/>
              <w:right w:val="nil"/>
            </w:tcBorders>
          </w:tcPr>
          <w:p w:rsidR="00930C00" w:rsidRPr="005C30ED" w:rsidRDefault="00930C00" w:rsidP="00930C00">
            <w:pPr>
              <w:pStyle w:val="Normal6a"/>
            </w:pPr>
            <w:r>
              <w:lastRenderedPageBreak/>
              <w:t>16.</w:t>
            </w:r>
            <w:r>
              <w:tab/>
              <w:t xml:space="preserve">bekräftigt seine unerschütterliche Unterstützung für eine auf Verhandlungen beruhende Zweistaatenlösung auf der Grundlage der Grenzen von 1967 mit zwei souveränen, demokratischen Staaten als friedliche Nachbarn und Jerusalem als </w:t>
            </w:r>
            <w:r>
              <w:lastRenderedPageBreak/>
              <w:t xml:space="preserve">gemeinsamer Hauptstadt; verurteilt die sich beschleunigende rechtswidrige Besiedlung palästinensischer Gebiete durch Israel, die einen Verstoß gegen das Völkerrecht darstellt; </w:t>
            </w:r>
            <w:r>
              <w:rPr>
                <w:b/>
                <w:i/>
              </w:rPr>
              <w:t>verurteilt</w:t>
            </w:r>
            <w:r>
              <w:t xml:space="preserve"> die zunehmende Gewalt der israelischen Streitkräfte und extremistischer Siedler im Westjordanland und in Ost-Jerusalem;</w:t>
            </w:r>
            <w:r>
              <w:rPr>
                <w:b/>
                <w:i/>
              </w:rPr>
              <w:t xml:space="preserve"> unterstützt in diesem Zusammenhang die vom Rat gegen gewalttätige Siedler verhängten Sanktionen;</w:t>
            </w:r>
            <w:r>
              <w:t xml:space="preserve"> bekundet seine Unterstützung für den dreistufigen Friedensplan von US-Präsident Biden und bedauert den mangelnden Willen beider Seiten, diesen umzusetzen; bedauert ferner, dass die jüngsten Friedensgespräche keine greifbaren Ergebnisse erbracht haben;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Sebastiaan Stöteler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16.</w:t>
            </w:r>
            <w:r>
              <w:tab/>
            </w:r>
            <w:r>
              <w:rPr>
                <w:b/>
                <w:i/>
              </w:rPr>
              <w:t>bekräftigt seine</w:t>
            </w:r>
            <w:r>
              <w:t xml:space="preserve"> unerschütterliche Unterstützung für eine auf Verhandlungen beruhende Zweistaatenlösung auf der Grundlage der </w:t>
            </w:r>
            <w:r>
              <w:rPr>
                <w:b/>
                <w:i/>
              </w:rPr>
              <w:t>Grenzen</w:t>
            </w:r>
            <w:r>
              <w:t xml:space="preserve"> von 1967 mit zwei souveränen, demokratischen Staaten als friedliche Nachbarn und Jerusalem als gemeinsamer Hauptstadt; </w:t>
            </w:r>
            <w:r>
              <w:rPr>
                <w:b/>
                <w:i/>
              </w:rPr>
              <w:t>verurteilt die sich beschleunigende rechtswidrige Besiedlung palästinensischer Gebiete durch Israel, die einen Verstoß gegen das Völkerrecht darstellt</w:t>
            </w:r>
            <w:r>
              <w:t xml:space="preserve">; ist besorgt über die </w:t>
            </w:r>
            <w:r>
              <w:rPr>
                <w:b/>
                <w:i/>
              </w:rPr>
              <w:t>zunehmende</w:t>
            </w:r>
            <w:r>
              <w:t xml:space="preserve"> Gewalt vonseiten </w:t>
            </w:r>
            <w:r>
              <w:rPr>
                <w:b/>
                <w:i/>
              </w:rPr>
              <w:t>der israelischen Streitkräfte und</w:t>
            </w:r>
            <w:r>
              <w:t xml:space="preserve"> extremistischer </w:t>
            </w:r>
            <w:r>
              <w:rPr>
                <w:b/>
                <w:i/>
              </w:rPr>
              <w:t>Siedler</w:t>
            </w:r>
            <w:r>
              <w:t xml:space="preserve"> im Westjordanland und in Ost-Jerusalem; </w:t>
            </w:r>
            <w:r>
              <w:rPr>
                <w:b/>
                <w:i/>
              </w:rPr>
              <w:t xml:space="preserve">bekundet seine Unterstützung für </w:t>
            </w:r>
            <w:r>
              <w:t>den dreistufigen Friedensplan von US-Präsident Biden</w:t>
            </w:r>
            <w:r>
              <w:rPr>
                <w:b/>
                <w:i/>
              </w:rPr>
              <w:t xml:space="preserve"> und bedauert den mangelnden Willen beider </w:t>
            </w:r>
            <w:r>
              <w:rPr>
                <w:b/>
                <w:i/>
              </w:rPr>
              <w:lastRenderedPageBreak/>
              <w:t>Seiten, diesen umzusetzen</w:t>
            </w:r>
            <w:r>
              <w:t>;</w:t>
            </w:r>
            <w:r>
              <w:rPr>
                <w:b/>
                <w:i/>
              </w:rPr>
              <w:t xml:space="preserve"> bedauert ferner, dass die jüngsten Friedensgespräche keine greifbaren Ergebnisse erbracht haben</w:t>
            </w:r>
            <w:r>
              <w:t>;</w:t>
            </w:r>
          </w:p>
        </w:tc>
        <w:tc>
          <w:tcPr>
            <w:tcW w:w="4876" w:type="dxa"/>
            <w:tcBorders>
              <w:top w:val="nil"/>
              <w:left w:val="nil"/>
              <w:bottom w:val="nil"/>
              <w:right w:val="nil"/>
            </w:tcBorders>
          </w:tcPr>
          <w:p w:rsidR="00930C00" w:rsidRPr="005C30ED" w:rsidRDefault="00930C00" w:rsidP="00930C00">
            <w:pPr>
              <w:pStyle w:val="Normal6a"/>
            </w:pPr>
            <w:r>
              <w:lastRenderedPageBreak/>
              <w:t>16.</w:t>
            </w:r>
            <w:r>
              <w:tab/>
            </w:r>
            <w:r>
              <w:rPr>
                <w:b/>
                <w:i/>
              </w:rPr>
              <w:t>stellt die</w:t>
            </w:r>
            <w:r>
              <w:t xml:space="preserve"> unerschütterliche Unterstützung </w:t>
            </w:r>
            <w:r>
              <w:rPr>
                <w:b/>
                <w:i/>
              </w:rPr>
              <w:t>der EU</w:t>
            </w:r>
            <w:r>
              <w:t xml:space="preserve"> für eine auf Verhandlungen beruhende Zweistaatenlösung auf der Grundlage der </w:t>
            </w:r>
            <w:r>
              <w:rPr>
                <w:b/>
                <w:i/>
              </w:rPr>
              <w:t>Linien</w:t>
            </w:r>
            <w:r>
              <w:t xml:space="preserve"> von 1967 mit zwei souveränen, demokratischen Staaten als friedliche Nachbarn und Jerusalem als gemeinsamer Hauptstadt; </w:t>
            </w:r>
            <w:r>
              <w:rPr>
                <w:b/>
                <w:i/>
              </w:rPr>
              <w:t>ist jedoch der Ansicht, dass das Ergebnis der Lösung des israelisch-palästinensischen Konflikts nicht von der internationalen Gemeinschaft im Voraus festgelegt werden sollte</w:t>
            </w:r>
            <w:r>
              <w:t>;</w:t>
            </w:r>
            <w:r>
              <w:rPr>
                <w:b/>
                <w:i/>
              </w:rPr>
              <w:t xml:space="preserve"> verurteilt den palästinensischen Terrorismus aufs Schärfste;</w:t>
            </w:r>
            <w:r>
              <w:t xml:space="preserve"> ist besorgt über die Gewalt vonseiten extremistischer </w:t>
            </w:r>
            <w:r>
              <w:rPr>
                <w:b/>
                <w:i/>
              </w:rPr>
              <w:t>israelischer Bürger</w:t>
            </w:r>
            <w:r>
              <w:t xml:space="preserve"> im Westjordanland und in Ost-Jerusalem; </w:t>
            </w:r>
            <w:r>
              <w:rPr>
                <w:b/>
                <w:i/>
              </w:rPr>
              <w:t>nimmt</w:t>
            </w:r>
            <w:r>
              <w:t xml:space="preserve"> den dreistufigen Friedensplan von US-Präsident Biden</w:t>
            </w:r>
            <w:r>
              <w:rPr>
                <w:b/>
                <w:i/>
              </w:rPr>
              <w:t xml:space="preserve"> zur </w:t>
            </w:r>
            <w:r>
              <w:rPr>
                <w:b/>
                <w:i/>
              </w:rPr>
              <w:lastRenderedPageBreak/>
              <w:t>Kenntnis</w:t>
            </w:r>
            <w:r>
              <w:t>;</w:t>
            </w:r>
            <w:r>
              <w:rPr>
                <w:b/>
                <w:i/>
              </w:rPr>
              <w:t> fordert die Länder in der Region, die dies noch nicht getan haben, auf, sich den Abraham-Abkommen anzuschließen</w:t>
            </w:r>
            <w:r>
              <w: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16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16a.</w:t>
            </w:r>
            <w:r>
              <w:tab/>
            </w:r>
            <w:r>
              <w:rPr>
                <w:b/>
                <w:i/>
              </w:rPr>
              <w:t xml:space="preserve">unterstützt eine gerechte, tragfähige und vereinbarte Lösung für die Frage der palästinensischen Flüchtlinge; weist erneut darauf hin, dass das Hilfswerk der Vereinten Nationen für Palästinaflüchtlinge im Nahen Osten die wichtigste Organisation für die EU-Strategie für Stabilität und Frieden im Nahen Osten ist; bekräftigt in diesem Zusammenhang seine Besorgnis über die wiederholten Anschuldigungen gegen Mitarbeiter des Hilfswerks der Vereinten Nationen für Palästinaflüchtlinge im Nahen Osten (UNRWA); weist darauf hin, dass glaubwürdige Berichte darüber vorliegen, dass das UNRWA Mitglieder der terroristischen Organisation Hamas beschäftigt hat, zuletzt den Leiter des Lehrerverbands des UNRWA im Libanon, Fateh al-Scharif; weist zusätzlich auf die Beweise hin, die darauf hindeuten, dass mehrere UNRWA-Schulgebäude und das Hauptquartier als Tarnung für das umfangreiche Tunnelsystem der Hamas im Gazastreifen dienten; erkennt jedoch die wichtige Aufgabe des UNRWA bei der Bereitstellung humanitärer Hilfe an, die nicht unterbrochen werden darf, um den Zugang zu grundlegenden Dienstleistungen für alle Personen in Not sicherzustellen; besteht in diesem </w:t>
            </w:r>
            <w:r>
              <w:rPr>
                <w:b/>
                <w:i/>
              </w:rPr>
              <w:lastRenderedPageBreak/>
              <w:t>Zusammenhang darauf, dass sämtliche Mittel, die dem UNRWA und seinen Unterauftragnehmern zur Verfügung gestellt werden, verstärkt gesichtet, kontrolliert und geprüft werden, um sicherzustellen, dass keine Zahlung der EU zur Finanzierung, Unterstützung oder Förderung von Hamas- oder Hisbollah-Aktivitäten führen; fordert eine Diversifizierung der Finanzierung der humanitären Hilfe für die palästinensische Bevölkerung;</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Nathalie Loiseau, Hilde Vautmans, Lucia Yar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16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16a.</w:t>
            </w:r>
            <w:r>
              <w:tab/>
            </w:r>
            <w:r>
              <w:rPr>
                <w:b/>
                <w:i/>
              </w:rPr>
              <w:t xml:space="preserve">verurteilt die Entscheidung des israelischen Parlaments, die Operationen des UNRWA in den besetzten palästinensischen Gebieten zu verbieten, was im Widerspruch zum Völkerrecht steht und die Gefahr einer weiteren Verschlechterung der humanitären Lage in der Region birgt, und fordert nachdrücklich, dass dies rückgängig gemacht wird; betont erneut die unersetzliche Rolle des UNRWA als Erbringer grundlegender und lebensrettender Dienstleistungen in der Region; begrüßt die neuen Zusagen, die das UNRWA im März 2024 gegenüber der Kommission dahingehend eingegangen ist, die Neutralität und die Aufsicht angesichts der äußerst schwerwiegenden Anschuldigungen, dass Beschäftigte an den Terroranschlägen vom Oktober 2023 in Israel beteiligt gewesen sein könnten, zu stärken; betont, dass in Zukunft möglicherweise </w:t>
            </w:r>
            <w:r>
              <w:rPr>
                <w:b/>
                <w:i/>
              </w:rPr>
              <w:lastRenderedPageBreak/>
              <w:t>zusätzliche Maßnahmen erforderlich sein werden, um eine immer stärkere Transparenz und Überwachung der Neutralität anzustreben;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Hermann Tertsch, Jorge Martín Frías, António Tânger Corrêa</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16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16a.</w:t>
            </w:r>
            <w:r>
              <w:tab/>
            </w:r>
            <w:r>
              <w:rPr>
                <w:b/>
                <w:i/>
              </w:rPr>
              <w:t>nimmt die alarmierenden Berichte zur Kenntnis, denen zufolge Personen, die mit dem UNRWA in Verbindung stehen, an den Anschlägen vom 7. Oktober beteiligt waren; verurteilt diese Beteiligung aufs Schärfste; weist darauf hin, dass es nicht notwendig ist, eine spezifische Organisation für palästinensische Flüchtlinge aufrechtzuerhalten, die sich von dem bereits bestehenden UNHCR unterscheidet; fordert, dass das UNRWA, das Gegenstand zahlreicher Verdachtsfälle ist, faktisch aufgelöst wird;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Željana Zovko</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16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16 a.</w:t>
            </w:r>
            <w:r>
              <w:tab/>
            </w:r>
            <w:r>
              <w:rPr>
                <w:b/>
                <w:i/>
              </w:rPr>
              <w:t xml:space="preserve">fordert, dass die EU die langfristige Stabilität und den Frieden in der Region fördert, anstatt diese Probleme gelegentlich anzugehen; weist in diesem </w:t>
            </w:r>
            <w:r>
              <w:rPr>
                <w:b/>
                <w:i/>
              </w:rPr>
              <w:lastRenderedPageBreak/>
              <w:t>Zusammenhang darauf hin, dass die kontinuierliche Unterstützung der Länder der Region für das Vertrauen der lokalen Bevölkerung in der Europäischen Union von wesentlicher Bedeutung ist;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16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16a.</w:t>
            </w:r>
            <w:r>
              <w:tab/>
            </w:r>
            <w:r>
              <w:rPr>
                <w:b/>
                <w:i/>
              </w:rPr>
              <w:t>bekräftigt die grundlegende Rolle der Abraham-Abkommen als wichtiger Rahmen für die Verwirklichung von dauerhaftem Frieden, Stabilität und Wohlstand im Nahen Osten;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608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17.</w:t>
            </w:r>
            <w:r>
              <w:tab/>
            </w:r>
            <w:r>
              <w:rPr>
                <w:b/>
                <w:i/>
              </w:rPr>
              <w:t xml:space="preserve">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w:t>
            </w:r>
            <w:r>
              <w:rPr>
                <w:b/>
                <w:i/>
              </w:rPr>
              <w:lastRenderedPageBreak/>
              <w:t>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rPr>
                <w:b/>
                <w:i/>
              </w:rPr>
              <w:lastRenderedPageBreak/>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609</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Hermann Tertsch, Jorge Martín Frías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spielen; </w:t>
            </w:r>
            <w:r>
              <w:rPr>
                <w:b/>
                <w:i/>
              </w:rPr>
              <w:t>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t>17.</w:t>
            </w:r>
            <w:r>
              <w:tab/>
              <w:t>ist angesichts der wachsenden Spannungen im Nahen Osten und über die destabilisierende Rolle besorgt, die das iranische Regime und sein Netzwerk nichtstaatlicher Akteure im Nahen Osten spielen;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610</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r>
            <w:r>
              <w:rPr>
                <w:b/>
                <w:i/>
              </w:rPr>
              <w:t>ist angesichts der wachsenden Spannungen im Nahen Osten und über die destabilisierende Rolle besorgt, die das iranische Regime und sein Netzwerk nichtstaatlicher Akteure im Nahen Osten spielen;</w:t>
            </w:r>
            <w:r>
              <w:t xml:space="preserve">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w:t>
            </w:r>
            <w:r>
              <w:rPr>
                <w:b/>
                <w:i/>
              </w:rPr>
              <w:t>mit internationalen Partnern, auch mit den Golfstaaten,</w:t>
            </w:r>
            <w:r>
              <w:t xml:space="preserve">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t>17.</w:t>
            </w:r>
            <w:r>
              <w:tab/>
              <w:t>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fortzusetzen und zu intensivieren, um eine dringend notwendige Deeskalation und einen sinnvollen Dialog zu fördern;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611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Nathalie Loiseau, Hilde Vautmans, Lucia Yar, Petras Auštrevičius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w:t>
            </w:r>
            <w:r>
              <w:lastRenderedPageBreak/>
              <w:t>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lastRenderedPageBreak/>
              <w:t>17.</w:t>
            </w:r>
            <w:r>
              <w:tab/>
              <w:t xml:space="preserve">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w:t>
            </w:r>
            <w:r>
              <w:rPr>
                <w:b/>
                <w:i/>
              </w:rPr>
              <w:t xml:space="preserve">stellt fest, dass der Iran das israelische Hoheitsgebiet in </w:t>
            </w:r>
            <w:r>
              <w:rPr>
                <w:b/>
                <w:i/>
              </w:rPr>
              <w:lastRenderedPageBreak/>
              <w:t>diesem Jahr zweimal direkt und unmittelbar getroffen hat, wobei Israel in beiden Fällen Vergeltungsmaßnahmen ergriffen hat, was eine beispiellose Ausweitung des Konflikts darstellt;</w:t>
            </w:r>
            <w:r>
              <w:t xml:space="preserve">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612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Antonio López-Istúriz White</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t>17.</w:t>
            </w:r>
            <w:r>
              <w:tab/>
              <w:t>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r>
              <w:rPr>
                <w:b/>
                <w:i/>
              </w:rPr>
              <w:t>,</w:t>
            </w:r>
            <w:r>
              <w:t xml:space="preserve"> </w:t>
            </w:r>
            <w:r>
              <w:rPr>
                <w:b/>
                <w:i/>
              </w:rPr>
              <w:t>die Unterstützung der Abraham-Abkommen als wirtschaftlicher und gesellschaftlicher Stabilisierungsfaktor fortzusetzen. </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52D4B" w:rsidRDefault="00930C00" w:rsidP="00930C00">
      <w:pPr>
        <w:pStyle w:val="AmNumberTabs"/>
        <w:rPr>
          <w:lang w:val="en-GB"/>
        </w:rPr>
      </w:pPr>
      <w:r>
        <w:rPr>
          <w:rStyle w:val="HideTWBExt"/>
          <w:lang w:val="en-GB"/>
        </w:rPr>
        <w:t>&lt;Amend&gt;</w:t>
      </w:r>
      <w:r w:rsidRPr="00452D4B">
        <w:rPr>
          <w:lang w:val="en-GB"/>
        </w:rPr>
        <w:t>Änderungsantrag</w:t>
      </w:r>
      <w:r w:rsidRPr="00452D4B">
        <w:rPr>
          <w:lang w:val="en-GB"/>
        </w:rPr>
        <w:tab/>
      </w:r>
      <w:r w:rsidRPr="00452D4B">
        <w:rPr>
          <w:lang w:val="en-GB"/>
        </w:rPr>
        <w:tab/>
      </w:r>
      <w:r>
        <w:rPr>
          <w:rStyle w:val="HideTWBExt"/>
          <w:lang w:val="en-GB"/>
        </w:rPr>
        <w:t>&lt;NumAm&gt;</w:t>
      </w:r>
      <w:r w:rsidRPr="00452D4B">
        <w:rPr>
          <w:lang w:val="en-GB"/>
        </w:rPr>
        <w:t>613</w:t>
      </w:r>
      <w:r>
        <w:rPr>
          <w:rStyle w:val="HideTWBExt"/>
          <w:lang w:val="en-GB"/>
        </w:rPr>
        <w:t>&lt;/NumAm&gt;</w:t>
      </w:r>
    </w:p>
    <w:p w:rsidR="00930C00" w:rsidRPr="00452D4B" w:rsidRDefault="00930C00" w:rsidP="00930C00">
      <w:pPr>
        <w:pStyle w:val="NormalBold"/>
        <w:rPr>
          <w:lang w:val="en-GB"/>
        </w:rPr>
      </w:pPr>
      <w:r>
        <w:rPr>
          <w:rStyle w:val="HideTWBExt"/>
          <w:b w:val="0"/>
          <w:lang w:val="en-GB"/>
        </w:rPr>
        <w:t>&lt;RepeatBlock-By&gt;&lt;Members&gt;</w:t>
      </w:r>
      <w:r w:rsidRPr="00452D4B">
        <w:rPr>
          <w:lang w:val="en-GB"/>
        </w:rPr>
        <w:t>Alice Teodorescu Måwe</w:t>
      </w:r>
      <w:r>
        <w:rPr>
          <w:rStyle w:val="HideTWBExt"/>
          <w:b w:val="0"/>
          <w:lang w:val="en-GB"/>
        </w:rPr>
        <w:t>&lt;/Members&gt;</w:t>
      </w:r>
    </w:p>
    <w:p w:rsidR="00930C00" w:rsidRPr="00042372" w:rsidRDefault="00930C00" w:rsidP="00930C00">
      <w:pPr>
        <w:pStyle w:val="NormalBold"/>
      </w:pPr>
      <w:r w:rsidRPr="00452D4B">
        <w:rPr>
          <w:rStyle w:val="HideTWBExt"/>
          <w:b w:val="0"/>
        </w:rPr>
        <w:t>&lt;/RepeatBlock-By&gt;</w:t>
      </w:r>
    </w:p>
    <w:p w:rsidR="00930C00" w:rsidRPr="00042372" w:rsidRDefault="00930C00" w:rsidP="00930C00">
      <w:pPr>
        <w:pStyle w:val="NormalBold"/>
      </w:pPr>
      <w:r w:rsidRPr="00452D4B">
        <w:rPr>
          <w:rStyle w:val="HideTWBExt"/>
        </w:rPr>
        <w:t>&lt;DocAmend&gt;</w:t>
      </w:r>
      <w:r>
        <w:t>Entschließungsantrag</w:t>
      </w:r>
      <w:r w:rsidRPr="00452D4B">
        <w:rPr>
          <w:rStyle w:val="HideTWBExt"/>
        </w:rPr>
        <w:t>&lt;/DocAmend&gt;</w:t>
      </w:r>
    </w:p>
    <w:p w:rsidR="00930C00" w:rsidRPr="005D638B"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042372"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spielen; fordert </w:t>
            </w:r>
            <w:r>
              <w:rPr>
                <w:b/>
                <w:i/>
              </w:rPr>
              <w:t>sämtliche Parteien</w:t>
            </w:r>
            <w:r>
              <w:t xml:space="preserve">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042372"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w:t>
            </w:r>
            <w:r>
              <w:rPr>
                <w:b/>
                <w:i/>
              </w:rPr>
              <w:t xml:space="preserve">und weltweit, auch auf europäischem Boden, </w:t>
            </w:r>
            <w:r>
              <w:t xml:space="preserve">spielen; fordert </w:t>
            </w:r>
            <w:r>
              <w:rPr>
                <w:b/>
                <w:i/>
              </w:rPr>
              <w:t>Iran und alle seine Stellvertreter</w:t>
            </w:r>
            <w:r>
              <w:t xml:space="preserve">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042372" w:rsidRDefault="00930C00" w:rsidP="00930C00">
      <w:pPr>
        <w:pStyle w:val="AmOrLang"/>
        <w:rPr>
          <w:lang w:val="en-GB"/>
        </w:rPr>
      </w:pPr>
      <w:r w:rsidRPr="00042372">
        <w:rPr>
          <w:lang w:val="en-GB"/>
        </w:rPr>
        <w:t xml:space="preserve">Or. </w:t>
      </w:r>
      <w:r w:rsidRPr="00042372">
        <w:rPr>
          <w:rStyle w:val="HideTWBExt"/>
          <w:lang w:val="en-GB"/>
        </w:rPr>
        <w:t>&lt;Original&gt;</w:t>
      </w:r>
      <w:r w:rsidRPr="00042372">
        <w:rPr>
          <w:rStyle w:val="HideTWBInt"/>
          <w:lang w:val="en-GB"/>
        </w:rPr>
        <w:t>{SV}</w:t>
      </w:r>
      <w:r w:rsidRPr="00042372">
        <w:rPr>
          <w:lang w:val="en-GB"/>
        </w:rPr>
        <w:t>sv</w:t>
      </w:r>
      <w:r w:rsidRPr="00042372">
        <w:rPr>
          <w:rStyle w:val="HideTWBExt"/>
          <w:lang w:val="en-GB"/>
        </w:rPr>
        <w:t>&lt;/Original&gt;</w:t>
      </w:r>
    </w:p>
    <w:p w:rsidR="00930C00" w:rsidRPr="00452D4B"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614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Sebastiaan Stöteler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w:t>
            </w:r>
            <w:r>
              <w:lastRenderedPageBreak/>
              <w:t>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lastRenderedPageBreak/>
              <w:t>17.</w:t>
            </w:r>
            <w:r>
              <w:tab/>
              <w:t xml:space="preserve">ist angesichts der wachsenden Spannungen im Nahen Osten und über die destabilisierende Rolle besorgt, die das iranische Regime und sein Netzwerk </w:t>
            </w:r>
            <w:r>
              <w:lastRenderedPageBreak/>
              <w:t xml:space="preserve">nichtstaatlicher Akteure im Nahen Osten spielen; fordert sämtliche Parteien nachdrücklich auf, größtmögliche Zurückhaltung zu üben, sich zu einer Deeskalation zu verpflichten und von einer weiteren Eskalation abzusehen, da ein </w:t>
            </w:r>
            <w:r>
              <w:rPr>
                <w:b/>
                <w:i/>
              </w:rPr>
              <w:t>sich zuspitzender</w:t>
            </w:r>
            <w:r>
              <w:t xml:space="preserve">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615</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A53B2" w:rsidRDefault="00930C00" w:rsidP="00930C00">
            <w:pPr>
              <w:pStyle w:val="Normal6a"/>
            </w:pPr>
            <w:r>
              <w:t>17.</w:t>
            </w:r>
            <w:r>
              <w:tab/>
              <w:t xml:space="preserve">ist </w:t>
            </w:r>
            <w:r>
              <w:rPr>
                <w:b/>
                <w:i/>
              </w:rPr>
              <w:t>angesichts der</w:t>
            </w:r>
            <w:r>
              <w:t xml:space="preserve"> wachsenden Spannungen im Nahen Osten </w:t>
            </w:r>
            <w:r>
              <w:rPr>
                <w:b/>
                <w:i/>
              </w:rPr>
              <w:t>und über</w:t>
            </w:r>
            <w:r>
              <w:t xml:space="preserve"> die destabilisierende Rolle</w:t>
            </w:r>
            <w:r>
              <w:rPr>
                <w:b/>
                <w:i/>
              </w:rPr>
              <w:t xml:space="preserve"> besorgt</w:t>
            </w:r>
            <w:r>
              <w: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7A53B2" w:rsidRDefault="00930C00" w:rsidP="00930C00">
            <w:pPr>
              <w:pStyle w:val="Normal6a"/>
            </w:pPr>
            <w:r>
              <w:t>17.</w:t>
            </w:r>
            <w:r>
              <w:tab/>
              <w:t xml:space="preserve">ist </w:t>
            </w:r>
            <w:r>
              <w:rPr>
                <w:b/>
                <w:i/>
              </w:rPr>
              <w:t>über die</w:t>
            </w:r>
            <w:r>
              <w:t xml:space="preserve"> wachsenden Spannungen im Nahen Osten </w:t>
            </w:r>
            <w:r>
              <w:rPr>
                <w:b/>
                <w:i/>
              </w:rPr>
              <w:t>besorgt; verurteilt aufs Schärfste</w:t>
            </w:r>
            <w:r>
              <w:t xml:space="preserve"> die destabilisierende Rolle,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07238A" w:rsidRDefault="00930C00" w:rsidP="00930C00">
      <w:pPr>
        <w:pStyle w:val="AmOrLang"/>
      </w:pPr>
      <w:r w:rsidRPr="0007238A">
        <w:lastRenderedPageBreak/>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616</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spielen; fordert </w:t>
            </w:r>
            <w:r>
              <w:rPr>
                <w:b/>
                <w:i/>
              </w:rPr>
              <w:t>sämtliche Parteien</w:t>
            </w:r>
            <w:r>
              <w:t xml:space="preserve">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w:t>
            </w:r>
            <w:r>
              <w:rPr>
                <w:b/>
                <w:i/>
              </w:rPr>
              <w:t>zu fördern</w:t>
            </w:r>
            <w:r>
              <w:t>;</w:t>
            </w:r>
          </w:p>
        </w:tc>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nichtstaatlicher Akteure im Nahen Osten spielen; fordert </w:t>
            </w:r>
            <w:r>
              <w:rPr>
                <w:b/>
                <w:i/>
              </w:rPr>
              <w:t>den Iran</w:t>
            </w:r>
            <w:r>
              <w:t xml:space="preserve">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w:t>
            </w:r>
            <w:r>
              <w:rPr>
                <w:b/>
                <w:i/>
              </w:rPr>
              <w:t>den Iran zu zwingen, sich auf</w:t>
            </w:r>
            <w:r>
              <w:t xml:space="preserve"> eine dringend notwendige Deeskalation und einen sinnvollen Dialog </w:t>
            </w:r>
            <w:r>
              <w:rPr>
                <w:b/>
                <w:i/>
              </w:rPr>
              <w:t>einzulassen</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617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Mariusz Kamiński, Adam Bielan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{ECR}</w:t>
      </w:r>
      <w:r w:rsidRPr="004E2DEB">
        <w:rPr>
          <w:lang w:val="en-GB"/>
        </w:rPr>
        <w:t>im Namen der ECR-Fraktion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 xml:space="preserve">ist angesichts der wachsenden Spannungen im Nahen Osten und über die destabilisierende Rolle besorgt, die das iranische Regime und sein Netzwerk </w:t>
            </w:r>
            <w:r>
              <w:lastRenderedPageBreak/>
              <w:t xml:space="preserve">nichtstaatlicher Akteure im Nahen Osten spielen; fordert sämtliche Parteien nachdrücklich auf, größtmögliche Zurückhaltung zu üben, sich zu einer Deeskalation zu verpflichten und von einer weiteren Eskalation abzusehen, da ein regionaler </w:t>
            </w:r>
            <w:r>
              <w:rPr>
                <w:b/>
                <w:i/>
              </w:rPr>
              <w:t>Konflikt</w:t>
            </w:r>
            <w:r>
              <w:t xml:space="preserve">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lastRenderedPageBreak/>
              <w:t>17.</w:t>
            </w:r>
            <w:r>
              <w:tab/>
              <w:t xml:space="preserve">ist angesichts der wachsenden Spannungen im Nahen Osten und über die destabilisierende Rolle besorgt, die das iranische Regime und sein Netzwerk </w:t>
            </w:r>
            <w:r>
              <w:lastRenderedPageBreak/>
              <w:t xml:space="preserve">nichtstaatlicher Akteure im Nahen Osten spielen; fordert sämtliche Parteien nachdrücklich auf, größtmögliche Zurückhaltung zu üben, sich zu einer Deeskalation zu verpflichten und von einer weiteren Eskalation abzusehen, da ein regionaler </w:t>
            </w:r>
            <w:r>
              <w:rPr>
                <w:b/>
                <w:i/>
              </w:rPr>
              <w:t>Krieg</w:t>
            </w:r>
            <w:r>
              <w:t xml:space="preserve">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618</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17</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17.</w:t>
            </w:r>
            <w:r w:rsidRPr="005D638B">
              <w:tab/>
              <w:t xml:space="preserve">ist angesichts der wachsenden Spannungen im Nahen Osten und über die destabilisierende Rolle besorgt, die </w:t>
            </w:r>
            <w:r w:rsidRPr="005D638B">
              <w:rPr>
                <w:b/>
                <w:i/>
              </w:rPr>
              <w:t>das iranische Regime</w:t>
            </w:r>
            <w:r w:rsidRPr="005D638B">
              <w:t xml:space="preserv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D638B" w:rsidRDefault="00930C00" w:rsidP="00930C00">
            <w:pPr>
              <w:pStyle w:val="Normal6a"/>
            </w:pPr>
            <w:r w:rsidRPr="005D638B">
              <w:t>17.</w:t>
            </w:r>
            <w:r w:rsidRPr="005D638B">
              <w:tab/>
              <w:t xml:space="preserve">ist angesichts der wachsenden Spannungen im Nahen Osten und über die destabilisierende Rolle besorgt, die </w:t>
            </w:r>
            <w:r w:rsidRPr="005D638B">
              <w:rPr>
                <w:b/>
                <w:i/>
              </w:rPr>
              <w:t>der Iran</w:t>
            </w:r>
            <w:r w:rsidRPr="005D638B">
              <w:t xml:space="preserv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den HR/VP und die Mitgliedstaaten auf, ihre diplomatischen Bemühungen mit internationalen Partnern, auch mit den Golfstaaten, fortzusetzen und zu intensivieren, um eine dringend notwendige Deeskalation und einen sinnvollen Dialog zu fördern;</w:t>
            </w:r>
          </w:p>
        </w:tc>
      </w:tr>
    </w:tbl>
    <w:p w:rsidR="00930C00" w:rsidRPr="005D638B" w:rsidRDefault="00930C00" w:rsidP="00930C00">
      <w:pPr>
        <w:pStyle w:val="AmOrLang"/>
      </w:pPr>
      <w:r w:rsidRPr="005D638B">
        <w:lastRenderedPageBreak/>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619</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w:t>
      </w:r>
      <w:r w:rsidRPr="004E2DEB">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17.</w:t>
            </w:r>
            <w:r>
              <w:tab/>
              <w:t>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w:t>
            </w:r>
            <w:r>
              <w:rPr>
                <w:b/>
                <w:i/>
              </w:rPr>
              <w:t xml:space="preserve"> den HR/VP und </w:t>
            </w:r>
            <w:r>
              <w:t>die Mitgliedstaaten auf, ihre diplomatischen Bemühungen mit internationalen Partnern, auch mit den Golfstaaten, fortzusetzen und zu intensivieren, um eine dringend notwendige Deeskalation und einen sinnvollen Dialog zu fördern;</w:t>
            </w:r>
          </w:p>
        </w:tc>
        <w:tc>
          <w:tcPr>
            <w:tcW w:w="4876" w:type="dxa"/>
            <w:tcBorders>
              <w:top w:val="nil"/>
              <w:left w:val="nil"/>
              <w:bottom w:val="nil"/>
              <w:right w:val="nil"/>
            </w:tcBorders>
          </w:tcPr>
          <w:p w:rsidR="00930C00" w:rsidRPr="005C30ED" w:rsidRDefault="00930C00" w:rsidP="00930C00">
            <w:pPr>
              <w:pStyle w:val="Normal6a"/>
            </w:pPr>
            <w:r>
              <w:t>17.</w:t>
            </w:r>
            <w:r>
              <w:tab/>
              <w:t>ist angesichts der wachsenden Spannungen im Nahen Osten und über die destabilisierende Rolle besorgt, die das iranische Regime und sein Netzwerk nichtstaatlicher Akteure im Nahen Osten spielen; fordert sämtliche Parteien nachdrücklich auf, größtmögliche Zurückhaltung zu üben, sich zu einer Deeskalation zu verpflichten und von einer weiteren Eskalation abzusehen, da ein regionaler Konflikt um jeden Preis vermieden werden muss; fordert die Mitgliedstaaten auf, ihre diplomatischen Bemühungen mit internationalen Partnern, auch mit den Golfstaaten, fortzusetzen und zu intensivieren, um eine dringend notwendige Deeskalation und einen sinnvollen Dialog zu fördern;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17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17a.</w:t>
            </w:r>
            <w:r>
              <w:tab/>
            </w:r>
            <w:r>
              <w:rPr>
                <w:b/>
                <w:i/>
              </w:rPr>
              <w:t xml:space="preserve">begrüßt den erfolgreichen Abschluss des ersten Gipfeltreffens EU-GCC und ist der Ansicht, dass dieses Gipfeltreffen einen entscheidenden Moment in den Beziehungen zwischen der </w:t>
            </w:r>
            <w:r>
              <w:rPr>
                <w:b/>
                <w:i/>
              </w:rPr>
              <w:lastRenderedPageBreak/>
              <w:t>Europäischen Union und ihren Partnern des Golf-Kooperationsrates (GCC) darstellt, und betont, dass wir uns gemeinsam dafür einsetzen, die Beziehungen in wichtigen strategischen, wirtschaftlichen und kulturellen Bereichen zu stärken;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17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17a.</w:t>
            </w:r>
            <w:r>
              <w:tab/>
            </w:r>
            <w:r>
              <w:rPr>
                <w:b/>
                <w:i/>
              </w:rPr>
              <w:t>fordert Alternativen zu internationalen Sanktionen, die ein starkes diplomatisches Engagement und einen konstruktiven Dialog als vorrangiges Mittel der Konfliktlösung umfassen;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622</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18</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rPr>
                <w:b/>
                <w:i/>
              </w:rPr>
              <w:t>18.</w:t>
            </w:r>
            <w:r w:rsidRPr="005D638B">
              <w:tab/>
            </w:r>
            <w:r w:rsidRPr="005D638B">
              <w:rPr>
                <w:b/>
                <w:i/>
              </w:rPr>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w:t>
            </w:r>
            <w:r w:rsidRPr="005D638B">
              <w:rPr>
                <w:b/>
                <w:i/>
              </w:rPr>
              <w:lastRenderedPageBreak/>
              <w:t>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p>
        </w:tc>
        <w:tc>
          <w:tcPr>
            <w:tcW w:w="4876" w:type="dxa"/>
            <w:tcBorders>
              <w:top w:val="nil"/>
              <w:left w:val="nil"/>
              <w:bottom w:val="nil"/>
              <w:right w:val="nil"/>
            </w:tcBorders>
          </w:tcPr>
          <w:p w:rsidR="00930C00" w:rsidRPr="005D638B" w:rsidRDefault="00930C00" w:rsidP="00930C00">
            <w:pPr>
              <w:pStyle w:val="Normal6a"/>
            </w:pPr>
            <w:r w:rsidRPr="005D638B">
              <w:rPr>
                <w:b/>
                <w:i/>
              </w:rPr>
              <w:lastRenderedPageBreak/>
              <w:t>entfällt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623</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18.</w:t>
            </w:r>
            <w:r>
              <w:tab/>
            </w:r>
            <w:r>
              <w:rPr>
                <w:b/>
                <w:i/>
              </w:rPr>
              <w:t>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rPr>
                <w:b/>
                <w:i/>
              </w:rPr>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lastRenderedPageBreak/>
        <w:t>&lt;Amend&gt;</w:t>
      </w:r>
      <w:r>
        <w:t>Änderungsantrag</w:t>
      </w:r>
      <w:r>
        <w:tab/>
      </w:r>
      <w:r>
        <w:tab/>
      </w:r>
      <w:r>
        <w:rPr>
          <w:rStyle w:val="HideTWBExt"/>
        </w:rPr>
        <w:t>&lt;NumAm&gt;</w:t>
      </w:r>
      <w:r>
        <w:t>624</w:t>
      </w:r>
      <w:r>
        <w:rPr>
          <w:rStyle w:val="HideTWBExt"/>
        </w:rPr>
        <w:t>&lt;/NumAm&gt;</w:t>
      </w:r>
    </w:p>
    <w:p w:rsidR="00930C00" w:rsidRPr="005C30ED" w:rsidRDefault="00930C00" w:rsidP="00930C00">
      <w:pPr>
        <w:pStyle w:val="NormalBold"/>
      </w:pPr>
      <w:r>
        <w:rPr>
          <w:rStyle w:val="HideTWBExt"/>
          <w:b w:val="0"/>
        </w:rPr>
        <w:t>&lt;RepeatBlock-By&gt;&lt;Members&gt;</w:t>
      </w:r>
      <w:r>
        <w:t>António Tânger Corrêa, Hermann Tertsch, Jorge Martín Frías</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t>18.</w:t>
            </w:r>
            <w:r>
              <w:tab/>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 </w:t>
            </w:r>
            <w:r>
              <w:rPr>
                <w:b/>
                <w:i/>
              </w:rPr>
              <w:t>fordert die EU nachdrücklich auf, ihre nachrichtendienstlichen Bemühungen zu intensivieren, um die Länder zu ermitteln, die das iranische Regime finanzieren, und angemessene Sanktionen gegen sie zu verhängen;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Adam Bielan</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 xml:space="preserve">begrüßt die Entscheidung der EU, die Sanktionen gegen den Iran bis Juli </w:t>
            </w:r>
            <w:r>
              <w:lastRenderedPageBreak/>
              <w:t xml:space="preserve">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t>
            </w:r>
            <w:r>
              <w:rPr>
                <w:b/>
                <w:i/>
              </w:rPr>
              <w:t xml:space="preserve">weist darauf hin, dass das Europäische Parlament die Aufnahme der Hisbollah und </w:t>
            </w:r>
            <w:r>
              <w:t xml:space="preserve">des Korps der iranischen Revolutionsgarde (IRGC) in die EU-Liste terroristischer Organisationen </w:t>
            </w:r>
            <w:r>
              <w:rPr>
                <w:b/>
                <w:i/>
              </w:rPr>
              <w:t>gefordert hat</w:t>
            </w:r>
            <w:r>
              <w:t>;</w:t>
            </w:r>
          </w:p>
        </w:tc>
        <w:tc>
          <w:tcPr>
            <w:tcW w:w="4876" w:type="dxa"/>
            <w:tcBorders>
              <w:top w:val="nil"/>
              <w:left w:val="nil"/>
              <w:bottom w:val="nil"/>
              <w:right w:val="nil"/>
            </w:tcBorders>
          </w:tcPr>
          <w:p w:rsidR="00930C00" w:rsidRPr="005C30ED" w:rsidRDefault="00930C00" w:rsidP="00930C00">
            <w:pPr>
              <w:pStyle w:val="Normal6a"/>
            </w:pPr>
            <w:r>
              <w:lastRenderedPageBreak/>
              <w:t>18.</w:t>
            </w:r>
            <w:r>
              <w:tab/>
              <w:t xml:space="preserve">begrüßt die Entscheidung der EU, die Sanktionen gegen den Iran bis Juli </w:t>
            </w:r>
            <w:r>
              <w:lastRenderedPageBreak/>
              <w:t xml:space="preserve">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t>
            </w:r>
            <w:r>
              <w:rPr>
                <w:b/>
                <w:i/>
              </w:rPr>
              <w:t>verurteilt aufs Schärfste die zahlreichen Terroranschläge und Morde</w:t>
            </w:r>
            <w:r>
              <w:t xml:space="preserve"> des Korps der Iranischen Revolutionsgarde (IRGC) </w:t>
            </w:r>
            <w:r>
              <w:rPr>
                <w:b/>
                <w:i/>
              </w:rPr>
              <w:t>in der ganzen Welt, auch auf europäischem Boden in den letzten Jahrzehnten; bekräftigt seine Forderung, dass die Hisbollah und das IRGC dringend</w:t>
            </w:r>
            <w:r>
              <w:t xml:space="preserve"> in die EU-Liste terroristischer Organisationen </w:t>
            </w:r>
            <w:r>
              <w:rPr>
                <w:b/>
                <w:i/>
              </w:rPr>
              <w:t>aufgenommen werden</w:t>
            </w:r>
            <w:r>
              <w: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Emmanouil Kefalogiannis</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w:t>
            </w:r>
            <w:r>
              <w:lastRenderedPageBreak/>
              <w:t xml:space="preserve">Güter mit doppeltem Verwendungszweck eingestuft sind; </w:t>
            </w:r>
            <w:r>
              <w:rPr>
                <w:b/>
                <w:i/>
              </w:rPr>
              <w:t>weist darauf hin, dass das Europäische Parlament die Aufnahme der Hisbollah und des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lastRenderedPageBreak/>
              <w:t>18.</w:t>
            </w:r>
            <w:r>
              <w:tab/>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w:t>
            </w:r>
            <w:r>
              <w:lastRenderedPageBreak/>
              <w:t>Güter mit doppeltem Verwendungszweck eingestuft sind;</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Željana Zovko</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t>18.</w:t>
            </w:r>
            <w:r>
              <w:tab/>
              <w:t>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 Korps der iranischen Revolutionsgarde (IRGC) in die EU-Liste terroristischer Organisationen gefordert hat</w:t>
            </w:r>
            <w:r>
              <w:rPr>
                <w:b/>
                <w:i/>
              </w:rPr>
              <w:t>, insbesondere angesichts der nicht hinnehmbaren Verbindung zwischen der IRGC und terroristischen Anschlägen auf europäischem Boden</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lastRenderedPageBreak/>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Rihards Kols</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begrüßt die Entscheidung der EU, die Sanktionen gegen den Iran bis Juli 2025 zu verlängern</w:t>
            </w:r>
            <w:r>
              <w:rPr>
                <w:b/>
                <w:i/>
              </w:rPr>
              <w:t xml:space="preserve"> und dabei auch die Herstellung unbemannter Drohnen und Flugkörper durch den Iran und ihre Lieferung an Russland und die Region des gesamten Nahen Ostens zu sanktionieren; weist darauf hin, dass die 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der Hisbollah und des</w:t>
            </w:r>
            <w:r>
              <w:t xml:space="preserve">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t>18.</w:t>
            </w:r>
            <w:r>
              <w:tab/>
              <w:t>begrüßt die Entscheidung der EU, die Sanktionen gegen den Iran bis Juli 2025 zu verlängern</w:t>
            </w:r>
            <w:r>
              <w:rPr>
                <w:b/>
                <w:i/>
              </w:rPr>
              <w:t>, und fordert nachdrücklich, dass das</w:t>
            </w:r>
            <w:r>
              <w:t xml:space="preserve"> Korps der Iranischen Revolutionsgarde (IRGC) </w:t>
            </w:r>
            <w:r>
              <w:rPr>
                <w:b/>
                <w:i/>
              </w:rPr>
              <w:t>und die Hisbollah in ihrer Gesamtheit</w:t>
            </w:r>
            <w:r>
              <w:t xml:space="preserve"> in die EU-Liste terroristischer Organisationen </w:t>
            </w:r>
            <w:r>
              <w:rPr>
                <w:b/>
                <w:i/>
              </w:rPr>
              <w:t>aufgenommen werden, wodurch die Durchsetzung der Beschränkungen für Ausfuhren von Technologien mit doppeltem Verwendungszweck gestärkt wird; fordert darüber hinaus, dass die Wagner-Gruppe in Anerkennung ihrer destabilisierenden Handlungen und des Terrorismus in ausländischen Konflikten umgehend als terroristische Organisation eingestuft wird</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629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Sebastiaan Stöteler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18.</w:t>
            </w:r>
            <w:r>
              <w:tab/>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w:t>
            </w:r>
            <w:r>
              <w:lastRenderedPageBreak/>
              <w:t xml:space="preserve">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w:t>
            </w:r>
            <w:r>
              <w:rPr>
                <w:b/>
                <w:i/>
              </w:rPr>
              <w:t>der Hisbollah und</w:t>
            </w:r>
            <w:r>
              <w:t xml:space="preserve"> des Korps der iranischen Revolutionsgarde (IRGC) in die EU-Liste terroristischer Organisationen gefordert hat;</w:t>
            </w:r>
          </w:p>
        </w:tc>
        <w:tc>
          <w:tcPr>
            <w:tcW w:w="4876" w:type="dxa"/>
            <w:tcBorders>
              <w:top w:val="nil"/>
              <w:left w:val="nil"/>
              <w:bottom w:val="nil"/>
              <w:right w:val="nil"/>
            </w:tcBorders>
          </w:tcPr>
          <w:p w:rsidR="00930C00" w:rsidRPr="005C30ED" w:rsidRDefault="00930C00" w:rsidP="00930C00">
            <w:pPr>
              <w:pStyle w:val="Normal6a"/>
            </w:pPr>
            <w:r>
              <w:lastRenderedPageBreak/>
              <w:t>18.</w:t>
            </w:r>
            <w:r>
              <w:tab/>
              <w:t xml:space="preserve">begrüßt die Entscheidung der EU, die Sanktionen gegen den Iran bis Juli 2025 zu verlängern und dabei auch die Herstellung unbemannter Drohnen und Flugkörper durch den Iran und ihre Lieferung an Russland und die Region des gesamten Nahen Ostens zu sanktionieren; weist darauf hin, dass die </w:t>
            </w:r>
            <w:r>
              <w:lastRenderedPageBreak/>
              <w:t xml:space="preserve">Sanktionsmöglichkeiten, die noch nicht ausgeschöpft wurden, einen viel restriktiveren Ansatz für den Technologietransfer mittels der Ausfuhr von Produkten umfassen, die nicht als Güter mit doppeltem Verwendungszweck eingestuft sind; weist darauf hin, dass das Europäische Parlament die Aufnahme des Korps der iranischen Revolutionsgarde (IRGC) </w:t>
            </w:r>
            <w:r>
              <w:rPr>
                <w:b/>
                <w:i/>
              </w:rPr>
              <w:t>und der Hisbollah insgesamt</w:t>
            </w:r>
            <w:r>
              <w:t xml:space="preserve"> in die EU-Liste terroristischer Organisationen gefordert hat;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630</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19.</w:t>
            </w:r>
            <w:r>
              <w:tab/>
            </w:r>
            <w:r>
              <w:rPr>
                <w:b/>
                <w:i/>
              </w:rPr>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w:t>
            </w:r>
            <w:r>
              <w:rPr>
                <w:b/>
                <w:i/>
              </w:rPr>
              <w:lastRenderedPageBreak/>
              <w:t>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rPr>
                <w:b/>
                <w:i/>
              </w:rPr>
              <w:lastRenderedPageBreak/>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631</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Eszter Lakos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 </w:t>
            </w:r>
            <w:r>
              <w:rPr>
                <w:b/>
                <w:i/>
              </w:rPr>
              <w:t xml:space="preserve">ist besorgt über die Lage der Christen im Libanon; bedauert, dass das libanesische Parlament noch keinen neuen Präsidenten ernannt hat, der nach langjährigen Übereinkommen ein christlicher Maronit sein sollte, um eine faire Vertretung der verschiedenen religiösen Gruppen, aus denen die </w:t>
            </w:r>
            <w:r>
              <w:rPr>
                <w:b/>
                <w:i/>
              </w:rPr>
              <w:lastRenderedPageBreak/>
              <w:t>libanesische Gesellschaft besteht, zu gewährleisten; fordert das libanesische Parlament und die libanesischen Behörden auf, gemäß den Übereinkommen und ohne weitere Verzögerungen einen neuen Präsidenten zu ernennen;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632</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19</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19.</w:t>
            </w:r>
            <w:r w:rsidRPr="005D638B">
              <w:tab/>
            </w:r>
            <w:r w:rsidRPr="005D638B">
              <w:rPr>
                <w:b/>
                <w:i/>
              </w:rPr>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w:t>
            </w:r>
            <w:r w:rsidRPr="005D638B">
              <w:t xml:space="preserve">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D638B" w:rsidRDefault="00930C00" w:rsidP="00930C00">
            <w:pPr>
              <w:pStyle w:val="Normal6a"/>
            </w:pPr>
            <w:r w:rsidRPr="005D638B">
              <w:t>19.</w:t>
            </w:r>
            <w:r w:rsidRPr="005D638B">
              <w:tab/>
              <w:t>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lastRenderedPageBreak/>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633</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Hilde Vautmans, Lucia Yar, Petras Auštrevičius</w:t>
      </w:r>
      <w:r w:rsidRPr="00930C00">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w:t>
            </w:r>
            <w:r>
              <w:rPr>
                <w:b/>
                <w:i/>
              </w:rPr>
              <w:t>irakischen und syrischen</w:t>
            </w:r>
            <w:r>
              <w:t xml:space="preserve">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w:t>
            </w:r>
            <w:r>
              <w:rPr>
                <w:b/>
                <w:i/>
              </w:rPr>
              <w:t>so bald wie möglich</w:t>
            </w:r>
            <w:r>
              <w:t xml:space="preserve">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w:t>
            </w:r>
            <w:r>
              <w:rPr>
                <w:b/>
                <w:i/>
              </w:rPr>
              <w:t>der im Irak und Syrien agierenden</w:t>
            </w:r>
            <w:r>
              <w:t xml:space="preserve"> Milizen</w:t>
            </w:r>
            <w:r>
              <w:rPr>
                <w:b/>
                <w:i/>
              </w:rPr>
              <w:t>, das blutige Regime von Bachar Al Assad in Syrien</w:t>
            </w:r>
            <w:r>
              <w:t xml:space="preserve">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w:t>
            </w:r>
            <w:r>
              <w:rPr>
                <w:b/>
                <w:i/>
              </w:rPr>
              <w:t>sofort</w:t>
            </w:r>
            <w:r>
              <w:t xml:space="preserve">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 </w:t>
            </w:r>
            <w:r>
              <w:rPr>
                <w:b/>
                <w:i/>
              </w:rPr>
              <w:t>verurteilt die vorsätzlichen Angriffe der israelischen Verteidigungskräfte und der Hisbollah auf die UNIFIL, die gegen das Völkerrecht verstoßen; bekräftigt die wesentliche stabilisierende Rolle der UNIFIL im südlichen Libanon, zu der 16 Mitgliedstaaten beitragen, und fordert eine sofortige Einstellung dieser Angriffe;</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lastRenderedPageBreak/>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634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w:t>
            </w:r>
            <w:r>
              <w:rPr>
                <w:b/>
                <w:i/>
              </w:rPr>
              <w:t>und den HR/VP</w:t>
            </w:r>
            <w:r>
              <w:t xml:space="preserve">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w:t>
            </w:r>
            <w:r>
              <w:rPr>
                <w:b/>
                <w:i/>
              </w:rPr>
              <w:t>entlang der Blauen Linie im Einklang mit der Resolution 1701 des Sicherheitsrats der Vereinten Nationen</w:t>
            </w:r>
            <w:r>
              <w:t xml:space="preserve"> zu schaffen</w:t>
            </w:r>
            <w:r>
              <w:rPr>
                <w:b/>
                <w:i/>
              </w:rPr>
              <w:t>, da dies der einzige Weg zur Deeskalation der Spannungen und zur dauerhaften Stabilisierung der Grenze zwischen dem Libanon und Israel ist</w:t>
            </w:r>
            <w:r>
              <w:t>;</w:t>
            </w:r>
          </w:p>
        </w:tc>
        <w:tc>
          <w:tcPr>
            <w:tcW w:w="4876" w:type="dxa"/>
            <w:tcBorders>
              <w:top w:val="nil"/>
              <w:left w:val="nil"/>
              <w:bottom w:val="nil"/>
              <w:right w:val="nil"/>
            </w:tcBorders>
          </w:tcPr>
          <w:p w:rsidR="00930C00" w:rsidRPr="005C30ED" w:rsidRDefault="00930C00" w:rsidP="00930C00">
            <w:pPr>
              <w:pStyle w:val="Normal6a"/>
            </w:pPr>
            <w:r>
              <w:t>19.</w:t>
            </w:r>
            <w:r>
              <w:tab/>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zu schaffen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635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w:t>
            </w:r>
            <w:r>
              <w:lastRenderedPageBreak/>
              <w:t>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w:t>
            </w:r>
            <w:r>
              <w:rPr>
                <w:b/>
                <w:i/>
              </w:rPr>
              <w:t>,</w:t>
            </w:r>
            <w:r>
              <w:t xml:space="preserve"> die </w:t>
            </w:r>
            <w:r>
              <w:rPr>
                <w:b/>
                <w:i/>
              </w:rPr>
              <w:t>zu einer israelischen Bodeninvasion</w:t>
            </w:r>
            <w:r>
              <w:t xml:space="preserve"> im Libanon</w:t>
            </w:r>
            <w:r>
              <w:rPr>
                <w:b/>
                <w:i/>
              </w:rPr>
              <w:t xml:space="preserve"> geführt haben</w:t>
            </w:r>
            <w:r>
              <w:t>;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lastRenderedPageBreak/>
              <w:t>19.</w:t>
            </w:r>
            <w:r>
              <w:tab/>
              <w:t xml:space="preserve">hebt die engen Verbindungen </w:t>
            </w:r>
            <w:r>
              <w:lastRenderedPageBreak/>
              <w:t xml:space="preserve">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w:t>
            </w:r>
            <w:r>
              <w:rPr>
                <w:b/>
                <w:i/>
              </w:rPr>
              <w:t>und</w:t>
            </w:r>
            <w:r>
              <w:t xml:space="preserve"> die </w:t>
            </w:r>
            <w:r>
              <w:rPr>
                <w:b/>
                <w:i/>
              </w:rPr>
              <w:t>israelischen Militäraktionen</w:t>
            </w:r>
            <w:r>
              <w:t xml:space="preserve"> im Libanon;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 </w:t>
            </w:r>
            <w:r>
              <w:rPr>
                <w:b/>
                <w:i/>
              </w:rPr>
              <w:t>betont, dass die Entwaffnung der Hisbollah und die Stärkung der demokratischen Institutionen Libanons notwendig sind, um für langfristige Stabilität zu sorgen; </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636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w:t>
            </w:r>
            <w:r>
              <w:lastRenderedPageBreak/>
              <w:t>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lastRenderedPageBreak/>
              <w:t>19.</w:t>
            </w:r>
            <w:r>
              <w:tab/>
              <w:t xml:space="preserve">hebt die engen Verbindungen zwischen Iran und dem IRGC, seinen Verbündeten wie den Huthi, irakischen und syrischen Milizen und Organisationen, die auf der EU-Liste terroristischer Organisationen stehen, insbesondere der </w:t>
            </w:r>
            <w:r>
              <w:lastRenderedPageBreak/>
              <w:t xml:space="preserve">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 </w:t>
            </w:r>
            <w:r>
              <w:rPr>
                <w:b/>
                <w:i/>
              </w:rPr>
              <w:t>weist darauf hin, dass diese Entschließung Israel auch dazu verpflichtet, sich vollständig aus dem südlichen Libanon zurückzuziehen;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60FD7" w:rsidRDefault="00930C00" w:rsidP="00930C00">
      <w:pPr>
        <w:pStyle w:val="AmNumberTabs"/>
        <w:rPr>
          <w:lang w:val="en-GB"/>
        </w:rPr>
      </w:pPr>
      <w:r>
        <w:rPr>
          <w:rStyle w:val="HideTWBExt"/>
          <w:lang w:val="en-GB"/>
        </w:rPr>
        <w:t>&lt;Amend&gt;</w:t>
      </w:r>
      <w:r w:rsidRPr="00960FD7">
        <w:rPr>
          <w:lang w:val="en-GB"/>
        </w:rPr>
        <w:t>Änderungsantrag</w:t>
      </w:r>
      <w:r w:rsidRPr="00960FD7">
        <w:rPr>
          <w:lang w:val="en-GB"/>
        </w:rPr>
        <w:tab/>
      </w:r>
      <w:r w:rsidRPr="00960FD7">
        <w:rPr>
          <w:lang w:val="en-GB"/>
        </w:rPr>
        <w:tab/>
      </w:r>
      <w:r>
        <w:rPr>
          <w:rStyle w:val="HideTWBExt"/>
          <w:lang w:val="en-GB"/>
        </w:rPr>
        <w:t>&lt;NumAm&gt;</w:t>
      </w:r>
      <w:r w:rsidRPr="00960FD7">
        <w:rPr>
          <w:lang w:val="en-GB"/>
        </w:rPr>
        <w:t>637</w:t>
      </w:r>
      <w:r>
        <w:rPr>
          <w:rStyle w:val="HideTWBExt"/>
          <w:lang w:val="en-GB"/>
        </w:rPr>
        <w:t>&lt;/NumAm&gt;</w:t>
      </w:r>
    </w:p>
    <w:p w:rsidR="00930C00" w:rsidRPr="00960FD7" w:rsidRDefault="00930C00" w:rsidP="00930C00">
      <w:pPr>
        <w:pStyle w:val="NormalBold"/>
        <w:rPr>
          <w:lang w:val="en-GB"/>
        </w:rPr>
      </w:pPr>
      <w:r>
        <w:rPr>
          <w:rStyle w:val="HideTWBExt"/>
          <w:b w:val="0"/>
          <w:lang w:val="en-GB"/>
        </w:rPr>
        <w:t>&lt;RepeatBlock-By&gt;&lt;Members&gt;</w:t>
      </w:r>
      <w:r w:rsidRPr="00960FD7">
        <w:rPr>
          <w:lang w:val="en-GB"/>
        </w:rPr>
        <w:t>Jordan Bardella, Pierre-Romain Thionnet, Matthieu Valet</w:t>
      </w:r>
      <w:r>
        <w:rPr>
          <w:rStyle w:val="HideTWBExt"/>
          <w:b w:val="0"/>
          <w:lang w:val="en-GB"/>
        </w:rPr>
        <w:t>&lt;/Members&gt;</w:t>
      </w:r>
    </w:p>
    <w:p w:rsidR="00930C00" w:rsidRPr="00960FD7" w:rsidRDefault="00930C00" w:rsidP="00930C00">
      <w:pPr>
        <w:pStyle w:val="NormalBold"/>
        <w:rPr>
          <w:lang w:val="en-GB"/>
        </w:rPr>
      </w:pPr>
      <w:r>
        <w:rPr>
          <w:rStyle w:val="HideTWBExt"/>
          <w:b w:val="0"/>
          <w:lang w:val="en-GB"/>
        </w:rPr>
        <w:t>&lt;/RepeatBlock-By&gt;</w:t>
      </w:r>
    </w:p>
    <w:p w:rsidR="00930C00" w:rsidRPr="00746233"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46233"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w:t>
            </w:r>
            <w:r>
              <w:lastRenderedPageBreak/>
              <w:t>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746233" w:rsidRDefault="00930C00" w:rsidP="00930C00">
            <w:pPr>
              <w:pStyle w:val="Normal6a"/>
            </w:pPr>
            <w:r>
              <w:lastRenderedPageBreak/>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w:t>
            </w:r>
            <w:r>
              <w:lastRenderedPageBreak/>
              <w:t xml:space="preserve">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 </w:t>
            </w:r>
            <w:r>
              <w:rPr>
                <w:b/>
                <w:i/>
              </w:rPr>
              <w:t>verurteilt aufs Schärfste die Angriffe Israels auf das UNIFIL-Kontingent im Oktober 2024;</w:t>
            </w:r>
          </w:p>
        </w:tc>
      </w:tr>
    </w:tbl>
    <w:p w:rsidR="00930C00" w:rsidRPr="00746233" w:rsidRDefault="00930C00" w:rsidP="00930C00">
      <w:pPr>
        <w:pStyle w:val="AmOrLang"/>
        <w:rPr>
          <w:lang w:val="en-GB"/>
        </w:rPr>
      </w:pPr>
      <w:r w:rsidRPr="00746233">
        <w:rPr>
          <w:lang w:val="en-GB"/>
        </w:rPr>
        <w:lastRenderedPageBreak/>
        <w:t xml:space="preserve">Or. </w:t>
      </w:r>
      <w:r w:rsidRPr="00746233">
        <w:rPr>
          <w:rStyle w:val="HideTWBExt"/>
          <w:lang w:val="en-GB"/>
        </w:rPr>
        <w:t>&lt;Original&gt;</w:t>
      </w:r>
      <w:r w:rsidRPr="00746233">
        <w:rPr>
          <w:rStyle w:val="HideTWBInt"/>
          <w:lang w:val="en-GB"/>
        </w:rPr>
        <w:t>{FR}</w:t>
      </w:r>
      <w:r w:rsidRPr="00746233">
        <w:rPr>
          <w:lang w:val="en-GB"/>
        </w:rPr>
        <w:t>fr</w:t>
      </w:r>
      <w:r w:rsidRPr="00746233">
        <w:rPr>
          <w:rStyle w:val="HideTWBExt"/>
          <w:lang w:val="en-GB"/>
        </w:rPr>
        <w:t>&lt;/Original&gt;</w:t>
      </w:r>
    </w:p>
    <w:p w:rsidR="00930C00" w:rsidRPr="00960FD7"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638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Emmanouil Kefalogiannis</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w:t>
            </w:r>
            <w:r>
              <w:rPr>
                <w:b/>
                <w:i/>
              </w:rPr>
              <w:t>fordert den Rat und den HR/VP auf, die Hisbollah insgesamt auf die EU-Liste terroristischer Organisation zu setzen;</w:t>
            </w:r>
            <w:r>
              <w:t xml:space="preserve">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w:t>
            </w:r>
            <w:r>
              <w:lastRenderedPageBreak/>
              <w:t>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lastRenderedPageBreak/>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w:t>
            </w:r>
            <w:r>
              <w:lastRenderedPageBreak/>
              <w:t xml:space="preserve">Stabilisierung der Grenze zwischen dem Libanon und Israel ist; </w:t>
            </w:r>
            <w:r>
              <w:rPr>
                <w:b/>
                <w:i/>
              </w:rPr>
              <w:t>in diesem Sinne bedauert die EU alle jüngsten Angriffe auf die UNIFIL und bekräftigt die Unverletzlichkeit des gesamten Personals und aller Räumlichkeiten der Vereinten Nationen. diese Angriffe müssen umgehend eingestellt werden;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639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t>19.</w:t>
            </w:r>
            <w:r>
              <w:tab/>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r>
              <w:rPr>
                <w:b/>
                <w:i/>
              </w:rPr>
              <w:t xml:space="preserve">, um die Souveränität, territoriale Integrität und Stabilität des Libanon vollständig </w:t>
            </w:r>
            <w:r>
              <w:rPr>
                <w:b/>
                <w:i/>
              </w:rPr>
              <w:lastRenderedPageBreak/>
              <w:t>wiederherzustellen</w:t>
            </w:r>
            <w:r>
              <w: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Hermann Tertsch, Jorge Martín Frías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w:t>
            </w:r>
            <w:r>
              <w:rPr>
                <w:b/>
                <w:i/>
              </w:rPr>
              <w:t xml:space="preserve">ist zutiefst besorgt über die Lage im </w:t>
            </w:r>
            <w:r>
              <w:t xml:space="preserve">Libanon und </w:t>
            </w:r>
            <w:r>
              <w:rPr>
                <w:b/>
                <w:i/>
              </w:rPr>
              <w:t>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r>
              <w:t>;</w:t>
            </w:r>
          </w:p>
        </w:tc>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geführt haben; </w:t>
            </w:r>
            <w:r>
              <w:rPr>
                <w:b/>
                <w:i/>
              </w:rPr>
              <w:t xml:space="preserve">stellt fest, dass eine wohlhabende Zukunft für den </w:t>
            </w:r>
            <w:r>
              <w:t xml:space="preserve">Libanon </w:t>
            </w:r>
            <w:r>
              <w:rPr>
                <w:b/>
                <w:i/>
              </w:rPr>
              <w:t>untrennbar mit der Ausmerzung der Hisbollah verbunden ist,</w:t>
            </w:r>
            <w:r>
              <w:t xml:space="preserve"> und </w:t>
            </w:r>
            <w:r>
              <w:rPr>
                <w:b/>
                <w:i/>
              </w:rPr>
              <w:t>zwar nicht nur als terroristische bewaffnete Organisation, sondern auch als politische Kraft, die auf einen islamischen Libanon drängt</w:t>
            </w:r>
            <w:r>
              <w:t>;</w:t>
            </w:r>
            <w:r>
              <w:rPr>
                <w:b/>
                <w:i/>
              </w:rPr>
              <w:t xml:space="preserve"> begrüßt in diesem Zusammenhang, dass die israelischen Streitkräfte die Führung der Hisbollah eliminiert haben</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Seán Kelly</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w:t>
            </w:r>
            <w:r>
              <w:rPr>
                <w:b/>
                <w:i/>
              </w:rPr>
              <w:t>, die zu einer israelischen Bodeninvasion im Libanon geführt haben</w:t>
            </w:r>
            <w:r>
              <w:t>;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w:t>
            </w:r>
            <w:r>
              <w:rPr>
                <w:b/>
                <w:i/>
              </w:rPr>
              <w:t>und die Reaktion Israels, von denen die Zivilbevölkerung unverhältnismäßig stark betroffen ist</w:t>
            </w:r>
            <w:r>
              <w:t>;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19.</w:t>
            </w:r>
            <w:r>
              <w:tab/>
              <w:t xml:space="preserve">hebt die engen Verbindungen zwischen </w:t>
            </w:r>
            <w:r>
              <w:rPr>
                <w:b/>
                <w:i/>
              </w:rPr>
              <w:t>Iran und dem IRGC</w:t>
            </w:r>
            <w:r>
              <w:t xml:space="preserve">, seinen Verbündeten wie den Huthi, irakischen und syrischen Milizen und Organisationen, die auf der EU-Liste terroristischer Organisationen stehen, insbesondere der </w:t>
            </w:r>
            <w:r>
              <w:lastRenderedPageBreak/>
              <w:t xml:space="preserve">Hamas und des bewaffneten Flügels der Hisbollah, hervor; </w:t>
            </w:r>
            <w:r>
              <w:rPr>
                <w:b/>
                <w:i/>
              </w:rPr>
              <w:t>fordert den Rat und den HR/VP auf, die Hisbollah insgesamt auf die EU-Liste terroristischer Organisation zu setzen;</w:t>
            </w:r>
            <w:r>
              <w:t xml:space="preserve"> verurteilt die Angriffe der Hisbollah auf Israel</w:t>
            </w:r>
            <w:r>
              <w:rPr>
                <w:b/>
                <w:i/>
              </w:rPr>
              <w:t>,</w:t>
            </w:r>
            <w:r>
              <w:t xml:space="preserve"> die zu </w:t>
            </w:r>
            <w:r>
              <w:rPr>
                <w:b/>
                <w:i/>
              </w:rPr>
              <w:t>einer israelischen Bodeninvasion im Libanon</w:t>
            </w:r>
            <w:r>
              <w:t xml:space="preserve"> geführt haben;</w:t>
            </w:r>
            <w:r>
              <w:rPr>
                <w:b/>
                <w:i/>
              </w:rPr>
              <w:t xml:space="preserve"> ist zutiefst besorgt über die Lage </w:t>
            </w:r>
            <w:r>
              <w:t xml:space="preserve">im Libanon </w:t>
            </w:r>
            <w:r>
              <w:rPr>
                <w:b/>
                <w:i/>
              </w:rPr>
              <w:t>und</w:t>
            </w:r>
            <w:r>
              <w:t xml:space="preserve">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w:t>
            </w:r>
            <w:r>
              <w:rPr>
                <w:b/>
                <w:i/>
              </w:rPr>
              <w:t>und</w:t>
            </w:r>
            <w:r>
              <w:t xml:space="preserve"> zur </w:t>
            </w:r>
            <w:r>
              <w:rPr>
                <w:b/>
                <w:i/>
              </w:rPr>
              <w:t xml:space="preserve">dauerhaften </w:t>
            </w:r>
            <w:r>
              <w:t>Stabilisierung der Grenze zwischen dem Libanon und Israel ist;</w:t>
            </w:r>
          </w:p>
        </w:tc>
        <w:tc>
          <w:tcPr>
            <w:tcW w:w="4876" w:type="dxa"/>
            <w:tcBorders>
              <w:top w:val="nil"/>
              <w:left w:val="nil"/>
              <w:bottom w:val="nil"/>
              <w:right w:val="nil"/>
            </w:tcBorders>
          </w:tcPr>
          <w:p w:rsidR="00930C00" w:rsidRPr="005C30ED" w:rsidRDefault="00930C00" w:rsidP="00930C00">
            <w:pPr>
              <w:pStyle w:val="Normal6a"/>
            </w:pPr>
            <w:r>
              <w:lastRenderedPageBreak/>
              <w:t>19.</w:t>
            </w:r>
            <w:r>
              <w:tab/>
              <w:t xml:space="preserve">hebt die engen Verbindungen zwischen </w:t>
            </w:r>
            <w:r>
              <w:rPr>
                <w:b/>
                <w:i/>
              </w:rPr>
              <w:t>Iran/dem IRGC</w:t>
            </w:r>
            <w:r>
              <w:t xml:space="preserve">, seinen Verbündeten wie den Huthi, irakischen und syrischen Milizen und Organisationen, die auf der EU-Liste terroristischer Organisationen stehen, insbesondere der </w:t>
            </w:r>
            <w:r>
              <w:lastRenderedPageBreak/>
              <w:t>Hamas und des bewaffneten Flügels der Hisbollah, hervor; verurteilt die Angriffe der Hisbollah auf Israel</w:t>
            </w:r>
            <w:r>
              <w:rPr>
                <w:b/>
                <w:i/>
              </w:rPr>
              <w:t>; ist zutiefst besorgt über die israelischen Militäraktionen im Libanon</w:t>
            </w:r>
            <w:r>
              <w:t xml:space="preserve">, die zu </w:t>
            </w:r>
            <w:r>
              <w:rPr>
                <w:b/>
                <w:i/>
              </w:rPr>
              <w:t>vielen zivilen Opfern und vielen weiteren Vertriebenen</w:t>
            </w:r>
            <w:r>
              <w:t xml:space="preserve"> geführt haben;</w:t>
            </w:r>
            <w:r>
              <w:rPr>
                <w:b/>
                <w:i/>
              </w:rPr>
              <w:t xml:space="preserve"> verurteilt die israelischen Angriffe auf die Vereinten Nationen, einschließlich des Personals der Vereinten Nationen, insbesondere der Interimstruppe der Vereinten Nationen</w:t>
            </w:r>
            <w:r>
              <w:t xml:space="preserve"> im Libanon </w:t>
            </w:r>
            <w:r>
              <w:rPr>
                <w:b/>
                <w:i/>
              </w:rPr>
              <w:t>(UNIFIL);</w:t>
            </w:r>
            <w:r>
              <w:t xml:space="preserve"> weist darauf hin, dass die Kampfhandlungen so bald wie möglich eingestellt werden müssen, um Raum für eine diplomatische Lösung entlang der Blauen Linie im Einklang mit der Resolution 1701 des Sicherheitsrats der Vereinten Nationen zu schaffen, da dies der einzige Weg zur </w:t>
            </w:r>
            <w:r>
              <w:rPr>
                <w:b/>
                <w:i/>
              </w:rPr>
              <w:t>dauerhaften</w:t>
            </w:r>
            <w:r>
              <w:t xml:space="preserve"> Deeskalation der Spannungen</w:t>
            </w:r>
            <w:r>
              <w:rPr>
                <w:b/>
                <w:i/>
              </w:rPr>
              <w:t>,</w:t>
            </w:r>
            <w:r>
              <w:t xml:space="preserve"> zur Stabilisierung der Grenze zwischen dem Libanon und Israel ist;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643</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A53B2" w:rsidRDefault="00930C00" w:rsidP="00930C00">
            <w:pPr>
              <w:pStyle w:val="Normal6a"/>
            </w:pPr>
            <w:r>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w:t>
            </w:r>
            <w:r>
              <w:lastRenderedPageBreak/>
              <w:t>geführt haben;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c>
          <w:tcPr>
            <w:tcW w:w="4876" w:type="dxa"/>
            <w:tcBorders>
              <w:top w:val="nil"/>
              <w:left w:val="nil"/>
              <w:bottom w:val="nil"/>
              <w:right w:val="nil"/>
            </w:tcBorders>
          </w:tcPr>
          <w:p w:rsidR="00930C00" w:rsidRPr="007A53B2" w:rsidRDefault="00930C00" w:rsidP="00930C00">
            <w:pPr>
              <w:pStyle w:val="Normal6a"/>
            </w:pPr>
            <w:r>
              <w:lastRenderedPageBreak/>
              <w:t>19.</w:t>
            </w:r>
            <w:r>
              <w:tab/>
              <w:t xml:space="preserve">hebt die engen Verbindungen zwischen Iran und dem IRGC, seinen Verbündeten wie den Huthi, irakischen und syrischen Milizen und Organisationen, die auf der EU-Liste terroristischer Organisationen stehen, insbesondere der Hamas und des bewaffneten Flügels der Hisbollah, hervor; fordert den Rat und den HR/VP auf, die Hisbollah insgesamt auf die EU-Liste terroristischer Organisation zu setzen; verurteilt die Angriffe der Hisbollah auf Israel, die zu einer israelischen Bodeninvasion im Libanon </w:t>
            </w:r>
            <w:r>
              <w:lastRenderedPageBreak/>
              <w:t>geführt haben</w:t>
            </w:r>
            <w:r>
              <w:rPr>
                <w:b/>
                <w:i/>
              </w:rPr>
              <w:t>, aufs Schärfste</w:t>
            </w:r>
            <w:r>
              <w:t>; ist zutiefst besorgt über die Lage im Libanon und weist darauf hin, dass die Kampfhandlungen so bald wie möglich eingestellt werden müssen, um Raum für eine diplomatische Lösung entlang der Blauen Linie im Einklang mit der Resolution 1701 des Sicherheitsrats der Vereinten Nationen zu schaffen, da dies der einzige Weg zur Deeskalation der Spannungen und zur dauerhaften Stabilisierung der Grenze zwischen dem Libanon und Israel ist;</w:t>
            </w:r>
          </w:p>
        </w:tc>
      </w:tr>
    </w:tbl>
    <w:p w:rsidR="00930C00" w:rsidRPr="0007238A" w:rsidRDefault="00930C00" w:rsidP="00930C00">
      <w:pPr>
        <w:pStyle w:val="AmOrLang"/>
      </w:pPr>
      <w:r w:rsidRPr="0007238A">
        <w:lastRenderedPageBreak/>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644</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19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19a.</w:t>
            </w:r>
            <w:r>
              <w:tab/>
            </w:r>
            <w:r>
              <w:rPr>
                <w:b/>
                <w:i/>
              </w:rPr>
              <w:t>verurteilt die rechtswidrigen, inakzeptablen und zutiefst destabilisierenden Angriffe der Huthi auf Handelsschiffe, die das Rote Meer durchqueren; betont, dass dies zu erheblichen Störungen des Welthandels geführt hat, da die Schifffahrtsgesellschaften gezwungen sind, einen Großteil des Verkehrs im Roten Meer um die Südspitze Afrikas umzuleiten; fordert kollektive Maßnahmen und spricht sich für ein verstärktes Engagement der EU und eine verstärkte internationale Zusammenarbeit aus, und fordert nachdrücklich, dass unverzüglich gehandelt wird, um die Freiheit der Schifffahrt auf einer der kritischsten Wasserstraßen der Welt sicherzustellen; fordert die sofortige Beendigung dieser rechtswidrigen Angriffe;</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Cristian Terheş</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19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19a.</w:t>
            </w:r>
            <w:r>
              <w:tab/>
            </w:r>
            <w:r>
              <w:rPr>
                <w:b/>
                <w:i/>
              </w:rPr>
              <w:t>betont, dass das iranische Regime sowohl direkt als auch über seine Stellvertretergruppe, die Huthis, seine militärischen Aktivitäten ausgeweitet hat, die die maritime Sicherheit im Golf von Aden bedrohen und wichtige internationale Handelsrouten gefährden; hebt hervor, dass solche Aktivitäten Angriffe auf Handelsschiffe und den Einsatz von Marineminen umfassen, die ein Risiko für die zivile Schifffahrt und den internationalen Handel darstellen; fordert die EU auf, eine entschlossene Haltung zum Schutz dieser Handelsgewässer vor störenden und feindseligen Maßnahmen einzunehmen;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646</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Geadis Geadi, Emmanouil Fragkos, Afroditi Latinopoulou, Charlie Weimers, Nikolaos Anadiotis</w:t>
      </w:r>
      <w:r w:rsidRPr="00930C00">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19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19a.</w:t>
            </w:r>
            <w:r>
              <w:tab/>
            </w:r>
            <w:r>
              <w:rPr>
                <w:b/>
                <w:i/>
              </w:rPr>
              <w:t xml:space="preserve">nimmt zur Kenntnis, dass die Türkei enge Verbindungen zu terroristischen Organisationen wie der Hamas unterhält, die die EU als terroristische Vereinigungen eingestuft hat, die Hamas finanziell und logistisch unterstützt, ihr Pässe und Ausweise </w:t>
            </w:r>
            <w:r>
              <w:rPr>
                <w:b/>
                <w:i/>
              </w:rPr>
              <w:lastRenderedPageBreak/>
              <w:t>bereitstellt und hin und wieder hochrangige Funktionäre dieser terroristischen Organisation empfängt;</w:t>
            </w:r>
          </w:p>
        </w:tc>
      </w:tr>
    </w:tbl>
    <w:p w:rsidR="00930C00" w:rsidRPr="00D66676" w:rsidRDefault="00930C00" w:rsidP="00930C00">
      <w:pPr>
        <w:pStyle w:val="AmOrLang"/>
        <w:rPr>
          <w:lang w:val="en-GB"/>
        </w:rPr>
      </w:pPr>
      <w:r w:rsidRPr="00D66676">
        <w:rPr>
          <w:lang w:val="en-GB"/>
        </w:rPr>
        <w:lastRenderedPageBreak/>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19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19a.</w:t>
            </w:r>
            <w:r>
              <w:tab/>
            </w:r>
            <w:r>
              <w:rPr>
                <w:b/>
                <w:i/>
              </w:rPr>
              <w:t>verurteilt die Angriffe der israelischen Verteidigungsstreitkräfte auf die Interimstruppe der Vereinten Nationen in Libanon (UNIFIL), bei denen mehrere Friedenssicherungskräfte verwundet wurden. betont erneut, dass solche Angriffe gegen Friedenssicherungskräfte der Vereinten Nationen eine schwere Verletzung des Völkerrechts darstellen;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648</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Emmanouil Fragkos, Galato Alexandraki, Geadis Geadi</w:t>
      </w:r>
      <w:r>
        <w:rPr>
          <w:rStyle w:val="HideTWBExt"/>
          <w:b w:val="0"/>
          <w:lang w:val="en-GB"/>
        </w:rPr>
        <w:t>&lt;/Members&gt;</w:t>
      </w:r>
    </w:p>
    <w:p w:rsidR="00930C00" w:rsidRPr="00041CF3" w:rsidRDefault="00930C00" w:rsidP="00930C00">
      <w:pPr>
        <w:pStyle w:val="NormalBold"/>
        <w:rPr>
          <w:lang w:val="en-GB"/>
        </w:rPr>
      </w:pPr>
      <w:r>
        <w:rPr>
          <w:rStyle w:val="HideTWBExt"/>
          <w:b w:val="0"/>
          <w:lang w:val="en-GB"/>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sidRPr="00041CF3">
        <w:rPr>
          <w:rStyle w:val="HideTWBExt"/>
        </w:rPr>
        <w:t>&lt;Article&gt;</w:t>
      </w:r>
      <w:r>
        <w:t>Ziffer 19 a (neu)</w:t>
      </w:r>
      <w:r w:rsidRPr="00041CF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041CF3"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19a.</w:t>
            </w:r>
            <w:r>
              <w:tab/>
            </w:r>
            <w:r>
              <w:rPr>
                <w:b/>
                <w:i/>
              </w:rPr>
              <w:t>ist der Auffassung, dass die Zusammenarbeit zwischen der EU und dem Libanon intensiviert werden sollte, um die libanesischen Streitkräfte bei der Bekämpfung terroristischer Vereinigungen zu unterstützen;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lastRenderedPageBreak/>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649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19 b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19b.</w:t>
            </w:r>
            <w:r>
              <w:tab/>
            </w:r>
            <w:r>
              <w:rPr>
                <w:b/>
                <w:i/>
              </w:rPr>
              <w:t>bekräftigt, dass gemäß dem humanitären Völkerrecht die Zivilbevölkerung unter keinen Umständen ins Visier genommen werden darf, und bekräftigt, dass das humanitäre Völkerrecht für alle Länder gilt und es nicht mit zweierlei Maß gemessen werden darf;</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650</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19 b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19b.</w:t>
            </w:r>
            <w:r>
              <w:tab/>
            </w:r>
            <w:r>
              <w:rPr>
                <w:b/>
                <w:i/>
              </w:rPr>
              <w:t>weist darauf hin, dass die Hamas laut dem israelischen Schin Bet in der Türkei ein Büro eingerichtet hat, das sie zur Rekrutierung von Kadern und zur Überwachung von Operationen im Nahen Osten nutzt;</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651</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Emmanouil Fragkos, Galato Alexandraki, Geadis Geadi</w:t>
      </w:r>
      <w:r>
        <w:rPr>
          <w:rStyle w:val="HideTWBExt"/>
          <w:b w:val="0"/>
          <w:lang w:val="en-GB"/>
        </w:rPr>
        <w:t>&lt;/Members&gt;</w:t>
      </w:r>
    </w:p>
    <w:p w:rsidR="00930C00" w:rsidRPr="00041CF3" w:rsidRDefault="00930C00" w:rsidP="00930C00">
      <w:pPr>
        <w:pStyle w:val="NormalBold"/>
        <w:rPr>
          <w:lang w:val="en-GB"/>
        </w:rPr>
      </w:pPr>
      <w:r>
        <w:rPr>
          <w:rStyle w:val="HideTWBExt"/>
          <w:b w:val="0"/>
          <w:lang w:val="en-GB"/>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sidRPr="00041CF3">
        <w:rPr>
          <w:rStyle w:val="HideTWBExt"/>
        </w:rPr>
        <w:lastRenderedPageBreak/>
        <w:t>&lt;Article&gt;</w:t>
      </w:r>
      <w:r>
        <w:t>Ziffer 19 b (neu)</w:t>
      </w:r>
      <w:r w:rsidRPr="00041CF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041CF3"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19b.</w:t>
            </w:r>
            <w:r>
              <w:tab/>
            </w:r>
            <w:r>
              <w:rPr>
                <w:b/>
                <w:i/>
              </w:rPr>
              <w:t>ist der Ansicht, dass ein Ausbau der Beziehungen zu Ägypten sehr wichtig ist, um den religiösen Terrorismus zu bekämpfen und die Migrationsströme erfolgreich einzudämmen;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652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Cristian Terheş</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19 b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19b.</w:t>
            </w:r>
            <w:r>
              <w:tab/>
            </w:r>
            <w:r>
              <w:rPr>
                <w:b/>
                <w:i/>
              </w:rPr>
              <w:t>ist zutiefst besorgt über die erhebliche Unterstützung der Hisbollah für die Militäroperationen Russlands in der Ukraine und ihre Koordinierung mit anderen vom Iran unterstützten Milizen;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653</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20.</w:t>
            </w:r>
            <w:r>
              <w:tab/>
            </w:r>
            <w:r>
              <w:rPr>
                <w:b/>
                <w:i/>
              </w:rPr>
              <w:t xml:space="preserve">verfolgt ebenfalls das Ziel, Iran am Erwerb von Kernwaffen um jeden Preis zu hindern; weist jedoch darauf hin, dass das Regime in Teheran eine Wiederbelebung des JCPOA eindeutig abgelehnt und gleichzeitig seine Fähigkeit zur Herstellung von Kernwaffen erhöht hat; bedauert, dass es derzeit weder eine Strategie gibt, um den Iran davon zu </w:t>
            </w:r>
            <w:r>
              <w:rPr>
                <w:b/>
                <w:i/>
              </w:rPr>
              <w:lastRenderedPageBreak/>
              <w:t>überzeugen, vom Aufbau militärischer nuklearer Kapazitäten abzusehen, noch einen Aktionsplan für den Fall, dass Iran zu einer Atommacht wird; fordert den HR/VP auf, eine überarbeitete Strategie gegenüber dem Iran vorzulegen;</w:t>
            </w:r>
          </w:p>
        </w:tc>
        <w:tc>
          <w:tcPr>
            <w:tcW w:w="4876" w:type="dxa"/>
            <w:tcBorders>
              <w:top w:val="nil"/>
              <w:left w:val="nil"/>
              <w:bottom w:val="nil"/>
              <w:right w:val="nil"/>
            </w:tcBorders>
          </w:tcPr>
          <w:p w:rsidR="00930C00" w:rsidRPr="005C30ED" w:rsidRDefault="00930C00" w:rsidP="00930C00">
            <w:pPr>
              <w:pStyle w:val="Normal6a"/>
            </w:pPr>
            <w:r>
              <w:rPr>
                <w:b/>
                <w:i/>
              </w:rPr>
              <w:lastRenderedPageBreak/>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654</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20.</w:t>
            </w:r>
            <w:r>
              <w:tab/>
              <w:t xml:space="preserve">verfolgt ebenfalls das Ziel, Iran am Erwerb von Kernwaffen </w:t>
            </w:r>
            <w:r>
              <w:rPr>
                <w:b/>
                <w:i/>
              </w:rPr>
              <w:t xml:space="preserve">um jeden Preis </w:t>
            </w:r>
            <w:r>
              <w:t xml:space="preserve">zu hindern; weist </w:t>
            </w:r>
            <w:r>
              <w:rPr>
                <w:b/>
                <w:i/>
              </w:rPr>
              <w:t>jedoch</w:t>
            </w:r>
            <w:r>
              <w:t xml:space="preserve"> darauf hin, dass </w:t>
            </w:r>
            <w:r>
              <w:rPr>
                <w:b/>
                <w:i/>
              </w:rPr>
              <w:t>das Regime in</w:t>
            </w:r>
            <w:r>
              <w:t xml:space="preserve"> Teheran eine Wiederbelebung des JCPOA </w:t>
            </w:r>
            <w:r>
              <w:rPr>
                <w:b/>
                <w:i/>
              </w:rPr>
              <w:t>eindeutig abgelehnt und gleichzeitig seine Fähigkeit zur Herstellung von Kernwaffen erhöht hat</w:t>
            </w:r>
            <w:r>
              <w:t xml:space="preserve">; bedauert, dass es derzeit weder eine Strategie gibt, um den Iran davon zu überzeugen, vom Aufbau militärischer nuklearer Kapazitäten abzusehen, noch einen Aktionsplan für den Fall, dass Iran zu einer Atommacht wird; fordert den HR/VP auf, </w:t>
            </w:r>
            <w:r>
              <w:rPr>
                <w:b/>
                <w:i/>
              </w:rPr>
              <w:t>eine überarbeitete Strategie gegenüber dem Iran vorzulegen</w:t>
            </w:r>
            <w:r>
              <w:t>;</w:t>
            </w:r>
          </w:p>
        </w:tc>
        <w:tc>
          <w:tcPr>
            <w:tcW w:w="4876" w:type="dxa"/>
            <w:tcBorders>
              <w:top w:val="nil"/>
              <w:left w:val="nil"/>
              <w:bottom w:val="nil"/>
              <w:right w:val="nil"/>
            </w:tcBorders>
          </w:tcPr>
          <w:p w:rsidR="00930C00" w:rsidRPr="005C30ED" w:rsidRDefault="00930C00" w:rsidP="00930C00">
            <w:pPr>
              <w:pStyle w:val="Normal6a"/>
            </w:pPr>
            <w:r>
              <w:t>20.</w:t>
            </w:r>
            <w:r>
              <w:tab/>
              <w:t>verfolgt ebenfalls das Ziel, Iran am Erwerb von Kernwaffen zu hindern;</w:t>
            </w:r>
            <w:r>
              <w:rPr>
                <w:b/>
                <w:i/>
              </w:rPr>
              <w:t xml:space="preserve"> bedauert, dass sich die Vereinigten Staaten aus dem JCPOA zurückgezogen haben;</w:t>
            </w:r>
            <w:r>
              <w:t xml:space="preserve"> weist darauf hin, dass </w:t>
            </w:r>
            <w:r>
              <w:rPr>
                <w:b/>
                <w:i/>
              </w:rPr>
              <w:t xml:space="preserve">Washington und </w:t>
            </w:r>
            <w:r>
              <w:t xml:space="preserve">Teheran </w:t>
            </w:r>
            <w:r>
              <w:rPr>
                <w:b/>
                <w:i/>
              </w:rPr>
              <w:t>nicht</w:t>
            </w:r>
            <w:r>
              <w:t xml:space="preserve"> auf eine Wiederbelebung des JCPOA </w:t>
            </w:r>
            <w:r>
              <w:rPr>
                <w:b/>
                <w:i/>
              </w:rPr>
              <w:t>hinarbeiten</w:t>
            </w:r>
            <w:r>
              <w:t xml:space="preserve">; bedauert, dass es derzeit weder eine Strategie gibt, um den Iran davon zu überzeugen, vom Aufbau militärischer nuklearer Kapazitäten abzusehen, noch einen Aktionsplan für den Fall, dass Iran zu einer Atommacht wird; fordert die VP/HR auf, </w:t>
            </w:r>
            <w:r>
              <w:rPr>
                <w:b/>
                <w:i/>
              </w:rPr>
              <w:t>in ihren diplomatischen Beziehungen zu Ländern, die sowohl über legale als auch illegale nukleare Fähigkeiten verfügen, zu betonen, dass der Vertrag über die Nichtverbreitung von Kernwaffen eingehalten werden muss</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655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Nacho Sánchez Amor, Sven Mikser, Thijs Reuten, Alessandra Moretti, Yannis Maniatis, 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lastRenderedPageBreak/>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20.</w:t>
            </w:r>
            <w:r>
              <w:tab/>
              <w:t xml:space="preserve">verfolgt ebenfalls das Ziel, Iran am Erwerb von Kernwaffen um jeden Preis zu hindern; weist jedoch darauf hin, dass das Regime in Teheran eine Wiederbelebung des JCPOA eindeutig abgelehnt und gleichzeitig seine Fähigkeit zur Herstellung von Kernwaffen erhöht hat; </w:t>
            </w:r>
            <w:r>
              <w:rPr>
                <w:b/>
                <w:i/>
              </w:rPr>
              <w:t>bedauert, dass es derzeit weder eine Strategie gibt, um den Iran davon zu überzeugen, vom Aufbau militärischer nuklearer Kapazitäten abzusehen, noch einen Aktionsplan für den Fall, dass Iran zu einer Atommacht wird;</w:t>
            </w:r>
            <w:r>
              <w:t xml:space="preserve"> fordert den HR/VP auf, eine </w:t>
            </w:r>
            <w:r>
              <w:rPr>
                <w:b/>
                <w:i/>
              </w:rPr>
              <w:t>überarbeitete</w:t>
            </w:r>
            <w:r>
              <w:t xml:space="preserve"> Strategie gegenüber dem Iran vorzulegen;</w:t>
            </w:r>
          </w:p>
        </w:tc>
        <w:tc>
          <w:tcPr>
            <w:tcW w:w="4876" w:type="dxa"/>
            <w:tcBorders>
              <w:top w:val="nil"/>
              <w:left w:val="nil"/>
              <w:bottom w:val="nil"/>
              <w:right w:val="nil"/>
            </w:tcBorders>
          </w:tcPr>
          <w:p w:rsidR="00930C00" w:rsidRPr="005C30ED" w:rsidRDefault="00930C00" w:rsidP="00930C00">
            <w:pPr>
              <w:pStyle w:val="Normal6a"/>
            </w:pPr>
            <w:r>
              <w:t>20.</w:t>
            </w:r>
            <w:r>
              <w:tab/>
              <w:t>verfolgt ebenfalls das Ziel, Iran am Erwerb von Kernwaffen um jeden Preis zu hindern; weist jedoch darauf hin, dass das Regime in Teheran eine Wiederbelebung des JCPOA eindeutig abgelehnt und gleichzeitig seine Fähigkeit zur Herstellung von Kernwaffen erhöht hat; fordert den VP/HR auf, eine Strategie gegenüber dem Iran vorzulegen</w:t>
            </w:r>
            <w:r>
              <w:rPr>
                <w:b/>
                <w:i/>
              </w:rPr>
              <w:t>, die einen Aktionsplan für den Fall umfasst, dass der Iran die Atomschwelle überschreite</w:t>
            </w:r>
            <w:r>
              <w:t>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656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Ana Miguel Pedro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20.</w:t>
            </w:r>
            <w:r>
              <w:tab/>
              <w:t>verfolgt ebenfalls das Ziel, Iran am Erwerb von Kernwaffen um jeden Preis zu hindern; weist jedoch darauf hin, dass das Regime in Teheran eine Wiederbelebung des JCPOA eindeutig abgelehnt und gleichzeitig seine Fähigkeit zur Herstellung von Kernwaffen erhöht hat; bedauert, dass es derzeit weder eine Strategie gibt, um den Iran davon zu überzeugen, vom Aufbau militärischer nuklearer Kapazitäten abzusehen, noch einen Aktionsplan für den Fall, dass Iran zu einer Atommacht wird; fordert den HR/VP auf, eine überarbeitete Strategie gegenüber dem Iran vorzulegen;</w:t>
            </w:r>
          </w:p>
        </w:tc>
        <w:tc>
          <w:tcPr>
            <w:tcW w:w="4876" w:type="dxa"/>
            <w:tcBorders>
              <w:top w:val="nil"/>
              <w:left w:val="nil"/>
              <w:bottom w:val="nil"/>
              <w:right w:val="nil"/>
            </w:tcBorders>
          </w:tcPr>
          <w:p w:rsidR="00930C00" w:rsidRPr="005C30ED" w:rsidRDefault="00930C00" w:rsidP="00930C00">
            <w:pPr>
              <w:pStyle w:val="Normal6a"/>
            </w:pPr>
            <w:r>
              <w:t>20.</w:t>
            </w:r>
            <w:r>
              <w:tab/>
              <w:t xml:space="preserve">verfolgt ebenfalls das Ziel, Iran am Erwerb von Kernwaffen um jeden Preis zu hindern; weist jedoch darauf hin, dass das Regime in Teheran eine Wiederbelebung des JCPOA eindeutig abgelehnt und gleichzeitig seine Fähigkeit zur Herstellung von Kernwaffen erhöht hat; </w:t>
            </w:r>
            <w:r>
              <w:rPr>
                <w:b/>
                <w:i/>
              </w:rPr>
              <w:t>und hat sich geweigert, im laufenden Streit mit der Internationalen Atomenergiebehörde (IAEO) zu kooperieren;</w:t>
            </w:r>
            <w:r>
              <w:t xml:space="preserve"> bedauert, dass es derzeit weder eine Strategie gibt, um den Iran davon zu überzeugen, vom Aufbau militärischer nuklearer Kapazitäten abzusehen, noch einen Aktionsplan für den Fall, dass Iran zu einer Atommacht wird; fordert den HR/VP auf, eine überarbeitete </w:t>
            </w:r>
            <w:r>
              <w:lastRenderedPageBreak/>
              <w:t>Strategie gegenüber dem Iran vorzulegen;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657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Sebastiaan Stöteler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20.</w:t>
            </w:r>
            <w:r>
              <w:tab/>
              <w:t>verfolgt ebenfalls das Ziel, Iran am Erwerb von Kernwaffen um jeden Preis zu hindern; weist jedoch darauf hin, dass das Regime in Teheran eine Wiederbelebung des JCPOA eindeutig abgelehnt und gleichzeitig seine Fähigkeit zur Herstellung von Kernwaffen erhöht hat; bedauert, dass es derzeit weder eine Strategie gibt, um den Iran davon zu überzeugen, vom Aufbau militärischer nuklearer Kapazitäten abzusehen, noch einen Aktionsplan für den Fall, dass Iran zu einer Atommacht wird; fordert den HR/VP auf, eine überarbeitete Strategie gegenüber dem Iran vorzulegen;</w:t>
            </w:r>
          </w:p>
        </w:tc>
        <w:tc>
          <w:tcPr>
            <w:tcW w:w="4876" w:type="dxa"/>
            <w:tcBorders>
              <w:top w:val="nil"/>
              <w:left w:val="nil"/>
              <w:bottom w:val="nil"/>
              <w:right w:val="nil"/>
            </w:tcBorders>
          </w:tcPr>
          <w:p w:rsidR="00930C00" w:rsidRPr="005C30ED" w:rsidRDefault="00930C00" w:rsidP="00930C00">
            <w:pPr>
              <w:pStyle w:val="Normal6a"/>
            </w:pPr>
            <w:r>
              <w:t>20.</w:t>
            </w:r>
            <w:r>
              <w:tab/>
              <w:t>verfolgt ebenfalls das Ziel, Iran am Erwerb von Kernwaffen um jeden Preis zu hindern; weist jedoch darauf hin, dass das Regime in Teheran eine Wiederbelebung des JCPOA eindeutig abgelehnt und gleichzeitig seine Fähigkeit zur Herstellung von Kernwaffen erhöht hat; bedauert, dass es derzeit weder eine Strategie gibt, um den Iran davon zu überzeugen, vom Aufbau militärischer nuklearer Kapazitäten abzusehen, noch einen Aktionsplan für den Fall, dass Iran zu einer Atommacht wird; fordert den HR/VP auf, eine überarbeitete Strategie gegenüber dem Iran vorzulegen</w:t>
            </w:r>
            <w:r>
              <w:rPr>
                <w:b/>
                <w:i/>
              </w:rPr>
              <w:t>, die auf die Isolierung der Islamischen Republik abzielt</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658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20.</w:t>
            </w:r>
            <w:r>
              <w:tab/>
              <w:t xml:space="preserve">verfolgt ebenfalls das Ziel, Iran am Erwerb von Kernwaffen um jeden Preis zu hindern; weist jedoch darauf hin, dass das Regime in Teheran eine Wiederbelebung des JCPOA eindeutig abgelehnt und gleichzeitig seine Fähigkeit zur Herstellung </w:t>
            </w:r>
            <w:r>
              <w:lastRenderedPageBreak/>
              <w:t xml:space="preserve">von Kernwaffen erhöht hat; bedauert, dass es derzeit weder eine Strategie gibt, um den Iran davon zu überzeugen, vom Aufbau militärischer nuklearer Kapazitäten abzusehen, noch einen Aktionsplan für den Fall, dass Iran zu einer Atommacht wird; </w:t>
            </w:r>
            <w:r>
              <w:rPr>
                <w:b/>
                <w:i/>
              </w:rPr>
              <w:t>fordert den HR/VP auf, eine überarbeitete Strategie gegenüber dem Iran vorzulegen;</w:t>
            </w:r>
          </w:p>
        </w:tc>
        <w:tc>
          <w:tcPr>
            <w:tcW w:w="4876" w:type="dxa"/>
            <w:tcBorders>
              <w:top w:val="nil"/>
              <w:left w:val="nil"/>
              <w:bottom w:val="nil"/>
              <w:right w:val="nil"/>
            </w:tcBorders>
          </w:tcPr>
          <w:p w:rsidR="00930C00" w:rsidRPr="005C30ED" w:rsidRDefault="00930C00" w:rsidP="00930C00">
            <w:pPr>
              <w:pStyle w:val="Normal6a"/>
            </w:pPr>
            <w:r>
              <w:lastRenderedPageBreak/>
              <w:t>20.</w:t>
            </w:r>
            <w:r>
              <w:tab/>
              <w:t xml:space="preserve">verfolgt ebenfalls das Ziel, Iran am Erwerb von Kernwaffen um jeden Preis zu hindern; weist jedoch darauf hin, dass das Regime in Teheran eine Wiederbelebung des JCPOA eindeutig abgelehnt und gleichzeitig seine Fähigkeit zur Herstellung </w:t>
            </w:r>
            <w:r>
              <w:lastRenderedPageBreak/>
              <w:t>von Kernwaffen erhöht hat; bedauert, dass es derzeit weder eine Strategie gibt, um den Iran davon zu überzeugen, vom Aufbau militärischer nuklearer Kapazitäten abzusehen, noch einen Aktionsplan für den Fall, dass Iran zu einer Atommacht wird;</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659</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20</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20.</w:t>
            </w:r>
            <w:r w:rsidRPr="005D638B">
              <w:tab/>
              <w:t xml:space="preserve">verfolgt ebenfalls das Ziel, Iran am Erwerb von Kernwaffen um jeden Preis zu hindern; weist jedoch darauf hin, dass </w:t>
            </w:r>
            <w:r w:rsidRPr="005D638B">
              <w:rPr>
                <w:b/>
                <w:i/>
              </w:rPr>
              <w:t>das Regime in Teheran eine</w:t>
            </w:r>
            <w:r w:rsidRPr="005D638B">
              <w:t xml:space="preserve"> Wiederbelebung des JCPOA </w:t>
            </w:r>
            <w:r w:rsidRPr="005D638B">
              <w:rPr>
                <w:b/>
                <w:i/>
              </w:rPr>
              <w:t>eindeutig abgelehnt und gleichzeitig seine Fähigkeit zur Herstellung von Kernwaffen erhöht hat</w:t>
            </w:r>
            <w:r w:rsidRPr="005D638B">
              <w:t>; bedauert, dass es derzeit weder eine Strategie gibt, um den Iran davon zu überzeugen, vom Aufbau militärischer nuklearer Kapazitäten abzusehen, noch einen Aktionsplan für den Fall, dass Iran zu einer Atommacht wird; fordert den HR/VP auf, eine überarbeitete Strategie gegenüber dem Iran vorzulegen;</w:t>
            </w:r>
          </w:p>
        </w:tc>
        <w:tc>
          <w:tcPr>
            <w:tcW w:w="4876" w:type="dxa"/>
            <w:tcBorders>
              <w:top w:val="nil"/>
              <w:left w:val="nil"/>
              <w:bottom w:val="nil"/>
              <w:right w:val="nil"/>
            </w:tcBorders>
          </w:tcPr>
          <w:p w:rsidR="00930C00" w:rsidRPr="005D638B" w:rsidRDefault="00930C00" w:rsidP="00930C00">
            <w:pPr>
              <w:pStyle w:val="Normal6a"/>
            </w:pPr>
            <w:r w:rsidRPr="005D638B">
              <w:t>20.</w:t>
            </w:r>
            <w:r w:rsidRPr="005D638B">
              <w:tab/>
              <w:t xml:space="preserve">verfolgt ebenfalls das Ziel, Iran am Erwerb von Kernwaffen um jeden Preis zu hindern; weist jedoch darauf hin, dass </w:t>
            </w:r>
            <w:r w:rsidRPr="005D638B">
              <w:rPr>
                <w:b/>
                <w:i/>
              </w:rPr>
              <w:t>die</w:t>
            </w:r>
            <w:r w:rsidRPr="005D638B">
              <w:t xml:space="preserve"> Wiederbelebung des JCPOA </w:t>
            </w:r>
            <w:r w:rsidRPr="005D638B">
              <w:rPr>
                <w:b/>
                <w:i/>
              </w:rPr>
              <w:t>in erster Linie von den Vereinigten Staaten von Amerika und ihrer Rückkehr zum Abkommen abhängt</w:t>
            </w:r>
            <w:r w:rsidRPr="005D638B">
              <w:t>; bedauert, dass es derzeit weder eine Strategie gibt, um den Iran davon zu überzeugen, vom Aufbau militärischer nuklearer Kapazitäten abzusehen, noch einen Aktionsplan für den Fall, dass Iran zu einer Atommacht wird; fordert den HR/VP auf, eine überarbeitete Strategie gegenüber dem Iran vorzulegen;</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660</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Željana Zovko</w:t>
      </w:r>
      <w:r w:rsidRPr="004E2DEB">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rPr>
          <w:lang w:val="fr-FR"/>
        </w:rPr>
      </w:pPr>
      <w:r w:rsidRPr="00930C00">
        <w:rPr>
          <w:rStyle w:val="HideTWBExt"/>
          <w:lang w:val="fr-FR"/>
        </w:rPr>
        <w:t>&lt;Article&gt;</w:t>
      </w:r>
      <w:r w:rsidRPr="00930C00">
        <w:rPr>
          <w:lang w:val="fr-FR"/>
        </w:rPr>
        <w:t>Ziffer 20 b (neu)</w:t>
      </w:r>
      <w:r w:rsidRPr="00930C00">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20b.</w:t>
            </w:r>
            <w:r>
              <w:tab/>
            </w:r>
            <w:r>
              <w:rPr>
                <w:b/>
                <w:i/>
              </w:rPr>
              <w:t>fordert, dass die Europäische Friedensfazilität für den Schutz der jordanisch-syrischen Grenze aufgestockt wird, da sie von Menschenhändlern als Übergangsstelle für Waffen- und Drogenhandel genutzt wird, wobei Waffen für den Gazastreifen und das Westjordanland und Drogen für Saudi-Arabien bestimmt sind; betont, dass die EU ihren jordanischen Partner unterstützen muss, der durch die anhaltende Krise im Nahen Osten geschwächt wurde;</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661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Nathalie Loiseau, Urmas Paet, Hilde Vautmans, Lucia Yar, Petras Auštrevičius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20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20a.</w:t>
            </w:r>
            <w:r>
              <w:tab/>
            </w:r>
            <w:r>
              <w:rPr>
                <w:b/>
                <w:i/>
              </w:rPr>
              <w:t xml:space="preserve">ist besorgt über die hetzerische Rhetorik, die durch Fehl- und Desinformation angeheizt wird und die diesen Konflikt umgibt, und seine Instrumentalisierung durch böswillige Akteure, um Misstrauen und Hass auch innerhalb der europäischen Gesellschaften zu säen, was insbesondere, aber nicht ausschließlich, an der besorgniserregenden Zunahme von Antisemitismus deutlich wird; warnt davor, dass dies ein Schwerpunkt des Kampfes der EU gegen Desinformation sein sollte, und fordert einen koordinierten Ansatz der Kommission unter Berücksichtigung der externen und internen Dimension ihrer Politik, einschließlich, aber nicht beschränkt auf den künftigen strategischen Kommunikationsplan zur Förderung der Rolle der EU in der südlichen </w:t>
            </w:r>
            <w:r>
              <w:rPr>
                <w:b/>
                <w:i/>
              </w:rPr>
              <w:lastRenderedPageBreak/>
              <w:t>Nachbarschaft;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662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Željana Zovko</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20a.</w:t>
            </w:r>
            <w:r>
              <w:tab/>
            </w:r>
            <w:r>
              <w:rPr>
                <w:b/>
                <w:i/>
              </w:rPr>
              <w:t>betont, dass die EU ihre Wahlbeobachtung weiterverfolgen und dabei helfen muss, Lösungen für Wahlkrisen wie die im Libanon zu finden; fordert die EU auf, die Beteiligung von Gemeinschaften an künftigen Wahlzyklen in Jordanien zu unterstützen und sicherzustellen;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663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Nathalie Loiseau, Urmas Paet, Hilde Vautmans, Lucia Yar, Petras Auštrevičius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20 b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20b.</w:t>
            </w:r>
            <w:r>
              <w:tab/>
            </w:r>
            <w:r>
              <w:rPr>
                <w:b/>
                <w:i/>
              </w:rPr>
              <w:t>bekräftigt seine unerschütterliche Unterstützung für die Frauen im Iran, die zwei Jahre, nachdem die Bewegung „Frau, Leben und Freiheit“ brutal unterdrückt wurde, immer noch der unmenschlichen Einschränkung ihrer Grundrechte ausgesetzt sind;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664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lastRenderedPageBreak/>
        <w:t>&lt;RepeatBlock-By&gt;&lt;Members&gt;</w:t>
      </w:r>
      <w:r w:rsidRPr="004E2DEB">
        <w:rPr>
          <w:lang w:val="en-GB"/>
        </w:rPr>
        <w:t>Nathalie Loiseau, Urmas Paet, Hilde Vautmans, Lucia Yar, Petras Auštrevičius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20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20c.</w:t>
            </w:r>
            <w:r>
              <w:tab/>
            </w:r>
            <w:r>
              <w:rPr>
                <w:b/>
                <w:i/>
              </w:rPr>
              <w:t>ist der Auffassung, dass eine Normalisierung mit dem syrischen Regime nicht stattfinden kann, solange Bachar Al Assad nicht seinen Willen und seine Fähigkeit unter Beweis stellt, einen politischen Übergang in Syrien zu ermöglichen; weist darauf hin, dass das Assad-Regime ein wesentlicher Verbündeter des Iran in der Region ist und es ihm ermöglicht, Syrien als Spielplatz für destabilisierende Zwecke, einschließlich des Waffen- und Drogenhandels, zu nutzen; betont, dass der politische Prozess in Syrien in eine Sackgasse geraten ist und dass sich die Lebensbedingungen der Syrer erheblich verschlechtern; bekräftigt den Standpunkt der EU, dass die Bedingungen für eine freiwillige und würdige Rückkehr syrischer Geflüchtete nach Syrien nicht erfüllt sind;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665</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21</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rPr>
                <w:b/>
                <w:i/>
              </w:rPr>
              <w:t>21.</w:t>
            </w:r>
            <w:r w:rsidRPr="005D638B">
              <w:tab/>
            </w:r>
            <w:r w:rsidRPr="005D638B">
              <w:rPr>
                <w:b/>
                <w:i/>
              </w:rPr>
              <w:t xml:space="preserve">betont, dass die EU ihre tatsächliche Präsenz in der Region mit allen ihr zur Verfügung stehenden Mitteln verstärken muss, und fordert den HR/VP auf, dies zu einer Priorität für sein Büro und den nächsten MFR zu </w:t>
            </w:r>
            <w:r w:rsidRPr="005D638B">
              <w:rPr>
                <w:b/>
                <w:i/>
              </w:rPr>
              <w:lastRenderedPageBreak/>
              <w:t>machen;</w:t>
            </w:r>
          </w:p>
        </w:tc>
        <w:tc>
          <w:tcPr>
            <w:tcW w:w="4876" w:type="dxa"/>
            <w:tcBorders>
              <w:top w:val="nil"/>
              <w:left w:val="nil"/>
              <w:bottom w:val="nil"/>
              <w:right w:val="nil"/>
            </w:tcBorders>
          </w:tcPr>
          <w:p w:rsidR="00930C00" w:rsidRPr="005D638B" w:rsidRDefault="00930C00" w:rsidP="00930C00">
            <w:pPr>
              <w:pStyle w:val="Normal6a"/>
            </w:pPr>
            <w:r w:rsidRPr="005D638B">
              <w:rPr>
                <w:b/>
                <w:i/>
              </w:rPr>
              <w:lastRenderedPageBreak/>
              <w:t>entfällt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60FD7" w:rsidRDefault="00930C00" w:rsidP="00930C00">
      <w:pPr>
        <w:pStyle w:val="AmNumberTabs"/>
        <w:rPr>
          <w:lang w:val="en-GB"/>
        </w:rPr>
      </w:pPr>
      <w:r>
        <w:rPr>
          <w:rStyle w:val="HideTWBExt"/>
          <w:lang w:val="en-GB"/>
        </w:rPr>
        <w:t>&lt;Amend&gt;</w:t>
      </w:r>
      <w:r w:rsidRPr="00960FD7">
        <w:rPr>
          <w:lang w:val="en-GB"/>
        </w:rPr>
        <w:t>Änderungsantrag</w:t>
      </w:r>
      <w:r w:rsidRPr="00960FD7">
        <w:rPr>
          <w:lang w:val="en-GB"/>
        </w:rPr>
        <w:tab/>
      </w:r>
      <w:r w:rsidRPr="00960FD7">
        <w:rPr>
          <w:lang w:val="en-GB"/>
        </w:rPr>
        <w:tab/>
      </w:r>
      <w:r>
        <w:rPr>
          <w:rStyle w:val="HideTWBExt"/>
          <w:lang w:val="en-GB"/>
        </w:rPr>
        <w:t>&lt;NumAm&gt;</w:t>
      </w:r>
      <w:r w:rsidRPr="00960FD7">
        <w:rPr>
          <w:lang w:val="en-GB"/>
        </w:rPr>
        <w:t>666</w:t>
      </w:r>
      <w:r>
        <w:rPr>
          <w:rStyle w:val="HideTWBExt"/>
          <w:lang w:val="en-GB"/>
        </w:rPr>
        <w:t>&lt;/NumAm&gt;</w:t>
      </w:r>
    </w:p>
    <w:p w:rsidR="00930C00" w:rsidRPr="00960FD7" w:rsidRDefault="00930C00" w:rsidP="00930C00">
      <w:pPr>
        <w:pStyle w:val="NormalBold"/>
        <w:rPr>
          <w:lang w:val="en-GB"/>
        </w:rPr>
      </w:pPr>
      <w:r>
        <w:rPr>
          <w:rStyle w:val="HideTWBExt"/>
          <w:b w:val="0"/>
          <w:lang w:val="en-GB"/>
        </w:rPr>
        <w:t>&lt;RepeatBlock-By&gt;&lt;Members&gt;</w:t>
      </w:r>
      <w:r w:rsidRPr="00960FD7">
        <w:rPr>
          <w:lang w:val="en-GB"/>
        </w:rPr>
        <w:t>Jordan Bardella, Pierre-Romain Thionnet, Matthieu Valet</w:t>
      </w:r>
      <w:r>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746233"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46233" w:rsidRDefault="00930C00" w:rsidP="00930C00">
            <w:pPr>
              <w:pStyle w:val="Normal6a"/>
            </w:pPr>
            <w:r>
              <w:rPr>
                <w:b/>
                <w:i/>
              </w:rPr>
              <w:t>21.</w:t>
            </w:r>
            <w:r>
              <w:tab/>
            </w:r>
            <w:r>
              <w:rPr>
                <w:b/>
                <w:i/>
              </w:rPr>
              <w:t>betont, dass die EU ihre tatsächliche Präsenz in der Region mit allen ihr zur Verfügung stehenden Mitteln verstärken muss, und fordert den HR/VP auf, dies zu einer Priorität für sein Büro und den nächsten MFR zu machen;</w:t>
            </w:r>
          </w:p>
        </w:tc>
        <w:tc>
          <w:tcPr>
            <w:tcW w:w="4876" w:type="dxa"/>
            <w:tcBorders>
              <w:top w:val="nil"/>
              <w:left w:val="nil"/>
              <w:bottom w:val="nil"/>
              <w:right w:val="nil"/>
            </w:tcBorders>
          </w:tcPr>
          <w:p w:rsidR="00930C00" w:rsidRPr="005D638B" w:rsidRDefault="00930C00" w:rsidP="00930C00">
            <w:pPr>
              <w:pStyle w:val="Normal6a"/>
            </w:pPr>
            <w:r>
              <w:rPr>
                <w:b/>
                <w:i/>
              </w:rPr>
              <w:t>entfällt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{FR}</w:t>
      </w:r>
      <w:r w:rsidRPr="005D638B">
        <w:t>fr</w:t>
      </w:r>
      <w:r w:rsidRPr="005D638B">
        <w:rPr>
          <w:rStyle w:val="HideTWBExt"/>
        </w:rPr>
        <w:t>&lt;/Original&gt;</w:t>
      </w:r>
    </w:p>
    <w:p w:rsidR="00930C00" w:rsidRPr="005D638B"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667</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21.</w:t>
            </w:r>
            <w:r>
              <w:tab/>
            </w:r>
            <w:r>
              <w:rPr>
                <w:b/>
                <w:i/>
              </w:rPr>
              <w:t>betont, dass die EU ihre tatsächliche Präsenz in der Region mit allen ihr zur Verfügung stehenden Mitteln verstärken muss, und fordert den HR/VP auf, dies zu einer Priorität für sein Büro und den nächsten MFR zu machen;</w:t>
            </w:r>
          </w:p>
        </w:tc>
        <w:tc>
          <w:tcPr>
            <w:tcW w:w="4876" w:type="dxa"/>
            <w:tcBorders>
              <w:top w:val="nil"/>
              <w:left w:val="nil"/>
              <w:bottom w:val="nil"/>
              <w:right w:val="nil"/>
            </w:tcBorders>
          </w:tcPr>
          <w:p w:rsidR="00930C00" w:rsidRPr="005C30ED" w:rsidRDefault="00930C00" w:rsidP="00930C00">
            <w:pPr>
              <w:pStyle w:val="Normal6a"/>
            </w:pPr>
            <w:r>
              <w:rPr>
                <w:b/>
                <w:i/>
              </w:rPr>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668</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Sebastiaan Stöteler</w:t>
      </w:r>
      <w:r w:rsidRPr="004E2DEB">
        <w:rPr>
          <w:rStyle w:val="HideTWBExt"/>
          <w:b w:val="0"/>
          <w:lang w:val="en-GB"/>
        </w:rPr>
        <w:t>&lt;/Members&gt;</w:t>
      </w:r>
    </w:p>
    <w:p w:rsidR="00930C00" w:rsidRPr="005C30ED" w:rsidRDefault="00930C00" w:rsidP="00930C00">
      <w:pPr>
        <w:pStyle w:val="NormalBold"/>
      </w:pPr>
      <w:r>
        <w:rPr>
          <w:rStyle w:val="HideTWBExt"/>
          <w:b w:val="0"/>
        </w:rPr>
        <w:lastRenderedPageBreak/>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21.</w:t>
            </w:r>
            <w:r>
              <w:tab/>
            </w:r>
            <w:r>
              <w:rPr>
                <w:b/>
                <w:i/>
              </w:rPr>
              <w:t>betont, dass die EU ihre tatsächliche Präsenz in der Region mit allen ihr zur Verfügung stehenden Mitteln verstärken muss, und fordert den HR/VP auf, dies zu einer Priorität für sein Büro und den nächsten MFR zu machen;</w:t>
            </w:r>
          </w:p>
        </w:tc>
        <w:tc>
          <w:tcPr>
            <w:tcW w:w="4876" w:type="dxa"/>
            <w:tcBorders>
              <w:top w:val="nil"/>
              <w:left w:val="nil"/>
              <w:bottom w:val="nil"/>
              <w:right w:val="nil"/>
            </w:tcBorders>
          </w:tcPr>
          <w:p w:rsidR="00930C00" w:rsidRPr="005C30ED" w:rsidRDefault="00930C00" w:rsidP="00930C00">
            <w:pPr>
              <w:pStyle w:val="Normal6a"/>
            </w:pPr>
            <w:r>
              <w:rPr>
                <w:b/>
                <w:i/>
              </w:rPr>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669</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tatsächliche Präsenz in der Region </w:t>
            </w:r>
            <w:r>
              <w:rPr>
                <w:b/>
                <w:i/>
              </w:rPr>
              <w:t>mit allen ihr zur Verfügung stehenden Mitteln</w:t>
            </w:r>
            <w:r>
              <w:t xml:space="preserve"> verstärken muss, </w:t>
            </w:r>
            <w:r>
              <w:rPr>
                <w:b/>
                <w:i/>
              </w:rPr>
              <w:t>und</w:t>
            </w:r>
            <w:r>
              <w:t xml:space="preserve"> fordert den HR/VP auf, dies zu einer Priorität für sein </w:t>
            </w:r>
            <w:r>
              <w:rPr>
                <w:b/>
                <w:i/>
              </w:rPr>
              <w:t>Büro</w:t>
            </w:r>
            <w:r>
              <w:t xml:space="preserve"> und den nächsten MFR zu machen;</w:t>
            </w:r>
          </w:p>
        </w:tc>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tatsächliche Präsenz in der Region verstärken muss, </w:t>
            </w:r>
            <w:r>
              <w:rPr>
                <w:b/>
                <w:i/>
              </w:rPr>
              <w:t>indem sie ihre konstruktive Rolle im Nahen Osten stärkt und nichtmilitärischen, kooperativen Ansätzen Vorrang einräumt, um Stabilität zu schaffen;</w:t>
            </w:r>
            <w:r>
              <w:t xml:space="preserve"> fordert den VP/HR auf, dies zu einer Priorität für sein </w:t>
            </w:r>
            <w:r>
              <w:rPr>
                <w:b/>
                <w:i/>
              </w:rPr>
              <w:t>Amt</w:t>
            </w:r>
            <w:r>
              <w:t xml:space="preserve"> und den nächsten MFR zu machen</w:t>
            </w:r>
            <w:r>
              <w:rPr>
                <w:b/>
                <w:i/>
              </w:rPr>
              <w:t>, und unterstreicht die Bedeutung langfristiger Partnerschaften, die den Frieden fördern und die Menschenrechte in der Region wahren</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Alexander Sell</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4E2DEB" w:rsidRDefault="00930C00" w:rsidP="00930C00">
      <w:pPr>
        <w:pStyle w:val="NormalBold"/>
        <w:rPr>
          <w:lang w:val="en-GB"/>
        </w:rPr>
      </w:pPr>
      <w:r w:rsidRPr="004E2DEB">
        <w:rPr>
          <w:rStyle w:val="HideTWBExt"/>
          <w:lang w:val="en-GB"/>
        </w:rPr>
        <w:t>&lt;DocAmend&gt;</w:t>
      </w:r>
      <w:r w:rsidRPr="004E2DEB">
        <w:rPr>
          <w:lang w:val="en-GB"/>
        </w:rPr>
        <w:t>Entschließungsantrag</w:t>
      </w:r>
      <w:r w:rsidRPr="004E2DEB">
        <w:rPr>
          <w:rStyle w:val="HideTWBExt"/>
          <w:lang w:val="en-GB"/>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w:t>
            </w:r>
            <w:r>
              <w:rPr>
                <w:b/>
                <w:i/>
              </w:rPr>
              <w:t>ihre tatsächliche Präsenz</w:t>
            </w:r>
            <w:r>
              <w:t xml:space="preserve"> in der Region mit allen ihr zur Verfügung stehenden Mitteln </w:t>
            </w:r>
            <w:r>
              <w:rPr>
                <w:b/>
                <w:i/>
              </w:rPr>
              <w:t xml:space="preserve">verstärken </w:t>
            </w:r>
            <w:r>
              <w:t>muss, und fordert den HR/VP auf, dies zu einer Priorität für sein Büro und den nächsten MFR zu machen;</w:t>
            </w:r>
          </w:p>
        </w:tc>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w:t>
            </w:r>
            <w:r>
              <w:rPr>
                <w:b/>
                <w:i/>
              </w:rPr>
              <w:t>diplomatischen Bemühungen</w:t>
            </w:r>
            <w:r>
              <w:t xml:space="preserve"> in der Region mit allen ihr zur Verfügung stehenden Mitteln </w:t>
            </w:r>
            <w:r>
              <w:rPr>
                <w:b/>
                <w:i/>
              </w:rPr>
              <w:t>fortsetzen</w:t>
            </w:r>
            <w:r>
              <w:t xml:space="preserve"> muss, und fordert den HR/VP auf, dies zu einer Priorität für sein Büro und den nächsten MFR zu machen;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tatsächliche Präsenz in der Region </w:t>
            </w:r>
            <w:r>
              <w:rPr>
                <w:b/>
                <w:i/>
              </w:rPr>
              <w:t>mit allen ihr zur Verfügung stehenden Mitteln</w:t>
            </w:r>
            <w:r>
              <w:t xml:space="preserve"> verstärken muss, und fordert den HR/VP auf, dies zu einer Priorität für sein Büro und den nächsten MFR zu machen;</w:t>
            </w:r>
          </w:p>
        </w:tc>
        <w:tc>
          <w:tcPr>
            <w:tcW w:w="4876" w:type="dxa"/>
            <w:tcBorders>
              <w:top w:val="nil"/>
              <w:left w:val="nil"/>
              <w:bottom w:val="nil"/>
              <w:right w:val="nil"/>
            </w:tcBorders>
          </w:tcPr>
          <w:p w:rsidR="00930C00" w:rsidRPr="005C30ED" w:rsidRDefault="00930C00" w:rsidP="00930C00">
            <w:pPr>
              <w:pStyle w:val="Normal6a"/>
            </w:pPr>
            <w:r>
              <w:t>21.</w:t>
            </w:r>
            <w:r>
              <w:tab/>
              <w:t>betont, dass die EU ihre tatsächliche Präsenz in der Region verstärken muss, und fordert den HR/VP auf, dies zu einer Priorität für sein Büro und den nächsten MFR zu machen;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21.</w:t>
            </w:r>
            <w:r>
              <w:tab/>
              <w:t xml:space="preserve">betont, dass die </w:t>
            </w:r>
            <w:r>
              <w:rPr>
                <w:b/>
                <w:i/>
              </w:rPr>
              <w:t>EU</w:t>
            </w:r>
            <w:r>
              <w:t xml:space="preserve"> ihre tatsächliche Präsenz in der Region </w:t>
            </w:r>
            <w:r>
              <w:rPr>
                <w:b/>
                <w:i/>
              </w:rPr>
              <w:t>mit allen ihr zur Verfügung stehenden Mitteln</w:t>
            </w:r>
            <w:r>
              <w:t xml:space="preserve"> verstärken </w:t>
            </w:r>
            <w:r>
              <w:rPr>
                <w:b/>
                <w:i/>
              </w:rPr>
              <w:t xml:space="preserve">muss, und fordert den HR/VP auf, dies zu einer Priorität für sein Büro und den nächsten MFR zu </w:t>
            </w:r>
            <w:r>
              <w:rPr>
                <w:b/>
                <w:i/>
              </w:rPr>
              <w:lastRenderedPageBreak/>
              <w:t>machen</w:t>
            </w:r>
            <w:r>
              <w:t>;</w:t>
            </w:r>
          </w:p>
        </w:tc>
        <w:tc>
          <w:tcPr>
            <w:tcW w:w="4876" w:type="dxa"/>
            <w:tcBorders>
              <w:top w:val="nil"/>
              <w:left w:val="nil"/>
              <w:bottom w:val="nil"/>
              <w:right w:val="nil"/>
            </w:tcBorders>
          </w:tcPr>
          <w:p w:rsidR="00930C00" w:rsidRPr="005C30ED" w:rsidRDefault="00930C00" w:rsidP="00930C00">
            <w:pPr>
              <w:pStyle w:val="Normal6a"/>
            </w:pPr>
            <w:r>
              <w:lastRenderedPageBreak/>
              <w:t>21.</w:t>
            </w:r>
            <w:r>
              <w:tab/>
              <w:t xml:space="preserve">betont, dass die </w:t>
            </w:r>
            <w:r>
              <w:rPr>
                <w:b/>
                <w:i/>
              </w:rPr>
              <w:t>Europäische Union und ihre Mitgliedstaaten</w:t>
            </w:r>
            <w:r>
              <w:t xml:space="preserve"> ihre tatsächliche Präsenz in der Region durch verstärkte diplomatische Maßnahmen aller Art verstärken </w:t>
            </w:r>
            <w:r>
              <w:rPr>
                <w:b/>
                <w:i/>
              </w:rPr>
              <w:t>müssen</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tatsächliche Präsenz in der Region </w:t>
            </w:r>
            <w:r>
              <w:rPr>
                <w:b/>
                <w:i/>
              </w:rPr>
              <w:t>mit allen ihr zur Verfügung stehenden Mitteln</w:t>
            </w:r>
            <w:r>
              <w:t xml:space="preserve"> verstärken muss, und fordert den HR/VP auf, dies zu einer Priorität für sein Büro und den nächsten MFR zu machen;</w:t>
            </w:r>
          </w:p>
        </w:tc>
        <w:tc>
          <w:tcPr>
            <w:tcW w:w="4876" w:type="dxa"/>
            <w:tcBorders>
              <w:top w:val="nil"/>
              <w:left w:val="nil"/>
              <w:bottom w:val="nil"/>
              <w:right w:val="nil"/>
            </w:tcBorders>
          </w:tcPr>
          <w:p w:rsidR="00930C00" w:rsidRPr="005C30ED" w:rsidRDefault="00930C00" w:rsidP="00930C00">
            <w:pPr>
              <w:pStyle w:val="Normal6a"/>
            </w:pPr>
            <w:r>
              <w:t>21.</w:t>
            </w:r>
            <w:r>
              <w:tab/>
              <w:t xml:space="preserve">betont, dass die EU ihre tatsächliche </w:t>
            </w:r>
            <w:r>
              <w:rPr>
                <w:b/>
                <w:i/>
              </w:rPr>
              <w:t>diplomatische</w:t>
            </w:r>
            <w:r>
              <w:t xml:space="preserve"> Präsenz in der Region verstärken muss, und fordert den HR/VP auf, dies zu einer Priorität für sein Büro und den nächsten MFR zu machen;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21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21a.</w:t>
            </w:r>
            <w:r>
              <w:tab/>
            </w:r>
            <w:r>
              <w:rPr>
                <w:b/>
                <w:i/>
              </w:rPr>
              <w:t xml:space="preserve">nimmt mit Besorgnis Kenntnis von der israelischen Knesset verabschiedeten Rechtsvorschriften über die Tätigkeit des Hilfswerks der Vereinten Nationen für Palästinaflüchtlinge im Nahen Osten (UNRWA); bekräftigt, wie wichtig die fortdauernde politische und finanzielle Unterstützung des Hilfswerks durch die EU aufgrund seines wichtigen Mandats ist, während einer beispiellosen humanitären Krise im Gazastreifen kritische Dienstleistungen, einschließlich humanitärer Hilfe, zu erbringen; begrüßt die dritte Auszahlung von EU-Mitteln für </w:t>
            </w:r>
            <w:r>
              <w:rPr>
                <w:b/>
                <w:i/>
              </w:rPr>
              <w:lastRenderedPageBreak/>
              <w:t>2024 an das Hilfswerk im Einklang mit den vereinbarten Bedingungen zur Verbesserung ihrer Neutralitätsprozesse und Kontrollsysteme;</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21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21a.</w:t>
            </w:r>
            <w:r>
              <w:tab/>
            </w:r>
            <w:r>
              <w:rPr>
                <w:b/>
                <w:i/>
              </w:rPr>
              <w:t>betont, dass die Organisationen der Zivilgesellschaft in der Region gestärkt werden müssen, insbesondere Organisationen, die sich für den Schutz der Menschenrechte und die Friedenskonsolidierung einsetzen;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676</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rPr>
        <w:t>&lt;Article&gt;</w:t>
      </w:r>
      <w:r>
        <w:t>Zwischenüberschrift 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ist der Ansicht, dass Europa niemals frei sein wird, solange Zypern besetzt ist;</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lastRenderedPageBreak/>
        <w:t>&lt;DocAmend&gt;</w:t>
      </w:r>
      <w:r>
        <w:t>Entschließungsantrag</w:t>
      </w:r>
      <w:r>
        <w:rPr>
          <w:rStyle w:val="HideTWBExt"/>
        </w:rPr>
        <w:t>&lt;/DocAmend&gt;</w:t>
      </w:r>
    </w:p>
    <w:p w:rsidR="00930C00" w:rsidRPr="005C30ED" w:rsidRDefault="00930C00" w:rsidP="00930C00">
      <w:pPr>
        <w:pStyle w:val="NormalBold"/>
      </w:pPr>
      <w:r>
        <w:rPr>
          <w:rStyle w:val="HideTWBExt"/>
        </w:rPr>
        <w:t>&lt;Article&gt;</w:t>
      </w:r>
      <w:r>
        <w:t>Zwischenüberschrift 4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Verhütung von Kriegsverbrechen und Menschenrechtsverletzungen in Kongo</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678</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21a.</w:t>
            </w:r>
            <w:r>
              <w:tab/>
            </w:r>
            <w:r>
              <w:rPr>
                <w:b/>
                <w:i/>
              </w:rPr>
              <w:t>ist der Ansicht, dass die EU damit aufhören muss, die expansionistischen Bestrebungen der Türkei in der Republik Zypern zu tolerieren, da dies von autoritären Akteuren weltweit als Schwäche wahrgenommen und einen entscheidenden Einfluss auf die Gestaltung von deren Verhalten auf der internationalen Bühne haben wird;</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679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21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21a.</w:t>
            </w:r>
            <w:r>
              <w:tab/>
            </w:r>
            <w:r>
              <w:rPr>
                <w:b/>
                <w:i/>
              </w:rPr>
              <w:t xml:space="preserve">weist darauf hin, dass die Vereinten Nationen Beweise für die Unterstützung der bewaffneten Gruppe M-23 durch die ruandische Regierung vorgelegt haben, die für zahlreiche </w:t>
            </w:r>
            <w:r>
              <w:rPr>
                <w:b/>
                <w:i/>
              </w:rPr>
              <w:lastRenderedPageBreak/>
              <w:t>Kriegsverbrechen und Menschenrechtsverletzungen in der Demokratischen Republik Kongo verantwortlich ist;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680</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Nikolaos Anadiotis</w:t>
      </w:r>
      <w:r>
        <w:rPr>
          <w:rStyle w:val="HideTWBExt"/>
          <w:b w:val="0"/>
          <w:lang w:val="en-GB"/>
        </w:rPr>
        <w:t>&lt;/Members&gt;</w:t>
      </w:r>
    </w:p>
    <w:p w:rsidR="00930C00" w:rsidRPr="00041CF3" w:rsidRDefault="00930C00" w:rsidP="00930C00">
      <w:pPr>
        <w:pStyle w:val="NormalBold"/>
        <w:rPr>
          <w:lang w:val="en-GB"/>
        </w:rPr>
      </w:pPr>
      <w:r>
        <w:rPr>
          <w:rStyle w:val="HideTWBExt"/>
          <w:b w:val="0"/>
          <w:lang w:val="en-GB"/>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sidRPr="00041CF3">
        <w:rPr>
          <w:rStyle w:val="HideTWBExt"/>
        </w:rPr>
        <w:t>&lt;Article&gt;</w:t>
      </w:r>
      <w:r>
        <w:t>Ziffer 21 b (neu)</w:t>
      </w:r>
      <w:r w:rsidRPr="00041CF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041CF3"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21b.</w:t>
            </w:r>
            <w:r>
              <w:tab/>
            </w:r>
            <w:r>
              <w:rPr>
                <w:b/>
                <w:i/>
              </w:rPr>
              <w:t>fordert die EU und ihre Mitgliedstaaten auf, der Republik Zypern jede erdenkliche Unterstützung zu leisten, um dem unkontrollierten Handeln und der aggressiven Rhetorik der Türkei Einhalt zu gebieten und es der Republik Zypern zu ermöglichen, die vollständige Kontrolle über ihre international anerkannten Grenzen, bei denen es sich auf der Grundlage von Protokoll Nr. 10 zum Vertrag über den Beitritt der Republik Zypern zur Europäischen Union auch um europäische Gebiete handelt, wiederherzustellen;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681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21 b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21b.</w:t>
            </w:r>
            <w:r>
              <w:tab/>
            </w:r>
            <w:r>
              <w:rPr>
                <w:b/>
                <w:i/>
              </w:rPr>
              <w:t xml:space="preserve">fordert die Europäische Union auf, sowohl ihre Vereinbarung über Rohstoffe als auch die gesamte </w:t>
            </w:r>
            <w:r>
              <w:rPr>
                <w:b/>
                <w:i/>
              </w:rPr>
              <w:lastRenderedPageBreak/>
              <w:t>militärische Zusammenarbeit mit Ruanda, auch im Rahmen der Europäischen Friedensfazilität oder eines anderen Mechanismus, auszusetzen, bis Ruanda seine rechtswidrige Unterstützung bewaffneter Gruppen beendet und die Souveränität und territoriale Unversehrtheit der Demokratischen Republik Kongo uneingeschränkt achtet;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682</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c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21c.</w:t>
            </w:r>
            <w:r>
              <w:tab/>
            </w:r>
            <w:r>
              <w:rPr>
                <w:b/>
                <w:i/>
              </w:rPr>
              <w:t>fordert die EU und die Mitgliedstaaten auf, ein Waffenembargo gegen die Türkei zu verhängen, da die Waffen nachweislich gegen die Europäische Union selbst und insbesondere gegen ihre Mitgliedstaaten Griechenland und Zypern eingesetzt werden;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683</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d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21d.</w:t>
            </w:r>
            <w:r>
              <w:tab/>
            </w:r>
            <w:r>
              <w:rPr>
                <w:b/>
                <w:i/>
              </w:rPr>
              <w:t xml:space="preserve">weist erneut darauf hin, dass Griechenland und Zypern Außengrenzen Europas sind und dass die </w:t>
            </w:r>
            <w:r>
              <w:rPr>
                <w:b/>
                <w:i/>
              </w:rPr>
              <w:lastRenderedPageBreak/>
              <w:t>Nichteinhaltung des Völkerrechts und des europäischen Besitzstands von keinem Mitgliedstaat der Union hingenommen wird;</w:t>
            </w:r>
          </w:p>
        </w:tc>
      </w:tr>
    </w:tbl>
    <w:p w:rsidR="00930C00" w:rsidRPr="00D66676" w:rsidRDefault="00930C00" w:rsidP="00930C00">
      <w:pPr>
        <w:pStyle w:val="AmOrLang"/>
        <w:rPr>
          <w:lang w:val="en-GB"/>
        </w:rPr>
      </w:pPr>
      <w:r w:rsidRPr="00D66676">
        <w:rPr>
          <w:lang w:val="en-GB"/>
        </w:rPr>
        <w:lastRenderedPageBreak/>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684</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e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21e.</w:t>
            </w:r>
            <w:r>
              <w:tab/>
            </w:r>
            <w:r>
              <w:rPr>
                <w:b/>
                <w:i/>
              </w:rPr>
              <w:t>weist darauf hin, dass die Türkei gegen das Völkerrecht verstoßen hat und dass die Verhängung strenger Sanktionen im Falle der Nichteinhaltung ein angemessener Schritt zur Durchsetzung der Verpflichtung der Türkei ist, das Völkerrecht zu achten und die Republik Zypern für die Schäden und Verluste zu entschädigen, die sie im Zuge ihres Einmarschs und der anhaltenden illegalen Besetzung verursacht hat;</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685</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f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21f.</w:t>
            </w:r>
            <w:r>
              <w:tab/>
            </w:r>
            <w:r>
              <w:rPr>
                <w:b/>
                <w:i/>
              </w:rPr>
              <w:t xml:space="preserve">betont, dass die EU und ihre Mitgliedstaaten dringend auf die Einrichtung eines internationalen Sondergerichtshofs drängen müssen, damit das von der politischen und militärischen Führung der Türkei </w:t>
            </w:r>
            <w:r>
              <w:rPr>
                <w:b/>
                <w:i/>
              </w:rPr>
              <w:lastRenderedPageBreak/>
              <w:t>begangene Verbrechen der Aggression gegen die Republik Zypern strafrechtlich verfolgt wird, zumal dies auch zur Lösung der enormen humanitären Tragödie beitragen wird, indem das Schicksal aller vermissten Personen unverzüglichen geklärt wird;</w:t>
            </w:r>
          </w:p>
        </w:tc>
      </w:tr>
    </w:tbl>
    <w:p w:rsidR="00930C00" w:rsidRPr="00D66676" w:rsidRDefault="00930C00" w:rsidP="00930C00">
      <w:pPr>
        <w:pStyle w:val="AmOrLang"/>
        <w:rPr>
          <w:lang w:val="en-GB"/>
        </w:rPr>
      </w:pPr>
      <w:r w:rsidRPr="00D66676">
        <w:rPr>
          <w:lang w:val="en-GB"/>
        </w:rPr>
        <w:lastRenderedPageBreak/>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686</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g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21g.</w:t>
            </w:r>
            <w:r>
              <w:tab/>
            </w:r>
            <w:r>
              <w:rPr>
                <w:b/>
                <w:i/>
              </w:rPr>
              <w:t>ist besorgt über die zunehmenden Spannungen in den Gebieten und in der ausschließlichen Wirtschaftszone (AWZ) der Republik Zypern;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687</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h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21h.</w:t>
            </w:r>
            <w:r>
              <w:tab/>
            </w:r>
            <w:r>
              <w:rPr>
                <w:b/>
                <w:i/>
              </w:rPr>
              <w:t xml:space="preserve">fordert die Türkei auf, das Seerecht einzuhalten und seismische Untersuchungen und Bohrungen, die durchgeführt werden, nicht länger zu blockieren, da dies die Gewinnung von Erdgas aus großen zyprischen Lagerstätten behindert, was wiederum die Energieautonomie Europas beeinträchtigt und Folgen für Millionen europäischer </w:t>
            </w:r>
            <w:r>
              <w:rPr>
                <w:b/>
                <w:i/>
              </w:rPr>
              <w:lastRenderedPageBreak/>
              <w:t>Bürger hat;</w:t>
            </w:r>
          </w:p>
        </w:tc>
      </w:tr>
    </w:tbl>
    <w:p w:rsidR="00930C00" w:rsidRPr="00D66676" w:rsidRDefault="00930C00" w:rsidP="00930C00">
      <w:pPr>
        <w:pStyle w:val="AmOrLang"/>
        <w:rPr>
          <w:lang w:val="en-GB"/>
        </w:rPr>
      </w:pPr>
      <w:r w:rsidRPr="00D66676">
        <w:rPr>
          <w:lang w:val="en-GB"/>
        </w:rPr>
        <w:lastRenderedPageBreak/>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688</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i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21i.</w:t>
            </w:r>
            <w:r>
              <w:tab/>
            </w:r>
            <w:r>
              <w:rPr>
                <w:b/>
                <w:i/>
              </w:rPr>
              <w:t>fordert die Türkei auf, ihre rechtswidrigen Aktivitäten an der Waffenstillstandlinie in den Gemeinden Denia und Pyla, die zum Hoheitsgebiet der Republik Zypern gehören und den Vereinten Nationen überlassen wurden, um Spannungen zu verhindern, einzustellen;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689</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j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21j.</w:t>
            </w:r>
            <w:r>
              <w:tab/>
            </w:r>
            <w:r>
              <w:rPr>
                <w:b/>
                <w:i/>
              </w:rPr>
              <w:t>fordert die Türkei auf, ihr Vordringen in der abgeriegelten Stadt Famagusta und die rechtswidrigen einseitigen Maßnahmen, die sie ergriffen hat, um die illegale Besetzung unter Missachtung der Resolutionen der Vereinten Nationen zu konsolidieren, unverzüglich einzustellen;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lastRenderedPageBreak/>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690</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k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21k.</w:t>
            </w:r>
            <w:r>
              <w:tab/>
            </w:r>
            <w:r>
              <w:rPr>
                <w:b/>
                <w:i/>
              </w:rPr>
              <w:t>fordert die Türkei auf, den hybriden Krieg, den sie durch die Instrumentalisierung der Migrationsfrage in der Republik Zypern führt, zu beenden;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691</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l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21l.</w:t>
            </w:r>
            <w:r>
              <w:tab/>
            </w:r>
            <w:r>
              <w:rPr>
                <w:b/>
                <w:i/>
              </w:rPr>
              <w:t>fordert die Türkei auf, die verfälschende Einflussnahme auf die Demografie Zyperns, die sie durch Besiedlung betreibt, welche einen Verstoß gegen das Völkerrecht darstellt, zu beenden;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692</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Afroditi Latinopoulou, Charlie Weimers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m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21m.</w:t>
            </w:r>
            <w:r>
              <w:tab/>
            </w:r>
            <w:r>
              <w:rPr>
                <w:b/>
                <w:i/>
              </w:rPr>
              <w:t xml:space="preserve">fordert die Türkei auf, dem Erwerb von Kernwaffen von Russland </w:t>
            </w:r>
            <w:r>
              <w:rPr>
                <w:b/>
                <w:i/>
              </w:rPr>
              <w:lastRenderedPageBreak/>
              <w:t>unbedingt ein Ende zu setzen;</w:t>
            </w:r>
          </w:p>
        </w:tc>
      </w:tr>
    </w:tbl>
    <w:p w:rsidR="00930C00" w:rsidRPr="00D66676" w:rsidRDefault="00930C00" w:rsidP="00930C00">
      <w:pPr>
        <w:pStyle w:val="AmOrLang"/>
        <w:rPr>
          <w:lang w:val="en-GB"/>
        </w:rPr>
      </w:pPr>
      <w:r w:rsidRPr="00D66676">
        <w:rPr>
          <w:lang w:val="en-GB"/>
        </w:rPr>
        <w:lastRenderedPageBreak/>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693</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041CF3" w:rsidRDefault="00930C00" w:rsidP="00930C00">
      <w:pPr>
        <w:pStyle w:val="NormalBold"/>
        <w:rPr>
          <w:lang w:val="fr-FR"/>
        </w:rPr>
      </w:pPr>
      <w:r>
        <w:rPr>
          <w:rStyle w:val="HideTWBExt"/>
          <w:lang w:val="fr-FR"/>
        </w:rPr>
        <w:t>&lt;Article&gt;</w:t>
      </w:r>
      <w:r w:rsidRPr="00041CF3">
        <w:rPr>
          <w:lang w:val="fr-FR"/>
        </w:rPr>
        <w:t>Ziffer 21 n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21n.</w:t>
            </w:r>
            <w:r>
              <w:tab/>
            </w:r>
            <w:r>
              <w:rPr>
                <w:b/>
                <w:i/>
              </w:rPr>
              <w:t>fordert die Türkei auf, der Schändung des kulturellen und religiösen Erbes Zyperns, die ein Kriegsverbrechen darstellt, ein Ende zu setzen;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041CF3" w:rsidRDefault="00930C00" w:rsidP="00930C00">
      <w:pPr>
        <w:pStyle w:val="AmNumberTabs"/>
        <w:rPr>
          <w:lang w:val="en-GB"/>
        </w:rPr>
      </w:pPr>
      <w:r>
        <w:rPr>
          <w:rStyle w:val="HideTWBExt"/>
          <w:lang w:val="en-GB"/>
        </w:rPr>
        <w:t>&lt;Amend&gt;</w:t>
      </w:r>
      <w:r w:rsidRPr="00041CF3">
        <w:rPr>
          <w:lang w:val="en-GB"/>
        </w:rPr>
        <w:t>Änderungsantrag</w:t>
      </w:r>
      <w:r w:rsidRPr="00041CF3">
        <w:rPr>
          <w:lang w:val="en-GB"/>
        </w:rPr>
        <w:tab/>
      </w:r>
      <w:r w:rsidRPr="00041CF3">
        <w:rPr>
          <w:lang w:val="en-GB"/>
        </w:rPr>
        <w:tab/>
      </w:r>
      <w:r>
        <w:rPr>
          <w:rStyle w:val="HideTWBExt"/>
          <w:lang w:val="en-GB"/>
        </w:rPr>
        <w:t>&lt;NumAm&gt;</w:t>
      </w:r>
      <w:r w:rsidRPr="00041CF3">
        <w:rPr>
          <w:lang w:val="en-GB"/>
        </w:rPr>
        <w:t>694</w:t>
      </w:r>
      <w:r>
        <w:rPr>
          <w:rStyle w:val="HideTWBExt"/>
          <w:lang w:val="en-GB"/>
        </w:rPr>
        <w:t>&lt;/NumAm&gt;</w:t>
      </w:r>
    </w:p>
    <w:p w:rsidR="00930C00" w:rsidRPr="00041CF3" w:rsidRDefault="00930C00" w:rsidP="00930C00">
      <w:pPr>
        <w:pStyle w:val="NormalBold"/>
        <w:rPr>
          <w:lang w:val="en-GB"/>
        </w:rPr>
      </w:pPr>
      <w:r>
        <w:rPr>
          <w:rStyle w:val="HideTWBExt"/>
          <w:b w:val="0"/>
          <w:lang w:val="en-GB"/>
        </w:rPr>
        <w:t>&lt;RepeatBlock-By&gt;&lt;Members&gt;</w:t>
      </w:r>
      <w:r w:rsidRPr="00041CF3">
        <w:rPr>
          <w:lang w:val="en-GB"/>
        </w:rPr>
        <w:t>Geadis Geadi, Emmanouil Fragkos, Afroditi Latinopoulou, Fernand Kartheiser, Charlie Weimers, Nikolaos Anadiotis</w:t>
      </w:r>
      <w:r>
        <w:rPr>
          <w:rStyle w:val="HideTWBExt"/>
          <w:b w:val="0"/>
          <w:lang w:val="en-GB"/>
        </w:rPr>
        <w:t>&lt;/Members&gt;</w:t>
      </w:r>
    </w:p>
    <w:p w:rsidR="00930C00" w:rsidRPr="00D66676" w:rsidRDefault="00930C00" w:rsidP="00930C00">
      <w:pPr>
        <w:pStyle w:val="NormalBold"/>
      </w:pPr>
      <w:r w:rsidRPr="00041CF3">
        <w:rPr>
          <w:rStyle w:val="HideTWBExt"/>
          <w:b w:val="0"/>
        </w:rPr>
        <w:t>&lt;/RepeatBlock-By&gt;</w:t>
      </w:r>
    </w:p>
    <w:p w:rsidR="00930C00" w:rsidRPr="00D66676" w:rsidRDefault="00930C00" w:rsidP="00930C00">
      <w:pPr>
        <w:pStyle w:val="NormalBold"/>
      </w:pPr>
      <w:r w:rsidRPr="00041CF3">
        <w:rPr>
          <w:rStyle w:val="HideTWBExt"/>
        </w:rPr>
        <w:t>&lt;DocAmend&gt;</w:t>
      </w:r>
      <w:r>
        <w:t>Entschließungsantrag</w:t>
      </w:r>
      <w:r w:rsidRPr="00041CF3">
        <w:rPr>
          <w:rStyle w:val="HideTWBExt"/>
        </w:rPr>
        <w:t>&lt;/DocAmend&gt;</w:t>
      </w:r>
    </w:p>
    <w:p w:rsidR="00930C00" w:rsidRPr="00D66676" w:rsidRDefault="00930C00" w:rsidP="00930C00">
      <w:pPr>
        <w:pStyle w:val="NormalBold"/>
      </w:pPr>
      <w:r>
        <w:rPr>
          <w:rStyle w:val="HideTWBExt"/>
          <w:lang w:val="fr-FR"/>
        </w:rPr>
        <w:t>&lt;Article&gt;</w:t>
      </w:r>
      <w:r>
        <w:t>Ziffer 21 o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D66676"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D66676" w:rsidRDefault="00930C00" w:rsidP="00930C00">
            <w:pPr>
              <w:pStyle w:val="Normal6a"/>
            </w:pPr>
            <w:r>
              <w:rPr>
                <w:b/>
                <w:i/>
              </w:rPr>
              <w:t>21o.</w:t>
            </w:r>
            <w:r>
              <w:tab/>
            </w:r>
            <w:r>
              <w:rPr>
                <w:b/>
                <w:i/>
              </w:rPr>
              <w:t>fordert die Türkei auf, alle Mitgliedstaaten der Europäischen Union, einschließlich der Republik Zypern, ohne Wenn und Aber anzuerkennen;</w:t>
            </w:r>
          </w:p>
        </w:tc>
      </w:tr>
    </w:tbl>
    <w:p w:rsidR="00930C00" w:rsidRPr="00D66676" w:rsidRDefault="00930C00" w:rsidP="00930C00">
      <w:pPr>
        <w:pStyle w:val="AmOrLang"/>
        <w:rPr>
          <w:lang w:val="en-GB"/>
        </w:rPr>
      </w:pPr>
      <w:r w:rsidRPr="00D66676">
        <w:rPr>
          <w:lang w:val="en-GB"/>
        </w:rPr>
        <w:t xml:space="preserve">Or. </w:t>
      </w:r>
      <w:r w:rsidRPr="00D66676">
        <w:rPr>
          <w:rStyle w:val="HideTWBExt"/>
          <w:lang w:val="en-GB"/>
        </w:rPr>
        <w:t>&lt;Original&gt;</w:t>
      </w:r>
      <w:r w:rsidRPr="00D66676">
        <w:rPr>
          <w:rStyle w:val="HideTWBInt"/>
          <w:lang w:val="en-GB"/>
        </w:rPr>
        <w:t>{EL}</w:t>
      </w:r>
      <w:r w:rsidRPr="00D66676">
        <w:rPr>
          <w:lang w:val="en-GB"/>
        </w:rPr>
        <w:t>el</w:t>
      </w:r>
      <w:r w:rsidRPr="00D66676">
        <w:rPr>
          <w:rStyle w:val="HideTWBExt"/>
          <w:lang w:val="en-GB"/>
        </w:rPr>
        <w:t>&lt;/Original&gt;</w:t>
      </w:r>
    </w:p>
    <w:p w:rsidR="00930C00" w:rsidRPr="00041CF3" w:rsidRDefault="00930C00" w:rsidP="00930C00">
      <w:pPr>
        <w:rPr>
          <w:lang w:val="en-GB"/>
        </w:rPr>
      </w:pPr>
      <w:r>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695</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Zwischenüberschrift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 xml:space="preserve">Anreize für die </w:t>
            </w:r>
            <w:r>
              <w:t xml:space="preserve">Zusammenarbeit </w:t>
            </w:r>
            <w:r>
              <w:rPr>
                <w:b/>
                <w:i/>
              </w:rPr>
              <w:t>mit gleichgesinnten Partnern</w:t>
            </w:r>
          </w:p>
        </w:tc>
        <w:tc>
          <w:tcPr>
            <w:tcW w:w="4876" w:type="dxa"/>
            <w:tcBorders>
              <w:top w:val="nil"/>
              <w:left w:val="nil"/>
              <w:bottom w:val="nil"/>
              <w:right w:val="nil"/>
            </w:tcBorders>
          </w:tcPr>
          <w:p w:rsidR="00930C00" w:rsidRPr="005C30ED" w:rsidRDefault="00930C00" w:rsidP="00930C00">
            <w:pPr>
              <w:pStyle w:val="Normal6a"/>
            </w:pPr>
            <w:r>
              <w:rPr>
                <w:b/>
                <w:i/>
              </w:rPr>
              <w:t>Internationale</w:t>
            </w:r>
            <w:r>
              <w:t xml:space="preserve"> Zusammenarbeit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696</w:t>
      </w:r>
      <w:r>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 </w:t>
            </w:r>
            <w:r>
              <w:rPr>
                <w:b/>
                <w:i/>
              </w:rPr>
              <w:t xml:space="preserve">fordert die Mitgliedstaaten auf, integrative Formen der multilateralen Governance zu stärken, und fordert in diesem Zusammenhang die Kommission, den Europäischen Auswärtigen Dienst und den Rat auf, die interinstitutionelle Zusammenarbeit mit multilateralen Organisationen, die integraler Bestandteil der regelbasierten internationalen </w:t>
            </w:r>
            <w:r>
              <w:rPr>
                <w:b/>
                <w:i/>
              </w:rPr>
              <w:lastRenderedPageBreak/>
              <w:t>Ordnung sind, zu intensivieren;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697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Hermann Tertsch, Jorge Martín Frías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w:t>
            </w:r>
            <w:r>
              <w:rPr>
                <w:b/>
                <w:i/>
              </w:rPr>
              <w:t>die EU das Format der Wahl für die Zusammenarbeit sein sollten</w:t>
            </w:r>
            <w:r>
              <w:t>;</w:t>
            </w:r>
            <w:r>
              <w:rPr>
                <w:b/>
                <w:i/>
              </w:rPr>
              <w:t xml:space="preserve"> ist</w:t>
            </w:r>
            <w:r>
              <w:t xml:space="preserve"> in diesem Zusammenhang </w:t>
            </w:r>
            <w:r>
              <w:rPr>
                <w:b/>
                <w:i/>
              </w:rPr>
              <w:t>besorgt über die zunehmende Bedeutung exklusiver Formate der Zusammenarbeit, bei denen der Wettbewerb zunimmt; stellt gleichzeitig</w:t>
            </w:r>
            <w:r>
              <w:t xml:space="preserve"> fest, dass internationale Institutionen und Normen zunehmend instrumentalisiert werden; betont, dass dieser Trend die EU in eine </w:t>
            </w:r>
            <w:r>
              <w:rPr>
                <w:b/>
                <w:i/>
              </w:rPr>
              <w:t xml:space="preserve">heikle </w:t>
            </w:r>
            <w:r>
              <w:t xml:space="preserve">Lage bringt, in der sie </w:t>
            </w:r>
            <w:r>
              <w:rPr>
                <w:b/>
                <w:i/>
              </w:rPr>
              <w:t>abwägen muss zwischen der Notwendigkeit, sich auf ein breites und umfassendes Verständnis von Multilateralismus zu berufen, und der Notwendigkeit, gleichzeitig</w:t>
            </w:r>
            <w:r>
              <w:t xml:space="preserve"> der Zusammenarbeit mit ausgewählten gleich gesinnten Partnern Vorrang </w:t>
            </w:r>
            <w:r>
              <w:rPr>
                <w:b/>
                <w:i/>
              </w:rPr>
              <w:t>einzuräumen</w:t>
            </w:r>
            <w:r>
              <w:t>;</w:t>
            </w:r>
          </w:p>
        </w:tc>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w:t>
            </w:r>
            <w:r>
              <w:rPr>
                <w:b/>
                <w:i/>
              </w:rPr>
              <w:t>ihre weitgehende Diskreditierung verantwortlich sind</w:t>
            </w:r>
            <w:r>
              <w:t>;</w:t>
            </w:r>
            <w:r>
              <w:rPr>
                <w:b/>
                <w:i/>
              </w:rPr>
              <w:t xml:space="preserve"> stellt</w:t>
            </w:r>
            <w:r>
              <w:t xml:space="preserve"> in diesem Zusammenhang fest, dass internationale Institutionen und Normen zunehmend </w:t>
            </w:r>
            <w:r>
              <w:rPr>
                <w:b/>
                <w:i/>
              </w:rPr>
              <w:t>durch umstrittene totalitäre Regime</w:t>
            </w:r>
            <w:r>
              <w:t xml:space="preserve"> instrumentalisiert werden; betont, dass dieser Trend die EU in eine Lage bringt, in der sie der Zusammenarbeit mit ausgewählten gleich gesinnten Partnern Vorrang </w:t>
            </w:r>
            <w:r>
              <w:rPr>
                <w:b/>
                <w:i/>
              </w:rPr>
              <w:t>einräumen muss</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698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Robert Biedroń, Sven Mikser, Marco Tarquinio</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lastRenderedPageBreak/>
              <w:t>22.</w:t>
            </w:r>
            <w:r>
              <w:tab/>
              <w:t>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c>
          <w:tcPr>
            <w:tcW w:w="4876" w:type="dxa"/>
            <w:tcBorders>
              <w:top w:val="nil"/>
              <w:left w:val="nil"/>
              <w:bottom w:val="nil"/>
              <w:right w:val="nil"/>
            </w:tcBorders>
          </w:tcPr>
          <w:p w:rsidR="00930C00" w:rsidRPr="005C30ED" w:rsidRDefault="00930C00" w:rsidP="00930C00">
            <w:pPr>
              <w:pStyle w:val="Normal6a"/>
            </w:pPr>
            <w:r>
              <w:t>22.</w:t>
            </w:r>
            <w:r>
              <w:tab/>
              <w:t>weist darauf hin, dass die Welt immer multipolarer und weniger multilateral wird; betont, dass multilaterale Foren, darunter vor allem die Vereinten Nationen und ihre Agenturen, für die EU das Format der Wahl für die Zusammenarbeit sein sollten;</w:t>
            </w:r>
            <w:r>
              <w:rPr>
                <w:b/>
                <w:i/>
              </w:rPr>
              <w:t xml:space="preserve"> verurteilt daher alle ungerechtfertigten Angriffe sowohl verbaler als auch physischer Art gegen die Vereinten Nationen, einschließlich ihrer Agenturen und Missionen;</w:t>
            </w:r>
            <w:r>
              <w:t xml:space="preserve">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699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Hannah Neumann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{Greens/EFA}</w:t>
      </w:r>
      <w:r w:rsidRPr="004E2DEB">
        <w:rPr>
          <w:lang w:val="en-GB"/>
        </w:rPr>
        <w:t>im Namen der Verts/ALE-Fraktion</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w:t>
            </w:r>
            <w:r>
              <w:lastRenderedPageBreak/>
              <w:t xml:space="preserve">zunehmende Bedeutung exklusiver Formate der Zusammenarbeit, </w:t>
            </w:r>
            <w:r>
              <w:rPr>
                <w:b/>
                <w:i/>
              </w:rPr>
              <w:t>bei denen der</w:t>
            </w:r>
            <w:r>
              <w:t xml:space="preserve"> Wettbewerb </w:t>
            </w:r>
            <w:r>
              <w:rPr>
                <w:b/>
                <w:i/>
              </w:rPr>
              <w:t>zunimmt</w:t>
            </w:r>
            <w:r>
              <w: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c>
          <w:tcPr>
            <w:tcW w:w="4876" w:type="dxa"/>
            <w:tcBorders>
              <w:top w:val="nil"/>
              <w:left w:val="nil"/>
              <w:bottom w:val="nil"/>
              <w:right w:val="nil"/>
            </w:tcBorders>
          </w:tcPr>
          <w:p w:rsidR="00930C00" w:rsidRPr="005C30ED" w:rsidRDefault="00930C00" w:rsidP="00930C00">
            <w:pPr>
              <w:pStyle w:val="Normal6a"/>
            </w:pPr>
            <w:r>
              <w:lastRenderedPageBreak/>
              <w:t>22.</w:t>
            </w:r>
            <w:r>
              <w:tab/>
              <w:t>weist darauf hin, dass die Welt immer multipolarer und weniger multilateral wird; betont, dass multilaterale Foren, darunter vor allem die Vereinten Nationen und ihre Agenturen, für die EU das Format der Wahl für die Zusammenarbeit sein sollten</w:t>
            </w:r>
            <w:r>
              <w:rPr>
                <w:b/>
                <w:i/>
              </w:rPr>
              <w:t xml:space="preserve"> und daher ausreichende EU-Mittel und </w:t>
            </w:r>
            <w:r>
              <w:rPr>
                <w:b/>
                <w:i/>
              </w:rPr>
              <w:lastRenderedPageBreak/>
              <w:t>Unterstützung erhalten sollten, um die Vereinten Nationen und das multilaterale System insgesamt zu schützen</w:t>
            </w:r>
            <w:r>
              <w:t xml:space="preserve">; ist in diesem Zusammenhang besorgt über die zunehmende Bedeutung exklusiver Formen der Zusammenarbeit, </w:t>
            </w:r>
            <w:r>
              <w:rPr>
                <w:b/>
                <w:i/>
              </w:rPr>
              <w:t>die von einem zunehmenden</w:t>
            </w:r>
            <w:r>
              <w:t xml:space="preserve"> Wettbewerb </w:t>
            </w:r>
            <w:r>
              <w:rPr>
                <w:b/>
                <w:i/>
              </w:rPr>
              <w:t>zeugen</w:t>
            </w:r>
            <w:r>
              <w: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700</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w:t>
            </w:r>
            <w:r>
              <w:rPr>
                <w:b/>
                <w:i/>
              </w:rPr>
              <w:t xml:space="preserve">und weniger multilateral </w:t>
            </w:r>
            <w:r>
              <w:t xml:space="preserve">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w:t>
            </w:r>
            <w:r>
              <w:rPr>
                <w:b/>
                <w:i/>
              </w:rPr>
              <w:t>instrumentalisiert</w:t>
            </w:r>
            <w:r>
              <w:t xml:space="preserve"> werden; betont, dass </w:t>
            </w:r>
            <w:r>
              <w:rPr>
                <w:b/>
                <w:i/>
              </w:rPr>
              <w:t xml:space="preserve">dieser Trend die EU in eine heikle Lage bringt, in der sie abwägen muss zwischen der Notwendigkeit, sich auf ein breites </w:t>
            </w:r>
            <w:r>
              <w:rPr>
                <w:b/>
                <w:i/>
              </w:rPr>
              <w:lastRenderedPageBreak/>
              <w:t>und umfassendes Verständnis von</w:t>
            </w:r>
            <w:r>
              <w:t xml:space="preserve"> Multilateralismus </w:t>
            </w:r>
            <w:r>
              <w:rPr>
                <w:b/>
                <w:i/>
              </w:rPr>
              <w:t>zu berufen, und der Notwendigkeit, gleichzeitig der Zusammenarbeit mit ausgewählten gleich gesinnten Partnern Vorrang einzuräumen</w:t>
            </w:r>
            <w:r>
              <w:t>;</w:t>
            </w:r>
          </w:p>
        </w:tc>
        <w:tc>
          <w:tcPr>
            <w:tcW w:w="4876" w:type="dxa"/>
            <w:tcBorders>
              <w:top w:val="nil"/>
              <w:left w:val="nil"/>
              <w:bottom w:val="nil"/>
              <w:right w:val="nil"/>
            </w:tcBorders>
          </w:tcPr>
          <w:p w:rsidR="00930C00" w:rsidRPr="005C30ED" w:rsidRDefault="00930C00" w:rsidP="00930C00">
            <w:pPr>
              <w:pStyle w:val="Normal6a"/>
            </w:pPr>
            <w:r>
              <w:lastRenderedPageBreak/>
              <w:t>22.</w:t>
            </w:r>
            <w:r>
              <w:tab/>
              <w:t xml:space="preserve">weist darauf hin, dass die Welt immer multipolarer wird </w:t>
            </w:r>
            <w:r>
              <w:rPr>
                <w:b/>
                <w:i/>
              </w:rPr>
              <w:t>und ist besorgt darüber, dass sie immer weniger multilateral wird</w:t>
            </w:r>
            <w:r>
              <w:t xml:space="preserve">;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w:t>
            </w:r>
            <w:r>
              <w:rPr>
                <w:b/>
                <w:i/>
              </w:rPr>
              <w:t>umgangen</w:t>
            </w:r>
            <w:r>
              <w:t xml:space="preserve"> werden; betont, dass </w:t>
            </w:r>
            <w:r>
              <w:rPr>
                <w:b/>
                <w:i/>
              </w:rPr>
              <w:t xml:space="preserve">ein echter und engagierter globaler </w:t>
            </w:r>
            <w:r>
              <w:t xml:space="preserve">Multilateralismus </w:t>
            </w:r>
            <w:r>
              <w:rPr>
                <w:b/>
                <w:i/>
              </w:rPr>
              <w:t>erforderlich ist</w:t>
            </w:r>
            <w:r>
              <w: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 Hermann Tertsch, Jorge Martín Frías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weist darauf hin, dass die Welt immer multipolarer und weniger multilateral wird;</w:t>
            </w:r>
            <w:r>
              <w:rPr>
                <w:b/>
                <w:i/>
              </w:rPr>
              <w:t xml:space="preserve"> betont, dass multilaterale Foren, darunter vor allem die Vereinten Nationen und ihre Agenturen, für die EU das Format der Wahl für die Zusammenarbeit sein sollten;</w:t>
            </w:r>
            <w:r>
              <w:t xml:space="preserve">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c>
          <w:tcPr>
            <w:tcW w:w="4876" w:type="dxa"/>
            <w:tcBorders>
              <w:top w:val="nil"/>
              <w:left w:val="nil"/>
              <w:bottom w:val="nil"/>
              <w:right w:val="nil"/>
            </w:tcBorders>
          </w:tcPr>
          <w:p w:rsidR="00930C00" w:rsidRPr="005C30ED" w:rsidRDefault="00930C00" w:rsidP="00930C00">
            <w:pPr>
              <w:pStyle w:val="Normal6a"/>
            </w:pPr>
            <w:r>
              <w:t>22.</w:t>
            </w:r>
            <w:r>
              <w:tab/>
              <w:t>weist darauf hin, dass die Welt immer multipolarer und weniger multilateral wird; ist in diesem Zusammenhang besorgt über die zunehmende Bedeutung exklusiver Formate der Zusammenarbeit, bei denen der Wettbewerb zunimmt; stellt gleichzeitig fest, dass internationale Institutionen und Normen zunehmend instrumentalisiert werden</w:t>
            </w:r>
            <w:r>
              <w:rPr>
                <w:b/>
                <w:i/>
              </w:rPr>
              <w:t>, wobei Regime wie China, Russland und Iran die internationalen Normen neu formulieren, um ihrer autoritären Agenda gerecht zu werden, und gleichzeitig beispielsweise den Menschenrechtsrat der Vereinten Nationen für ihre eigenen politischen Zwecke im Bereich der Menschenrechte missbrauchen</w:t>
            </w:r>
            <w:r>
              <w:t>;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lastRenderedPageBreak/>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 Özlem Demirel</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w:t>
            </w:r>
            <w:r>
              <w:rPr>
                <w:b/>
                <w:i/>
              </w:rPr>
              <w:t xml:space="preserve">bei denen der </w:t>
            </w:r>
            <w:r>
              <w:t xml:space="preserve">Wettbewerb </w:t>
            </w:r>
            <w:r>
              <w:rPr>
                <w:b/>
                <w:i/>
              </w:rPr>
              <w:t>zunimmt</w:t>
            </w:r>
            <w:r>
              <w:t>; stellt gleichzeitig fest, dass internationale Institutionen und Normen zunehmend instrumentalisiert werden; betont</w:t>
            </w:r>
            <w:r>
              <w:rPr>
                <w:b/>
                <w:i/>
              </w:rPr>
              <w:t>, dass dieser Trend die EU in eine heikle Lage bringt, in der sie abwägen muss zwischen der</w:t>
            </w:r>
            <w:r>
              <w:t xml:space="preserve"> Notwendigkeit, sich auf ein breites und umfassendes Verständnis von Multilateralismus zu berufen</w:t>
            </w:r>
            <w:r>
              <w:rPr>
                <w:b/>
                <w:i/>
              </w:rPr>
              <w:t>, und der Notwendigkeit, gleichzeitig der Zusammenarbeit mit ausgewählten gleich gesinnten Partnern Vorrang einzuräumen</w:t>
            </w:r>
            <w:r>
              <w:t>;</w:t>
            </w:r>
          </w:p>
        </w:tc>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Formen der Zusammenarbeit </w:t>
            </w:r>
            <w:r>
              <w:rPr>
                <w:b/>
                <w:i/>
              </w:rPr>
              <w:t>wie der NATO und der G7</w:t>
            </w:r>
            <w:r>
              <w:t xml:space="preserve">, </w:t>
            </w:r>
            <w:r>
              <w:rPr>
                <w:b/>
                <w:i/>
              </w:rPr>
              <w:t>die von einem zunehmenden militärischen und wirtschaftlichen</w:t>
            </w:r>
            <w:r w:rsidR="00974CFB">
              <w:rPr>
                <w:b/>
                <w:i/>
              </w:rPr>
              <w:t xml:space="preserve"> </w:t>
            </w:r>
            <w:r>
              <w:t>Wettbewerb</w:t>
            </w:r>
            <w:r>
              <w:rPr>
                <w:b/>
                <w:i/>
              </w:rPr>
              <w:t xml:space="preserve"> zeugen</w:t>
            </w:r>
            <w:r>
              <w:t xml:space="preserve">; stellt gleichzeitig fest, dass internationale Institutionen und Normen zunehmend instrumentalisiert werden; betont </w:t>
            </w:r>
            <w:r>
              <w:rPr>
                <w:b/>
                <w:i/>
              </w:rPr>
              <w:t>die</w:t>
            </w:r>
            <w:r>
              <w:t xml:space="preserve"> Notwendigkeit, sich auf ein breites und umfassendes Verständnis von Multilateralismus zu berufen;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w:t>
            </w:r>
            <w:r>
              <w:lastRenderedPageBreak/>
              <w:t xml:space="preserve">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w:t>
            </w:r>
            <w:r>
              <w:rPr>
                <w:b/>
                <w:i/>
              </w:rPr>
              <w:t>Vorrang einzuräumen</w:t>
            </w:r>
            <w:r>
              <w:t>;</w:t>
            </w:r>
          </w:p>
        </w:tc>
        <w:tc>
          <w:tcPr>
            <w:tcW w:w="4876" w:type="dxa"/>
            <w:tcBorders>
              <w:top w:val="nil"/>
              <w:left w:val="nil"/>
              <w:bottom w:val="nil"/>
              <w:right w:val="nil"/>
            </w:tcBorders>
          </w:tcPr>
          <w:p w:rsidR="00930C00" w:rsidRPr="005C30ED" w:rsidRDefault="00930C00" w:rsidP="00930C00">
            <w:pPr>
              <w:pStyle w:val="Normal6a"/>
            </w:pPr>
            <w:r>
              <w:lastRenderedPageBreak/>
              <w:t>22.</w:t>
            </w:r>
            <w:r>
              <w:tab/>
              <w:t xml:space="preserve">weist darauf hin, dass die Welt </w:t>
            </w:r>
            <w:r>
              <w:lastRenderedPageBreak/>
              <w:t xml:space="preserve">immer multipolarer und weniger multilateral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w:t>
            </w:r>
            <w:r>
              <w:rPr>
                <w:b/>
                <w:i/>
              </w:rPr>
              <w:t>zu verstärken</w:t>
            </w:r>
            <w:r>
              <w: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w:t>
            </w:r>
            <w:r>
              <w:rPr>
                <w:b/>
                <w:i/>
              </w:rPr>
              <w:t>Bedeutung exklusiver Formate der Zusammenarbeit, bei denen der Wettbewerb zunimmt</w:t>
            </w:r>
            <w:r>
              <w:t xml:space="preserve">; stellt gleichzeitig fest, dass internationale Institutionen und Normen zunehmend instrumentalisiert werden; betont, dass </w:t>
            </w:r>
            <w:r>
              <w:lastRenderedPageBreak/>
              <w:t xml:space="preserve">dieser Trend die EU in eine heikle Lage bringt, in der sie abwägen muss zwischen der Notwendigkeit, sich auf ein breites und umfassendes Verständnis von Multilateralismus zu berufen, und der Notwendigkeit, </w:t>
            </w:r>
            <w:r>
              <w:rPr>
                <w:b/>
                <w:i/>
              </w:rPr>
              <w:t>gleichzeitig</w:t>
            </w:r>
            <w:r>
              <w:t xml:space="preserve"> der Zusammenarbeit mit ausgewählten gleich gesinnten Partnern Vorrang einzuräumen;</w:t>
            </w:r>
          </w:p>
        </w:tc>
        <w:tc>
          <w:tcPr>
            <w:tcW w:w="4876" w:type="dxa"/>
            <w:tcBorders>
              <w:top w:val="nil"/>
              <w:left w:val="nil"/>
              <w:bottom w:val="nil"/>
              <w:right w:val="nil"/>
            </w:tcBorders>
          </w:tcPr>
          <w:p w:rsidR="00930C00" w:rsidRPr="005C30ED" w:rsidRDefault="00930C00" w:rsidP="00930C00">
            <w:pPr>
              <w:pStyle w:val="Normal6a"/>
            </w:pPr>
            <w:r>
              <w:lastRenderedPageBreak/>
              <w:t>22.</w:t>
            </w:r>
            <w:r>
              <w:tab/>
              <w:t xml:space="preserve">weist darauf hin, dass die Welt immer multipolarer und weniger multilateral wird; betont, dass multilaterale Foren, darunter vor allem die Vereinten Nationen und ihre Agenturen, für die EU das Format der Wahl für die Zusammenarbeit sein sollten; ist in diesem Zusammenhang besorgt über die zunehmende </w:t>
            </w:r>
            <w:r>
              <w:rPr>
                <w:b/>
                <w:i/>
              </w:rPr>
              <w:t>Unfähigkeit des Systems der Vereinten Nationen, auf die heutigen globalen Herausforderungen zu reagieren</w:t>
            </w:r>
            <w:r>
              <w:t xml:space="preserve">; stellt gleichzeitig fest, dass internationale Institutionen und Normen zunehmend instrumentalisiert </w:t>
            </w:r>
            <w:r>
              <w:rPr>
                <w:b/>
                <w:i/>
              </w:rPr>
              <w:t xml:space="preserve">und von </w:t>
            </w:r>
            <w:r>
              <w:rPr>
                <w:b/>
                <w:i/>
              </w:rPr>
              <w:lastRenderedPageBreak/>
              <w:t>autokratischen Regimen untergraben</w:t>
            </w:r>
            <w:r>
              <w:t xml:space="preserve"> werden; betont, dass dieser Trend die EU in eine heikle Lage bringt, in der sie abwägen muss zwischen der Notwendigkeit, sich auf ein breites und umfassendes Verständnis von Multilateralismus zu berufen, und der Notwendigkeit, der Zusammenarbeit mit ausgewählten gleich gesinnten Partnern Vorrang einzuräumen;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705</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22</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22.</w:t>
            </w:r>
            <w:r w:rsidRPr="005D638B">
              <w:tab/>
              <w:t xml:space="preserve">weist darauf hin, dass die Welt immer multipolarer </w:t>
            </w:r>
            <w:r w:rsidRPr="005D638B">
              <w:rPr>
                <w:b/>
                <w:i/>
              </w:rPr>
              <w:t>und weniger multilateral</w:t>
            </w:r>
            <w:r w:rsidRPr="005D638B">
              <w:t xml:space="preserve">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c>
          <w:tcPr>
            <w:tcW w:w="4876" w:type="dxa"/>
            <w:tcBorders>
              <w:top w:val="nil"/>
              <w:left w:val="nil"/>
              <w:bottom w:val="nil"/>
              <w:right w:val="nil"/>
            </w:tcBorders>
          </w:tcPr>
          <w:p w:rsidR="00930C00" w:rsidRPr="005D638B" w:rsidRDefault="00930C00" w:rsidP="00930C00">
            <w:pPr>
              <w:pStyle w:val="Normal6a"/>
            </w:pPr>
            <w:r w:rsidRPr="005D638B">
              <w:t>22.</w:t>
            </w:r>
            <w:r w:rsidRPr="005D638B">
              <w:tab/>
              <w:t>weist darauf hin, dass die Welt immer multipolarer wird; betont, dass multilaterale Foren, darunter vor allem die Vereinten Nationen und ihre Agenturen, für die EU das Format der Wahl für die Zusammenarbeit sein sollten; ist in diesem Zusammenhang besorgt über die zunehmende Bedeutung exklusiver Formate der Zusammenarbeit, bei denen der Wettbewerb zunimmt; stellt gleichzeitig fest, dass internationale Institutionen und Normen zunehmend instrumentalisiert werden; betont, dass dieser Trend die EU in eine heikle Lage bringt, in der sie abwägen muss zwischen der Notwendigkeit, sich auf ein breites und umfassendes Verständnis von Multilateralismus zu berufen, und der Notwendigkeit, gleichzeitig der Zusammenarbeit mit ausgewählten gleich gesinnten Partnern Vorrang einzuräumen;</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lastRenderedPageBreak/>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706</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Rihards Kols</w:t>
      </w:r>
      <w:r w:rsidRPr="004E2DEB">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 Nummer 1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(1)</w:t>
            </w:r>
            <w:r>
              <w:tab/>
            </w:r>
            <w:r>
              <w:rPr>
                <w:b/>
                <w:i/>
              </w:rPr>
              <w:t>erkennt die Grenzen der derzeitigen Struktur der Vereinten Nationen an und fordert eine umfassende Reform der Vereinten Nationen, um ihre Effizienz und ihre Fähigkeit zur Bewältigung moderner geopolitischer Herausforderungen zu verbessern; spricht sich für eine Reform aus, die auch eine Überarbeitung der Zusammensetzung und des Vetosystems des Sicherheitsrats der Vereinten Nationen umfasst, um der heutigen Machtdynamik Rechnung zu tragen und so eine Behinderung durch autokratische Staaten zu verhindern und entschlossenere Maßnahmen zur Wahrung des Weltfriedens und der internationalen Sicherheit zu ermöglichen;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22a.</w:t>
            </w:r>
            <w:r>
              <w:tab/>
            </w:r>
            <w:r>
              <w:rPr>
                <w:b/>
                <w:i/>
              </w:rPr>
              <w:t xml:space="preserve">betont, dass Russlands Angriffskrieg gegen die Ukraine die östliche Nachbarschaft und den Westbalkan destabilisiert und ihre Sicherheit bedroht, was wiederum die Sicherheit der EU selbst gefährdet; begrüßt, dass die Erweiterungspolitik der </w:t>
            </w:r>
            <w:r>
              <w:rPr>
                <w:b/>
                <w:i/>
              </w:rPr>
              <w:lastRenderedPageBreak/>
              <w:t>EU nach dem Angriffskrieg Russlands gegen die Ukraine neu priorisiert wurde; ist der Ansicht, dass die EU daher auch der Reform ihrer Nachbarschaftspolitik Vorrang einräumen und den Erweiterungsprozess parallel zur Durchführung der zur Sicherung der Integrationsfähigkeit der Union notwendigen Reformen der Organe und Beschlussfassungsverfahren beschleunigen sollte; fordert, dass die bevorstehende Reform der Verträge nicht als Vorwand für eine Verzögerung des Beitrittsprozesses genutzt wird;</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Nacho Sánchez Amor, Sven Mikser, Alessandra Moretti, Yannis Maniatis, Hana Jalloul Muro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22a.</w:t>
            </w:r>
            <w:r>
              <w:tab/>
            </w:r>
            <w:r>
              <w:rPr>
                <w:b/>
                <w:i/>
              </w:rPr>
              <w:t xml:space="preserve">bedauert, dass die Organisationen multilateraler Foren von einer Reihe von Drittländern und insbesondere von autoritären und totalitären Regimen, wie in einigen Fällen von bestimmten Freundschaftsgruppen in den Vereinten Nationen, missbraucht werden, um eine Agenda voranzutreiben, die die Menschenrechte und die multilaterale und regelbasierte Weltordnung in Frage stellt; betont die schwerwiegenden Folgen der Diskreditierung von und Angriffe auf diese Organisationen wie der Vereinten Nationen, wodurch einer Kultur der Straflosigkeit Vorschub geleistet wird; fordert die EU auf, gemeinsam mit gleich gesinnten Ländern eine solide Strategie zu entwickeln, um diese Situation einzudämmen, und eine geeinte und starke Botschaft der Unterstützung an </w:t>
            </w:r>
            <w:r>
              <w:rPr>
                <w:b/>
                <w:i/>
              </w:rPr>
              <w:lastRenderedPageBreak/>
              <w:t>diese Organisationen zu senden, wenn diese angegriffen oder bedroht werden;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709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Kinga Gál</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22a.</w:t>
            </w:r>
            <w:r>
              <w:tab/>
            </w:r>
            <w:r>
              <w:rPr>
                <w:b/>
                <w:i/>
              </w:rPr>
              <w:t>ist der Ansicht, dass unter Berücksichtigung des allgemeinen Grundsatzes der transnationalen Verbindungen die Prozesse der „Entkopplung“ und der „Gefahrenminderung“ und der Zollkrieg nicht der richtige Weg sind; betont, dass im Falle einer Handelsdrift zwischen den Parteien die Weltgemeinschaft leiden könnte, da Frieden, Wohlstand und Wachstum gefährdet würden; betont, dass sich die EU um Konnektivität in der sich entwickelnden, neuen multipolaren Welt bemühen muss, um ihre Wettbewerbsfähigkeit und ihre globale Positionierung zu stärken;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Yannis Maniatis</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 a.</w:t>
            </w:r>
            <w:r>
              <w:tab/>
            </w:r>
            <w:r>
              <w:rPr>
                <w:b/>
                <w:i/>
              </w:rPr>
              <w:t xml:space="preserve">fordert die Kommission auf, mögliche Formate für einen für beide Seiten attraktiven Rahmen mit der Türkei durch einen umfassenden und inklusiven Prozess wie ein modernisiertes </w:t>
            </w:r>
            <w:r>
              <w:rPr>
                <w:b/>
                <w:i/>
              </w:rPr>
              <w:lastRenderedPageBreak/>
              <w:t>Assoziierungsabkommen mit strengen Auflagen in Bezug auf die Achtung der Rechtsstaatlichkeit, der Grundrechte, des Völkerrechts, einschließlich des SRÜ und gutnachbarlicher Beziehungen, zu prüfen; ist nach wie vor besorgt darüber, dass die Außenpolitik der Türkei in vielerlei Hinsicht weiterhin im Widerspruch zu den Interessen der EU steht;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711</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pPr>
      <w:r w:rsidRPr="00930C00">
        <w:rPr>
          <w:rStyle w:val="HideTWBExt"/>
        </w:rPr>
        <w:t>&lt;Article&gt;</w:t>
      </w:r>
      <w:r w:rsidRPr="00930C00">
        <w:t>Ziffer 22 a (neu)</w:t>
      </w:r>
      <w:r w:rsidRPr="00930C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07238A"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7A53B2" w:rsidRDefault="00930C00" w:rsidP="00930C00">
            <w:pPr>
              <w:pStyle w:val="Normal6a"/>
            </w:pPr>
            <w:r>
              <w:rPr>
                <w:b/>
                <w:i/>
              </w:rPr>
              <w:t>22a.</w:t>
            </w:r>
            <w:r>
              <w:tab/>
            </w:r>
            <w:r>
              <w:rPr>
                <w:b/>
                <w:i/>
              </w:rPr>
              <w:t>verurteilt aufs Schärfste die Teilnahme des Generalsekretärs der Vereinten Nationen, António Guterres, am 16. Gipfel der BRICS-Staaten, der von Wladimir Putin in Russland ausgerichtet wurde; ist der Ansicht, dass die Teilnahme des Generalsekretärs an dem Gipfel die Glaubwürdigkeit der Vereinten Nationen als Fürsprecher des Weltfriedens erheblich beeinträchtigt; betont, dass der Besuch von António Guterres das kriminelle Regime von Wladimir Putin zu legitimieren scheint, das sich dessen Besuch für Propagandazwecke zunutze machen konnte;</w:t>
            </w:r>
          </w:p>
        </w:tc>
      </w:tr>
    </w:tbl>
    <w:p w:rsidR="00930C00" w:rsidRPr="0007238A" w:rsidRDefault="00930C00" w:rsidP="00930C00">
      <w:pPr>
        <w:pStyle w:val="AmOrLang"/>
      </w:pPr>
      <w:r w:rsidRPr="0007238A">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712</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Sven Mikser, Lucia Annunziata, Nicola Zingaretti, Thijs Reuten, Alessandra Moretti, Giorgio Gori, Tobias Cremer, Vasile Dîncu, Marco Tarquinio</w:t>
      </w:r>
      <w:r w:rsidRPr="00930C00">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lastRenderedPageBreak/>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b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22b.</w:t>
            </w:r>
            <w:r>
              <w:tab/>
            </w:r>
            <w:r>
              <w:rPr>
                <w:b/>
                <w:i/>
              </w:rPr>
              <w:t>begrüßt die jüngsten Signale in Bezug auf den beschleunigten Zeitplan für Bewerberländer; fordert, dass sichergestellt wird, dass laufende und künftige Beitrittsverhandlungen nicht aufgrund besonderer nationaler Interessen oder der Notwendigkeit einer Reform der Verträge verzögert werden; bekräftigt, dass das Tempo des Erweiterungsprozesses eng mit den Fähigkeiten der einzelnen Länder zusammenhängt, die Beitrittskriterien zu erfüllen, aber dass es auch von dem Engagement der politischen Führung in den Ländern des Westbalkans und den EU-Mitgliedstaaten abhängt;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 Marco Tarquinio, Vasile Dîncu</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c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22c.</w:t>
            </w:r>
            <w:r>
              <w:tab/>
            </w:r>
            <w:r>
              <w:rPr>
                <w:b/>
                <w:i/>
              </w:rPr>
              <w:t>unterstreicht, dass die Finanzierungsinstrumente wie das Instrument für Heranführungshilfe III für die Stärkung der Partnerschaft zwischen der EU und den Bewerberländern wichtig sind; fordert die Entwicklung einer kohärenten Strategie für die schrittweise Einbeziehung aller Bewerberländer, einschließlich in sektorbezogene politische Maßnahmen und als Beobachter in den verschiedenen Organen der Union;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d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22d.</w:t>
            </w:r>
            <w:r>
              <w:tab/>
            </w:r>
            <w:r>
              <w:rPr>
                <w:b/>
                <w:i/>
              </w:rPr>
              <w:t xml:space="preserve">begrüßt trotz der Verzögerung das Erweiterungspaket 2024 und den Wachstumsplan für den Westbalkan, der eine Fazilität in Höhe von 6 Mrd. EUR in Form von Finanzhilfen und Darlehen umfasst, um die sozioökonomische Konvergenz mit der EU im Zeitraum von 2024 bis 2027 zu beschleunigen; fordert den Rat auf, ein echtes politisches Engagement für die Aussicht der Länder des Westbalkans auf eine EU-Mitgliedschaft unter Beweis zu stellen; stellt fest, dass dies auch Fortschritte bei den Beitrittsverhandlungen mit Albanien, Montenegro und Nordmazedonien umfassen sollte; unterstützt die Bemühungen, vorrangig die einschlägigen Verfassungsänderungen in Nordmazedonien zu erreichen, und fordert alle politischen Kräfte auf, in dieser Hinsicht eine konstruktive Rolle zu spielen; bittet insbesondere auch die Regierungen der Mitgliedstaaten, die diese zusätzliche Forderung für Nordmazedonien aufgestellt haben, ihr Möglichstes zu tun, um diese Bemühungen zu unterstützen; bedauert die ungerechtfertigten Verzögerungen des Beitrittsprozesses Nordmazedoniens und weist darauf hin, dass die Bewerberländer auf der Grundlage ihrer eigenen Verdienste bei der Erfüllung der objektiven Beitrittskriterien bewertet werden sollten, einschließlich ihrer Umsetzung von EU-bezogenen Reformen und ihrer Anpassung der politischen </w:t>
            </w:r>
            <w:r>
              <w:rPr>
                <w:b/>
                <w:i/>
              </w:rPr>
              <w:lastRenderedPageBreak/>
              <w:t>Ausrichtung an die GASP, wie etwa in Bezug auf Standpunkte und restriktive Maßnahmen, die als Reaktion auf den Angriffskrieg Russlands gegen die Ukraine ergriffen wurden; begrüßt, dass sich die Mehrheit der Länder des westlichen Balkans auf die GASP abstimmt, und fordert Belgrad auf, dies dringend ebenfalls zu tun, insbesondere angesichts der Tatsache, dass Serbien eines der wenigen europäischen Länder ist, die die Sanktionen, die als Reaktion auf den Angriffskrieg Russlands gegen die Ukraine verhängt wurden, noch nicht anwenden; weist darauf hin, dass der Beitritt nur stattfinden kann, wenn sich das betreffende Land EU-Sanktionen gegen Russland anschließt und wesentliche Fortschritte bei den EU-bezogenen Reformen macht; ist nach wie vor sehr besorgt über den destabilisierenden Einfluss der serbischen Staatsorgane auf die gesamte Region;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e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22e.</w:t>
            </w:r>
            <w:r>
              <w:tab/>
            </w:r>
            <w:r>
              <w:rPr>
                <w:b/>
                <w:i/>
              </w:rPr>
              <w:t xml:space="preserve">bedauert, dass die Parlamentswahl in Serbien vom 17. Dezember 2023 und die Kommunalwahlen vom 2. Juni 2024 aufgrund der Dominanz der Regierungspartei und der Zersplitterung der Opposition von den internationalen Standards und den Verpflichtungen Serbiens zu freien und fairen Wahlen abgewichen sind, und dass weiterhin Bedenken hinsichtlich des Drucks auf die Beschäftigten des öffentlichen Sektors </w:t>
            </w:r>
            <w:r>
              <w:rPr>
                <w:b/>
                <w:i/>
              </w:rPr>
              <w:lastRenderedPageBreak/>
              <w:t>und des Missbrauchs öffentlicher Mittel bestehen; ist der Ansicht, dass nicht davon ausgegangen werden kann, dass diese Wahlen unter fairen Bedingungen abgehalten wurden; ist äußerst beunruhigt angesichts der Berichte über den weitverbreiteten und systematischen Betrug, durch den die Integrität der Wahlen in Serbien beeinträchtigt wurde; ist zutiefst besorgt über diese Unregelmäßigkeiten und das allgemeine Umfeld der Wahlen, mit denen die für ein EU-Bewerberland zu erwartenden Normen nicht erfüllt wurden; erinnert die serbischen Behörden daran, dass das ordnungsgemäße Funktionieren der demokratischen Institutionen Serbiens im Mittelpunkt des EU-Beitrittsprozesses Serbiens steht, und fordert die zuständigen Behörden in der EU-Beitrittsmethodik auf, die Empfehlungen der I-EOM ordnungsgemäß zu untersuchen und weiterzuverfolgen; fordert die politische Führung Serbiens auf, für einen konstruktiven und inklusiven Dialog im gesamten politischen Spektrum zu sorgen und die notwendigen Reformen durchzuführen, damit Serbien auf dem Weg zum EU-Beitritt Fortschritte erzielt;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f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22f.</w:t>
            </w:r>
            <w:r>
              <w:tab/>
            </w:r>
            <w:r>
              <w:rPr>
                <w:b/>
                <w:i/>
              </w:rPr>
              <w:t xml:space="preserve">unterstützt die Normalisierung der Beziehungen zwischen dem Kosovo und Serbien und die Entwicklung des von der EU geförderten Dialogs zwischen Belgrad </w:t>
            </w:r>
            <w:r>
              <w:rPr>
                <w:b/>
                <w:i/>
              </w:rPr>
              <w:lastRenderedPageBreak/>
              <w:t>und Pristina; fordert das Kosovo und Serbien auf, diesen Dialog nach Treu und Glauben und im Geiste der Kompromissbereitschaft zu führen, um im Einklang mit dem Völkerrecht und ohne weitere Verzögerungen zu einem umfassenden und rechtlich bindenden Abkommen über die Normalisierung der Beziehungen auf der Grundlage des Grundsatzes der gegenseitigen Anerkennung zu gelangen; erinnert daran, dass das Ausbleiben von Fortschritten bei der Normalisierung der Beziehungen sich negativ auf die EU-Integration beider Länder auswirken würde; bedauert die restriktiven Maßnahmen des Rates gegen das Kosovo und fordert deren sofortige Aufhebung wie vom HR/VP vorgeschlagen; fordert die EU auf, einen ausgewogenen Ansatz für die Vermittlung zwischen den Parteien zu verfolgen, um die derzeitige Pattsituation zu überwinden; weist darauf hin, dass ein Scheitern des Dialogs auch Auswirkungen auf die Rolle der EU als glaubwürdiger außenpolitischer Akteur hätte;</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g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22g.</w:t>
            </w:r>
            <w:r>
              <w:tab/>
            </w:r>
            <w:r>
              <w:rPr>
                <w:b/>
                <w:i/>
              </w:rPr>
              <w:t xml:space="preserve">begrüßt den Antrag des Kosovo auf EU-Mitgliedschaft und fordert die Kommission auf, darauf zu antworten; weist darauf hin, dass die Bewerbung des Kosovo, als Beitrittskandidat angesehen zu werden, auf der Grundlage seiner eigenen Verdienste und seines Erfolgs im </w:t>
            </w:r>
            <w:r>
              <w:rPr>
                <w:b/>
                <w:i/>
              </w:rPr>
              <w:lastRenderedPageBreak/>
              <w:t>Hinblick auf die Erfüllung der Kopenhagener Kriterien für die EU-Mitgliedschaft bewertet wird; begrüßt jedoch die Aufhebung der Visumpflicht für Bürger des Kosovos;</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22 h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22h.</w:t>
            </w:r>
            <w:r>
              <w:tab/>
            </w:r>
            <w:r>
              <w:rPr>
                <w:b/>
                <w:i/>
              </w:rPr>
              <w:t>bedauert, dass die hohen politischen Spannungen und die Polarisierung in Montenegro die Fortschritte bei den EU-bezogenen Reformen verzögert haben; begrüßt die Bildung einer stabilen und EU-freundlichen Mehrheit; betont, wie wichtig es ist, dass die neue Regierung in der Lage und entschlossen ist, die EU-bezogenen Reformen voranzutreiben und Montenegro nachdrücklich auf dem strategischen Weg der EU zu halten; erwartet, dass das Land mit dem Abschluss von Kapiteln/Clustern in den Beitrittsverhandlungen beginnt und bereit ist, der EU bis 2028 beizutreten;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719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Vasile Dîncu</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i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22i.</w:t>
            </w:r>
            <w:r>
              <w:tab/>
            </w:r>
            <w:r>
              <w:rPr>
                <w:b/>
                <w:i/>
              </w:rPr>
              <w:t>fordert die Kommission auf, im Wege eines umfassenden und inklusiven Prozesses mögliche Formate für einen Rahmen, der für beide Seiten erstrebenswert ist, etwa eine Aktualisierung des Assoziierungsabkommens, zu prüfen; ist nach wie vor besorgt darüber, dass die Außenpolitik der Türkei in vielerlei Hinsicht weiterhin im Widerspruch zu den Interessen der EU steht;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j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22j.</w:t>
            </w:r>
            <w:r>
              <w:tab/>
            </w:r>
            <w:r>
              <w:rPr>
                <w:b/>
                <w:i/>
              </w:rPr>
              <w:t>bedauert die jüngsten Entwicklungen in der Republika Srpska, die die positive Dynamik der EU-Erweiterung behindern, insbesondere die Annahme von Gesetzen über Wahlen, Referenden und Immunität, die fortgesetzte Nichtanerkennung der Autorität und der Entscheidungen des Verfassungsgerichts sowie die anhaltende sezessionistische Rhetorik; bekräftigt seine Forderung nach gezielten EU-Sanktionen gegen destabilisierende politische Akteure in Bosnien und Herzegowina, einschließlich derjenigen, die die Souveränität und territoriale Integrität des Landes bedrohen, insbesondere Milorad Dodik und seine Verbündete;</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lastRenderedPageBreak/>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22 k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22k.</w:t>
            </w:r>
            <w:r>
              <w:tab/>
            </w:r>
            <w:r>
              <w:rPr>
                <w:b/>
                <w:i/>
              </w:rPr>
              <w:t>begrüßt das Bestreben Albaniens, die Beitrittsverhandlungen bis Ende 2027 abzuschließen; fordert in diesem Zusammenhang verstärkte Anstrengungen zur Beschleunigung der Reformen, insbesondere in den Bereichen Rechtsstaatlichkeit, Bekämpfung von Korruption und organisierter Kriminalität sowie Förderung der Grundrechte, einschließlich der Medienfreiheit; begrüßt die Fortschritte, die Albanien bei der Umsetzung der Justizreform erzielt hat; warnt davor, die Arbeit unabhängiger Institutionen wie der Sonderstruktur zur Bekämpfung von Korruption und organisierter Kriminalität (SPAK) zu untergraben; spricht sich für eine Rückkehr zu einem geordneten parlamentarischen Verhalten aus und betont, dass eine konstruktive politische Debatte für eine demokratische Regierungsführung von wesentlicher Bedeutung ist;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Andrey Kovatchev</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23.</w:t>
            </w:r>
            <w:r>
              <w:tab/>
              <w:t xml:space="preserve">betont in diesem Zusammenhang, dass der geopolitische Kontext, in dem die EU tätig ist, nach wie vor von radikaler Unsicherheit und einem Übergang von der </w:t>
            </w:r>
            <w:r>
              <w:lastRenderedPageBreak/>
              <w:t>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nicht leisten kann, sich nach innen zu wenden, und dass sie offen bleiben und sich in der Welt engagieren muss;</w:t>
            </w:r>
          </w:p>
        </w:tc>
        <w:tc>
          <w:tcPr>
            <w:tcW w:w="4876" w:type="dxa"/>
            <w:tcBorders>
              <w:top w:val="nil"/>
              <w:left w:val="nil"/>
              <w:bottom w:val="nil"/>
              <w:right w:val="nil"/>
            </w:tcBorders>
          </w:tcPr>
          <w:p w:rsidR="00930C00" w:rsidRPr="005C30ED" w:rsidRDefault="00930C00" w:rsidP="00930C00">
            <w:pPr>
              <w:pStyle w:val="Normal6a"/>
            </w:pPr>
            <w:r>
              <w:lastRenderedPageBreak/>
              <w:t>23.</w:t>
            </w:r>
            <w:r>
              <w:tab/>
              <w:t xml:space="preserve">betont in diesem Zusammenhang, dass der geopolitische Kontext, in dem die EU tätig ist, nach wie vor von radikaler Unsicherheit und einem Übergang von der </w:t>
            </w:r>
            <w:r>
              <w:lastRenderedPageBreak/>
              <w:t xml:space="preserve">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nicht leisten kann, sich nach innen zu wenden, und dass sie offen bleiben und sich in der Welt engagieren muss; </w:t>
            </w:r>
            <w:r>
              <w:rPr>
                <w:b/>
                <w:i/>
              </w:rPr>
              <w:t>betont, dass angesichts der verstärkten Bemühungen von Drittländern, die internationale Ordnung zu destabilisieren und den Multilateralismus durch die Verbreitung von Desinformation zu untergraben, eine verstärkte Zusammenarbeit und Koordinierung mit gleichgesinnten Partnern von entscheidender Bedeutung ist;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 Hermann Tertsch, Jorge Martín Frías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w:t>
            </w:r>
            <w:r>
              <w:lastRenderedPageBreak/>
              <w:t>Herausforderungen wirksam bewältigen zu können; weist darauf hin, dass die EU es sich nicht leisten kann, sich nach innen zu wenden, und dass sie offen bleiben und sich in der Welt engagieren muss;</w:t>
            </w:r>
          </w:p>
        </w:tc>
        <w:tc>
          <w:tcPr>
            <w:tcW w:w="4876" w:type="dxa"/>
            <w:tcBorders>
              <w:top w:val="nil"/>
              <w:left w:val="nil"/>
              <w:bottom w:val="nil"/>
              <w:right w:val="nil"/>
            </w:tcBorders>
          </w:tcPr>
          <w:p w:rsidR="00930C00" w:rsidRPr="005C30ED" w:rsidRDefault="00930C00" w:rsidP="00930C00">
            <w:pPr>
              <w:pStyle w:val="Normal6a"/>
            </w:pPr>
            <w:r>
              <w:lastRenderedPageBreak/>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w:t>
            </w:r>
            <w:r>
              <w:lastRenderedPageBreak/>
              <w:t xml:space="preserve">Herausforderungen wirksam bewältigen zu können; weist darauf hin, dass die EU es sich nicht leisten kann, sich nach innen zu wenden, und dass sie offen bleiben und sich in der Welt engagieren muss; </w:t>
            </w:r>
            <w:r>
              <w:rPr>
                <w:b/>
                <w:i/>
              </w:rPr>
              <w:t>bekräftigt den Grundsatz, dass ein Europa der Nationen am besten geeignet ist, offen zu handeln;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23.</w:t>
            </w:r>
            <w:r>
              <w:tab/>
              <w:t>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nicht leisten kann, sich nach innen zu wenden, und dass sie offen bleiben und sich in der Welt engagieren muss;</w:t>
            </w:r>
          </w:p>
        </w:tc>
        <w:tc>
          <w:tcPr>
            <w:tcW w:w="4876" w:type="dxa"/>
            <w:tcBorders>
              <w:top w:val="nil"/>
              <w:left w:val="nil"/>
              <w:bottom w:val="nil"/>
              <w:right w:val="nil"/>
            </w:tcBorders>
          </w:tcPr>
          <w:p w:rsidR="00930C00" w:rsidRPr="005C30ED" w:rsidRDefault="00930C00" w:rsidP="00930C00">
            <w:pPr>
              <w:pStyle w:val="Normal6a"/>
            </w:pPr>
            <w:r>
              <w:t>23.</w:t>
            </w:r>
            <w:r>
              <w:tab/>
              <w:t>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nicht leisten kann, sich nach innen zu wenden, und dass sie offen bleiben und sich in der Welt engagieren muss und gleichzeitig bereit sein muss, ihre Werte und Interessen zu verteidigen;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725</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lastRenderedPageBreak/>
        <w:t>&lt;Article&gt;</w:t>
      </w:r>
      <w:r w:rsidRPr="005D638B">
        <w:t>Paragraph 23</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23.</w:t>
            </w:r>
            <w:r w:rsidRPr="005D638B">
              <w:tab/>
              <w:t xml:space="preserve">betont in diesem Zusammenhang, dass der geopolitische Kontext, in dem die EU tätig ist, nach wie vor von </w:t>
            </w:r>
            <w:r w:rsidRPr="005D638B">
              <w:rPr>
                <w:b/>
                <w:i/>
              </w:rPr>
              <w:t>radikaler Unsicherheit und einem</w:t>
            </w:r>
            <w:r w:rsidRPr="005D638B">
              <w:t xml:space="preserve"> Übergang </w:t>
            </w:r>
            <w:r w:rsidRPr="005D638B">
              <w:rPr>
                <w:b/>
                <w:i/>
              </w:rPr>
              <w:t>von der Zusammenarbeit zum Konkurrenzdenken</w:t>
            </w:r>
            <w:r w:rsidRPr="005D638B">
              <w:t xml:space="preserve">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w:t>
            </w:r>
            <w:r w:rsidRPr="005D638B">
              <w:rPr>
                <w:b/>
                <w:i/>
              </w:rPr>
              <w:t>nicht leisten kann, sich nach innen zu wenden, und dass sie offen bleiben und sich in der Welt engagieren</w:t>
            </w:r>
            <w:r w:rsidRPr="005D638B">
              <w:t xml:space="preserve"> muss;</w:t>
            </w:r>
          </w:p>
        </w:tc>
        <w:tc>
          <w:tcPr>
            <w:tcW w:w="4876" w:type="dxa"/>
            <w:tcBorders>
              <w:top w:val="nil"/>
              <w:left w:val="nil"/>
              <w:bottom w:val="nil"/>
              <w:right w:val="nil"/>
            </w:tcBorders>
          </w:tcPr>
          <w:p w:rsidR="00930C00" w:rsidRPr="005D638B" w:rsidRDefault="00930C00" w:rsidP="00930C00">
            <w:pPr>
              <w:pStyle w:val="Normal6a"/>
            </w:pPr>
            <w:r w:rsidRPr="005D638B">
              <w:t>23.</w:t>
            </w:r>
            <w:r w:rsidRPr="005D638B">
              <w:tab/>
              <w:t xml:space="preserve">betont in diesem Zusammenhang, dass der geopolitische Kontext, in dem die EU tätig ist, nach wie vor von </w:t>
            </w:r>
            <w:r w:rsidRPr="005D638B">
              <w:rPr>
                <w:b/>
                <w:i/>
              </w:rPr>
              <w:t>dem</w:t>
            </w:r>
            <w:r w:rsidRPr="005D638B">
              <w:t xml:space="preserve"> Übergang </w:t>
            </w:r>
            <w:r w:rsidRPr="005D638B">
              <w:rPr>
                <w:b/>
                <w:i/>
              </w:rPr>
              <w:t>zu einer multipolaren Weltordnung</w:t>
            </w:r>
            <w:r w:rsidRPr="005D638B">
              <w:t xml:space="preserve">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weist darauf hin, dass die EU es sich </w:t>
            </w:r>
            <w:r w:rsidRPr="005D638B">
              <w:rPr>
                <w:b/>
                <w:i/>
              </w:rPr>
              <w:t>zu einer unabhängigen Gestaltungsmacht transformieren</w:t>
            </w:r>
            <w:r w:rsidRPr="005D638B">
              <w:t xml:space="preserve"> muss;</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726</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Alexander Sell</w:t>
      </w:r>
      <w:r w:rsidRPr="004E2DEB">
        <w:rPr>
          <w:rStyle w:val="HideTWBExt"/>
          <w:b w:val="0"/>
          <w:lang w:val="en-GB"/>
        </w:rPr>
        <w:t>&lt;/Members&gt;</w:t>
      </w:r>
    </w:p>
    <w:p w:rsidR="00930C00" w:rsidRPr="00930C00" w:rsidRDefault="00930C00" w:rsidP="00930C00">
      <w:pPr>
        <w:pStyle w:val="NormalBold"/>
      </w:pPr>
      <w:r w:rsidRPr="00930C00">
        <w:rPr>
          <w:rStyle w:val="HideTWBExt"/>
          <w:b w:val="0"/>
        </w:rPr>
        <w:t>&lt;/RepeatBlock-By&gt;</w:t>
      </w:r>
    </w:p>
    <w:p w:rsidR="00930C00" w:rsidRPr="00930C00" w:rsidRDefault="00930C00" w:rsidP="00930C00">
      <w:pPr>
        <w:pStyle w:val="NormalBold"/>
      </w:pPr>
      <w:r w:rsidRPr="00930C00">
        <w:rPr>
          <w:rStyle w:val="HideTWBExt"/>
        </w:rPr>
        <w:t>&lt;DocAmend&gt;</w:t>
      </w:r>
      <w:r w:rsidRPr="00930C00">
        <w:t>Entschließungsantrag</w:t>
      </w:r>
      <w:r w:rsidRPr="00930C00">
        <w:rPr>
          <w:rStyle w:val="HideTWBExt"/>
        </w:rPr>
        <w:t>&lt;/DocAmend&gt;</w:t>
      </w:r>
    </w:p>
    <w:p w:rsidR="00930C00" w:rsidRPr="005C30ED" w:rsidRDefault="00930C00" w:rsidP="00930C00">
      <w:pPr>
        <w:pStyle w:val="NormalBold"/>
      </w:pPr>
      <w:r>
        <w:rPr>
          <w:rStyle w:val="HideTWBExt"/>
        </w:rPr>
        <w:t>&lt;Article&gt;</w:t>
      </w:r>
      <w:r>
        <w:t>Ziffer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t>
            </w:r>
            <w:r>
              <w:rPr>
                <w:b/>
                <w:i/>
              </w:rPr>
              <w:t>weist darauf hin, dass</w:t>
            </w:r>
            <w:r>
              <w:t xml:space="preserve"> die EU </w:t>
            </w:r>
            <w:r>
              <w:rPr>
                <w:b/>
                <w:i/>
              </w:rPr>
              <w:t xml:space="preserve">es sich nicht leisten kann, sich nach innen </w:t>
            </w:r>
            <w:r>
              <w:rPr>
                <w:b/>
                <w:i/>
              </w:rPr>
              <w:lastRenderedPageBreak/>
              <w:t>zu wenden, und dass sie offen bleiben und sich in der Welt engagieren muss</w:t>
            </w:r>
            <w:r>
              <w:t>;</w:t>
            </w:r>
          </w:p>
        </w:tc>
        <w:tc>
          <w:tcPr>
            <w:tcW w:w="4876" w:type="dxa"/>
            <w:tcBorders>
              <w:top w:val="nil"/>
              <w:left w:val="nil"/>
              <w:bottom w:val="nil"/>
              <w:right w:val="nil"/>
            </w:tcBorders>
          </w:tcPr>
          <w:p w:rsidR="00930C00" w:rsidRPr="005C30ED" w:rsidRDefault="00930C00" w:rsidP="00930C00">
            <w:pPr>
              <w:pStyle w:val="Normal6a"/>
            </w:pPr>
            <w:r>
              <w:lastRenderedPageBreak/>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t>
            </w:r>
            <w:r>
              <w:rPr>
                <w:b/>
                <w:i/>
              </w:rPr>
              <w:t xml:space="preserve">fordert </w:t>
            </w:r>
            <w:r>
              <w:t xml:space="preserve">die EU </w:t>
            </w:r>
            <w:r>
              <w:rPr>
                <w:b/>
                <w:i/>
              </w:rPr>
              <w:t xml:space="preserve">auf, ihr auswärtiges Engagement mit einem </w:t>
            </w:r>
            <w:r>
              <w:rPr>
                <w:b/>
                <w:i/>
              </w:rPr>
              <w:lastRenderedPageBreak/>
              <w:t>Schwerpunkt auf innerer Sicherheit und Souveränität in Einklang zu bringen und so die Beteiligung an ausländischen Konflikten zu begrenzen</w:t>
            </w:r>
            <w:r>
              <w: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727</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t>
            </w:r>
            <w:r>
              <w:rPr>
                <w:b/>
                <w:i/>
              </w:rPr>
              <w:t xml:space="preserve">weist darauf hin, dass die </w:t>
            </w:r>
            <w:r>
              <w:t>EU</w:t>
            </w:r>
            <w:r>
              <w:rPr>
                <w:b/>
                <w:i/>
              </w:rPr>
              <w:t xml:space="preserve"> es sich nicht leisten kann, sich nach innen zu wenden, und dass sie offen bleiben und sich in der Welt engagieren muss</w:t>
            </w:r>
            <w:r>
              <w:t>;</w:t>
            </w:r>
          </w:p>
        </w:tc>
        <w:tc>
          <w:tcPr>
            <w:tcW w:w="4876" w:type="dxa"/>
            <w:tcBorders>
              <w:top w:val="nil"/>
              <w:left w:val="nil"/>
              <w:bottom w:val="nil"/>
              <w:right w:val="nil"/>
            </w:tcBorders>
          </w:tcPr>
          <w:p w:rsidR="00930C00" w:rsidRPr="005C30ED" w:rsidRDefault="00930C00" w:rsidP="00930C00">
            <w:pPr>
              <w:pStyle w:val="Normal6a"/>
            </w:pPr>
            <w:r>
              <w:t>23.</w:t>
            </w:r>
            <w:r>
              <w:tab/>
              <w:t xml:space="preserve">betont in diesem Zusammenhang, dass der geopolitische Kontext, in dem die EU tätig ist, nach wie vor von radikaler Unsicherheit und einem Übergang von der Zusammenarbeit zum Konkurrenzdenken geprägt ist; stellt mit Besorgnis fest, dass alle Arten von Interaktionen als Waffe eingesetzt werden, und stellt fest, dass dieser Trend die internationale Zusammenarbeit in einer Zeit beeinträchtigt, in der weltweit ein Wandel beschleunigt werden muss, um globale Herausforderungen wirksam bewältigen zu können; </w:t>
            </w:r>
            <w:r>
              <w:rPr>
                <w:b/>
                <w:i/>
              </w:rPr>
              <w:t>erinnert an die eigenen Schritte der EU in diese Richtung und bedauert sie zutiefs</w:t>
            </w:r>
            <w:r>
              <w:t>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728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 Marco Tarquinio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23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23a.</w:t>
            </w:r>
            <w:r>
              <w:tab/>
            </w:r>
            <w:r>
              <w:rPr>
                <w:b/>
                <w:i/>
              </w:rPr>
              <w:t>fordert die Förderung umfassender Reformen des Sicherheitsrats der Vereinten Nationen und der internationalen Finanzinstitutionen, um deren Wirksamkeit, Transparenz und demokratische Vertretung zu verbessern und eine gleichberechtigte Beteiligung aller Regionen, insbesondere der unterrepräsentierten Länder des Globalen Südens, sicherzustellen; betont, dass solche Reformen von wesentlicher Bedeutung sind, um den Multilateralismus zu stärken, die Weltordnungspolitik und die wertebasierte Entscheidungsfindung zu verbessern und internationale Herausforderungen inklusiver und reaktionsfähiger anzugehen;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729</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 xml:space="preserve">weist erneut darauf hin, wie wichtig eine starke und konstruktive Partnerschaft mit dem Vereinigten Königreich ist; </w:t>
            </w:r>
            <w:r>
              <w:rPr>
                <w:b/>
                <w:i/>
              </w:rPr>
              <w:t>begrüßt die frischen Impulse der neuen Regierung des Vereinigten Königreichs, gemeinsam mit der EU über Möglichkeiten einer engeren außen- und sicherheitspolitischen Zusammenarbeit nachzudenken, die sowohl für die EU als auch für das Vereinigte Königreich von zusätzlichem Nutzen wäre; fordert, dass das Parlament gebührend in solche Überlegungen einbezogen und darüber unterrichtet wird;</w:t>
            </w:r>
          </w:p>
        </w:tc>
        <w:tc>
          <w:tcPr>
            <w:tcW w:w="4876" w:type="dxa"/>
            <w:tcBorders>
              <w:top w:val="nil"/>
              <w:left w:val="nil"/>
              <w:bottom w:val="nil"/>
              <w:right w:val="nil"/>
            </w:tcBorders>
          </w:tcPr>
          <w:p w:rsidR="00930C00" w:rsidRPr="005C30ED" w:rsidRDefault="00930C00" w:rsidP="00930C00">
            <w:pPr>
              <w:pStyle w:val="Normal6a"/>
            </w:pPr>
            <w:r>
              <w:t>24.</w:t>
            </w:r>
            <w:r>
              <w:tab/>
              <w:t>weist erneut darauf hin, wie wichtig eine starke und konstruktive Partnerschaft mit dem Vereinigten Königreich ist;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lastRenderedPageBreak/>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730</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weist erneut darauf hin, wie wichtig eine starke und konstruktive Partnerschaft mit dem Vereinigten Königreich ist; begrüßt die frischen Impulse der neuen Regierung des Vereinigten Königreichs, gemeinsam mit der EU über Möglichkeiten einer engeren außen- und sicherheitspolitischen Zusammenarbeit nachzudenken, die sowohl für die EU als auch für das Vereinigte Königreich von zusätzlichem Nutzen wäre; fordert, dass das Parlament gebührend in solche Überlegungen einbezogen und darüber unterrichtet wird;</w:t>
            </w:r>
          </w:p>
        </w:tc>
        <w:tc>
          <w:tcPr>
            <w:tcW w:w="4876" w:type="dxa"/>
            <w:tcBorders>
              <w:top w:val="nil"/>
              <w:left w:val="nil"/>
              <w:bottom w:val="nil"/>
              <w:right w:val="nil"/>
            </w:tcBorders>
          </w:tcPr>
          <w:p w:rsidR="00930C00" w:rsidRPr="005C30ED" w:rsidRDefault="00930C00" w:rsidP="00930C00">
            <w:pPr>
              <w:pStyle w:val="Normal6a"/>
            </w:pPr>
            <w:r>
              <w:t>24.</w:t>
            </w:r>
            <w:r>
              <w:tab/>
              <w:t xml:space="preserve">weist erneut darauf hin, wie wichtig eine starke und konstruktive Partnerschaft mit dem Vereinigten Königreich ist; begrüßt die frischen Impulse der neuen Regierung des Vereinigten Königreichs, gemeinsam mit der EU über Möglichkeiten einer engeren außen- und sicherheitspolitischen Zusammenarbeit nachzudenken, die sowohl für die EU als auch für das Vereinigte Königreich von zusätzlichem Nutzen wäre; </w:t>
            </w:r>
            <w:r>
              <w:rPr>
                <w:b/>
                <w:i/>
              </w:rPr>
              <w:t>fordert, Wege für eine dauerhaftere Koordinierung mit dem Vereinigten Königreich in Bezug auf die Außen- und Sicherheitspolitik und unsere gemeinsamen Interessen und kollektiven Verantwortlichkeiten in Regionen wie dem Westbalkan zu prüfen;</w:t>
            </w:r>
            <w:r>
              <w:t xml:space="preserve"> fordert, dass das Parlament gebührend in solche Überlegungen einbezogen und darüber unterrichtet wird;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731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Željana Zovko</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 xml:space="preserve">weist erneut darauf hin, wie wichtig eine starke und konstruktive Partnerschaft mit dem Vereinigten Königreich ist; begrüßt die frischen Impulse der neuen Regierung des Vereinigten Königreichs, </w:t>
            </w:r>
            <w:r>
              <w:lastRenderedPageBreak/>
              <w:t>gemeinsam mit der EU über Möglichkeiten einer engeren außen- und sicherheitspolitischen Zusammenarbeit nachzudenken, die sowohl für die EU als auch für das Vereinigte Königreich von zusätzlichem Nutzen wäre; fordert, dass das Parlament gebührend in solche Überlegungen einbezogen und darüber unterrichtet wird;</w:t>
            </w:r>
          </w:p>
        </w:tc>
        <w:tc>
          <w:tcPr>
            <w:tcW w:w="4876" w:type="dxa"/>
            <w:tcBorders>
              <w:top w:val="nil"/>
              <w:left w:val="nil"/>
              <w:bottom w:val="nil"/>
              <w:right w:val="nil"/>
            </w:tcBorders>
          </w:tcPr>
          <w:p w:rsidR="00930C00" w:rsidRPr="005C30ED" w:rsidRDefault="00930C00" w:rsidP="00930C00">
            <w:pPr>
              <w:pStyle w:val="Normal6a"/>
            </w:pPr>
            <w:r>
              <w:lastRenderedPageBreak/>
              <w:t>24.</w:t>
            </w:r>
            <w:r>
              <w:tab/>
              <w:t xml:space="preserve">weist erneut darauf hin, wie wichtig eine starke und konstruktive Partnerschaft mit dem Vereinigten Königreich ist; begrüßt die frischen Impulse der neuen Regierung des Vereinigten Königreichs, </w:t>
            </w:r>
            <w:r>
              <w:lastRenderedPageBreak/>
              <w:t xml:space="preserve">gemeinsam mit der EU über Möglichkeiten einer engeren außen- und sicherheitspolitischen Zusammenarbeit nachzudenken, die sowohl für die EU als auch für das Vereinigte Königreich von zusätzlichem Nutzen wäre; </w:t>
            </w:r>
            <w:r>
              <w:rPr>
                <w:b/>
                <w:i/>
              </w:rPr>
              <w:t>fordert in diesem Zusammenhang, den Dialog über einen ehrgeizigen „Sicherheitspakt zwischen dem Vereinigten Königreich und der EU“ zu beschleunigen, der eine große Gruppe von Bereichen von gemeinsamem Interesse abdeckt;</w:t>
            </w:r>
            <w:r>
              <w:t xml:space="preserve"> fordert, dass das Parlament gebührend in solche Überlegungen einbezogen und darüber unterrichtet wird;</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732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Adam Bielan</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weist erneut darauf hin, wie wichtig eine starke und konstruktive Partnerschaft mit dem Vereinigten Königreich ist; begrüßt die frischen Impulse der neuen Regierung des Vereinigten Königreichs, gemeinsam mit der EU über Möglichkeiten einer engeren außen- und sicherheitspolitischen Zusammenarbeit nachzudenken, die sowohl für die EU als auch für das Vereinigte Königreich von zusätzlichem Nutzen wäre; fordert, dass das Parlament gebührend in solche Überlegungen einbezogen und darüber unterrichtet wird;</w:t>
            </w:r>
          </w:p>
        </w:tc>
        <w:tc>
          <w:tcPr>
            <w:tcW w:w="4876" w:type="dxa"/>
            <w:tcBorders>
              <w:top w:val="nil"/>
              <w:left w:val="nil"/>
              <w:bottom w:val="nil"/>
              <w:right w:val="nil"/>
            </w:tcBorders>
          </w:tcPr>
          <w:p w:rsidR="00930C00" w:rsidRPr="005C30ED" w:rsidRDefault="00930C00" w:rsidP="00930C00">
            <w:pPr>
              <w:pStyle w:val="Normal6a"/>
            </w:pPr>
            <w:r>
              <w:t>24.</w:t>
            </w:r>
            <w:r>
              <w:tab/>
              <w:t>weist erneut darauf hin, wie wichtig eine starke und konstruktive Partnerschaft mit dem Vereinigten Königreich ist; begrüßt die frischen Impulse der neuen Regierung des Vereinigten Königreichs, gemeinsam mit der EU über Möglichkeiten einer engeren außen- und sicherheitspolitischen Zusammenarbeit</w:t>
            </w:r>
            <w:r>
              <w:rPr>
                <w:b/>
                <w:i/>
              </w:rPr>
              <w:t>, was mit konkreten Maßnahmen einhergehen sollte,</w:t>
            </w:r>
            <w:r>
              <w:t xml:space="preserve"> nachzudenken, die sowohl für die EU als auch für das Vereinigte Königreich von zusätzlichem Nutzen wäre; </w:t>
            </w:r>
            <w:r>
              <w:rPr>
                <w:b/>
                <w:i/>
              </w:rPr>
              <w:t>weist erneut darauf hin, dass die Mobilität junger Menschen zwischen der EU und dem Vereinigten Königreich verbessert werden muss;</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lastRenderedPageBreak/>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733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 xml:space="preserve">weist erneut darauf hin, wie wichtig eine starke und konstruktive Partnerschaft mit dem Vereinigten Königreich ist; begrüßt die frischen Impulse der neuen Regierung des Vereinigten Königreichs, gemeinsam mit der EU über Möglichkeiten einer engeren </w:t>
            </w:r>
            <w:r>
              <w:rPr>
                <w:b/>
                <w:i/>
              </w:rPr>
              <w:t xml:space="preserve">außen- und sicherheitspolitischen </w:t>
            </w:r>
            <w:r>
              <w:t>Zusammenarbeit nachzudenken, die sowohl für die EU als auch für das Vereinigte Königreich von zusätzlichem Nutzen wäre; fordert, dass das Parlament gebührend in solche Überlegungen einbezogen und darüber unterrichtet wird;</w:t>
            </w:r>
          </w:p>
        </w:tc>
        <w:tc>
          <w:tcPr>
            <w:tcW w:w="4876" w:type="dxa"/>
            <w:tcBorders>
              <w:top w:val="nil"/>
              <w:left w:val="nil"/>
              <w:bottom w:val="nil"/>
              <w:right w:val="nil"/>
            </w:tcBorders>
          </w:tcPr>
          <w:p w:rsidR="00930C00" w:rsidRPr="005C30ED" w:rsidRDefault="00930C00" w:rsidP="00930C00">
            <w:pPr>
              <w:pStyle w:val="Normal6a"/>
            </w:pPr>
            <w:r>
              <w:t>24.</w:t>
            </w:r>
            <w:r>
              <w:tab/>
              <w:t>weist erneut darauf hin, wie wichtig eine starke und konstruktive Partnerschaft mit dem Vereinigten Königreich ist; begrüßt die frischen Impulse der neuen Regierung des Vereinigten Königreichs, gemeinsam mit der EU über Möglichkeiten einer engeren Zusammenarbeit nachzudenken, die sowohl für die EU als auch für das Vereinigte Königreich von zusätzlichem Nutzen wäre; fordert, dass das Parlament gebührend in solche Überlegungen einbezogen und darüber unterrichtet wird;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734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António Tânger Corrêa</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24.</w:t>
            </w:r>
            <w:r>
              <w:tab/>
              <w:t xml:space="preserve">weist erneut darauf hin, wie wichtig eine starke und konstruktive Partnerschaft mit dem Vereinigten Königreich ist; begrüßt die </w:t>
            </w:r>
            <w:r>
              <w:rPr>
                <w:b/>
                <w:i/>
              </w:rPr>
              <w:t>frischen Impulse der neuen</w:t>
            </w:r>
            <w:r>
              <w:t xml:space="preserve"> Regierung des Vereinigten Königreichs, gemeinsam mit der EU über Möglichkeiten einer engeren außen- und sicherheitspolitischen Zusammenarbeit nachzudenken, die sowohl für die EU als auch für das Vereinigte Königreich von zusätzlichem Nutzen wäre; fordert, dass das Parlament gebührend in solche Überlegungen einbezogen und darüber </w:t>
            </w:r>
            <w:r>
              <w:lastRenderedPageBreak/>
              <w:t>unterrichtet wird;</w:t>
            </w:r>
          </w:p>
        </w:tc>
        <w:tc>
          <w:tcPr>
            <w:tcW w:w="4876" w:type="dxa"/>
            <w:tcBorders>
              <w:top w:val="nil"/>
              <w:left w:val="nil"/>
              <w:bottom w:val="nil"/>
              <w:right w:val="nil"/>
            </w:tcBorders>
          </w:tcPr>
          <w:p w:rsidR="00930C00" w:rsidRPr="005C30ED" w:rsidRDefault="00930C00" w:rsidP="00930C00">
            <w:pPr>
              <w:pStyle w:val="Normal6a"/>
            </w:pPr>
            <w:r>
              <w:lastRenderedPageBreak/>
              <w:t>24.</w:t>
            </w:r>
            <w:r>
              <w:tab/>
              <w:t xml:space="preserve">weist erneut darauf hin, wie wichtig eine starke und konstruktive Partnerschaft mit dem Vereinigten Königreich ist; begrüßt die </w:t>
            </w:r>
            <w:r>
              <w:rPr>
                <w:b/>
                <w:i/>
              </w:rPr>
              <w:t>neue</w:t>
            </w:r>
            <w:r>
              <w:t xml:space="preserve"> Regierung des Vereinigten Königreichs, gemeinsam mit der EU über Möglichkeiten einer engeren außen- und sicherheitspolitischen Zusammenarbeit nachzudenken, die sowohl für die EU als auch für das Vereinigte Königreich von zusätzlichem Nutzen wäre; fordert, dass das Parlament gebührend in solche Überlegungen </w:t>
            </w:r>
            <w:r>
              <w:lastRenderedPageBreak/>
              <w:t>einbezogen und darüber unterrichtet wird;</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735</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24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5D7C4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5D7C40" w:rsidRDefault="00930C00" w:rsidP="00930C00">
            <w:pPr>
              <w:pStyle w:val="Normal6a"/>
            </w:pPr>
            <w:r>
              <w:rPr>
                <w:b/>
                <w:i/>
              </w:rPr>
              <w:t>24a.</w:t>
            </w:r>
            <w:r>
              <w:tab/>
            </w:r>
            <w:r>
              <w:rPr>
                <w:b/>
                <w:i/>
              </w:rPr>
              <w:t>begrüßt, dass im Anschluss an das Treffen des Hohen Vertreters mit dem britischen Außenminister vereinbart wurde, strategische Konsultationen zwischen beiden Seiten zu Themen wie dem Angriffskrieg Russlands gegen die Ukraine, dem indopazifischen Raum, dem Westbalkan und hybriden Bedrohungen einzuleiten; ist der Ansicht, dass weitere Themen wie die Sicherheit des Seeverkehrs in diese strategischen Konsultationen aufgenommen werden sollten; begrüßt, dass vereinbart wurde, auf die Schaffung einer Sicherheitspartnerschaft zwischen der EU und dem Vereinigten Königreich hinzuarbeiten, um gemeinsame Herausforderungen zusammen anzugehen; hält es in Anbetracht der vorstehenden Ausführungen für angebracht, eine mögliche Überarbeitung des Handels- und Kooperationsabkommens mit dem Vereinigten Königreich zu prüfen, um ein Kapitel über die Zusammenarbeit im Bereich der Außen-, Sicherheits- und Verteidigungspolitik aufzunehmen;</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t>&lt;/Amend&gt;</w:t>
      </w:r>
    </w:p>
    <w:p w:rsidR="00930C00" w:rsidRPr="005D7C40" w:rsidRDefault="00930C00" w:rsidP="00930C00">
      <w:pPr>
        <w:pStyle w:val="AmNumberTabs"/>
      </w:pPr>
      <w:r w:rsidRPr="00291283">
        <w:rPr>
          <w:rStyle w:val="HideTWBExt"/>
        </w:rPr>
        <w:t>&lt;Amend&gt;</w:t>
      </w:r>
      <w:r>
        <w:t>Änderungsantrag</w:t>
      </w:r>
      <w:r>
        <w:tab/>
      </w:r>
      <w:r>
        <w:tab/>
      </w:r>
      <w:r w:rsidRPr="00291283">
        <w:rPr>
          <w:rStyle w:val="HideTWBExt"/>
        </w:rPr>
        <w:t>&lt;NumAm&gt;</w:t>
      </w:r>
      <w:r>
        <w:t>736</w:t>
      </w:r>
      <w:r w:rsidRPr="00291283">
        <w:rPr>
          <w:rStyle w:val="HideTWBExt"/>
        </w:rPr>
        <w:t>&lt;/NumAm&gt;</w:t>
      </w:r>
    </w:p>
    <w:p w:rsidR="00930C00" w:rsidRPr="005D7C40" w:rsidRDefault="00930C00" w:rsidP="00930C00">
      <w:pPr>
        <w:pStyle w:val="NormalBold"/>
      </w:pPr>
      <w:r w:rsidRPr="00291283">
        <w:rPr>
          <w:rStyle w:val="HideTWBExt"/>
          <w:b w:val="0"/>
        </w:rPr>
        <w:t>&lt;RepeatBlock-By&gt;&lt;Members&gt;</w:t>
      </w:r>
      <w:r>
        <w:t>Francisco José Millán Mon</w:t>
      </w:r>
      <w:r w:rsidRPr="00291283">
        <w:rPr>
          <w:rStyle w:val="HideTWBExt"/>
          <w:b w:val="0"/>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lastRenderedPageBreak/>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24 b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5D7C4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5D7C40" w:rsidRDefault="00930C00" w:rsidP="00930C00">
            <w:pPr>
              <w:pStyle w:val="Normal6a"/>
            </w:pPr>
            <w:r>
              <w:rPr>
                <w:b/>
                <w:i/>
              </w:rPr>
              <w:t>24b.</w:t>
            </w:r>
            <w:r>
              <w:tab/>
            </w:r>
            <w:r>
              <w:rPr>
                <w:b/>
                <w:i/>
              </w:rPr>
              <w:t>begrüßt die gute Abstimmung zwischen der EU und dem Vereinigten Königreich bei der Verhängung und Überwachung der Durchsetzung von Sanktionen gegen Russland;</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737</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rPr>
                <w:b/>
                <w:i/>
              </w:rPr>
              <w:t>25.</w:t>
            </w:r>
            <w:r>
              <w:tab/>
            </w:r>
            <w:r>
              <w:rPr>
                <w:b/>
                <w:i/>
              </w:rPr>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rPr>
                <w:b/>
                <w:i/>
              </w:rPr>
              <w:t>entfällt</w:t>
            </w:r>
          </w:p>
        </w:tc>
      </w:tr>
    </w:tbl>
    <w:p w:rsidR="00930C00" w:rsidRPr="005C30ED" w:rsidRDefault="00930C00" w:rsidP="00930C00">
      <w:pPr>
        <w:pStyle w:val="AmOrLang"/>
      </w:pPr>
      <w:r w:rsidRPr="005C30ED">
        <w:t xml:space="preserve">Or. </w:t>
      </w:r>
      <w:r w:rsidRPr="005C30ED">
        <w:rPr>
          <w:rStyle w:val="HideTWBExt"/>
        </w:rPr>
        <w:t>&lt;Original&gt;</w:t>
      </w:r>
      <w:r w:rsidRPr="005C30ED">
        <w:rPr>
          <w:rStyle w:val="HideTWBInt"/>
        </w:rPr>
        <w:t>{EN}</w:t>
      </w:r>
      <w:r w:rsidRPr="005C30ED">
        <w:t>en</w:t>
      </w:r>
      <w:r w:rsidRPr="005C30ED">
        <w:rPr>
          <w:rStyle w:val="HideTWBExt"/>
        </w:rPr>
        <w:t>&lt;/Original&gt;</w:t>
      </w:r>
    </w:p>
    <w:p w:rsidR="00930C00" w:rsidRPr="005C30ED" w:rsidRDefault="00930C00" w:rsidP="00930C00">
      <w:r>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738</w:t>
      </w:r>
      <w:r>
        <w:rPr>
          <w:rStyle w:val="HideTWBExt"/>
        </w:rPr>
        <w:t>&lt;/NumAm&gt;</w:t>
      </w:r>
    </w:p>
    <w:p w:rsidR="00930C00" w:rsidRPr="004E2DEB" w:rsidRDefault="00930C00" w:rsidP="00930C00">
      <w:pPr>
        <w:pStyle w:val="NormalBold"/>
        <w:rPr>
          <w:lang w:val="en-GB"/>
        </w:rPr>
      </w:pPr>
      <w:r w:rsidRPr="004E2DEB">
        <w:rPr>
          <w:rStyle w:val="HideTWBExt"/>
          <w:b w:val="0"/>
          <w:lang w:val="en-GB"/>
        </w:rPr>
        <w:lastRenderedPageBreak/>
        <w:t>&lt;RepeatBlock-By&gt;&lt;Members&gt;</w:t>
      </w:r>
      <w:r w:rsidRPr="004E2DEB">
        <w:rPr>
          <w:lang w:val="en-GB"/>
        </w:rPr>
        <w:t>Željana Zovko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w:t>
            </w:r>
            <w:r>
              <w:rPr>
                <w:b/>
                <w:i/>
              </w:rPr>
              <w:t>und auf gemeinsamen Werten, Interessen und Zielen sowie auf dem Grundsatz einer Partnerschaft auf Augenhöhe beruhen;</w:t>
            </w:r>
            <w:r>
              <w:t xml:space="preserve">; fordert die Kommission auf, engere Beziehungen zu wichtigen Partnern sowohl in den USA als auch in Kanada zu fördern, um globalen Herausforderungen zu begegnen, die unsere gemeinsamen Werte, unsere Interessen, unsere Sicherheit und unseren Wohlstand beeinträchtigen; </w:t>
            </w:r>
            <w:r>
              <w:rPr>
                <w:b/>
                <w:i/>
              </w:rPr>
              <w:t>unterstützt voll und ganz eine Vertiefung der Zusammenarbeit im Rahmen des transatlantischen Dialogs zwischen der EU und den USA, etwa durch transatlantische parlamentarische Diplomatie; fordert eine stärkere transatlantische Zusammenarbeit im Bereich des Handels und zur Bewältigung der Herausforderungen, die aufgrund des raschen technologischen Wandels und der wachsenden Cyberbedrohungen entstehen; begrüßt in diesem Zusammenhang die Arbeit des Transatlantischen Handels- und Technologierats;</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lastRenderedPageBreak/>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739</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25</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25.</w:t>
            </w:r>
            <w:r w:rsidRPr="005D638B">
              <w:tab/>
            </w:r>
            <w:r w:rsidRPr="005D638B">
              <w:rPr>
                <w:b/>
                <w:i/>
              </w:rPr>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w:t>
            </w:r>
            <w:r w:rsidRPr="005D638B">
              <w:t xml:space="preserve"> betont, dass </w:t>
            </w:r>
            <w:r w:rsidRPr="005D638B">
              <w:rPr>
                <w:b/>
                <w:i/>
              </w:rPr>
              <w:t>starke</w:t>
            </w:r>
            <w:r w:rsidRPr="005D638B">
              <w:t xml:space="preserve"> transatlantische Beziehungen für die Sicherheit der </w:t>
            </w:r>
            <w:r w:rsidRPr="005D638B">
              <w:rPr>
                <w:b/>
                <w:i/>
              </w:rPr>
              <w:t>Partner auf beiden Seiten des Atlantiks</w:t>
            </w:r>
            <w:r w:rsidRPr="005D638B">
              <w:t xml:space="preserve"> nach wie vor unerlässlich sind</w:t>
            </w:r>
            <w:r w:rsidRPr="005D638B">
              <w:rPr>
                <w:b/>
                <w:i/>
              </w:rPr>
              <w:t>; fordert die Kommission auf, engere Beziehungen zu wichtigen Partnern sowohl in den USA als auch in Kanada zu fördern, um globalen Herausforderungen zu begegnen, die unsere gemeinsamen Werte, unsere Interessen, unsere Sicherheit und unseren Wohlstand beeinträchtigen</w:t>
            </w:r>
            <w:r w:rsidRPr="005D638B">
              <w:t>;</w:t>
            </w:r>
          </w:p>
        </w:tc>
        <w:tc>
          <w:tcPr>
            <w:tcW w:w="4876" w:type="dxa"/>
            <w:tcBorders>
              <w:top w:val="nil"/>
              <w:left w:val="nil"/>
              <w:bottom w:val="nil"/>
              <w:right w:val="nil"/>
            </w:tcBorders>
          </w:tcPr>
          <w:p w:rsidR="00930C00" w:rsidRPr="005D638B" w:rsidRDefault="00930C00" w:rsidP="00930C00">
            <w:pPr>
              <w:pStyle w:val="Normal6a"/>
            </w:pPr>
            <w:r w:rsidRPr="005D638B">
              <w:t>25.</w:t>
            </w:r>
            <w:r w:rsidRPr="005D638B">
              <w:tab/>
              <w:t xml:space="preserve">betont, dass </w:t>
            </w:r>
            <w:r w:rsidRPr="005D638B">
              <w:rPr>
                <w:b/>
                <w:i/>
              </w:rPr>
              <w:t>derzeitige</w:t>
            </w:r>
            <w:r w:rsidRPr="005D638B">
              <w:t xml:space="preserve"> transatlantische Beziehungen für die Sicherheit der </w:t>
            </w:r>
            <w:r w:rsidRPr="005D638B">
              <w:rPr>
                <w:b/>
                <w:i/>
              </w:rPr>
              <w:t>EU</w:t>
            </w:r>
            <w:r w:rsidRPr="005D638B">
              <w:t xml:space="preserve"> nach wie vor unerlässlich sind</w:t>
            </w:r>
            <w:r w:rsidRPr="005D638B">
              <w:rPr>
                <w:b/>
                <w:i/>
              </w:rPr>
              <w:t>, solange die EU die eigenständige Fähigkeit zur eigenen Verteidigung nicht vollständig erlangt hat</w:t>
            </w:r>
            <w:r w:rsidRPr="005D638B">
              <w:t>;</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740</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Urmas Paet, Hilde Vautmans, Lucia Yar, Petras Auštrevičius</w:t>
      </w:r>
      <w:r w:rsidRPr="00930C00">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w:t>
            </w:r>
            <w:r>
              <w:lastRenderedPageBreak/>
              <w:t>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lastRenderedPageBreak/>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w:t>
            </w:r>
            <w:r>
              <w:lastRenderedPageBreak/>
              <w:t xml:space="preserve">gezeigt hat, hervorgehoben wurde; </w:t>
            </w:r>
            <w:r>
              <w:rPr>
                <w:b/>
                <w:i/>
              </w:rPr>
              <w:t xml:space="preserve">nimmt das Ergebnis der Präsidentschafts- und Kongresswahlen in den Vereinigten Staaten zur Kenntnis, die erneut bestätigen, dass es dringend notwendig ist, die strategische Autonomie der EU vollständig umzusetzen und sie in allen Politikbereichen durchgängig zu berücksichtigen; </w:t>
            </w:r>
            <w:r>
              <w:t xml:space="preserve">betont </w:t>
            </w:r>
            <w:r>
              <w:rPr>
                <w:b/>
                <w:i/>
              </w:rPr>
              <w:t>weiter</w:t>
            </w:r>
            <w:r>
              <w:t xml:space="preserve">,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 </w:t>
            </w:r>
            <w:r>
              <w:rPr>
                <w:b/>
                <w:i/>
              </w:rPr>
              <w:t>weist darauf hin, dass eine solche Zusammenarbeit in keiner Weise im Widerspruch zum Aufbau einer starken europäischen Verteidigungsunion steht;</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741</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Costas Mavrides,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w:t>
            </w:r>
            <w:r>
              <w:lastRenderedPageBreak/>
              <w:t>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lastRenderedPageBreak/>
              <w:t>25.</w:t>
            </w:r>
            <w:r>
              <w:tab/>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w:t>
            </w:r>
            <w:r>
              <w:rPr>
                <w:b/>
                <w:i/>
              </w:rPr>
              <w:t xml:space="preserve"> und zwar auf der </w:t>
            </w:r>
            <w:r>
              <w:rPr>
                <w:b/>
                <w:i/>
              </w:rPr>
              <w:lastRenderedPageBreak/>
              <w:t>Grundlage der Grundsätze der Inklusivität, der Gegenseitigkeit, der gegenseitigen Offenheit und der Transparenz, im Einklang mit der Beschlussfassungsautonomie und den Verfahren unserer jeweiligen Organisationen und unbeschadet des besonderen Charakters der Außen- und Sicherheitspolitik aller unserer Mitglieder</w:t>
            </w:r>
            <w:r>
              <w:t>; fordert die Kommission auf, engere Beziehungen zu wichtigen Partnern sowohl in den USA als auch in Kanada zu fördern, um globalen Herausforderungen zu begegnen, die unsere gemeinsamen Werte, unsere Interessen, unsere Sicherheit und unseren Wohlstand beeinträchtigen;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742</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David McAllister</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 </w:t>
            </w:r>
            <w:r>
              <w:rPr>
                <w:b/>
                <w:i/>
              </w:rPr>
              <w:t xml:space="preserve">bekräftigt </w:t>
            </w:r>
            <w:r>
              <w:rPr>
                <w:b/>
                <w:i/>
              </w:rPr>
              <w:lastRenderedPageBreak/>
              <w:t>unabhängig davon die Notwendigkeit, dass die Mitgliedstaaten kollektive und gut koordinierte Investitionen in ihre Sicherheit und Verteidigung tätigen, mit dem Ziel, eine echte Europäische Verteidigungsunion zu schaffen, die mit dem NATO-Bündnis interoperabel ist und dieses ergänzt und bei Bedarf unabhängig handeln kann;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Marc Botenga, Rima Hassan</w:t>
      </w:r>
      <w:r w:rsidRPr="004E2DEB">
        <w:rPr>
          <w:rStyle w:val="HideTWBExt"/>
          <w:b w:val="0"/>
          <w:lang w:val="en-GB"/>
        </w:rPr>
        <w:t>&lt;/Members&gt;</w:t>
      </w:r>
    </w:p>
    <w:p w:rsidR="00930C00" w:rsidRPr="004E2DEB" w:rsidRDefault="00930C00" w:rsidP="00930C00">
      <w:pPr>
        <w:rPr>
          <w:lang w:val="en-GB"/>
        </w:rPr>
      </w:pPr>
      <w:r w:rsidRPr="004E2DEB">
        <w:rPr>
          <w:rStyle w:val="HideTWBExt"/>
          <w:lang w:val="en-GB"/>
        </w:rPr>
        <w:t>&lt;AuNomDe&gt;</w:t>
      </w:r>
      <w:r w:rsidRPr="004E2DEB">
        <w:rPr>
          <w:rStyle w:val="HideTWBInt"/>
          <w:lang w:val="en-GB"/>
        </w:rPr>
        <w:t>{The Left}</w:t>
      </w:r>
      <w:r>
        <w:rPr>
          <w:lang w:val="en-GB"/>
        </w:rPr>
        <w:t>im Namen der Fraktion The Left</w:t>
      </w:r>
      <w:r w:rsidRPr="004E2DEB">
        <w:rPr>
          <w:rStyle w:val="HideTWBExt"/>
          <w:lang w:val="en-GB"/>
        </w:rPr>
        <w:t>&lt;/AuNomDe&gt;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w:t>
            </w:r>
            <w:r>
              <w:rPr>
                <w:b/>
                <w:i/>
              </w:rPr>
              <w:t>starke transatlantische Beziehungen</w:t>
            </w:r>
            <w:r>
              <w:t xml:space="preserve"> für die Sicherheit </w:t>
            </w:r>
            <w:r>
              <w:rPr>
                <w:b/>
                <w:i/>
              </w:rPr>
              <w:t>der Partner auf beiden Seiten des Atlantiks</w:t>
            </w:r>
            <w:r>
              <w:t xml:space="preserve"> nach wie vor unerlässlich sind; </w:t>
            </w:r>
            <w:r>
              <w:rPr>
                <w:b/>
                <w:i/>
              </w:rPr>
              <w:t>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w:t>
            </w:r>
            <w:r>
              <w:rPr>
                <w:b/>
                <w:i/>
              </w:rPr>
              <w:t>Diplomatie und die Achtung des Völkerrechts und der Grundsätze der Charta der Vereinten Nationen</w:t>
            </w:r>
            <w:r>
              <w:t xml:space="preserve"> für die </w:t>
            </w:r>
            <w:r>
              <w:rPr>
                <w:b/>
                <w:i/>
              </w:rPr>
              <w:t>globale</w:t>
            </w:r>
            <w:r>
              <w:t xml:space="preserve"> Sicherheit nach wie vor unerlässlich sind;</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744</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lastRenderedPageBreak/>
        <w:t>&lt;RepeatBlock-By&gt;&lt;Members&gt;</w:t>
      </w:r>
      <w:r w:rsidRPr="004E2DEB">
        <w:rPr>
          <w:lang w:val="en-GB"/>
        </w:rPr>
        <w:t>António Tânger Corrêa</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t>25.</w:t>
            </w:r>
            <w:r>
              <w:tab/>
              <w:t>weist darauf hin, dass die transatlantischen Beziehungen nach wie vor die wichtigsten strategischen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w:t>
            </w:r>
            <w:r>
              <w:rPr>
                <w:b/>
                <w:i/>
              </w:rPr>
              <w:t>, wobei der NATO eine Schlüsselrolle zukommt</w:t>
            </w:r>
            <w:r>
              <w:t>; fordert die Kommission auf, engere Beziehungen zu wichtigen Partnern sowohl in den USA als auch in Kanada zu fördern, um globalen Herausforderungen zu begegnen, die unsere gemeinsamen Werte, unsere Interessen, unsere Sicherheit und unseren Wohlstand beeinträchtigen;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Nacho Sánchez Amor, Sven Mikser, Alessandra Moretti,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25.</w:t>
            </w:r>
            <w:r>
              <w:tab/>
              <w:t xml:space="preserve">weist darauf hin, dass die transatlantischen Beziehungen nach wie vor </w:t>
            </w:r>
            <w:r>
              <w:rPr>
                <w:b/>
                <w:i/>
              </w:rPr>
              <w:t xml:space="preserve">die </w:t>
            </w:r>
            <w:r>
              <w:t xml:space="preserve">wichtigsten strategischen Beziehungen für die EU und ihre Mitgliedstaaten sind, was durch die Einheit und Stärke der Partnerschaft, die sich nach dem Überfall Russlands auf die Ukraine gezeigt hat, hervorgehoben wurde; betont, </w:t>
            </w:r>
            <w:r>
              <w:lastRenderedPageBreak/>
              <w:t>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5C30ED" w:rsidRDefault="00930C00" w:rsidP="00930C00">
            <w:pPr>
              <w:pStyle w:val="Normal6a"/>
            </w:pPr>
            <w:r>
              <w:lastRenderedPageBreak/>
              <w:t>25.</w:t>
            </w:r>
            <w:r>
              <w:tab/>
              <w:t xml:space="preserve">weist darauf hin, dass die transatlantischen Beziehungen nach wie vor </w:t>
            </w:r>
            <w:r>
              <w:rPr>
                <w:b/>
                <w:i/>
              </w:rPr>
              <w:t>eine der</w:t>
            </w:r>
            <w:r>
              <w:t xml:space="preserve"> wichtigsten strategischen Beziehungen für die EU und ihre Mitgliedstaaten sind, was durch die Einheit und Stärke der Partnerschaft, die sich nach dem Überfall Russlands auf die Ukraine gezeigt hat, hervorgehoben wurde; betont, </w:t>
            </w:r>
            <w:r>
              <w:lastRenderedPageBreak/>
              <w:t>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746</w:t>
      </w:r>
      <w:r w:rsidRPr="00930C00">
        <w:rPr>
          <w:rStyle w:val="HideTWBExt"/>
          <w:lang w:val="en-GB"/>
        </w:rPr>
        <w:t>&lt;/NumAm&gt;</w:t>
      </w:r>
    </w:p>
    <w:p w:rsidR="00930C00" w:rsidRPr="00960FD7" w:rsidRDefault="00930C00" w:rsidP="00930C00">
      <w:pPr>
        <w:pStyle w:val="NormalBold"/>
        <w:rPr>
          <w:lang w:val="en-GB"/>
        </w:rPr>
      </w:pPr>
      <w:r>
        <w:rPr>
          <w:rStyle w:val="HideTWBExt"/>
          <w:b w:val="0"/>
          <w:lang w:val="en-GB"/>
        </w:rPr>
        <w:t>&lt;RepeatBlock-By&gt;&lt;Members&gt;</w:t>
      </w:r>
      <w:r w:rsidRPr="00960FD7">
        <w:rPr>
          <w:lang w:val="en-GB"/>
        </w:rPr>
        <w:t>Jordan Bardella, Pierre-Romain Thionnet, Matthieu Valet</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46233" w:rsidRDefault="00930C00" w:rsidP="00930C00">
      <w:pPr>
        <w:pStyle w:val="NormalBold"/>
      </w:pPr>
      <w:r w:rsidRPr="00960FD7">
        <w:rPr>
          <w:rStyle w:val="HideTWBExt"/>
        </w:rPr>
        <w:t>&lt;DocAmend&gt;</w:t>
      </w:r>
      <w:r>
        <w:t>Entschließungsantrag</w:t>
      </w:r>
      <w:r w:rsidRPr="00960FD7">
        <w:rPr>
          <w:rStyle w:val="HideTWBExt"/>
        </w:rPr>
        <w:t>&lt;/DocAmend&gt;</w:t>
      </w:r>
    </w:p>
    <w:p w:rsidR="00930C00" w:rsidRPr="005D638B" w:rsidRDefault="00930C00" w:rsidP="00930C00">
      <w:pPr>
        <w:pStyle w:val="NormalBold"/>
      </w:pPr>
      <w:r>
        <w:rPr>
          <w:rStyle w:val="HideTWBExt"/>
        </w:rPr>
        <w:t>&lt;Article&gt;</w:t>
      </w:r>
      <w:r>
        <w:t>Ziffer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46233" w:rsidRDefault="00930C00" w:rsidP="00930C00">
            <w:pPr>
              <w:pStyle w:val="Normal6a"/>
            </w:pPr>
            <w:r>
              <w:t>25.</w:t>
            </w:r>
            <w:r>
              <w:tab/>
              <w:t xml:space="preserve">weist darauf hin, dass die transatlantischen Beziehungen nach wie vor </w:t>
            </w:r>
            <w:r>
              <w:rPr>
                <w:b/>
                <w:i/>
              </w:rPr>
              <w:t>die wichtigsten strategischen</w:t>
            </w:r>
            <w:r>
              <w:t xml:space="preserve">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c>
          <w:tcPr>
            <w:tcW w:w="4876" w:type="dxa"/>
            <w:tcBorders>
              <w:top w:val="nil"/>
              <w:left w:val="nil"/>
              <w:bottom w:val="nil"/>
              <w:right w:val="nil"/>
            </w:tcBorders>
          </w:tcPr>
          <w:p w:rsidR="00930C00" w:rsidRPr="00746233" w:rsidRDefault="00930C00" w:rsidP="00930C00">
            <w:pPr>
              <w:pStyle w:val="Normal6a"/>
            </w:pPr>
            <w:r>
              <w:t>25.</w:t>
            </w:r>
            <w:r>
              <w:tab/>
              <w:t xml:space="preserve">weist darauf hin, dass die transatlantischen Beziehungen nach wie vor </w:t>
            </w:r>
            <w:r>
              <w:rPr>
                <w:b/>
                <w:i/>
              </w:rPr>
              <w:t>strategische</w:t>
            </w:r>
            <w:r>
              <w:t xml:space="preserve"> Beziehungen für die EU und ihre Mitgliedstaaten sind, was durch die Einheit und Stärke der Partnerschaft, die sich nach dem Überfall Russlands auf die Ukraine gezeigt hat, hervorgehoben wurde; betont, dass starke transatlantische Beziehungen für die Sicherheit der Partner auf beiden Seiten des Atlantiks nach wie vor unerlässlich sind; fordert die Kommission auf, engere Beziehungen zu wichtigen Partnern sowohl in den USA als auch in Kanada zu fördern, um globalen Herausforderungen zu begegnen, die unsere gemeinsamen Werte, unsere Interessen, unsere Sicherheit und unseren Wohlstand beeinträchtigen;</w:t>
            </w:r>
          </w:p>
        </w:tc>
      </w:tr>
    </w:tbl>
    <w:p w:rsidR="00930C00" w:rsidRPr="00746233" w:rsidRDefault="00930C00" w:rsidP="00930C00">
      <w:pPr>
        <w:pStyle w:val="AmOrLang"/>
        <w:rPr>
          <w:lang w:val="en-GB"/>
        </w:rPr>
      </w:pPr>
      <w:r w:rsidRPr="00746233">
        <w:rPr>
          <w:lang w:val="en-GB"/>
        </w:rPr>
        <w:t xml:space="preserve">Or. </w:t>
      </w:r>
      <w:r w:rsidRPr="00746233">
        <w:rPr>
          <w:rStyle w:val="HideTWBExt"/>
          <w:lang w:val="en-GB"/>
        </w:rPr>
        <w:t>&lt;Original&gt;</w:t>
      </w:r>
      <w:r w:rsidRPr="00746233">
        <w:rPr>
          <w:rStyle w:val="HideTWBInt"/>
          <w:lang w:val="en-GB"/>
        </w:rPr>
        <w:t>{FR}</w:t>
      </w:r>
      <w:r w:rsidRPr="00746233">
        <w:rPr>
          <w:lang w:val="en-GB"/>
        </w:rPr>
        <w:t>fr</w:t>
      </w:r>
      <w:r w:rsidRPr="00746233">
        <w:rPr>
          <w:rStyle w:val="HideTWBExt"/>
          <w:lang w:val="en-GB"/>
        </w:rPr>
        <w:t>&lt;/Original&gt;</w:t>
      </w:r>
    </w:p>
    <w:p w:rsidR="00930C00" w:rsidRPr="00960FD7" w:rsidRDefault="00930C00" w:rsidP="00930C00">
      <w:pPr>
        <w:rPr>
          <w:lang w:val="en-GB"/>
        </w:rPr>
      </w:pPr>
      <w:r>
        <w:rPr>
          <w:rStyle w:val="HideTWBExt"/>
          <w:lang w:val="en-GB"/>
        </w:rPr>
        <w:t>&lt;/Amend&gt;</w:t>
      </w:r>
    </w:p>
    <w:p w:rsidR="00930C00" w:rsidRPr="00930C00" w:rsidRDefault="00930C00" w:rsidP="00930C00">
      <w:pPr>
        <w:pStyle w:val="AmNumberTabs"/>
        <w:rPr>
          <w:lang w:val="en-GB"/>
        </w:rPr>
      </w:pPr>
      <w:r w:rsidRPr="00930C00">
        <w:rPr>
          <w:rStyle w:val="HideTWBExt"/>
          <w:lang w:val="en-GB"/>
        </w:rPr>
        <w:lastRenderedPageBreak/>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747</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25 a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5D7C4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5D7C40" w:rsidRDefault="00930C00" w:rsidP="00930C00">
            <w:pPr>
              <w:pStyle w:val="Normal6a"/>
            </w:pPr>
            <w:r>
              <w:rPr>
                <w:b/>
                <w:i/>
              </w:rPr>
              <w:t>25a.</w:t>
            </w:r>
            <w:r>
              <w:tab/>
            </w:r>
            <w:r>
              <w:rPr>
                <w:b/>
                <w:i/>
              </w:rPr>
              <w:t>unterstreicht, dass die USA der wichtigste Verbündete der EU sind; bekräftigt seine Forderung, dass die Gipfeltreffen zwischen der EU und den USA wieder regelmäßig und mindestens einmal jährlich abgehalten werden, damit der unentbehrlichen transatlantischen Zusammenarbeit dauerhaft Impulse auf höchster Ebene verliehen werden; bekräftigt seine Unterstützung für die Einrichtung eines transatlantischen politischen Rates, der von außenpolitischen Entscheidungsträgern beider Seiten geleitet wird und als Forum für einen regelmäßigen und effizienten institutionalisierten Dialog über Außen- und Sicherheitspolitik zwischen der EU und den USA dient;</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748</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Željana Zovko</w:t>
      </w:r>
      <w:r w:rsidRPr="00930C00">
        <w:rPr>
          <w:rStyle w:val="HideTWBExt"/>
          <w:b w:val="0"/>
        </w:rPr>
        <w:t>&lt;/Members&gt;</w:t>
      </w:r>
    </w:p>
    <w:p w:rsidR="00930C00" w:rsidRPr="00930C00" w:rsidRDefault="00930C00" w:rsidP="00930C00">
      <w:pPr>
        <w:pStyle w:val="NormalBold"/>
      </w:pPr>
      <w:r w:rsidRPr="00930C00">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rPr>
          <w:lang w:val="fr-FR"/>
        </w:rPr>
      </w:pPr>
      <w:r w:rsidRPr="00930C00">
        <w:rPr>
          <w:rStyle w:val="HideTWBExt"/>
          <w:lang w:val="fr-FR"/>
        </w:rPr>
        <w:t>&lt;Article&gt;</w:t>
      </w:r>
      <w:r w:rsidRPr="00930C00">
        <w:rPr>
          <w:lang w:val="fr-FR"/>
        </w:rPr>
        <w:t>Ziffer 25 a (neu)</w:t>
      </w:r>
      <w:r w:rsidRPr="00930C00">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25a.</w:t>
            </w:r>
            <w:r>
              <w:tab/>
            </w:r>
            <w:r>
              <w:rPr>
                <w:b/>
                <w:i/>
              </w:rPr>
              <w:t xml:space="preserve">unterstreicht die Bedeutung einer raschen und leistungsorientierten europäischen Integration der westlichen Balkanstaaten; verweist auf die strategische Bedeutung des westlichen Balkans im heutigen geopolitischen Kontext sowie für die Sicherheit und Stabilität der Europäischen Union als Ganzes; bekräftigt die Notwendigkeit einer stärkeren europäischen Präsenz und </w:t>
            </w:r>
            <w:r>
              <w:rPr>
                <w:b/>
                <w:i/>
              </w:rPr>
              <w:lastRenderedPageBreak/>
              <w:t>Sichtbarkeit in der Region, um ausländische bösartige Einflüsse und deren hybride Aktivitäten abzuwehren;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749</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Vasile Dîncu</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25 a (neu)</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25a.</w:t>
            </w:r>
            <w:r>
              <w:tab/>
            </w:r>
            <w:r>
              <w:rPr>
                <w:b/>
                <w:i/>
              </w:rPr>
              <w:t>fordert zunehmende gemeinsame Cyberabwehrübungen zwischen der EU und der NATO, um die Interoperabilität und die Bereitschaft zur Abwehr hybrider Bedrohungen zu verbessern; fordert die Entwicklung gemeinsamer Schulungsprogramme in den Bereichen Cyberabwehr, Informationskriegsführung und strategische Kommunikation für das Personal der EU und der NATO, um deren Fähigkeit zur Erkennung, Analyse und Abwehr hybrider Bedrohungen zu verbessern;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750</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291283" w:rsidRDefault="00930C00" w:rsidP="00930C00">
      <w:pPr>
        <w:pStyle w:val="NormalBold"/>
        <w:rPr>
          <w:lang w:val="fr-FR"/>
        </w:rPr>
      </w:pPr>
      <w:r>
        <w:rPr>
          <w:rStyle w:val="HideTWBExt"/>
          <w:lang w:val="fr-FR"/>
        </w:rPr>
        <w:t>&lt;Article&gt;</w:t>
      </w:r>
      <w:r w:rsidRPr="00291283">
        <w:rPr>
          <w:lang w:val="fr-FR"/>
        </w:rPr>
        <w:t>Ziffer 25 b (neu)</w:t>
      </w:r>
      <w:r>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5D7C40"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5D7C40" w:rsidRDefault="00930C00" w:rsidP="00930C00">
            <w:pPr>
              <w:pStyle w:val="Normal6a"/>
            </w:pPr>
            <w:r>
              <w:rPr>
                <w:b/>
                <w:i/>
              </w:rPr>
              <w:t>25b.</w:t>
            </w:r>
            <w:r>
              <w:tab/>
            </w:r>
            <w:r>
              <w:rPr>
                <w:b/>
                <w:i/>
              </w:rPr>
              <w:t xml:space="preserve">bedauert, dass noch kein Abkommen über kritische Mineralien zwischen der EU und den USA erzielt wurde, um die diskriminierende Wirkung des Gesetzes zur Verringerung der Inflation für saubere europäische </w:t>
            </w:r>
            <w:r>
              <w:rPr>
                <w:b/>
                <w:i/>
              </w:rPr>
              <w:lastRenderedPageBreak/>
              <w:t>Fahrzeuge zu korrigieren;</w:t>
            </w:r>
          </w:p>
        </w:tc>
      </w:tr>
    </w:tbl>
    <w:p w:rsidR="00930C00" w:rsidRPr="00291283" w:rsidRDefault="00930C00" w:rsidP="00930C00">
      <w:pPr>
        <w:pStyle w:val="AmOrLang"/>
      </w:pPr>
      <w:r w:rsidRPr="00291283">
        <w:lastRenderedPageBreak/>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t>&lt;/Amend&gt;</w:t>
      </w:r>
    </w:p>
    <w:p w:rsidR="00930C00" w:rsidRPr="007A53B2" w:rsidRDefault="00930C00" w:rsidP="00930C00">
      <w:pPr>
        <w:pStyle w:val="AmNumberTabs"/>
      </w:pPr>
      <w:r w:rsidRPr="0007238A">
        <w:rPr>
          <w:rStyle w:val="HideTWBExt"/>
        </w:rPr>
        <w:t>&lt;Amend&gt;</w:t>
      </w:r>
      <w:r>
        <w:t>Änderungsantrag</w:t>
      </w:r>
      <w:r>
        <w:tab/>
      </w:r>
      <w:r>
        <w:tab/>
      </w:r>
      <w:r w:rsidRPr="0007238A">
        <w:rPr>
          <w:rStyle w:val="HideTWBExt"/>
        </w:rPr>
        <w:t>&lt;NumAm&gt;</w:t>
      </w:r>
      <w:r>
        <w:t>751</w:t>
      </w:r>
      <w:r w:rsidRPr="0007238A">
        <w:rPr>
          <w:rStyle w:val="HideTWBExt"/>
        </w:rPr>
        <w:t>&lt;/NumAm&gt;</w:t>
      </w:r>
    </w:p>
    <w:p w:rsidR="00930C00" w:rsidRPr="00930C00" w:rsidRDefault="00930C00" w:rsidP="00930C00">
      <w:pPr>
        <w:pStyle w:val="NormalBold"/>
      </w:pPr>
      <w:r w:rsidRPr="00930C00">
        <w:rPr>
          <w:rStyle w:val="HideTWBExt"/>
          <w:b w:val="0"/>
        </w:rPr>
        <w:t>&lt;RepeatBlock-By&gt;&lt;Members&gt;</w:t>
      </w:r>
      <w:r w:rsidRPr="00930C00">
        <w:t>Sebastian Tynkkynen</w:t>
      </w:r>
      <w:r w:rsidRPr="00930C00">
        <w:rPr>
          <w:rStyle w:val="HideTWBExt"/>
          <w:b w:val="0"/>
        </w:rPr>
        <w:t>&lt;/Members&gt;</w:t>
      </w:r>
    </w:p>
    <w:p w:rsidR="00930C00" w:rsidRPr="007A53B2" w:rsidRDefault="00930C00" w:rsidP="00930C00">
      <w:pPr>
        <w:pStyle w:val="NormalBold"/>
      </w:pPr>
      <w:r w:rsidRPr="0007238A">
        <w:rPr>
          <w:rStyle w:val="HideTWBExt"/>
          <w:b w:val="0"/>
        </w:rPr>
        <w:t>&lt;/RepeatBlock-By&gt;</w:t>
      </w:r>
    </w:p>
    <w:p w:rsidR="00930C00" w:rsidRPr="007A53B2" w:rsidRDefault="00930C00" w:rsidP="00930C00">
      <w:pPr>
        <w:pStyle w:val="NormalBold"/>
      </w:pPr>
      <w:r w:rsidRPr="0007238A">
        <w:rPr>
          <w:rStyle w:val="HideTWBExt"/>
        </w:rPr>
        <w:t>&lt;DocAmend&gt;</w:t>
      </w:r>
      <w:r>
        <w:t>Entschließungsantrag</w:t>
      </w:r>
      <w:r w:rsidRPr="0007238A">
        <w:rPr>
          <w:rStyle w:val="HideTWBExt"/>
        </w:rPr>
        <w:t>&lt;/DocAmend&gt;</w:t>
      </w:r>
    </w:p>
    <w:p w:rsidR="00930C00" w:rsidRPr="005D638B" w:rsidRDefault="00930C00" w:rsidP="00930C00">
      <w:pPr>
        <w:pStyle w:val="NormalBold"/>
      </w:pPr>
      <w:r>
        <w:rPr>
          <w:rStyle w:val="HideTWBExt"/>
        </w:rPr>
        <w:t>&lt;Article&gt;</w:t>
      </w:r>
      <w:r>
        <w:t>Ziffer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7A53B2" w:rsidRDefault="00930C00" w:rsidP="00930C00">
            <w:pPr>
              <w:pStyle w:val="Normal6a"/>
            </w:pPr>
            <w:r>
              <w:t>26.</w:t>
            </w:r>
            <w:r>
              <w:tab/>
              <w:t xml:space="preserve">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 </w:t>
            </w:r>
            <w:r>
              <w:rPr>
                <w:b/>
                <w:i/>
              </w:rPr>
              <w:t>fordert eine rasche Unterzeichnung des Assoziierungsabkommens</w:t>
            </w:r>
            <w:r>
              <w:t xml:space="preserve"> zwischen der EU und Andorra und San Marino;</w:t>
            </w:r>
          </w:p>
        </w:tc>
        <w:tc>
          <w:tcPr>
            <w:tcW w:w="4876" w:type="dxa"/>
            <w:tcBorders>
              <w:top w:val="nil"/>
              <w:left w:val="nil"/>
              <w:bottom w:val="nil"/>
              <w:right w:val="nil"/>
            </w:tcBorders>
          </w:tcPr>
          <w:p w:rsidR="00930C00" w:rsidRPr="007A53B2" w:rsidRDefault="00930C00" w:rsidP="00930C00">
            <w:pPr>
              <w:pStyle w:val="Normal6a"/>
            </w:pPr>
            <w:r>
              <w:t>26.</w:t>
            </w:r>
            <w:r>
              <w:tab/>
              <w:t xml:space="preserve">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 </w:t>
            </w:r>
            <w:r>
              <w:rPr>
                <w:b/>
                <w:i/>
              </w:rPr>
              <w:t>hält es für wünschenswert, dass ein Assoziierungsabkommen</w:t>
            </w:r>
            <w:r>
              <w:t xml:space="preserve"> zwischen der EU und Andorra und San Marino</w:t>
            </w:r>
            <w:r>
              <w:rPr>
                <w:b/>
                <w:i/>
              </w:rPr>
              <w:t xml:space="preserve"> unterzeichnet wird;</w:t>
            </w:r>
            <w:r>
              <w:t xml:space="preserve"> </w:t>
            </w:r>
            <w:r>
              <w:rPr>
                <w:b/>
                <w:i/>
              </w:rPr>
              <w:t>erinnert daran, dass die europäischen Finanzaufsichtsbehörden im August 2023 vor möglichen Geldwäscherisiken und einer laxen Aufsicht in Monaco, Andorra und San Marino gewarnt haben; weist darauf hin, dass die Handelsverhandlungen der EU mit Monaco nach dieser Warnung ausgesetzt wurden;</w:t>
            </w:r>
          </w:p>
        </w:tc>
      </w:tr>
    </w:tbl>
    <w:p w:rsidR="00930C00" w:rsidRPr="0007238A" w:rsidRDefault="00930C00" w:rsidP="00930C00">
      <w:pPr>
        <w:pStyle w:val="AmOrLang"/>
      </w:pPr>
      <w:r w:rsidRPr="0007238A">
        <w:t xml:space="preserve">Or. </w:t>
      </w:r>
      <w:r w:rsidRPr="0007238A">
        <w:rPr>
          <w:rStyle w:val="HideTWBExt"/>
        </w:rPr>
        <w:t>&lt;Original&gt;</w:t>
      </w:r>
      <w:r w:rsidRPr="0007238A">
        <w:rPr>
          <w:rStyle w:val="HideTWBInt"/>
        </w:rPr>
        <w:t>{FI}</w:t>
      </w:r>
      <w:r w:rsidRPr="0007238A">
        <w:t>fi</w:t>
      </w:r>
      <w:r w:rsidRPr="0007238A">
        <w:rPr>
          <w:rStyle w:val="HideTWBExt"/>
        </w:rPr>
        <w:t>&lt;/Original&gt;</w:t>
      </w:r>
    </w:p>
    <w:p w:rsidR="00930C00" w:rsidRPr="007A53B2" w:rsidRDefault="00930C00" w:rsidP="00930C00">
      <w:r w:rsidRPr="0007238A">
        <w:rPr>
          <w:rStyle w:val="HideTWBExt"/>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752</w:t>
      </w:r>
      <w:r>
        <w:rPr>
          <w:rStyle w:val="HideTWBExt"/>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Michael von der Schulenburg</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lastRenderedPageBreak/>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26.</w:t>
            </w:r>
            <w:r>
              <w:tab/>
              <w:t xml:space="preserve">begrüßt die engen Beziehungen zu westeuropäischen Drittländern </w:t>
            </w:r>
            <w:r>
              <w:rPr>
                <w:b/>
                <w:i/>
              </w:rPr>
              <w:t>und insbesondere die ausgezeichnete Zusammenarbeit in bestimmten Bereichen des auswärtigen Handelns der EU</w:t>
            </w:r>
            <w:r>
              <w:t xml:space="preserve">; fordert die Kommission nachdrücklich auf, die bilateralen Beziehungen zwischen der EU und der Schweiz zu modernisieren und zu vertiefen; betont, wie wichtig es ist, </w:t>
            </w:r>
            <w:r>
              <w:rPr>
                <w:b/>
                <w:i/>
              </w:rPr>
              <w:t xml:space="preserve">noch engere </w:t>
            </w:r>
            <w:r>
              <w:t xml:space="preserve">Beziehungen zu Norwegen zu fördern; </w:t>
            </w:r>
            <w:r>
              <w:rPr>
                <w:b/>
                <w:i/>
              </w:rPr>
              <w:t>fordert eine rasche Unterzeichnung des Assoziierungsabkommens zwischen der EU und Andorra und San Marino;</w:t>
            </w:r>
          </w:p>
        </w:tc>
        <w:tc>
          <w:tcPr>
            <w:tcW w:w="4876" w:type="dxa"/>
            <w:tcBorders>
              <w:top w:val="nil"/>
              <w:left w:val="nil"/>
              <w:bottom w:val="nil"/>
              <w:right w:val="nil"/>
            </w:tcBorders>
          </w:tcPr>
          <w:p w:rsidR="00930C00" w:rsidRPr="005C30ED" w:rsidRDefault="00930C00" w:rsidP="00930C00">
            <w:pPr>
              <w:pStyle w:val="Normal6a"/>
            </w:pPr>
            <w:r>
              <w:t>26.</w:t>
            </w:r>
            <w:r>
              <w:tab/>
              <w:t>begrüßt die engen Beziehungen zu westeuropäischen Drittländern; fordert die Kommission nachdrücklich auf, die bilateralen Beziehungen zwischen der EU und der Schweiz zu modernisieren und zu vertiefen; betont, wie wichtig es ist, Beziehungen zu Norwegen zu fördern;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753</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5D638B" w:rsidRDefault="00930C00" w:rsidP="00930C00">
      <w:pPr>
        <w:pStyle w:val="NormalBold"/>
      </w:pPr>
      <w:r>
        <w:rPr>
          <w:rStyle w:val="HideTWBExt"/>
        </w:rPr>
        <w:t>&lt;Article&gt;</w:t>
      </w:r>
      <w:r>
        <w:t>Ziffer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7C40" w:rsidRDefault="00930C00" w:rsidP="00930C00">
            <w:pPr>
              <w:pStyle w:val="Normal6a"/>
            </w:pPr>
            <w:r>
              <w:t>26.</w:t>
            </w:r>
            <w:r>
              <w:tab/>
              <w:t>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 fordert eine rasche Unterzeichnung des Assoziierungsabkommens zwischen der EU und Andorra und San Marino;</w:t>
            </w:r>
          </w:p>
        </w:tc>
        <w:tc>
          <w:tcPr>
            <w:tcW w:w="4876" w:type="dxa"/>
            <w:tcBorders>
              <w:top w:val="nil"/>
              <w:left w:val="nil"/>
              <w:bottom w:val="nil"/>
              <w:right w:val="nil"/>
            </w:tcBorders>
          </w:tcPr>
          <w:p w:rsidR="00930C00" w:rsidRPr="005D7C40" w:rsidRDefault="00930C00" w:rsidP="00930C00">
            <w:pPr>
              <w:pStyle w:val="Normal6a"/>
            </w:pPr>
            <w:r>
              <w:t>26.</w:t>
            </w:r>
            <w:r>
              <w:tab/>
              <w:t>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w:t>
            </w:r>
            <w:r>
              <w:rPr>
                <w:b/>
                <w:i/>
              </w:rPr>
              <w:t>, und fordert Norwegen zugleich auf, in Fischereifragen eine kooperative Haltung gegenüber der Europäischen Union einzunehmen</w:t>
            </w:r>
            <w:r>
              <w:t>; fordert eine rasche Unterzeichnung des Assoziierungsabkommens zwischen der EU und Andorra und San Marino;</w:t>
            </w:r>
          </w:p>
        </w:tc>
      </w:tr>
    </w:tbl>
    <w:p w:rsidR="00930C00" w:rsidRPr="00291283" w:rsidRDefault="00930C00" w:rsidP="00930C00">
      <w:pPr>
        <w:pStyle w:val="AmOrLang"/>
      </w:pPr>
      <w:r w:rsidRPr="00291283">
        <w:t xml:space="preserve">Or. </w:t>
      </w:r>
      <w:r w:rsidRPr="00291283">
        <w:rPr>
          <w:rStyle w:val="HideTWBExt"/>
        </w:rPr>
        <w:t>&lt;Original&gt;</w:t>
      </w:r>
      <w:r w:rsidRPr="00291283">
        <w:rPr>
          <w:rStyle w:val="HideTWBInt"/>
        </w:rPr>
        <w:t>{ES}</w:t>
      </w:r>
      <w:r w:rsidRPr="00291283">
        <w:t>es</w:t>
      </w:r>
      <w:r w:rsidRPr="00291283">
        <w:rPr>
          <w:rStyle w:val="HideTWBExt"/>
        </w:rPr>
        <w:t>&lt;/Original&gt;</w:t>
      </w:r>
    </w:p>
    <w:p w:rsidR="00930C00" w:rsidRPr="005D7C40" w:rsidRDefault="00930C00" w:rsidP="00930C00">
      <w:r w:rsidRPr="00291283">
        <w:rPr>
          <w:rStyle w:val="HideTWBExt"/>
        </w:rPr>
        <w:lastRenderedPageBreak/>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754</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David McAllister</w:t>
      </w:r>
      <w:r w:rsidRPr="00930C00">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26.</w:t>
            </w:r>
            <w:r>
              <w:tab/>
              <w:t xml:space="preserve">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 fordert eine rasche Unterzeichnung des Assoziierungsabkommens zwischen der EU und Andorra </w:t>
            </w:r>
            <w:r>
              <w:rPr>
                <w:b/>
                <w:i/>
              </w:rPr>
              <w:t>und</w:t>
            </w:r>
            <w:r>
              <w:t xml:space="preserve"> San Marino;</w:t>
            </w:r>
          </w:p>
        </w:tc>
        <w:tc>
          <w:tcPr>
            <w:tcW w:w="4876" w:type="dxa"/>
            <w:tcBorders>
              <w:top w:val="nil"/>
              <w:left w:val="nil"/>
              <w:bottom w:val="nil"/>
              <w:right w:val="nil"/>
            </w:tcBorders>
          </w:tcPr>
          <w:p w:rsidR="00930C00" w:rsidRPr="005C30ED" w:rsidRDefault="00930C00" w:rsidP="00930C00">
            <w:pPr>
              <w:pStyle w:val="Normal6a"/>
            </w:pPr>
            <w:r>
              <w:t>26.</w:t>
            </w:r>
            <w:r>
              <w:tab/>
              <w:t>begrüßt die engen Beziehungen zu westeuropäischen Drittländern und insbesondere die ausgezeichnete Zusammenarbeit in bestimmten Bereichen des auswärtigen Handelns der EU; fordert die Kommission nachdrücklich auf, die bilateralen Beziehungen zwischen der EU und der Schweiz zu modernisieren und zu vertiefen; betont, wie wichtig es ist, noch engere Beziehungen zu Norwegen zu fördern</w:t>
            </w:r>
            <w:r>
              <w:rPr>
                <w:b/>
                <w:i/>
              </w:rPr>
              <w:t>, insbesondere im Rahmen der Sicherheits- und Verteidigungspartnerschaft zwischen der EU und Norwegen</w:t>
            </w:r>
            <w:r>
              <w:t xml:space="preserve">; fordert eine rasche Unterzeichnung des Assoziierungsabkommens zwischen der EU und Andorra </w:t>
            </w:r>
            <w:r>
              <w:rPr>
                <w:b/>
                <w:i/>
              </w:rPr>
              <w:t>sowie</w:t>
            </w:r>
            <w:r>
              <w:t xml:space="preserve"> San Marino;</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755</w:t>
      </w:r>
      <w:r w:rsidRPr="00930C00">
        <w:rPr>
          <w:rStyle w:val="HideTWBExt"/>
          <w:lang w:val="en-GB"/>
        </w:rPr>
        <w:t>&lt;/NumAm&gt;</w:t>
      </w:r>
    </w:p>
    <w:p w:rsidR="00930C00" w:rsidRPr="0007238A" w:rsidRDefault="00930C00" w:rsidP="00930C00">
      <w:pPr>
        <w:pStyle w:val="NormalBold"/>
        <w:rPr>
          <w:lang w:val="en-GB"/>
        </w:rPr>
      </w:pPr>
      <w:r>
        <w:rPr>
          <w:rStyle w:val="HideTWBExt"/>
          <w:b w:val="0"/>
          <w:lang w:val="en-GB"/>
        </w:rPr>
        <w:t>&lt;RepeatBlock-By&gt;&lt;Members&gt;</w:t>
      </w:r>
      <w:r w:rsidRPr="0007238A">
        <w:rPr>
          <w:lang w:val="en-GB"/>
        </w:rPr>
        <w:t>Sebastian Tynkkynen</w:t>
      </w:r>
      <w:r>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7A53B2" w:rsidRDefault="00930C00" w:rsidP="00930C00">
      <w:pPr>
        <w:pStyle w:val="NormalBold"/>
      </w:pPr>
      <w:r>
        <w:rPr>
          <w:rStyle w:val="HideTWBExt"/>
        </w:rPr>
        <w:t>&lt;DocAmend&gt;</w:t>
      </w:r>
      <w:r>
        <w:t>Entschließungsantrag</w:t>
      </w:r>
      <w:r>
        <w:rPr>
          <w:rStyle w:val="HideTWBExt"/>
        </w:rPr>
        <w:t>&lt;/DocAmend&gt;</w:t>
      </w:r>
    </w:p>
    <w:p w:rsidR="00930C00" w:rsidRPr="00930C00" w:rsidRDefault="00930C00" w:rsidP="00930C00">
      <w:pPr>
        <w:pStyle w:val="NormalBold"/>
      </w:pPr>
      <w:r w:rsidRPr="00930C00">
        <w:rPr>
          <w:rStyle w:val="HideTWBExt"/>
        </w:rPr>
        <w:t>&lt;Article&gt;</w:t>
      </w:r>
      <w:r w:rsidRPr="00930C00">
        <w:t>Ziffer 26 a (neu)</w:t>
      </w:r>
      <w:r w:rsidRPr="00930C0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07238A" w:rsidTr="00930C00">
        <w:trPr>
          <w:trHeight w:hRule="exact" w:val="240"/>
          <w:jc w:val="center"/>
        </w:trPr>
        <w:tc>
          <w:tcPr>
            <w:tcW w:w="9752" w:type="dxa"/>
            <w:gridSpan w:val="2"/>
            <w:tcBorders>
              <w:top w:val="nil"/>
              <w:left w:val="nil"/>
              <w:bottom w:val="nil"/>
              <w:right w:val="nil"/>
            </w:tcBorders>
          </w:tcPr>
          <w:p w:rsidR="00930C00" w:rsidRPr="00930C00"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638B" w:rsidRDefault="00930C00" w:rsidP="00930C00">
            <w:pPr>
              <w:pStyle w:val="Normal6a"/>
            </w:pPr>
          </w:p>
        </w:tc>
        <w:tc>
          <w:tcPr>
            <w:tcW w:w="4876" w:type="dxa"/>
            <w:tcBorders>
              <w:top w:val="nil"/>
              <w:left w:val="nil"/>
              <w:bottom w:val="nil"/>
              <w:right w:val="nil"/>
            </w:tcBorders>
          </w:tcPr>
          <w:p w:rsidR="00930C00" w:rsidRPr="007A53B2" w:rsidRDefault="00930C00" w:rsidP="00930C00">
            <w:pPr>
              <w:pStyle w:val="Normal6a"/>
            </w:pPr>
            <w:r>
              <w:rPr>
                <w:b/>
                <w:i/>
              </w:rPr>
              <w:t>26a.</w:t>
            </w:r>
            <w:r>
              <w:tab/>
            </w:r>
            <w:r>
              <w:rPr>
                <w:b/>
                <w:i/>
              </w:rPr>
              <w:t xml:space="preserve">weist darauf hin, dass ein Jahr vergangen ist, seit Aserbaidschan mit einem militärischen Angriff die Kontrolle über die Region Bergkarabach übernommen hat, was dazu geführt hat, dass mehr als 140 000 ethnische Armenier aus dem Gebiet fliehen mussten; in der Erwägung, dass Armenien mit einer Überprüfung seiner </w:t>
            </w:r>
            <w:r>
              <w:rPr>
                <w:b/>
                <w:i/>
              </w:rPr>
              <w:lastRenderedPageBreak/>
              <w:t>sicherheitspolitischen Partnerschaften begonnen und seine Mitgliedschaft in der Organisation des Vertrags über kollektive Sicherheit (OVKS) eingefroren hat; begrüßt, dass sich Armenien vom Einflussbereich Russlands entfernt hat;</w:t>
            </w:r>
          </w:p>
        </w:tc>
      </w:tr>
    </w:tbl>
    <w:p w:rsidR="00930C00" w:rsidRPr="00930C00" w:rsidRDefault="00930C00" w:rsidP="00930C00">
      <w:pPr>
        <w:pStyle w:val="AmOrLang"/>
      </w:pPr>
      <w:r w:rsidRPr="00930C00">
        <w:lastRenderedPageBreak/>
        <w:t xml:space="preserve">Or. </w:t>
      </w:r>
      <w:r w:rsidRPr="00930C00">
        <w:rPr>
          <w:rStyle w:val="HideTWBExt"/>
        </w:rPr>
        <w:t>&lt;Original&gt;</w:t>
      </w:r>
      <w:r w:rsidRPr="00930C00">
        <w:rPr>
          <w:rStyle w:val="HideTWBInt"/>
        </w:rPr>
        <w:t>{FI}</w:t>
      </w:r>
      <w:r w:rsidRPr="00930C00">
        <w:t>fi</w:t>
      </w:r>
      <w:r w:rsidRPr="00930C00">
        <w:rPr>
          <w:rStyle w:val="HideTWBExt"/>
        </w:rPr>
        <w:t>&lt;/Original&gt;</w:t>
      </w:r>
    </w:p>
    <w:p w:rsidR="00930C00" w:rsidRPr="00930C00" w:rsidRDefault="00930C00" w:rsidP="00930C00">
      <w:r w:rsidRPr="00930C00">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756</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Nathalie Loiseau, Urmas Paet, Hilde Vautmans, Lucia Yar, Petras Auštrevičius</w:t>
      </w:r>
      <w:r w:rsidRPr="00930C00">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26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26a.</w:t>
            </w:r>
            <w:r>
              <w:tab/>
            </w:r>
            <w:r>
              <w:rPr>
                <w:b/>
                <w:i/>
              </w:rPr>
              <w:t>begrüßt, dass die bilateralen Beziehungen zwischen der EU und Armenien von einer neuen Dynamik erfasst wurden und die staatlichen Stellen in Jerewan diese Dynamik nachdrücklich unterstützen; fordert die Kommission und den Rat auf, Armeniens Wunsch nach verstärkter Zusammenarbeit mit der EU tatkräftig zu unterstützen; bekundet seine uneingeschränkte Unterstützung für die Aussicht auf eine neue Partnerschaftsagenda EU-Armenien;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5C30ED" w:rsidRDefault="00930C00" w:rsidP="00930C00">
      <w:pPr>
        <w:pStyle w:val="AmNumberTabs"/>
      </w:pPr>
      <w:r>
        <w:rPr>
          <w:rStyle w:val="HideTWBExt"/>
        </w:rPr>
        <w:t>&lt;Amend&gt;</w:t>
      </w:r>
      <w:r>
        <w:t>Änderungsantrag</w:t>
      </w:r>
      <w:r>
        <w:tab/>
      </w:r>
      <w:r>
        <w:tab/>
      </w:r>
      <w:r>
        <w:rPr>
          <w:rStyle w:val="HideTWBExt"/>
        </w:rPr>
        <w:t>&lt;NumAm&gt;</w:t>
      </w:r>
      <w:r>
        <w:t>757</w:t>
      </w:r>
      <w:r>
        <w:rPr>
          <w:rStyle w:val="HideTWBExt"/>
        </w:rPr>
        <w:t>&lt;/NumAm&gt;</w:t>
      </w:r>
    </w:p>
    <w:p w:rsidR="00930C00" w:rsidRPr="005C30ED" w:rsidRDefault="00930C00" w:rsidP="00930C00">
      <w:pPr>
        <w:pStyle w:val="NormalBold"/>
      </w:pPr>
      <w:r>
        <w:rPr>
          <w:rStyle w:val="HideTWBExt"/>
          <w:b w:val="0"/>
        </w:rPr>
        <w:t>&lt;RepeatBlock-By&gt;&lt;Members&gt;</w:t>
      </w:r>
      <w:r>
        <w:t>Michael von der Schulenburg</w:t>
      </w:r>
      <w:r>
        <w:rPr>
          <w:rStyle w:val="HideTWBExt"/>
          <w:b w:val="0"/>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bekräftigt, dass ein friedlicher</w:t>
            </w:r>
            <w:r>
              <w:rPr>
                <w:b/>
                <w:i/>
              </w:rPr>
              <w:t>,</w:t>
            </w:r>
            <w:r>
              <w:t xml:space="preserve"> stabiler </w:t>
            </w:r>
            <w:r>
              <w:rPr>
                <w:b/>
                <w:i/>
              </w:rPr>
              <w:t>und regelbasierter</w:t>
            </w:r>
            <w:r>
              <w:t xml:space="preserve"> indopazifischer Raum von wesentlichem europäischen Interesse ist; </w:t>
            </w:r>
            <w:r>
              <w:rPr>
                <w:b/>
                <w:i/>
              </w:rPr>
              <w:t xml:space="preserve">fordert zu diesem Zweck </w:t>
            </w:r>
            <w:r>
              <w:rPr>
                <w:b/>
                <w:i/>
              </w:rPr>
              <w:lastRenderedPageBreak/>
              <w:t>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5C30ED" w:rsidRDefault="00930C00" w:rsidP="00930C00">
            <w:pPr>
              <w:pStyle w:val="Normal6a"/>
            </w:pPr>
            <w:r>
              <w:lastRenderedPageBreak/>
              <w:t>27.</w:t>
            </w:r>
            <w:r>
              <w:tab/>
              <w:t xml:space="preserve">bekräftigt, dass ein friedlicher </w:t>
            </w:r>
            <w:r>
              <w:rPr>
                <w:b/>
                <w:i/>
              </w:rPr>
              <w:t>und</w:t>
            </w:r>
            <w:r>
              <w:t xml:space="preserve"> stabiler indopazifischer Raum von wesentlichem europäischen Interesse ist;</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758</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Sven Mikser, Lucia Annunziata, Nicola Zingaretti, Thijs Reuten, Alessandra Moretti, Giorgio Gori, Tobias Cremer, Yannis Maniatis</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r>
            <w:r>
              <w:rPr>
                <w:b/>
                <w:i/>
              </w:rPr>
              <w:t xml:space="preserve">bekräftigt, dass ein friedlicher, stabiler und regelbasierter indopazifischer </w:t>
            </w:r>
            <w:r>
              <w:t xml:space="preserve">Raum </w:t>
            </w:r>
            <w:r>
              <w:rPr>
                <w:b/>
                <w:i/>
              </w:rPr>
              <w:t xml:space="preserve">von wesentlichem europäischen Interesse ist; </w:t>
            </w:r>
            <w:r>
              <w:t xml:space="preserve">fordert </w:t>
            </w:r>
            <w:r>
              <w:rPr>
                <w:b/>
                <w:i/>
              </w:rPr>
              <w:t>zu diesem Zweck</w:t>
            </w:r>
            <w:r>
              <w:t xml:space="preserve">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5C30ED" w:rsidRDefault="00930C00" w:rsidP="00930C00">
            <w:pPr>
              <w:pStyle w:val="Normal6a"/>
            </w:pPr>
            <w:r>
              <w:t>27.</w:t>
            </w:r>
            <w:r>
              <w:tab/>
            </w:r>
            <w:r>
              <w:rPr>
                <w:b/>
                <w:i/>
              </w:rPr>
              <w:t>ist der Ansicht, dass sich der Schwerpunkt der globalen Ordnung auf den indopazifischen</w:t>
            </w:r>
            <w:r>
              <w:t xml:space="preserve"> Raum </w:t>
            </w:r>
            <w:r>
              <w:rPr>
                <w:b/>
                <w:i/>
              </w:rPr>
              <w:t xml:space="preserve">verlagert und dass die EU ihre aktive Rolle und Präsenz in dieser Region stärken muss, um ihre Interessen zu wahren, Stabilität zu fördern und eine regelbasierte internationale Ordnung aufrechtzuerhalten; </w:t>
            </w:r>
            <w:r>
              <w:t xml:space="preserve">fordert </w:t>
            </w:r>
            <w:r>
              <w:rPr>
                <w:b/>
                <w:i/>
              </w:rPr>
              <w:t>eine engere diplomatische und wirtschaftliche Zusammenarbeit mit den Ländern in dieser Region; fordert</w:t>
            </w:r>
            <w:r>
              <w:t xml:space="preserve"> zu diesem Zweck engere außen-, sicherheits- und verteidigungspolitische Beziehungen zu gleichgesinnten Partnern </w:t>
            </w:r>
            <w:r>
              <w:rPr>
                <w:b/>
                <w:i/>
              </w:rPr>
              <w:t>und verstärkte Kooperation mit anderen</w:t>
            </w:r>
            <w:r>
              <w:t xml:space="preserve"> in der Region gemäß der EU-Strategie für die Zusammenarbeit im indopazifischen Raum; fordert den HR/VP auf, die Sichtbarkeit und die Wirksamkeit des auswärtigen Handelns der EU gemeinsam mit unseren indopazifischen Partnern, insbesondere Australien</w:t>
            </w:r>
            <w:r>
              <w:rPr>
                <w:b/>
                <w:i/>
              </w:rPr>
              <w:t>, Indien</w:t>
            </w:r>
            <w:r>
              <w:t xml:space="preserve">, </w:t>
            </w:r>
            <w:r>
              <w:lastRenderedPageBreak/>
              <w:t>Neuseeland, Südkorea und Japan, zu fördern;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Änderungsantrag</w:t>
      </w:r>
      <w:r w:rsidRPr="00930C00">
        <w:rPr>
          <w:lang w:val="en-GB"/>
        </w:rPr>
        <w:tab/>
      </w:r>
      <w:r w:rsidRPr="00930C00">
        <w:rPr>
          <w:lang w:val="en-GB"/>
        </w:rPr>
        <w:tab/>
      </w:r>
      <w:r w:rsidRPr="00930C00">
        <w:rPr>
          <w:rStyle w:val="HideTWBExt"/>
          <w:lang w:val="en-GB"/>
        </w:rPr>
        <w:t>&lt;NumAm&gt;</w:t>
      </w:r>
      <w:r w:rsidRPr="00930C00">
        <w:rPr>
          <w:lang w:val="en-GB"/>
        </w:rPr>
        <w:t>759</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Francisco José Millán Mon</w:t>
      </w:r>
      <w:r w:rsidRPr="00930C00">
        <w:rPr>
          <w:rStyle w:val="HideTWBExt"/>
          <w:b w:val="0"/>
          <w:lang w:val="en-GB"/>
        </w:rPr>
        <w:t>&lt;/Members&gt;</w:t>
      </w:r>
    </w:p>
    <w:p w:rsidR="00930C00" w:rsidRPr="005D7C40" w:rsidRDefault="00930C00" w:rsidP="00930C00">
      <w:pPr>
        <w:pStyle w:val="NormalBold"/>
      </w:pPr>
      <w:r w:rsidRPr="00291283">
        <w:rPr>
          <w:rStyle w:val="HideTWBExt"/>
          <w:b w:val="0"/>
        </w:rPr>
        <w:t>&lt;/RepeatBlock-By&gt;</w:t>
      </w:r>
    </w:p>
    <w:p w:rsidR="00930C00" w:rsidRPr="005D7C40" w:rsidRDefault="00930C00" w:rsidP="00930C00">
      <w:pPr>
        <w:pStyle w:val="NormalBold"/>
      </w:pPr>
      <w:r w:rsidRPr="00291283">
        <w:rPr>
          <w:rStyle w:val="HideTWBExt"/>
        </w:rPr>
        <w:t>&lt;DocAmend&gt;</w:t>
      </w:r>
      <w:r>
        <w:t>Entschließungsantrag</w:t>
      </w:r>
      <w:r w:rsidRPr="00291283">
        <w:rPr>
          <w:rStyle w:val="HideTWBExt"/>
        </w:rPr>
        <w:t>&lt;/DocAmend&gt;</w:t>
      </w:r>
    </w:p>
    <w:p w:rsidR="00930C00" w:rsidRPr="005D638B"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D7C40" w:rsidRDefault="00930C00" w:rsidP="00930C00">
            <w:pPr>
              <w:pStyle w:val="Normal6a"/>
            </w:pPr>
            <w:r>
              <w:t>27.</w:t>
            </w:r>
            <w:r>
              <w:tab/>
              <w:t xml:space="preserve">bekräftigt, dass ein friedlicher, stabiler und </w:t>
            </w:r>
            <w:r>
              <w:rPr>
                <w:b/>
                <w:i/>
              </w:rPr>
              <w:t>regelbasierter</w:t>
            </w:r>
            <w:r>
              <w:t xml:space="preserve">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5D7C40" w:rsidRDefault="00930C00" w:rsidP="00930C00">
            <w:pPr>
              <w:pStyle w:val="Normal6a"/>
            </w:pPr>
            <w:r>
              <w:t>27.</w:t>
            </w:r>
            <w:r>
              <w:tab/>
              <w:t xml:space="preserve">bekräftigt, dass ein </w:t>
            </w:r>
            <w:r>
              <w:rPr>
                <w:b/>
                <w:i/>
              </w:rPr>
              <w:t xml:space="preserve">freier, vernetzter, offener, </w:t>
            </w:r>
            <w:r>
              <w:t>friedlicher, stabiler</w:t>
            </w:r>
            <w:r>
              <w:rPr>
                <w:b/>
                <w:i/>
              </w:rPr>
              <w:t>, regelbasierter</w:t>
            </w:r>
            <w:r>
              <w:t xml:space="preserve"> und </w:t>
            </w:r>
            <w:r>
              <w:rPr>
                <w:b/>
                <w:i/>
              </w:rPr>
              <w:t>dem Völkerrecht verpflichteter</w:t>
            </w:r>
            <w:r>
              <w:t xml:space="preserve">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w:t>
            </w:r>
            <w:r>
              <w:rPr>
                <w:b/>
                <w:i/>
              </w:rPr>
              <w:t xml:space="preserve"> sowie den Philippinen</w:t>
            </w:r>
            <w:r>
              <w:t>, zu fördern;</w:t>
            </w:r>
          </w:p>
        </w:tc>
      </w:tr>
    </w:tbl>
    <w:p w:rsidR="00930C00" w:rsidRPr="00930C00" w:rsidRDefault="00930C00" w:rsidP="00930C00">
      <w:pPr>
        <w:pStyle w:val="AmOrLang"/>
      </w:pPr>
      <w:r w:rsidRPr="00930C00">
        <w:t xml:space="preserve">Or. </w:t>
      </w:r>
      <w:r w:rsidRPr="00930C00">
        <w:rPr>
          <w:rStyle w:val="HideTWBExt"/>
        </w:rPr>
        <w:t>&lt;Original&gt;</w:t>
      </w:r>
      <w:r w:rsidRPr="00930C00">
        <w:rPr>
          <w:rStyle w:val="HideTWBInt"/>
        </w:rPr>
        <w:t>{ES}</w:t>
      </w:r>
      <w:r w:rsidRPr="00930C00">
        <w:t>es</w:t>
      </w:r>
      <w:r w:rsidRPr="00930C00">
        <w:rPr>
          <w:rStyle w:val="HideTWBExt"/>
        </w:rPr>
        <w:t>&lt;/Original&gt;</w:t>
      </w:r>
    </w:p>
    <w:p w:rsidR="00930C00" w:rsidRPr="00930C00" w:rsidRDefault="00930C00" w:rsidP="00930C00">
      <w:r w:rsidRPr="00930C00">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760</w:t>
      </w:r>
      <w:r w:rsidRPr="00930C00">
        <w:rPr>
          <w:rStyle w:val="HideTWBExt"/>
        </w:rPr>
        <w:t>&lt;/NumAm&gt;</w:t>
      </w:r>
    </w:p>
    <w:p w:rsidR="00930C00" w:rsidRPr="00930C00" w:rsidRDefault="00930C00" w:rsidP="00930C00">
      <w:pPr>
        <w:pStyle w:val="NormalBold"/>
      </w:pPr>
      <w:r w:rsidRPr="00930C00">
        <w:rPr>
          <w:rStyle w:val="HideTWBExt"/>
          <w:b w:val="0"/>
        </w:rPr>
        <w:t>&lt;RepeatBlock-By&gt;&lt;Members&gt;</w:t>
      </w:r>
      <w:r w:rsidRPr="00930C00">
        <w:t>António Tânger Corrêa</w:t>
      </w:r>
      <w:r w:rsidRPr="00930C00">
        <w:rPr>
          <w:rStyle w:val="HideTWBExt"/>
          <w:b w:val="0"/>
        </w:rPr>
        <w:t>&lt;/Members&gt;</w:t>
      </w:r>
    </w:p>
    <w:p w:rsidR="00930C00" w:rsidRPr="00930C00" w:rsidRDefault="00930C00" w:rsidP="00930C00">
      <w:pPr>
        <w:pStyle w:val="NormalBold"/>
      </w:pPr>
      <w:r w:rsidRPr="00930C00">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 xml:space="preserve">bekräftigt, dass ein friedlicher, stabiler und regelbasierter indopazifischer Raum von wesentlichem europäischen Interesse ist; fordert zu diesem Zweck </w:t>
            </w:r>
            <w:r>
              <w:lastRenderedPageBreak/>
              <w:t xml:space="preserve">engere außen-, sicherheits- und verteidigungspolitische Beziehungen zu gleichgesinnten Partnern in der Region gemäß der EU-Strategie für die Zusammenarbeit im indopazifischen Raum; </w:t>
            </w:r>
            <w:r>
              <w:rPr>
                <w:b/>
                <w:i/>
              </w:rPr>
              <w:t>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5C30ED" w:rsidRDefault="00930C00" w:rsidP="00930C00">
            <w:pPr>
              <w:pStyle w:val="Normal6a"/>
            </w:pPr>
            <w:r>
              <w:lastRenderedPageBreak/>
              <w:t>27.</w:t>
            </w:r>
            <w:r>
              <w:tab/>
              <w:t xml:space="preserve">bekräftigt, dass ein friedlicher, stabiler und regelbasierter indopazifischer Raum von wesentlichem europäischen Interesse ist; fordert zu diesem Zweck </w:t>
            </w:r>
            <w:r>
              <w:lastRenderedPageBreak/>
              <w:t>engere außen-, sicherheits- und verteidigungspolitische Beziehungen zu gleichgesinnten Partnern in der Region gemäß der EU-Strategie für die Zusammenarbeit im indopazifischen Raum;</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930C00" w:rsidRDefault="00930C00" w:rsidP="00930C00">
      <w:pPr>
        <w:pStyle w:val="AmNumberTabs"/>
        <w:rPr>
          <w:lang w:val="en-GB"/>
        </w:rPr>
      </w:pPr>
      <w:r w:rsidRPr="00930C00">
        <w:rPr>
          <w:rStyle w:val="HideTWBExt"/>
          <w:lang w:val="en-GB"/>
        </w:rPr>
        <w:t>&lt;Amend&gt;</w:t>
      </w:r>
      <w:r w:rsidRPr="00930C00">
        <w:rPr>
          <w:lang w:val="en-GB"/>
        </w:rPr>
        <w:t>Amendment</w:t>
      </w:r>
      <w:r w:rsidRPr="00930C00">
        <w:rPr>
          <w:lang w:val="en-GB"/>
        </w:rPr>
        <w:tab/>
      </w:r>
      <w:r w:rsidRPr="00930C00">
        <w:rPr>
          <w:lang w:val="en-GB"/>
        </w:rPr>
        <w:tab/>
      </w:r>
      <w:r w:rsidRPr="00930C00">
        <w:rPr>
          <w:rStyle w:val="HideTWBExt"/>
          <w:lang w:val="en-GB"/>
        </w:rPr>
        <w:t>&lt;NumAm&gt;</w:t>
      </w:r>
      <w:r w:rsidRPr="00930C00">
        <w:rPr>
          <w:lang w:val="en-GB"/>
        </w:rPr>
        <w:t>761</w:t>
      </w:r>
      <w:r w:rsidRPr="00930C00">
        <w:rPr>
          <w:rStyle w:val="HideTWBExt"/>
          <w:lang w:val="en-GB"/>
        </w:rPr>
        <w:t>&lt;/NumAm&gt;</w:t>
      </w:r>
    </w:p>
    <w:p w:rsidR="00930C00" w:rsidRPr="00930C00" w:rsidRDefault="00930C00" w:rsidP="00930C00">
      <w:pPr>
        <w:pStyle w:val="NormalBold"/>
        <w:rPr>
          <w:lang w:val="en-GB"/>
        </w:rPr>
      </w:pPr>
      <w:r w:rsidRPr="00930C00">
        <w:rPr>
          <w:rStyle w:val="HideTWBExt"/>
          <w:b w:val="0"/>
          <w:lang w:val="en-GB"/>
        </w:rPr>
        <w:t>&lt;RepeatBlock-By&gt;&lt;Members&gt;</w:t>
      </w:r>
      <w:r w:rsidRPr="00930C00">
        <w:rPr>
          <w:lang w:val="en-GB"/>
        </w:rPr>
        <w:t>Hans Neuhoff</w:t>
      </w:r>
      <w:r w:rsidRPr="00930C00">
        <w:rPr>
          <w:rStyle w:val="HideTWBExt"/>
          <w:b w:val="0"/>
          <w:lang w:val="en-GB"/>
        </w:rPr>
        <w:t>&lt;/Members&gt;</w:t>
      </w:r>
    </w:p>
    <w:p w:rsidR="00930C00" w:rsidRPr="00930C00" w:rsidRDefault="00930C00" w:rsidP="00930C00">
      <w:pPr>
        <w:pStyle w:val="NormalBold"/>
        <w:rPr>
          <w:lang w:val="en-GB"/>
        </w:rPr>
      </w:pPr>
      <w:r w:rsidRPr="00930C00">
        <w:rPr>
          <w:rStyle w:val="HideTWBExt"/>
          <w:b w:val="0"/>
          <w:lang w:val="en-GB"/>
        </w:rPr>
        <w:t>&lt;/RepeatBlock-By&gt;</w:t>
      </w:r>
    </w:p>
    <w:p w:rsidR="00930C00" w:rsidRPr="00930C00" w:rsidRDefault="00930C00" w:rsidP="00930C00">
      <w:pPr>
        <w:pStyle w:val="NormalBold"/>
        <w:rPr>
          <w:lang w:val="en-GB"/>
        </w:rPr>
      </w:pPr>
      <w:r w:rsidRPr="00930C00">
        <w:rPr>
          <w:rStyle w:val="HideTWBExt"/>
          <w:lang w:val="en-GB"/>
        </w:rPr>
        <w:t>&lt;DocAmend&gt;</w:t>
      </w:r>
      <w:r w:rsidRPr="00930C00">
        <w:rPr>
          <w:lang w:val="en-GB"/>
        </w:rPr>
        <w:t>Motion for a resolution</w:t>
      </w:r>
      <w:r w:rsidRPr="00930C00">
        <w:rPr>
          <w:rStyle w:val="HideTWBExt"/>
          <w:lang w:val="en-GB"/>
        </w:rPr>
        <w:t>&lt;/DocAmend&gt;</w:t>
      </w:r>
    </w:p>
    <w:p w:rsidR="00930C00" w:rsidRPr="005D638B" w:rsidRDefault="00930C00" w:rsidP="00930C00">
      <w:pPr>
        <w:pStyle w:val="NormalBold"/>
      </w:pPr>
      <w:r w:rsidRPr="005D638B">
        <w:rPr>
          <w:rStyle w:val="HideTWBExt"/>
        </w:rPr>
        <w:t>&lt;Article&gt;</w:t>
      </w:r>
      <w:r w:rsidRPr="005D638B">
        <w:t>Paragraph 27</w:t>
      </w:r>
      <w:r w:rsidRPr="005D638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5D638B"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RPr="005D638B"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rsidRPr="005D638B">
              <w:t>Motion for a resolution</w:t>
            </w:r>
          </w:p>
        </w:tc>
        <w:tc>
          <w:tcPr>
            <w:tcW w:w="4876" w:type="dxa"/>
            <w:tcBorders>
              <w:top w:val="nil"/>
              <w:left w:val="nil"/>
              <w:bottom w:val="nil"/>
              <w:right w:val="nil"/>
            </w:tcBorders>
          </w:tcPr>
          <w:p w:rsidR="00930C00" w:rsidRPr="005D638B" w:rsidRDefault="00930C00" w:rsidP="00930C00">
            <w:pPr>
              <w:pStyle w:val="AmColumnHeading"/>
            </w:pPr>
            <w:r w:rsidRPr="005D638B">
              <w:t>Amendment</w:t>
            </w:r>
          </w:p>
        </w:tc>
      </w:tr>
      <w:tr w:rsidR="00930C00" w:rsidRPr="005D638B" w:rsidTr="00930C00">
        <w:trPr>
          <w:jc w:val="center"/>
        </w:trPr>
        <w:tc>
          <w:tcPr>
            <w:tcW w:w="4876" w:type="dxa"/>
            <w:tcBorders>
              <w:top w:val="nil"/>
              <w:left w:val="nil"/>
              <w:bottom w:val="nil"/>
              <w:right w:val="nil"/>
            </w:tcBorders>
          </w:tcPr>
          <w:p w:rsidR="00930C00" w:rsidRPr="005D638B" w:rsidRDefault="00930C00" w:rsidP="00930C00">
            <w:pPr>
              <w:pStyle w:val="Normal6a"/>
            </w:pPr>
            <w:r w:rsidRPr="005D638B">
              <w:t>27.</w:t>
            </w:r>
            <w:r w:rsidRPr="005D638B">
              <w:tab/>
              <w:t>bekräftigt, dass ein friedlicher</w:t>
            </w:r>
            <w:r w:rsidRPr="005D638B">
              <w:rPr>
                <w:b/>
                <w:i/>
              </w:rPr>
              <w:t>,</w:t>
            </w:r>
            <w:r w:rsidRPr="005D638B">
              <w:t xml:space="preserve"> stabiler </w:t>
            </w:r>
            <w:r w:rsidRPr="005D638B">
              <w:rPr>
                <w:b/>
                <w:i/>
              </w:rPr>
              <w:t>und regelbasierter</w:t>
            </w:r>
            <w:r w:rsidRPr="005D638B">
              <w:t xml:space="preserve"> indopazifischer Raum von wesentlichem europäischen Interesse ist; fordert zu diesem Zweck engere außen-</w:t>
            </w:r>
            <w:r w:rsidRPr="005D638B">
              <w:rPr>
                <w:b/>
                <w:i/>
              </w:rPr>
              <w:t>, sicherheits- und verteidigungspolitische</w:t>
            </w:r>
            <w:r w:rsidRPr="005D638B">
              <w:t xml:space="preserve"> Beziehungen zu </w:t>
            </w:r>
            <w:r w:rsidRPr="005D638B">
              <w:rPr>
                <w:b/>
                <w:i/>
              </w:rPr>
              <w:t>gleichgesinnten</w:t>
            </w:r>
            <w:r w:rsidRPr="005D638B">
              <w:t xml:space="preserve"> Partnern in der Region </w:t>
            </w:r>
            <w:r w:rsidRPr="005D638B">
              <w:rPr>
                <w:b/>
                <w:i/>
              </w:rPr>
              <w:t>gemäß der EU-Strategie für die Zusammenarbeit im indopazifischen Raum</w:t>
            </w:r>
            <w:r w:rsidRPr="005D638B">
              <w:t>; fordert den HR/VP auf, die Sichtbarkeit und die Wirksamkeit des auswärtigen Handelns der EU gemeinsam mit unseren indopazifischen Partnern</w:t>
            </w:r>
            <w:r w:rsidRPr="005D638B">
              <w:rPr>
                <w:b/>
                <w:i/>
              </w:rPr>
              <w:t>, insbesondere Australien, Neuseeland, Südkorea und Japan,</w:t>
            </w:r>
            <w:r w:rsidRPr="005D638B">
              <w:t xml:space="preserve"> zu fördern;</w:t>
            </w:r>
          </w:p>
        </w:tc>
        <w:tc>
          <w:tcPr>
            <w:tcW w:w="4876" w:type="dxa"/>
            <w:tcBorders>
              <w:top w:val="nil"/>
              <w:left w:val="nil"/>
              <w:bottom w:val="nil"/>
              <w:right w:val="nil"/>
            </w:tcBorders>
          </w:tcPr>
          <w:p w:rsidR="00930C00" w:rsidRPr="005D638B" w:rsidRDefault="00930C00" w:rsidP="00930C00">
            <w:pPr>
              <w:pStyle w:val="Normal6a"/>
            </w:pPr>
            <w:r w:rsidRPr="005D638B">
              <w:t>27.</w:t>
            </w:r>
            <w:r w:rsidRPr="005D638B">
              <w:tab/>
              <w:t xml:space="preserve">bekräftigt, dass ein friedlicher </w:t>
            </w:r>
            <w:r w:rsidRPr="005D638B">
              <w:rPr>
                <w:b/>
                <w:i/>
              </w:rPr>
              <w:t>und</w:t>
            </w:r>
            <w:r w:rsidRPr="005D638B">
              <w:t xml:space="preserve"> stabiler indopazifischer Raum von wesentlichem europäischen Interesse ist; fordert zu diesem Zweck engere außen- </w:t>
            </w:r>
            <w:r w:rsidRPr="005D638B">
              <w:rPr>
                <w:b/>
                <w:i/>
              </w:rPr>
              <w:t>und wirtschaftspolitische</w:t>
            </w:r>
            <w:r w:rsidRPr="005D638B">
              <w:t xml:space="preserve"> Beziehungen zu </w:t>
            </w:r>
            <w:r w:rsidRPr="005D638B">
              <w:rPr>
                <w:b/>
                <w:i/>
              </w:rPr>
              <w:t>allen</w:t>
            </w:r>
            <w:r w:rsidRPr="005D638B">
              <w:t xml:space="preserve"> Partnern in der Region; fordert den HR/VP auf, die Sichtbarkeit und die Wirksamkeit des auswärtigen Handelns der EU gemeinsam mit unseren indopazifischen Partnern zu fördern;</w:t>
            </w:r>
          </w:p>
        </w:tc>
      </w:tr>
    </w:tbl>
    <w:p w:rsidR="00930C00" w:rsidRPr="005D638B" w:rsidRDefault="00930C00" w:rsidP="00930C00">
      <w:pPr>
        <w:pStyle w:val="AmOrLang"/>
      </w:pPr>
      <w:r w:rsidRPr="005D638B">
        <w:t xml:space="preserve">Or. </w:t>
      </w:r>
      <w:r w:rsidRPr="005D638B">
        <w:rPr>
          <w:rStyle w:val="HideTWBExt"/>
        </w:rPr>
        <w:t>&lt;Original&gt;</w:t>
      </w:r>
      <w:r w:rsidRPr="005D638B">
        <w:rPr>
          <w:rStyle w:val="HideTWBInt"/>
        </w:rPr>
        <w:t>{DE}</w:t>
      </w:r>
      <w:r w:rsidRPr="005D638B">
        <w:t>de</w:t>
      </w:r>
      <w:r w:rsidRPr="005D638B">
        <w:rPr>
          <w:rStyle w:val="HideTWBExt"/>
        </w:rPr>
        <w:t>&lt;/Original&gt;</w:t>
      </w:r>
    </w:p>
    <w:p w:rsidR="00930C00" w:rsidRPr="005D638B" w:rsidRDefault="00930C00" w:rsidP="00930C00">
      <w:r w:rsidRPr="005D638B">
        <w:rPr>
          <w:rStyle w:val="HideTWBExt"/>
        </w:rPr>
        <w:t>&lt;/Amend&gt;</w:t>
      </w:r>
    </w:p>
    <w:p w:rsidR="00930C00" w:rsidRPr="00930C00" w:rsidRDefault="00930C00" w:rsidP="00930C00">
      <w:pPr>
        <w:pStyle w:val="AmNumberTabs"/>
      </w:pPr>
      <w:r w:rsidRPr="00930C00">
        <w:rPr>
          <w:rStyle w:val="HideTWBExt"/>
        </w:rPr>
        <w:t>&lt;Amend&gt;</w:t>
      </w:r>
      <w:r w:rsidRPr="00930C00">
        <w:t>Änderungsantrag</w:t>
      </w:r>
      <w:r w:rsidRPr="00930C00">
        <w:tab/>
      </w:r>
      <w:r w:rsidRPr="00930C00">
        <w:tab/>
      </w:r>
      <w:r w:rsidRPr="00930C00">
        <w:rPr>
          <w:rStyle w:val="HideTWBExt"/>
        </w:rPr>
        <w:t>&lt;NumAm&gt;</w:t>
      </w:r>
      <w:r w:rsidRPr="00930C00">
        <w:t>762</w:t>
      </w:r>
      <w:r w:rsidRPr="00930C00">
        <w:rPr>
          <w:rStyle w:val="HideTWBExt"/>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Alberico Gambino, Carlo Fidanza, Adam Bielan</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5C30ED" w:rsidRDefault="00930C00" w:rsidP="00930C00">
            <w:pPr>
              <w:pStyle w:val="Normal6a"/>
            </w:pPr>
            <w:r>
              <w:t>27.</w:t>
            </w:r>
            <w:r>
              <w:tab/>
              <w:t xml:space="preserve">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w:t>
            </w:r>
            <w:r>
              <w:rPr>
                <w:b/>
                <w:i/>
              </w:rPr>
              <w:t>begrüßt in diesem Zusammenhang die laufende Zusammenarbeit mit Japan bei dem Projekt zur Entwicklung eines Kampfflugzeugs der nächsten Generation;</w:t>
            </w:r>
            <w:r>
              <w:t xml:space="preserve"> fordert den HR/VP auf, die Sichtbarkeit und die Wirksamkeit des auswärtigen Handelns der EU gemeinsam mit unseren indopazifischen Partnern, insbesondere Australien, Neuseeland, Südkorea und Japan, zu fördern;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763</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Ana Miguel Pedro</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 xml:space="preserve">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w:t>
            </w:r>
            <w:r>
              <w:lastRenderedPageBreak/>
              <w:t>Südkorea und Japan, zu fördern;</w:t>
            </w:r>
          </w:p>
        </w:tc>
        <w:tc>
          <w:tcPr>
            <w:tcW w:w="4876" w:type="dxa"/>
            <w:tcBorders>
              <w:top w:val="nil"/>
              <w:left w:val="nil"/>
              <w:bottom w:val="nil"/>
              <w:right w:val="nil"/>
            </w:tcBorders>
          </w:tcPr>
          <w:p w:rsidR="00930C00" w:rsidRPr="005C30ED" w:rsidRDefault="00930C00" w:rsidP="00930C00">
            <w:pPr>
              <w:pStyle w:val="Normal6a"/>
            </w:pPr>
            <w:r>
              <w:lastRenderedPageBreak/>
              <w:t>27.</w:t>
            </w:r>
            <w:r>
              <w:tab/>
              <w:t xml:space="preserve">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w:t>
            </w:r>
            <w:r>
              <w:lastRenderedPageBreak/>
              <w:t xml:space="preserve">Südkorea und Japan, zu fördern; </w:t>
            </w:r>
            <w:r>
              <w:rPr>
                <w:b/>
                <w:i/>
              </w:rPr>
              <w:t>sowie mit aufstrebenden Partnern wie Vietnam und Indonesien;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52D4B" w:rsidRDefault="00930C00" w:rsidP="00930C00">
      <w:pPr>
        <w:pStyle w:val="AmNumberTabs"/>
        <w:rPr>
          <w:lang w:val="en-GB"/>
        </w:rPr>
      </w:pPr>
      <w:r>
        <w:rPr>
          <w:rStyle w:val="HideTWBExt"/>
          <w:lang w:val="en-GB"/>
        </w:rPr>
        <w:t>&lt;Amend&gt;</w:t>
      </w:r>
      <w:r w:rsidRPr="00452D4B">
        <w:rPr>
          <w:lang w:val="en-GB"/>
        </w:rPr>
        <w:t>Änderungsantrag</w:t>
      </w:r>
      <w:r w:rsidRPr="00452D4B">
        <w:rPr>
          <w:lang w:val="en-GB"/>
        </w:rPr>
        <w:tab/>
      </w:r>
      <w:r w:rsidRPr="00452D4B">
        <w:rPr>
          <w:lang w:val="en-GB"/>
        </w:rPr>
        <w:tab/>
      </w:r>
      <w:r>
        <w:rPr>
          <w:rStyle w:val="HideTWBExt"/>
          <w:lang w:val="en-GB"/>
        </w:rPr>
        <w:t>&lt;NumAm&gt;</w:t>
      </w:r>
      <w:r w:rsidRPr="00452D4B">
        <w:rPr>
          <w:lang w:val="en-GB"/>
        </w:rPr>
        <w:t>764</w:t>
      </w:r>
      <w:r>
        <w:rPr>
          <w:rStyle w:val="HideTWBExt"/>
          <w:lang w:val="en-GB"/>
        </w:rPr>
        <w:t>&lt;/NumAm&gt;</w:t>
      </w:r>
    </w:p>
    <w:p w:rsidR="00930C00" w:rsidRPr="00452D4B" w:rsidRDefault="00930C00" w:rsidP="00930C00">
      <w:pPr>
        <w:pStyle w:val="NormalBold"/>
        <w:rPr>
          <w:lang w:val="en-GB"/>
        </w:rPr>
      </w:pPr>
      <w:r>
        <w:rPr>
          <w:rStyle w:val="HideTWBExt"/>
          <w:b w:val="0"/>
          <w:lang w:val="en-GB"/>
        </w:rPr>
        <w:t>&lt;RepeatBlock-By&gt;&lt;Members&gt;</w:t>
      </w:r>
      <w:r w:rsidRPr="00452D4B">
        <w:rPr>
          <w:lang w:val="en-GB"/>
        </w:rPr>
        <w:t>Alice Teodorescu Måwe</w:t>
      </w:r>
      <w:r>
        <w:rPr>
          <w:rStyle w:val="HideTWBExt"/>
          <w:b w:val="0"/>
          <w:lang w:val="en-GB"/>
        </w:rPr>
        <w:t>&lt;/Members&gt;</w:t>
      </w:r>
    </w:p>
    <w:p w:rsidR="00930C00" w:rsidRPr="00042372" w:rsidRDefault="00930C00" w:rsidP="00930C00">
      <w:pPr>
        <w:pStyle w:val="NormalBold"/>
      </w:pPr>
      <w:r w:rsidRPr="00452D4B">
        <w:rPr>
          <w:rStyle w:val="HideTWBExt"/>
          <w:b w:val="0"/>
        </w:rPr>
        <w:t>&lt;/RepeatBlock-By&gt;</w:t>
      </w:r>
    </w:p>
    <w:p w:rsidR="00930C00" w:rsidRPr="00042372" w:rsidRDefault="00930C00" w:rsidP="00930C00">
      <w:pPr>
        <w:pStyle w:val="NormalBold"/>
      </w:pPr>
      <w:r w:rsidRPr="00452D4B">
        <w:rPr>
          <w:rStyle w:val="HideTWBExt"/>
        </w:rPr>
        <w:t>&lt;DocAmend&gt;</w:t>
      </w:r>
      <w:r>
        <w:t>Entschließungsantrag</w:t>
      </w:r>
      <w:r w:rsidRPr="00452D4B">
        <w:rPr>
          <w:rStyle w:val="HideTWBExt"/>
        </w:rPr>
        <w:t>&lt;/DocAmend&gt;</w:t>
      </w:r>
    </w:p>
    <w:p w:rsidR="00930C00" w:rsidRPr="005D638B"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D638B" w:rsidRDefault="00930C00" w:rsidP="00930C00"/>
        </w:tc>
      </w:tr>
      <w:tr w:rsidR="00930C00" w:rsidTr="00930C00">
        <w:trPr>
          <w:trHeight w:val="240"/>
          <w:jc w:val="center"/>
        </w:trPr>
        <w:tc>
          <w:tcPr>
            <w:tcW w:w="4876" w:type="dxa"/>
            <w:tcBorders>
              <w:top w:val="nil"/>
              <w:left w:val="nil"/>
              <w:bottom w:val="nil"/>
              <w:right w:val="nil"/>
            </w:tcBorders>
          </w:tcPr>
          <w:p w:rsidR="00930C00" w:rsidRPr="005D638B" w:rsidRDefault="00930C00" w:rsidP="00930C00">
            <w:pPr>
              <w:pStyle w:val="AmColumnHeading"/>
            </w:pPr>
            <w:r>
              <w:t>Entschließungsantrag</w:t>
            </w:r>
          </w:p>
        </w:tc>
        <w:tc>
          <w:tcPr>
            <w:tcW w:w="4876" w:type="dxa"/>
            <w:tcBorders>
              <w:top w:val="nil"/>
              <w:left w:val="nil"/>
              <w:bottom w:val="nil"/>
              <w:right w:val="nil"/>
            </w:tcBorders>
          </w:tcPr>
          <w:p w:rsidR="00930C00" w:rsidRPr="005D638B"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042372" w:rsidRDefault="00930C00" w:rsidP="00930C00">
            <w:pPr>
              <w:pStyle w:val="Normal6a"/>
            </w:pPr>
            <w:r>
              <w:t>27.</w:t>
            </w:r>
            <w:r>
              <w:tab/>
              <w:t>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und Japan, zu fördern;</w:t>
            </w:r>
          </w:p>
        </w:tc>
        <w:tc>
          <w:tcPr>
            <w:tcW w:w="4876" w:type="dxa"/>
            <w:tcBorders>
              <w:top w:val="nil"/>
              <w:left w:val="nil"/>
              <w:bottom w:val="nil"/>
              <w:right w:val="nil"/>
            </w:tcBorders>
          </w:tcPr>
          <w:p w:rsidR="00930C00" w:rsidRPr="00042372" w:rsidRDefault="00930C00" w:rsidP="00930C00">
            <w:pPr>
              <w:pStyle w:val="Normal6a"/>
            </w:pPr>
            <w:r>
              <w:t>27.</w:t>
            </w:r>
            <w:r>
              <w:tab/>
              <w:t xml:space="preserve">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w:t>
            </w:r>
            <w:r>
              <w:rPr>
                <w:b/>
                <w:i/>
              </w:rPr>
              <w:t xml:space="preserve">Taiwan, </w:t>
            </w:r>
            <w:r>
              <w:t>Australien, Neuseeland, Südkorea und Japan, zu fördern;</w:t>
            </w:r>
          </w:p>
        </w:tc>
      </w:tr>
    </w:tbl>
    <w:p w:rsidR="00930C00" w:rsidRPr="00042372" w:rsidRDefault="00930C00" w:rsidP="00930C00">
      <w:pPr>
        <w:pStyle w:val="AmOrLang"/>
        <w:rPr>
          <w:lang w:val="en-GB"/>
        </w:rPr>
      </w:pPr>
      <w:r w:rsidRPr="00042372">
        <w:rPr>
          <w:lang w:val="en-GB"/>
        </w:rPr>
        <w:t xml:space="preserve">Or. </w:t>
      </w:r>
      <w:r w:rsidRPr="00042372">
        <w:rPr>
          <w:rStyle w:val="HideTWBExt"/>
          <w:lang w:val="en-GB"/>
        </w:rPr>
        <w:t>&lt;Original&gt;</w:t>
      </w:r>
      <w:r w:rsidRPr="00042372">
        <w:rPr>
          <w:rStyle w:val="HideTWBInt"/>
          <w:lang w:val="en-GB"/>
        </w:rPr>
        <w:t>{SV}</w:t>
      </w:r>
      <w:r w:rsidRPr="00042372">
        <w:rPr>
          <w:lang w:val="en-GB"/>
        </w:rPr>
        <w:t>sv</w:t>
      </w:r>
      <w:r w:rsidRPr="00042372">
        <w:rPr>
          <w:rStyle w:val="HideTWBExt"/>
          <w:lang w:val="en-GB"/>
        </w:rPr>
        <w:t>&lt;/Original&gt;</w:t>
      </w:r>
    </w:p>
    <w:p w:rsidR="00930C00" w:rsidRPr="00452D4B" w:rsidRDefault="00930C00" w:rsidP="00930C00">
      <w:pPr>
        <w:rPr>
          <w:lang w:val="en-GB"/>
        </w:rPr>
      </w:pPr>
      <w:r>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765</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 xml:space="preserve">bekräftigt, dass ein friedlicher, stabiler und regelbasierter indopazifischer Raum von wesentlichem europäischen Interesse ist; fordert zu diesem Zweck </w:t>
            </w:r>
            <w:r>
              <w:lastRenderedPageBreak/>
              <w:t xml:space="preserve">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w:t>
            </w:r>
            <w:r>
              <w:rPr>
                <w:b/>
                <w:i/>
              </w:rPr>
              <w:t>und</w:t>
            </w:r>
            <w:r>
              <w:t xml:space="preserve"> Japan, zu fördern;</w:t>
            </w:r>
          </w:p>
        </w:tc>
        <w:tc>
          <w:tcPr>
            <w:tcW w:w="4876" w:type="dxa"/>
            <w:tcBorders>
              <w:top w:val="nil"/>
              <w:left w:val="nil"/>
              <w:bottom w:val="nil"/>
              <w:right w:val="nil"/>
            </w:tcBorders>
          </w:tcPr>
          <w:p w:rsidR="00930C00" w:rsidRPr="005C30ED" w:rsidRDefault="00930C00" w:rsidP="00930C00">
            <w:pPr>
              <w:pStyle w:val="Normal6a"/>
            </w:pPr>
            <w:r>
              <w:lastRenderedPageBreak/>
              <w:t>27.</w:t>
            </w:r>
            <w:r>
              <w:tab/>
              <w:t xml:space="preserve">bekräftigt, dass ein friedlicher, stabiler und regelbasierter indopazifischer Raum von wesentlichem europäischen Interesse ist; fordert zu diesem Zweck </w:t>
            </w:r>
            <w:r>
              <w:lastRenderedPageBreak/>
              <w:t>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w:t>
            </w:r>
            <w:r>
              <w:rPr>
                <w:b/>
                <w:i/>
              </w:rPr>
              <w:t>,</w:t>
            </w:r>
            <w:r>
              <w:t xml:space="preserve"> Japan </w:t>
            </w:r>
            <w:r>
              <w:rPr>
                <w:b/>
                <w:i/>
              </w:rPr>
              <w:t>und Taiwan</w:t>
            </w:r>
            <w:r>
              <w:t>, zu fördern;</w:t>
            </w:r>
          </w:p>
        </w:tc>
      </w:tr>
    </w:tbl>
    <w:p w:rsidR="00930C00" w:rsidRPr="004E2DEB" w:rsidRDefault="00930C00" w:rsidP="00930C00">
      <w:pPr>
        <w:pStyle w:val="AmOrLang"/>
        <w:rPr>
          <w:lang w:val="en-GB"/>
        </w:rPr>
      </w:pPr>
      <w:r w:rsidRPr="004E2DEB">
        <w:rPr>
          <w:lang w:val="en-GB"/>
        </w:rPr>
        <w:lastRenderedPageBreak/>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766</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Michael Gahler, Andrey Kovatchev</w:t>
      </w:r>
      <w:r w:rsidRPr="004E2DEB">
        <w:rPr>
          <w:rStyle w:val="HideTWBExt"/>
          <w:b w:val="0"/>
          <w:lang w:val="en-GB"/>
        </w:rPr>
        <w:t>&lt;/Members&gt;</w:t>
      </w:r>
    </w:p>
    <w:p w:rsidR="00930C00" w:rsidRPr="004E2DEB" w:rsidRDefault="00930C00" w:rsidP="00930C00">
      <w:pPr>
        <w:pStyle w:val="NormalBold"/>
        <w:rPr>
          <w:lang w:val="en-GB"/>
        </w:rPr>
      </w:pPr>
      <w:r w:rsidRPr="004E2DEB">
        <w:rPr>
          <w:rStyle w:val="HideTWBExt"/>
          <w:b w:val="0"/>
          <w:lang w:val="en-GB"/>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5C30ED" w:rsidRDefault="00930C00" w:rsidP="00930C00">
      <w:pPr>
        <w:pStyle w:val="NormalBold"/>
      </w:pPr>
      <w:r>
        <w:rPr>
          <w:rStyle w:val="HideTWBExt"/>
        </w:rPr>
        <w:t>&lt;Article&gt;</w:t>
      </w:r>
      <w:r>
        <w:t>Ziffer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Tr="00930C00">
        <w:trPr>
          <w:trHeight w:hRule="exact" w:val="240"/>
          <w:jc w:val="center"/>
        </w:trPr>
        <w:tc>
          <w:tcPr>
            <w:tcW w:w="9752" w:type="dxa"/>
            <w:gridSpan w:val="2"/>
            <w:tcBorders>
              <w:top w:val="nil"/>
              <w:left w:val="nil"/>
              <w:bottom w:val="nil"/>
              <w:right w:val="nil"/>
            </w:tcBorders>
          </w:tcPr>
          <w:p w:rsidR="00930C00" w:rsidRPr="005C30ED" w:rsidRDefault="00930C00" w:rsidP="00930C00"/>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r>
              <w:t>27.</w:t>
            </w:r>
            <w:r>
              <w:tab/>
              <w:t xml:space="preserve">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 </w:t>
            </w:r>
            <w:r>
              <w:rPr>
                <w:b/>
                <w:i/>
              </w:rPr>
              <w:t>und</w:t>
            </w:r>
            <w:r>
              <w:t xml:space="preserve"> Japan, zu fördern;</w:t>
            </w:r>
          </w:p>
        </w:tc>
        <w:tc>
          <w:tcPr>
            <w:tcW w:w="4876" w:type="dxa"/>
            <w:tcBorders>
              <w:top w:val="nil"/>
              <w:left w:val="nil"/>
              <w:bottom w:val="nil"/>
              <w:right w:val="nil"/>
            </w:tcBorders>
          </w:tcPr>
          <w:p w:rsidR="00930C00" w:rsidRPr="005C30ED" w:rsidRDefault="00930C00" w:rsidP="00930C00">
            <w:pPr>
              <w:pStyle w:val="Normal6a"/>
            </w:pPr>
            <w:r>
              <w:t>27.</w:t>
            </w:r>
            <w:r>
              <w:tab/>
              <w:t>bekräftigt, dass ein friedlicher, stabiler und regelbasierter indopazifischer Raum von wesentlichem europäischen Interesse ist; fordert zu diesem Zweck engere außen-, sicherheits- und verteidigungspolitische Beziehungen zu gleichgesinnten Partnern in der Region gemäß der EU-Strategie für die Zusammenarbeit im indopazifischen Raum; fordert den HR/VP auf, die Sichtbarkeit und die Wirksamkeit des auswärtigen Handelns der EU gemeinsam mit unseren indopazifischen Partnern, insbesondere Australien, Neuseeland, Südkorea</w:t>
            </w:r>
            <w:r>
              <w:rPr>
                <w:b/>
                <w:i/>
              </w:rPr>
              <w:t>,</w:t>
            </w:r>
            <w:r>
              <w:t xml:space="preserve"> Japan </w:t>
            </w:r>
            <w:r>
              <w:rPr>
                <w:b/>
                <w:i/>
              </w:rPr>
              <w:t>und Taiwan</w:t>
            </w:r>
            <w:r>
              <w:t>, zu fördern;</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p>
    <w:p w:rsidR="00930C00" w:rsidRPr="004E2DEB" w:rsidRDefault="00930C00" w:rsidP="00930C00">
      <w:pPr>
        <w:pStyle w:val="AmNumberTabs"/>
        <w:rPr>
          <w:lang w:val="en-GB"/>
        </w:rPr>
      </w:pPr>
      <w:r w:rsidRPr="004E2DEB">
        <w:rPr>
          <w:rStyle w:val="HideTWBExt"/>
          <w:lang w:val="en-GB"/>
        </w:rPr>
        <w:t>&lt;Amend&gt;</w:t>
      </w:r>
      <w:r w:rsidRPr="004E2DEB">
        <w:rPr>
          <w:lang w:val="en-GB"/>
        </w:rPr>
        <w:t>Änderungsantrag</w:t>
      </w:r>
      <w:r w:rsidRPr="004E2DEB">
        <w:rPr>
          <w:lang w:val="en-GB"/>
        </w:rPr>
        <w:tab/>
      </w:r>
      <w:r w:rsidRPr="004E2DEB">
        <w:rPr>
          <w:lang w:val="en-GB"/>
        </w:rPr>
        <w:tab/>
      </w:r>
      <w:r w:rsidRPr="004E2DEB">
        <w:rPr>
          <w:rStyle w:val="HideTWBExt"/>
          <w:lang w:val="en-GB"/>
        </w:rPr>
        <w:t>&lt;NumAm&gt;</w:t>
      </w:r>
      <w:r w:rsidRPr="004E2DEB">
        <w:rPr>
          <w:lang w:val="en-GB"/>
        </w:rPr>
        <w:t>767</w:t>
      </w:r>
      <w:r w:rsidRPr="004E2DEB">
        <w:rPr>
          <w:rStyle w:val="HideTWBExt"/>
          <w:lang w:val="en-GB"/>
        </w:rPr>
        <w:t>&lt;/NumAm&gt;</w:t>
      </w:r>
    </w:p>
    <w:p w:rsidR="00930C00" w:rsidRPr="004E2DEB" w:rsidRDefault="00930C00" w:rsidP="00930C00">
      <w:pPr>
        <w:pStyle w:val="NormalBold"/>
        <w:rPr>
          <w:lang w:val="en-GB"/>
        </w:rPr>
      </w:pPr>
      <w:r w:rsidRPr="004E2DEB">
        <w:rPr>
          <w:rStyle w:val="HideTWBExt"/>
          <w:b w:val="0"/>
          <w:lang w:val="en-GB"/>
        </w:rPr>
        <w:t>&lt;RepeatBlock-By&gt;&lt;Members&gt;</w:t>
      </w:r>
      <w:r w:rsidRPr="004E2DEB">
        <w:rPr>
          <w:lang w:val="en-GB"/>
        </w:rPr>
        <w:t>Miriam Lexmann</w:t>
      </w:r>
      <w:r w:rsidRPr="004E2DEB">
        <w:rPr>
          <w:rStyle w:val="HideTWBExt"/>
          <w:b w:val="0"/>
          <w:lang w:val="en-GB"/>
        </w:rPr>
        <w:t>&lt;/Members&gt;</w:t>
      </w:r>
    </w:p>
    <w:p w:rsidR="00930C00" w:rsidRPr="005C30ED" w:rsidRDefault="00930C00" w:rsidP="00930C00">
      <w:pPr>
        <w:pStyle w:val="NormalBold"/>
      </w:pPr>
      <w:r>
        <w:rPr>
          <w:rStyle w:val="HideTWBExt"/>
          <w:b w:val="0"/>
        </w:rPr>
        <w:t>&lt;/RepeatBlock-By&gt;</w:t>
      </w:r>
    </w:p>
    <w:p w:rsidR="00930C00" w:rsidRPr="005C30ED" w:rsidRDefault="00930C00" w:rsidP="00930C00">
      <w:pPr>
        <w:pStyle w:val="NormalBold"/>
      </w:pPr>
      <w:r>
        <w:rPr>
          <w:rStyle w:val="HideTWBExt"/>
        </w:rPr>
        <w:t>&lt;DocAmend&gt;</w:t>
      </w:r>
      <w:r>
        <w:t>Entschließungsantrag</w:t>
      </w:r>
      <w:r>
        <w:rPr>
          <w:rStyle w:val="HideTWBExt"/>
        </w:rPr>
        <w:t>&lt;/DocAmend&gt;</w:t>
      </w:r>
    </w:p>
    <w:p w:rsidR="00930C00" w:rsidRPr="004E2DEB" w:rsidRDefault="00930C00" w:rsidP="00930C00">
      <w:pPr>
        <w:pStyle w:val="NormalBold"/>
        <w:rPr>
          <w:lang w:val="fr-FR"/>
        </w:rPr>
      </w:pPr>
      <w:r w:rsidRPr="004E2DEB">
        <w:rPr>
          <w:rStyle w:val="HideTWBExt"/>
          <w:lang w:val="fr-FR"/>
        </w:rPr>
        <w:t>&lt;Article&gt;</w:t>
      </w:r>
      <w:r w:rsidRPr="004E2DEB">
        <w:rPr>
          <w:lang w:val="fr-FR"/>
        </w:rPr>
        <w:t>Ziffer 27 a (neu)</w:t>
      </w:r>
      <w:r w:rsidRPr="004E2DEB">
        <w:rPr>
          <w:rStyle w:val="HideTWBExt"/>
          <w:lang w:val="fr-FR"/>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30C00" w:rsidRPr="00930C00" w:rsidTr="00930C00">
        <w:trPr>
          <w:trHeight w:hRule="exact" w:val="240"/>
          <w:jc w:val="center"/>
        </w:trPr>
        <w:tc>
          <w:tcPr>
            <w:tcW w:w="9752" w:type="dxa"/>
            <w:gridSpan w:val="2"/>
            <w:tcBorders>
              <w:top w:val="nil"/>
              <w:left w:val="nil"/>
              <w:bottom w:val="nil"/>
              <w:right w:val="nil"/>
            </w:tcBorders>
          </w:tcPr>
          <w:p w:rsidR="00930C00" w:rsidRPr="004E2DEB" w:rsidRDefault="00930C00" w:rsidP="00930C00">
            <w:pPr>
              <w:rPr>
                <w:lang w:val="fr-FR"/>
              </w:rPr>
            </w:pPr>
          </w:p>
        </w:tc>
      </w:tr>
      <w:tr w:rsidR="00930C00" w:rsidTr="00930C00">
        <w:trPr>
          <w:trHeight w:val="240"/>
          <w:jc w:val="center"/>
        </w:trPr>
        <w:tc>
          <w:tcPr>
            <w:tcW w:w="4876" w:type="dxa"/>
            <w:tcBorders>
              <w:top w:val="nil"/>
              <w:left w:val="nil"/>
              <w:bottom w:val="nil"/>
              <w:right w:val="nil"/>
            </w:tcBorders>
          </w:tcPr>
          <w:p w:rsidR="00930C00" w:rsidRPr="005C30ED" w:rsidRDefault="00930C00" w:rsidP="00930C00">
            <w:pPr>
              <w:pStyle w:val="AmColumnHeading"/>
            </w:pPr>
            <w:r>
              <w:t>Entschließungsantrag</w:t>
            </w:r>
          </w:p>
        </w:tc>
        <w:tc>
          <w:tcPr>
            <w:tcW w:w="4876" w:type="dxa"/>
            <w:tcBorders>
              <w:top w:val="nil"/>
              <w:left w:val="nil"/>
              <w:bottom w:val="nil"/>
              <w:right w:val="nil"/>
            </w:tcBorders>
          </w:tcPr>
          <w:p w:rsidR="00930C00" w:rsidRPr="005C30ED" w:rsidRDefault="00930C00" w:rsidP="00930C00">
            <w:pPr>
              <w:pStyle w:val="AmColumnHeading"/>
            </w:pPr>
            <w:r>
              <w:t>Geänderter Text</w:t>
            </w:r>
          </w:p>
        </w:tc>
      </w:tr>
      <w:tr w:rsidR="00930C00" w:rsidTr="00930C00">
        <w:trPr>
          <w:jc w:val="center"/>
        </w:trPr>
        <w:tc>
          <w:tcPr>
            <w:tcW w:w="4876" w:type="dxa"/>
            <w:tcBorders>
              <w:top w:val="nil"/>
              <w:left w:val="nil"/>
              <w:bottom w:val="nil"/>
              <w:right w:val="nil"/>
            </w:tcBorders>
          </w:tcPr>
          <w:p w:rsidR="00930C00" w:rsidRPr="005C30ED" w:rsidRDefault="00930C00" w:rsidP="00930C00">
            <w:pPr>
              <w:pStyle w:val="Normal6a"/>
            </w:pPr>
          </w:p>
        </w:tc>
        <w:tc>
          <w:tcPr>
            <w:tcW w:w="4876" w:type="dxa"/>
            <w:tcBorders>
              <w:top w:val="nil"/>
              <w:left w:val="nil"/>
              <w:bottom w:val="nil"/>
              <w:right w:val="nil"/>
            </w:tcBorders>
          </w:tcPr>
          <w:p w:rsidR="00930C00" w:rsidRPr="005C30ED" w:rsidRDefault="00930C00" w:rsidP="00930C00">
            <w:pPr>
              <w:pStyle w:val="Normal6a"/>
            </w:pPr>
            <w:r>
              <w:rPr>
                <w:b/>
                <w:i/>
              </w:rPr>
              <w:t>27a.</w:t>
            </w:r>
            <w:r>
              <w:tab/>
            </w:r>
            <w:r>
              <w:rPr>
                <w:b/>
                <w:i/>
              </w:rPr>
              <w:t>wendet sich gegen die anhaltende Verzerrung der Resolution 2758 der Vereinten Nationen durch die VR China und ihre Bemühungen, Taiwans Mitwirkung in multilateralen Organisationen zu blockieren; bekräftigt sein festes Eintreten für den Status quo in der Taiwanstraße; betont, dass jeder Versuch, den Status quo in der Taiwanstraße einseitig zu ändern, insbesondere durch Gewalt oder Zwang, nicht akzeptiert wird und eine entschiedene und entschlossene Reaktion zur Folge haben wird; </w:t>
            </w:r>
          </w:p>
        </w:tc>
      </w:tr>
    </w:tbl>
    <w:p w:rsidR="00930C00" w:rsidRPr="004E2DEB" w:rsidRDefault="00930C00" w:rsidP="00930C00">
      <w:pPr>
        <w:pStyle w:val="AmOrLang"/>
        <w:rPr>
          <w:lang w:val="en-GB"/>
        </w:rPr>
      </w:pPr>
      <w:r w:rsidRPr="004E2DEB">
        <w:rPr>
          <w:lang w:val="en-GB"/>
        </w:rPr>
        <w:t xml:space="preserve">Or. </w:t>
      </w:r>
      <w:r w:rsidRPr="004E2DEB">
        <w:rPr>
          <w:rStyle w:val="HideTWBExt"/>
          <w:lang w:val="en-GB"/>
        </w:rPr>
        <w:t>&lt;Original&gt;</w:t>
      </w:r>
      <w:r w:rsidRPr="004E2DEB">
        <w:rPr>
          <w:rStyle w:val="HideTWBInt"/>
          <w:lang w:val="en-GB"/>
        </w:rPr>
        <w:t>{EN}</w:t>
      </w:r>
      <w:r w:rsidRPr="004E2DEB">
        <w:rPr>
          <w:lang w:val="en-GB"/>
        </w:rPr>
        <w:t>en</w:t>
      </w:r>
      <w:r w:rsidRPr="004E2DEB">
        <w:rPr>
          <w:rStyle w:val="HideTWBExt"/>
          <w:lang w:val="en-GB"/>
        </w:rPr>
        <w:t>&lt;/Original&gt;</w:t>
      </w:r>
    </w:p>
    <w:p w:rsidR="00930C00" w:rsidRPr="004E2DEB" w:rsidRDefault="00930C00" w:rsidP="00930C00">
      <w:pPr>
        <w:rPr>
          <w:lang w:val="en-GB"/>
        </w:rPr>
      </w:pPr>
      <w:r w:rsidRPr="004E2DEB">
        <w:rPr>
          <w:rStyle w:val="HideTWBExt"/>
          <w:lang w:val="en-GB"/>
        </w:rPr>
        <w:t>&lt;/Amend&gt;</w:t>
      </w:r>
      <w:r w:rsidRPr="00930C00">
        <w:rPr>
          <w:rStyle w:val="HideTWBExt"/>
          <w:lang w:val="en-GB"/>
        </w:rPr>
        <w:t>&lt;/RepeatBlock-Amend&gt;</w:t>
      </w:r>
    </w:p>
    <w:p w:rsidR="00170905" w:rsidRPr="00930C00" w:rsidRDefault="00170905" w:rsidP="00930C00">
      <w:pPr>
        <w:rPr>
          <w:lang w:val="en-GB"/>
        </w:rPr>
      </w:pPr>
    </w:p>
    <w:sectPr w:rsidR="00170905" w:rsidRPr="00930C00" w:rsidSect="00DC72F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C00" w:rsidRPr="005D638B" w:rsidRDefault="00930C00">
      <w:r w:rsidRPr="005D638B">
        <w:separator/>
      </w:r>
    </w:p>
  </w:endnote>
  <w:endnote w:type="continuationSeparator" w:id="0">
    <w:p w:rsidR="00930C00" w:rsidRPr="005D638B" w:rsidRDefault="00930C00">
      <w:r w:rsidRPr="005D63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C00" w:rsidRPr="005D638B" w:rsidRDefault="00930C00" w:rsidP="00DC72FE">
    <w:pPr>
      <w:pStyle w:val="EPFooter"/>
    </w:pPr>
    <w:r w:rsidRPr="005D638B">
      <w:t>PE</w:t>
    </w:r>
    <w:r w:rsidRPr="005D638B">
      <w:rPr>
        <w:rStyle w:val="HideTWBExt"/>
      </w:rPr>
      <w:t>&lt;NoPE&gt;</w:t>
    </w:r>
    <w:r w:rsidRPr="005D638B">
      <w:t>765.313</w:t>
    </w:r>
    <w:r w:rsidRPr="005D638B">
      <w:rPr>
        <w:rStyle w:val="HideTWBExt"/>
      </w:rPr>
      <w:t>&lt;/NoPE&gt;&lt;Version&gt;</w:t>
    </w:r>
    <w:r w:rsidRPr="005D638B">
      <w:t>v02-00</w:t>
    </w:r>
    <w:r w:rsidRPr="005D638B">
      <w:rPr>
        <w:rStyle w:val="HideTWBExt"/>
      </w:rPr>
      <w:t>&lt;/Version&gt;</w:t>
    </w:r>
    <w:r w:rsidRPr="005D638B">
      <w:tab/>
    </w:r>
    <w:r w:rsidRPr="005D638B">
      <w:fldChar w:fldCharType="begin"/>
    </w:r>
    <w:r w:rsidRPr="005D638B">
      <w:instrText xml:space="preserve"> PAGE  \* MERGEFORMAT </w:instrText>
    </w:r>
    <w:r w:rsidRPr="005D638B">
      <w:fldChar w:fldCharType="separate"/>
    </w:r>
    <w:r w:rsidR="00974CFB">
      <w:rPr>
        <w:noProof/>
      </w:rPr>
      <w:t>2</w:t>
    </w:r>
    <w:r w:rsidRPr="005D638B">
      <w:fldChar w:fldCharType="end"/>
    </w:r>
    <w:r w:rsidRPr="005D638B">
      <w:t>/</w:t>
    </w:r>
    <w:fldSimple w:instr=" NUMPAGES  \* MERGEFORMAT ">
      <w:r w:rsidR="00974CFB">
        <w:rPr>
          <w:noProof/>
        </w:rPr>
        <w:t>207</w:t>
      </w:r>
    </w:fldSimple>
    <w:r w:rsidRPr="005D638B">
      <w:tab/>
    </w:r>
    <w:r w:rsidRPr="005D638B">
      <w:rPr>
        <w:rStyle w:val="HideTWBExt"/>
      </w:rPr>
      <w:t>&lt;PathFdR&gt;</w:t>
    </w:r>
    <w:r w:rsidRPr="005D638B">
      <w:t>AM\1309977DE.docx</w:t>
    </w:r>
    <w:r w:rsidRPr="005D638B">
      <w:rPr>
        <w:rStyle w:val="HideTWBExt"/>
      </w:rPr>
      <w:t>&lt;/PathFdR&gt;</w:t>
    </w:r>
  </w:p>
  <w:p w:rsidR="00930C00" w:rsidRPr="005D638B" w:rsidRDefault="00930C00" w:rsidP="00DC72FE">
    <w:pPr>
      <w:pStyle w:val="EPFooter2"/>
    </w:pPr>
    <w:r w:rsidRPr="005D638B">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C00" w:rsidRPr="005D638B" w:rsidRDefault="00930C00" w:rsidP="00DC72FE">
    <w:pPr>
      <w:pStyle w:val="EPFooter"/>
    </w:pPr>
    <w:r w:rsidRPr="005D638B">
      <w:rPr>
        <w:rStyle w:val="HideTWBExt"/>
      </w:rPr>
      <w:t>&lt;PathFdR&gt;</w:t>
    </w:r>
    <w:r w:rsidRPr="005D638B">
      <w:t>AM\1309977DE.docx</w:t>
    </w:r>
    <w:r w:rsidRPr="005D638B">
      <w:rPr>
        <w:rStyle w:val="HideTWBExt"/>
      </w:rPr>
      <w:t>&lt;/PathFdR&gt;</w:t>
    </w:r>
    <w:r w:rsidRPr="005D638B">
      <w:tab/>
    </w:r>
    <w:r w:rsidRPr="005D638B">
      <w:fldChar w:fldCharType="begin"/>
    </w:r>
    <w:r w:rsidRPr="005D638B">
      <w:instrText xml:space="preserve"> PAGE  \* MERGEFORMAT </w:instrText>
    </w:r>
    <w:r w:rsidRPr="005D638B">
      <w:fldChar w:fldCharType="separate"/>
    </w:r>
    <w:r w:rsidR="00974CFB">
      <w:rPr>
        <w:noProof/>
      </w:rPr>
      <w:t>207</w:t>
    </w:r>
    <w:r w:rsidRPr="005D638B">
      <w:fldChar w:fldCharType="end"/>
    </w:r>
    <w:r w:rsidRPr="005D638B">
      <w:t>/</w:t>
    </w:r>
    <w:fldSimple w:instr=" NUMPAGES  \* MERGEFORMAT ">
      <w:r w:rsidR="00974CFB">
        <w:rPr>
          <w:noProof/>
        </w:rPr>
        <w:t>207</w:t>
      </w:r>
    </w:fldSimple>
    <w:r w:rsidRPr="005D638B">
      <w:tab/>
      <w:t>PE</w:t>
    </w:r>
    <w:r w:rsidRPr="005D638B">
      <w:rPr>
        <w:rStyle w:val="HideTWBExt"/>
      </w:rPr>
      <w:t>&lt;NoPE&gt;</w:t>
    </w:r>
    <w:r w:rsidRPr="005D638B">
      <w:t>765.313</w:t>
    </w:r>
    <w:r w:rsidRPr="005D638B">
      <w:rPr>
        <w:rStyle w:val="HideTWBExt"/>
      </w:rPr>
      <w:t>&lt;/NoPE&gt;&lt;Version&gt;</w:t>
    </w:r>
    <w:r w:rsidRPr="005D638B">
      <w:t>v02-00</w:t>
    </w:r>
    <w:r w:rsidRPr="005D638B">
      <w:rPr>
        <w:rStyle w:val="HideTWBExt"/>
      </w:rPr>
      <w:t>&lt;/Version&gt;</w:t>
    </w:r>
  </w:p>
  <w:p w:rsidR="00930C00" w:rsidRPr="005D638B" w:rsidRDefault="00930C00" w:rsidP="00DC72FE">
    <w:pPr>
      <w:pStyle w:val="EPFooter2"/>
    </w:pPr>
    <w:r w:rsidRPr="005D638B">
      <w:tab/>
    </w:r>
    <w:r w:rsidRPr="005D638B">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C00" w:rsidRPr="005D638B" w:rsidRDefault="00930C00" w:rsidP="00DC72FE">
    <w:pPr>
      <w:pStyle w:val="EPFooter"/>
    </w:pPr>
    <w:r w:rsidRPr="005D638B">
      <w:rPr>
        <w:rStyle w:val="HideTWBExt"/>
      </w:rPr>
      <w:t>&lt;PathFdR&gt;</w:t>
    </w:r>
    <w:r w:rsidRPr="005D638B">
      <w:t>AM\1309977DE.docx</w:t>
    </w:r>
    <w:r w:rsidRPr="005D638B">
      <w:rPr>
        <w:rStyle w:val="HideTWBExt"/>
      </w:rPr>
      <w:t>&lt;/PathFdR&gt;</w:t>
    </w:r>
    <w:r w:rsidRPr="005D638B">
      <w:tab/>
    </w:r>
    <w:r w:rsidRPr="005D638B">
      <w:tab/>
      <w:t>PE</w:t>
    </w:r>
    <w:r w:rsidRPr="005D638B">
      <w:rPr>
        <w:rStyle w:val="HideTWBExt"/>
      </w:rPr>
      <w:t>&lt;NoPE&gt;</w:t>
    </w:r>
    <w:r w:rsidRPr="005D638B">
      <w:t>765.313</w:t>
    </w:r>
    <w:r w:rsidRPr="005D638B">
      <w:rPr>
        <w:rStyle w:val="HideTWBExt"/>
      </w:rPr>
      <w:t>&lt;/NoPE&gt;&lt;Version&gt;</w:t>
    </w:r>
    <w:r w:rsidRPr="005D638B">
      <w:t>v02-00</w:t>
    </w:r>
    <w:r w:rsidRPr="005D638B">
      <w:rPr>
        <w:rStyle w:val="HideTWBExt"/>
      </w:rPr>
      <w:t>&lt;/Version&gt;</w:t>
    </w:r>
  </w:p>
  <w:p w:rsidR="00930C00" w:rsidRPr="005D638B" w:rsidRDefault="00930C00" w:rsidP="00DC72FE">
    <w:pPr>
      <w:pStyle w:val="EPFooter2"/>
    </w:pPr>
    <w:r w:rsidRPr="005D638B">
      <w:t>DE</w:t>
    </w:r>
    <w:r w:rsidRPr="005D638B">
      <w:tab/>
    </w:r>
    <w:r w:rsidRPr="005D638B">
      <w:rPr>
        <w:b w:val="0"/>
        <w:i/>
        <w:color w:val="C0C0C0"/>
        <w:sz w:val="22"/>
      </w:rPr>
      <w:t>In Vielfalt geeint</w:t>
    </w:r>
    <w:r w:rsidRPr="005D638B">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C00" w:rsidRPr="005D638B" w:rsidRDefault="00930C00">
      <w:r w:rsidRPr="005D638B">
        <w:separator/>
      </w:r>
    </w:p>
  </w:footnote>
  <w:footnote w:type="continuationSeparator" w:id="0">
    <w:p w:rsidR="00930C00" w:rsidRPr="005D638B" w:rsidRDefault="00930C00">
      <w:r w:rsidRPr="005D638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CFB" w:rsidRDefault="00974C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CFB" w:rsidRDefault="00974C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CFB" w:rsidRDefault="00974C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DE"/>
    <w:docVar w:name="TXTLANGUEMIN" w:val="de"/>
    <w:docVar w:name="TXTNRPE" w:val="765.313"/>
    <w:docVar w:name="TXTPEorAP" w:val="PE"/>
    <w:docVar w:name="TXTROUTE" w:val="AM\1309977DE.docx"/>
    <w:docVar w:name="TXTVERSION" w:val="02-00"/>
  </w:docVars>
  <w:rsids>
    <w:rsidRoot w:val="00A77B3E"/>
    <w:rsid w:val="00170905"/>
    <w:rsid w:val="00242C57"/>
    <w:rsid w:val="00251D78"/>
    <w:rsid w:val="005D638B"/>
    <w:rsid w:val="00930C00"/>
    <w:rsid w:val="00974CFB"/>
    <w:rsid w:val="00A00DBF"/>
    <w:rsid w:val="00A77B3E"/>
    <w:rsid w:val="00CA2A55"/>
    <w:rsid w:val="00DC7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ECC2A49"/>
  <w15:docId w15:val="{DE61CF2C-0CF0-4C23-AC76-D32BE6AF3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DC72FE"/>
    <w:pPr>
      <w:tabs>
        <w:tab w:val="center" w:pos="4513"/>
        <w:tab w:val="right" w:pos="9026"/>
      </w:tabs>
    </w:pPr>
  </w:style>
  <w:style w:type="character" w:customStyle="1" w:styleId="HeaderChar">
    <w:name w:val="Header Char"/>
    <w:basedOn w:val="DefaultParagraphFont"/>
    <w:link w:val="Header"/>
    <w:rsid w:val="00DC72FE"/>
    <w:rPr>
      <w:sz w:val="24"/>
      <w:szCs w:val="24"/>
    </w:rPr>
  </w:style>
  <w:style w:type="paragraph" w:styleId="Footer">
    <w:name w:val="footer"/>
    <w:basedOn w:val="Normal"/>
    <w:link w:val="FooterChar"/>
    <w:semiHidden/>
    <w:unhideWhenUsed/>
    <w:rsid w:val="00242C57"/>
    <w:pPr>
      <w:tabs>
        <w:tab w:val="center" w:pos="4513"/>
        <w:tab w:val="right" w:pos="9026"/>
      </w:tabs>
    </w:pPr>
  </w:style>
  <w:style w:type="character" w:customStyle="1" w:styleId="FooterChar">
    <w:name w:val="Footer Char"/>
    <w:basedOn w:val="DefaultParagraphFont"/>
    <w:link w:val="Footer"/>
    <w:semiHidden/>
    <w:rsid w:val="00242C57"/>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3428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207</Pages>
  <Words>45598</Words>
  <Characters>302041</Characters>
  <Application>Microsoft Office Word</Application>
  <DocSecurity>0</DocSecurity>
  <Lines>11734</Lines>
  <Paragraphs>2830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345142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2024-12-04T10:40:00Z</dcterms:created>
  <dcterms:modified xsi:type="dcterms:W3CDTF">2024-12-04T10:40:00Z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1309977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87437</vt:lpwstr>
  </property>
  <property fmtid="{D5CDD505-2E9C-101B-9397-08002B2CF9AE}" pid="7" name="dmxml.render.traceId">
    <vt:lpwstr>672e06b1cfd0968a78e5cb344ebe7299</vt:lpwstr>
  </property>
  <property fmtid="{D5CDD505-2E9C-101B-9397-08002B2CF9AE}" pid="8" name="FooterPath">
    <vt:lpwstr>AM\1309977DE.docx</vt:lpwstr>
  </property>
  <property fmtid="{D5CDD505-2E9C-101B-9397-08002B2CF9AE}" pid="9" name="PE Number">
    <vt:lpwstr>765.313</vt:lpwstr>
  </property>
  <property fmtid="{D5CDD505-2E9C-101B-9397-08002B2CF9AE}" pid="10" name="UID">
    <vt:lpwstr>eu.europa.europarl-DIN1-2024-0000051287_01.00-xm-01.00_text-xml</vt:lpwstr>
  </property>
  <property fmtid="{D5CDD505-2E9C-101B-9397-08002B2CF9AE}" pid="11" name="LastEdited with">
    <vt:lpwstr>10.0.0 Build [20241005]</vt:lpwstr>
  </property>
  <property fmtid="{D5CDD505-2E9C-101B-9397-08002B2CF9AE}" pid="12" name="Bookout">
    <vt:lpwstr>OK - 2024/12/04 11:40</vt:lpwstr>
  </property>
  <property fmtid="{D5CDD505-2E9C-101B-9397-08002B2CF9AE}" pid="13" name="SDLStudio">
    <vt:lpwstr/>
  </property>
</Properties>
</file>