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0A7EC7" w:rsidTr="00C85D0F">
        <w:trPr>
          <w:trHeight w:hRule="exact" w:val="1418"/>
        </w:trPr>
        <w:tc>
          <w:tcPr>
            <w:tcW w:w="6804" w:type="dxa"/>
            <w:shd w:val="clear" w:color="auto" w:fill="auto"/>
            <w:vAlign w:val="center"/>
          </w:tcPr>
          <w:p w:rsidR="005E5FA1" w:rsidRPr="000A7EC7" w:rsidRDefault="00487B77" w:rsidP="00C85D0F">
            <w:pPr>
              <w:pStyle w:val="EPName"/>
            </w:pPr>
            <w:r w:rsidRPr="000A7EC7">
              <w:t>Europäisches Parlament</w:t>
            </w:r>
          </w:p>
          <w:p w:rsidR="005E5FA1" w:rsidRPr="000A7EC7" w:rsidRDefault="00DC1A4D" w:rsidP="00DC1A4D">
            <w:pPr>
              <w:pStyle w:val="EPTerm"/>
            </w:pPr>
            <w:r w:rsidRPr="000A7EC7">
              <w:t>2024-2029</w:t>
            </w:r>
          </w:p>
        </w:tc>
        <w:tc>
          <w:tcPr>
            <w:tcW w:w="2268" w:type="dxa"/>
            <w:shd w:val="clear" w:color="auto" w:fill="auto"/>
          </w:tcPr>
          <w:p w:rsidR="005E5FA1" w:rsidRPr="000A7EC7" w:rsidRDefault="005E5FA1" w:rsidP="00C85D0F">
            <w:pPr>
              <w:pStyle w:val="EPLogo"/>
            </w:pPr>
            <w:r w:rsidRPr="000A7EC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0A7EC7" w:rsidRDefault="00CF4E9D" w:rsidP="00CF4E9D">
      <w:pPr>
        <w:pStyle w:val="LineTop"/>
      </w:pPr>
    </w:p>
    <w:p w:rsidR="00CF4E9D" w:rsidRPr="000A7EC7" w:rsidRDefault="00CF4E9D" w:rsidP="00CF4E9D">
      <w:pPr>
        <w:pStyle w:val="EPBody"/>
      </w:pPr>
      <w:r w:rsidRPr="000A7EC7">
        <w:rPr>
          <w:rStyle w:val="HideTWBExt"/>
        </w:rPr>
        <w:t>&lt;</w:t>
      </w:r>
      <w:r w:rsidRPr="000A7EC7">
        <w:rPr>
          <w:rStyle w:val="HideTWBExt"/>
          <w:i w:val="0"/>
        </w:rPr>
        <w:t>Commission</w:t>
      </w:r>
      <w:r w:rsidRPr="000A7EC7">
        <w:rPr>
          <w:rStyle w:val="HideTWBExt"/>
        </w:rPr>
        <w:t>&gt;</w:t>
      </w:r>
      <w:r w:rsidRPr="000A7EC7">
        <w:rPr>
          <w:rStyle w:val="HideTWBInt"/>
        </w:rPr>
        <w:t>{AFET}</w:t>
      </w:r>
      <w:r w:rsidRPr="000A7EC7">
        <w:t>Ausschuss für auswärtige Angelegenheiten</w:t>
      </w:r>
      <w:r w:rsidRPr="000A7EC7">
        <w:rPr>
          <w:rStyle w:val="HideTWBExt"/>
        </w:rPr>
        <w:t>&lt;/</w:t>
      </w:r>
      <w:r w:rsidRPr="000A7EC7">
        <w:rPr>
          <w:rStyle w:val="HideTWBExt"/>
          <w:i w:val="0"/>
        </w:rPr>
        <w:t>Commission</w:t>
      </w:r>
      <w:r w:rsidRPr="000A7EC7">
        <w:rPr>
          <w:rStyle w:val="HideTWBExt"/>
        </w:rPr>
        <w:t>&gt;</w:t>
      </w:r>
    </w:p>
    <w:p w:rsidR="00CF4E9D" w:rsidRPr="000A7EC7" w:rsidRDefault="00CF4E9D" w:rsidP="00CF4E9D">
      <w:pPr>
        <w:pStyle w:val="LineBottom"/>
      </w:pPr>
    </w:p>
    <w:p w:rsidR="00794E41" w:rsidRPr="000A7EC7" w:rsidRDefault="00794E41" w:rsidP="00794E41">
      <w:pPr>
        <w:pStyle w:val="CoverReference"/>
      </w:pPr>
      <w:r w:rsidRPr="000A7EC7">
        <w:rPr>
          <w:rStyle w:val="HideTWBExt"/>
          <w:b w:val="0"/>
        </w:rPr>
        <w:t>&lt;RefProc&gt;</w:t>
      </w:r>
      <w:r w:rsidRPr="000A7EC7">
        <w:t>2024/2080</w:t>
      </w:r>
      <w:r w:rsidRPr="000A7EC7">
        <w:rPr>
          <w:rStyle w:val="HideTWBExt"/>
          <w:b w:val="0"/>
        </w:rPr>
        <w:t>&lt;/RefProc&gt;&lt;RefTypeProc&gt;</w:t>
      </w:r>
      <w:r w:rsidRPr="000A7EC7">
        <w:t>(INI)</w:t>
      </w:r>
      <w:r w:rsidRPr="000A7EC7">
        <w:rPr>
          <w:rStyle w:val="HideTWBExt"/>
          <w:b w:val="0"/>
        </w:rPr>
        <w:t>&lt;/RefTypeProc&gt;</w:t>
      </w:r>
    </w:p>
    <w:p w:rsidR="00794E41" w:rsidRPr="000A7EC7" w:rsidRDefault="00794E41" w:rsidP="00794E41">
      <w:pPr>
        <w:pStyle w:val="CoverDate"/>
      </w:pPr>
      <w:r w:rsidRPr="000A7EC7">
        <w:rPr>
          <w:rStyle w:val="HideTWBExt"/>
        </w:rPr>
        <w:t>&lt;Date&gt;</w:t>
      </w:r>
      <w:r w:rsidRPr="000A7EC7">
        <w:rPr>
          <w:rStyle w:val="HideTWBInt"/>
        </w:rPr>
        <w:t>{08/11/2024}</w:t>
      </w:r>
      <w:r w:rsidRPr="000A7EC7">
        <w:t>8.11.2024</w:t>
      </w:r>
      <w:r w:rsidRPr="000A7EC7">
        <w:rPr>
          <w:rStyle w:val="HideTWBExt"/>
        </w:rPr>
        <w:t>&lt;/Date&gt;</w:t>
      </w:r>
    </w:p>
    <w:p w:rsidR="00794E41" w:rsidRPr="000A7EC7" w:rsidRDefault="00794E41" w:rsidP="00794E41">
      <w:pPr>
        <w:pStyle w:val="CoverDocType"/>
      </w:pPr>
      <w:r w:rsidRPr="000A7EC7">
        <w:rPr>
          <w:rStyle w:val="HideTWBExt"/>
          <w:b w:val="0"/>
        </w:rPr>
        <w:t>&lt;TypeAM&gt;</w:t>
      </w:r>
      <w:r w:rsidRPr="000A7EC7">
        <w:t>ÄNDERUNGSANTRÄGE</w:t>
      </w:r>
      <w:r w:rsidRPr="000A7EC7">
        <w:rPr>
          <w:rStyle w:val="HideTWBExt"/>
          <w:b w:val="0"/>
        </w:rPr>
        <w:t>&lt;/TypeAM&gt;</w:t>
      </w:r>
    </w:p>
    <w:p w:rsidR="00794E41" w:rsidRPr="000A7EC7" w:rsidRDefault="00794E41" w:rsidP="00794E41">
      <w:pPr>
        <w:pStyle w:val="CoverDocType24a"/>
      </w:pPr>
      <w:r w:rsidRPr="000A7EC7">
        <w:rPr>
          <w:rStyle w:val="HideTWBExt"/>
          <w:b w:val="0"/>
        </w:rPr>
        <w:t>&lt;RangeAM&gt;</w:t>
      </w:r>
      <w:r w:rsidRPr="000A7EC7">
        <w:t>768 - 1019</w:t>
      </w:r>
      <w:r w:rsidRPr="000A7EC7">
        <w:rPr>
          <w:rStyle w:val="HideTWBExt"/>
          <w:b w:val="0"/>
        </w:rPr>
        <w:t>&lt;/RangeAM&gt;</w:t>
      </w:r>
    </w:p>
    <w:p w:rsidR="00794E41" w:rsidRPr="000A7EC7" w:rsidRDefault="00794E41" w:rsidP="007B1846">
      <w:pPr>
        <w:pStyle w:val="CoverBold"/>
      </w:pPr>
      <w:r w:rsidRPr="000A7EC7">
        <w:rPr>
          <w:rStyle w:val="HideTWBExt"/>
          <w:b w:val="0"/>
        </w:rPr>
        <w:t>&lt;TitreType&gt;</w:t>
      </w:r>
      <w:r w:rsidRPr="000A7EC7">
        <w:t>Entwurf eines Berichts</w:t>
      </w:r>
      <w:r w:rsidRPr="000A7EC7">
        <w:rPr>
          <w:rStyle w:val="HideTWBExt"/>
          <w:b w:val="0"/>
        </w:rPr>
        <w:t>&lt;/TitreType&gt;</w:t>
      </w:r>
    </w:p>
    <w:p w:rsidR="00DC1A4D" w:rsidRPr="000A7EC7" w:rsidRDefault="00DC1A4D" w:rsidP="00DC1A4D">
      <w:pPr>
        <w:pStyle w:val="CoverBold"/>
      </w:pPr>
      <w:r w:rsidRPr="000A7EC7">
        <w:rPr>
          <w:rStyle w:val="HideTWBExt"/>
        </w:rPr>
        <w:t>&lt;Rapporteur&gt;</w:t>
      </w:r>
      <w:r w:rsidRPr="000A7EC7">
        <w:t>David McAllister</w:t>
      </w:r>
      <w:r w:rsidRPr="000A7EC7">
        <w:rPr>
          <w:rStyle w:val="HideTWBExt"/>
        </w:rPr>
        <w:t>&lt;/Rapporteur&gt;</w:t>
      </w:r>
    </w:p>
    <w:p w:rsidR="00DC1A4D" w:rsidRPr="000A7EC7" w:rsidRDefault="00DC1A4D" w:rsidP="00DC1A4D">
      <w:pPr>
        <w:pStyle w:val="CoverNormal24a"/>
      </w:pPr>
      <w:r w:rsidRPr="000A7EC7">
        <w:rPr>
          <w:rStyle w:val="HideTWBExt"/>
        </w:rPr>
        <w:t>&lt;DocRefPE&gt;</w:t>
      </w:r>
      <w:r w:rsidRPr="000A7EC7">
        <w:t>(PE765.084v01-00)</w:t>
      </w:r>
      <w:r w:rsidRPr="000A7EC7">
        <w:rPr>
          <w:rStyle w:val="HideTWBExt"/>
        </w:rPr>
        <w:t>&lt;/DocRefPE&gt;</w:t>
      </w:r>
    </w:p>
    <w:p w:rsidR="00DC1A4D" w:rsidRPr="000A7EC7" w:rsidRDefault="00DC1A4D" w:rsidP="00DC1A4D">
      <w:pPr>
        <w:pStyle w:val="CoverNormal"/>
      </w:pPr>
      <w:r w:rsidRPr="000A7EC7">
        <w:rPr>
          <w:rStyle w:val="HideTWBExt"/>
        </w:rPr>
        <w:t>&lt;Titre&gt;</w:t>
      </w:r>
      <w:r w:rsidRPr="000A7EC7">
        <w:t>Umsetzung der Gemeinsamen Außen- und Sicherheitspolitik – Jahresbericht 2024</w:t>
      </w:r>
      <w:r w:rsidRPr="000A7EC7">
        <w:rPr>
          <w:rStyle w:val="HideTWBExt"/>
        </w:rPr>
        <w:t>&lt;/Titre&gt;</w:t>
      </w:r>
    </w:p>
    <w:p w:rsidR="00794E41" w:rsidRPr="000A7EC7" w:rsidRDefault="00DC1A4D" w:rsidP="00DC1A4D">
      <w:pPr>
        <w:pStyle w:val="CoverNormal24a"/>
      </w:pPr>
      <w:r w:rsidRPr="000A7EC7">
        <w:rPr>
          <w:rStyle w:val="HideTWBExt"/>
        </w:rPr>
        <w:t>&lt;DocRef&gt;</w:t>
      </w:r>
      <w:r w:rsidRPr="000A7EC7">
        <w:t>(2024/2080(INI))</w:t>
      </w:r>
      <w:r w:rsidRPr="000A7EC7">
        <w:rPr>
          <w:rStyle w:val="HideTWBExt"/>
        </w:rPr>
        <w:t>&lt;/DocRef&gt;</w:t>
      </w:r>
    </w:p>
    <w:p w:rsidR="00794E41" w:rsidRPr="000A7EC7" w:rsidRDefault="00794E41" w:rsidP="008B040A">
      <w:pPr>
        <w:widowControl/>
        <w:tabs>
          <w:tab w:val="center" w:pos="4677"/>
        </w:tabs>
      </w:pPr>
      <w:r w:rsidRPr="000A7EC7">
        <w:br w:type="page"/>
      </w:r>
      <w:r w:rsidRPr="000A7EC7">
        <w:lastRenderedPageBreak/>
        <w:t>AM_Com_NonLegReport</w:t>
      </w:r>
    </w:p>
    <w:p w:rsidR="00CE1D01" w:rsidRPr="000A7EC7" w:rsidRDefault="00794E41" w:rsidP="00CE1D01">
      <w:pPr>
        <w:pStyle w:val="AmNumberTabs"/>
      </w:pPr>
      <w:r w:rsidRPr="000A7EC7">
        <w:br w:type="page"/>
      </w:r>
    </w:p>
    <w:p w:rsidR="00DC1A4D" w:rsidRPr="000A7EC7" w:rsidRDefault="00DC1A4D" w:rsidP="00DC1A4D"/>
    <w:p w:rsidR="00794E41" w:rsidRPr="000A7EC7" w:rsidRDefault="00794E41" w:rsidP="00DC1A4D">
      <w:pPr>
        <w:pStyle w:val="AmNumberTabs"/>
        <w:keepNext/>
      </w:pPr>
    </w:p>
    <w:p w:rsidR="000A7EC7" w:rsidRPr="000A7EC7" w:rsidRDefault="000A7EC7" w:rsidP="000A7EC7">
      <w:pPr>
        <w:pStyle w:val="AmNumberTabs"/>
      </w:pPr>
      <w:r w:rsidRPr="000A7EC7">
        <w:rPr>
          <w:rStyle w:val="HideTWBExt"/>
          <w:b w:val="0"/>
        </w:rPr>
        <w:t>&lt;RepeatBlock-Amend&gt;</w:t>
      </w:r>
      <w:r w:rsidRPr="000A7EC7">
        <w:rPr>
          <w:rStyle w:val="HideTWBExt"/>
        </w:rPr>
        <w:t>&lt;Amend&gt;</w:t>
      </w:r>
      <w:r w:rsidRPr="000A7EC7">
        <w:t>Änderungsantrag</w:t>
      </w:r>
      <w:r w:rsidRPr="000A7EC7">
        <w:tab/>
      </w:r>
      <w:r w:rsidRPr="000A7EC7">
        <w:tab/>
      </w:r>
      <w:r w:rsidRPr="000A7EC7">
        <w:rPr>
          <w:rStyle w:val="HideTWBExt"/>
        </w:rPr>
        <w:t>&lt;NumAm&gt;</w:t>
      </w:r>
      <w:r w:rsidRPr="000A7EC7">
        <w:t>768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28.</w:t>
            </w:r>
            <w:r w:rsidRPr="000A7EC7">
              <w:tab/>
            </w:r>
            <w:r w:rsidRPr="000A7EC7">
              <w:rPr>
                <w:b/>
                <w:i/>
              </w:rPr>
              <w:t>erinnert in diesem Zusammenhang an die vertiefte und umfassende Partnerschaft der EU mit Japan, die als Vorbild für eine fruchtbare bilaterale Partnerschaft dienen sollte, die eine wirksame Politikgestaltung im multilateralen Kontext ermöglicht;</w:t>
            </w:r>
            <w:r w:rsidRPr="000A7EC7">
              <w:t xml:space="preserve"> stellt fest, dass die EU und Japan in diesem Jahr die Aufnahme der diplomatische Beziehungen vor 50 Jahren feiern, und betont nachdrücklich das Interesse der EU, diese Partnerschaft in den kommenden 50 Jahren bilateral zu vertiefen und auszuweiten; </w:t>
            </w:r>
            <w:r w:rsidRPr="000A7EC7">
              <w:rPr>
                <w:b/>
                <w:i/>
              </w:rPr>
              <w:t>erkennt die grundlegende Rolle des Wirtschaftspartnerschaftsabkommens zwischen der EU und Japan und des Abkommens über eine strategische Partnerschaft (SPA) zwischen der EU und Japan in ihren Beziehungen in einer Zeit geopolitischer Umwälzungen an; fordert beide Seiten und insbesondere die verbleibenden EU-Mitgliedstaaten, die dies noch nicht getan haben, auf, den erforderlichen politischen Willen unter Beweis zu stellen, das Abkommen über eine strategische Partnerschaft zu ratifizieren;</w:t>
            </w:r>
          </w:p>
        </w:tc>
        <w:tc>
          <w:tcPr>
            <w:tcW w:w="4876" w:type="dxa"/>
            <w:tcBorders>
              <w:top w:val="nil"/>
              <w:left w:val="nil"/>
              <w:bottom w:val="nil"/>
              <w:right w:val="nil"/>
            </w:tcBorders>
          </w:tcPr>
          <w:p w:rsidR="000A7EC7" w:rsidRPr="000A7EC7" w:rsidRDefault="000A7EC7" w:rsidP="00592F5E">
            <w:pPr>
              <w:pStyle w:val="Normal6a"/>
            </w:pPr>
            <w:r w:rsidRPr="000A7EC7">
              <w:t>28.</w:t>
            </w:r>
            <w:r w:rsidRPr="000A7EC7">
              <w:tab/>
              <w:t>stellt fest, dass die EU und Japan in diesem Jahr die Aufnahme der diplomatische Beziehungen vor 50 Jahren feiern, und betont nachdrücklich das Interesse der EU, diese Partnerschaft in den kommenden 50 Jahren bilateral zu vertiefen und auszuweiten;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769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lastRenderedPageBreak/>
        <w:t>&lt;Article&gt;</w:t>
      </w:r>
      <w:r w:rsidRPr="000A7EC7">
        <w:t>Ziffer 28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28.</w:t>
            </w:r>
            <w:r w:rsidRPr="000A7EC7">
              <w:tab/>
              <w:t xml:space="preserve">erinnert in diesem Zusammenhang an die vertiefte und umfassende Partnerschaft der EU mit Japan, die als Vorbild für eine fruchtbare bilaterale Partnerschaft dienen sollte, die eine wirksame Politikgestaltung im multilateralen Kontext ermöglicht; stellt fest, dass die EU und Japan in diesem Jahr die Aufnahme der diplomatische Beziehungen vor 50 Jahren feiern, und betont nachdrücklich das Interesse der EU, diese Partnerschaft in den kommenden 50 Jahren bilateral zu vertiefen und auszuweiten; erkennt die grundlegende Rolle des Wirtschaftspartnerschaftsabkommens zwischen der EU und Japan </w:t>
            </w:r>
            <w:r w:rsidRPr="000A7EC7">
              <w:rPr>
                <w:b/>
                <w:i/>
              </w:rPr>
              <w:t>und des Abkommens über eine strategische Partnerschaft (SPA) zwischen der EU und Japan in ihren Beziehungen in einer Zeit geopolitischer Umwälzungen an; fordert beide Seiten und insbesondere die verbleibenden EU-Mitgliedstaaten, die dies noch nicht getan haben, auf, den erforderlichen politischen Willen unter Beweis zu stellen, das Abkommen über eine strategische Partnerschaft zu ratifizieren;</w:t>
            </w:r>
          </w:p>
        </w:tc>
        <w:tc>
          <w:tcPr>
            <w:tcW w:w="4876" w:type="dxa"/>
            <w:tcBorders>
              <w:top w:val="nil"/>
              <w:left w:val="nil"/>
              <w:bottom w:val="nil"/>
              <w:right w:val="nil"/>
            </w:tcBorders>
          </w:tcPr>
          <w:p w:rsidR="000A7EC7" w:rsidRPr="000A7EC7" w:rsidRDefault="000A7EC7" w:rsidP="00592F5E">
            <w:pPr>
              <w:pStyle w:val="Normal6a"/>
            </w:pPr>
            <w:r w:rsidRPr="000A7EC7">
              <w:t>28.</w:t>
            </w:r>
            <w:r w:rsidRPr="000A7EC7">
              <w:tab/>
              <w:t xml:space="preserve">erinnert in diesem Zusammenhang an die vertiefte und umfassende Partnerschaft der EU mit Japan, die als Vorbild für eine fruchtbare bilaterale Partnerschaft dienen sollte, die eine wirksame Politikgestaltung im multilateralen Kontext ermöglicht; stellt fest, dass die EU und Japan in diesem Jahr die Aufnahme der diplomatische Beziehungen vor 50 Jahren feiern, und betont nachdrücklich das Interesse der EU, diese Partnerschaft in den kommenden 50 Jahren bilateral zu vertiefen und auszuweiten; erkennt die grundlegende Rolle des Wirtschaftspartnerschaftsabkommens zwischen der EU und Japan </w:t>
            </w:r>
            <w:r w:rsidRPr="000A7EC7">
              <w:rPr>
                <w:b/>
                <w:i/>
              </w:rPr>
              <w:t>an;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28.</w:t>
            </w:r>
            <w:r w:rsidRPr="000A7EC7">
              <w:tab/>
              <w:t xml:space="preserve">erinnert in diesem Zusammenhang an die </w:t>
            </w:r>
            <w:r w:rsidRPr="000A7EC7">
              <w:rPr>
                <w:b/>
                <w:i/>
              </w:rPr>
              <w:t>vertiefte und umfassende</w:t>
            </w:r>
            <w:r w:rsidRPr="000A7EC7">
              <w:t xml:space="preserve"> Partnerschaft der EU mit Japan, die als Vorbild für eine fruchtbare bilaterale </w:t>
            </w:r>
            <w:r w:rsidRPr="000A7EC7">
              <w:lastRenderedPageBreak/>
              <w:t xml:space="preserve">Partnerschaft dienen sollte, die eine wirksame Politikgestaltung im multilateralen Kontext ermöglicht; stellt fest, dass die EU und Japan in diesem Jahr die </w:t>
            </w:r>
            <w:r w:rsidRPr="000A7EC7">
              <w:rPr>
                <w:b/>
                <w:i/>
              </w:rPr>
              <w:t>Aufnahme</w:t>
            </w:r>
            <w:r w:rsidRPr="000A7EC7">
              <w:t xml:space="preserve"> der </w:t>
            </w:r>
            <w:r w:rsidRPr="000A7EC7">
              <w:rPr>
                <w:b/>
                <w:i/>
              </w:rPr>
              <w:t>diplomatische Beziehungen</w:t>
            </w:r>
            <w:r w:rsidRPr="000A7EC7">
              <w:t xml:space="preserve"> vor 50 Jahren feiern, und betont nachdrücklich das Interesse der EU, diese Partnerschaft in den kommenden 50 Jahren bilateral zu vertiefen und auszuweiten; erkennt die grundlegende Rolle des Wirtschaftspartnerschaftsabkommens zwischen der EU und Japan und des Abkommens über eine strategische Partnerschaft (SPA) zwischen der EU und Japan in ihren Beziehungen in einer Zeit geopolitischer Umwälzungen an; </w:t>
            </w:r>
            <w:r w:rsidRPr="000A7EC7">
              <w:rPr>
                <w:b/>
                <w:i/>
              </w:rPr>
              <w:t>fordert beide Seiten und insbesondere die verbleibenden EU-Mitgliedstaaten, die dies noch nicht getan haben, auf, den erforderlichen politischen Willen unter Beweis zu stellen, das Abkommen über eine strategische Partnerschaft zu ratifizieren;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28.</w:t>
            </w:r>
            <w:r w:rsidRPr="000A7EC7">
              <w:tab/>
              <w:t xml:space="preserve">erinnert in diesem Zusammenhang an die </w:t>
            </w:r>
            <w:r w:rsidRPr="000A7EC7">
              <w:rPr>
                <w:b/>
                <w:i/>
              </w:rPr>
              <w:t>Strategische</w:t>
            </w:r>
            <w:r w:rsidRPr="000A7EC7">
              <w:t xml:space="preserve"> Partnerschaft der EU mit Japan, die als Vorbild für eine fruchtbare bilaterale Partnerschaft dienen </w:t>
            </w:r>
            <w:r w:rsidRPr="000A7EC7">
              <w:lastRenderedPageBreak/>
              <w:t xml:space="preserve">sollte, die eine wirksame Politikgestaltung im multilateralen Kontext ermöglicht; stellt fest, dass die EU und Japan in diesem Jahr die </w:t>
            </w:r>
            <w:r w:rsidRPr="000A7EC7">
              <w:rPr>
                <w:b/>
                <w:i/>
              </w:rPr>
              <w:t>Einrichtung</w:t>
            </w:r>
            <w:r w:rsidRPr="000A7EC7">
              <w:t xml:space="preserve"> der </w:t>
            </w:r>
            <w:r w:rsidRPr="000A7EC7">
              <w:rPr>
                <w:b/>
                <w:i/>
              </w:rPr>
              <w:t>jeweiligen diplomatischen Vertretungen</w:t>
            </w:r>
            <w:r w:rsidRPr="000A7EC7">
              <w:t xml:space="preserve"> vor 50 Jahren feiern, und betont nachdrücklich das Interesse der EU, diese Partnerschaft in den kommenden 50 Jahren bilateral zu vertiefen und auszuweiten; erkennt die grundlegende Rolle des Wirtschaftspartnerschaftsabkommens zwischen der EU und Japan und des Abkommens über eine strategische Partnerschaft (SPA) zwischen der EU und Japan in ihren Beziehungen in einer Zeit geopolitischer Umwälzungen an;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29.</w:t>
            </w:r>
            <w:r w:rsidRPr="000A7EC7">
              <w:tab/>
            </w:r>
            <w:r w:rsidRPr="000A7EC7">
              <w:rPr>
                <w:b/>
                <w:i/>
              </w:rPr>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w:t>
            </w:r>
            <w:r w:rsidRPr="000A7EC7">
              <w:rPr>
                <w:b/>
                <w:i/>
              </w:rPr>
              <w:lastRenderedPageBreak/>
              <w:t>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Sebastian Tynkkynen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 </w:t>
            </w:r>
            <w:r w:rsidRPr="000A7EC7">
              <w:rPr>
                <w:b/>
                <w:i/>
              </w:rPr>
              <w:t xml:space="preserve">betont, dass China eine wichtige Rolle bei der Begünstigung des Angriffskriegs Russlands gegen die Ukraine spielt; verurteilt aufs Schärfste die Lieferungen von Materialien durch China an Russland in Form von Mikroelektronik, Halbleitern und anderen Produkten, die die russischen Streitkräfte für ihre Offensive nutzen können; verurteilt aufs Schärfste die Unterdrückung der Uiguren in der Provinz Xinjiang durch die chinesischen Behörden; fordert die Union und ihre Mitgliedstaaten auf, ihre Abhängigkeiten </w:t>
            </w:r>
            <w:r w:rsidRPr="000A7EC7">
              <w:rPr>
                <w:b/>
                <w:i/>
              </w:rPr>
              <w:lastRenderedPageBreak/>
              <w:t>von China in allen Sektoren zu verringern;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{FI}</w:t>
      </w:r>
      <w:r w:rsidRPr="000A7EC7">
        <w:t>fi</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 </w:t>
            </w:r>
            <w:r w:rsidRPr="000A7EC7">
              <w:rPr>
                <w:b/>
                <w:bCs/>
                <w:i/>
              </w:rPr>
              <w:t>stellt fest, dass China seine Nachbarn zunehmend mit Bedrohungen und destabilisierenden Maßnahmen belastet und versucht, die demokratischen Gesellschaften, Institutionen und die wirtschaftliche Sicherheit in der EU zu schwächen;</w:t>
            </w:r>
            <w:r w:rsidRPr="000A7EC7">
              <w:rPr>
                <w:b/>
                <w:i/>
              </w:rPr>
              <w:t xml:space="preserve"> betont, dass die Politik der Risikominderung und Verringerung der Abhängigkeit der EU von China in Schlüsselsektoren dringend fortgesetzt werden muss;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774</w:t>
      </w:r>
      <w:r w:rsidRPr="000A7EC7">
        <w:rPr>
          <w:rStyle w:val="HideTWBExt"/>
        </w:rPr>
        <w:t>&lt;/NumAm&gt;</w:t>
      </w:r>
    </w:p>
    <w:p w:rsidR="000A7EC7" w:rsidRPr="000A7EC7" w:rsidRDefault="000A7EC7" w:rsidP="000A7EC7">
      <w:pPr>
        <w:pStyle w:val="NormalBold"/>
      </w:pPr>
      <w:r w:rsidRPr="000A7EC7">
        <w:rPr>
          <w:rStyle w:val="HideTWBExt"/>
          <w:b w:val="0"/>
        </w:rPr>
        <w:lastRenderedPageBreak/>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w:t>
            </w:r>
            <w:r w:rsidRPr="000A7EC7">
              <w:rPr>
                <w:b/>
                <w:i/>
              </w:rPr>
              <w:t xml:space="preserve">nach wie vor </w:t>
            </w:r>
            <w:r w:rsidRPr="000A7EC7">
              <w:t xml:space="preserve">eine </w:t>
            </w:r>
            <w:r w:rsidRPr="000A7EC7">
              <w:rPr>
                <w:b/>
                <w:i/>
              </w:rPr>
              <w:t>der wichtigsten geopolitischen Herausforderungen des 21. Jahrhunderts ist</w:t>
            </w:r>
            <w:r w:rsidRPr="000A7EC7">
              <w:t xml:space="preserve"> und </w:t>
            </w:r>
            <w:r w:rsidRPr="000A7EC7">
              <w:rPr>
                <w:b/>
                <w:i/>
              </w:rPr>
              <w:t>eine mehrdimensionale</w:t>
            </w:r>
            <w:r w:rsidRPr="000A7EC7">
              <w:t xml:space="preserve"> Antwort erfordert, mit der die EU ihre Zusammenarbeit mit China in einer Reihe von Schlüsselfragen aufrechterhält; </w:t>
            </w:r>
            <w:r w:rsidRPr="000A7EC7">
              <w:rPr>
                <w:b/>
                <w:i/>
              </w:rPr>
              <w:t>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eine </w:t>
            </w:r>
            <w:r w:rsidRPr="000A7EC7">
              <w:rPr>
                <w:b/>
                <w:i/>
              </w:rPr>
              <w:t>Tatsache ist und eine ausgewogene</w:t>
            </w:r>
            <w:r w:rsidRPr="000A7EC7">
              <w:t xml:space="preserve"> und </w:t>
            </w:r>
            <w:r w:rsidRPr="000A7EC7">
              <w:rPr>
                <w:b/>
                <w:i/>
              </w:rPr>
              <w:t>wohlüberlegte</w:t>
            </w:r>
            <w:r w:rsidRPr="000A7EC7">
              <w:t xml:space="preserve"> Antwort erfordert, mit der die EU ihre Zusammenarbeit mit China in einer Reihe von Schlüsselfragen aufrechterhält;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w:t>
            </w:r>
            <w:r w:rsidRPr="000A7EC7">
              <w:rPr>
                <w:b/>
                <w:i/>
              </w:rPr>
              <w:t>der Aufstieg Chinas</w:t>
            </w:r>
            <w:r w:rsidRPr="000A7EC7">
              <w:t xml:space="preserve">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w:t>
            </w:r>
            <w:r w:rsidRPr="000A7EC7">
              <w:lastRenderedPageBreak/>
              <w:t>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lastRenderedPageBreak/>
              <w:t>29.</w:t>
            </w:r>
            <w:r w:rsidRPr="000A7EC7">
              <w:tab/>
              <w:t xml:space="preserve">ist der Ansicht, dass </w:t>
            </w:r>
            <w:r w:rsidRPr="000A7EC7">
              <w:rPr>
                <w:b/>
                <w:i/>
              </w:rPr>
              <w:t>Chinas Wunsch, die globale Ordnung neu zu definieren,</w:t>
            </w:r>
            <w:r w:rsidRPr="000A7EC7">
              <w:t xml:space="preserve">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w:t>
            </w:r>
            <w:r w:rsidRPr="000A7EC7">
              <w:lastRenderedPageBreak/>
              <w:t xml:space="preserve">zu sorgen, dass die EU entschiedener gegenüber China auftritt und darauf pocht, dass China seiner Verantwortung als ständiges Mitglied des Sicherheitsrats der Vereinten Nationen gerecht wird; </w:t>
            </w:r>
            <w:r w:rsidRPr="000A7EC7">
              <w:rPr>
                <w:b/>
                <w:i/>
              </w:rPr>
              <w:t>weist erneut darauf hin, dass China ein Kooperationspartner, einer wirtschaftlicher Konkurrent und systemischer Rivale ist, insbesondere in den Bereichen digitaler Wandel und Klimawende;</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r w:rsidRPr="000A7EC7">
              <w:rPr>
                <w:b/>
                <w:i/>
              </w:rPr>
              <w:t>, ohne dabei auf das erklärte Ziel der EU verzichten, die Risiken beim Handel mit bestimmten sensiblen Materialien zu verringern und sich stärker für die Diversifizierung ihrer Einfuhren einzusetzen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w:t>
            </w:r>
            <w:r w:rsidRPr="000A7EC7">
              <w:rPr>
                <w:b/>
                <w:i/>
              </w:rPr>
              <w:t>fordert die EU nachdrücklich auf, gegenüber China einen ausgewogenen Ansatz zu verfolgen, und betont, dass es wichtig ist, mit China als einem bedeutenden globalen Akteur zusammenzuarbeiten und gleichzeitig die europäischen Werte und die wirtschaftliche Stabilität zu schützen;</w:t>
            </w:r>
            <w:r w:rsidRPr="000A7EC7">
              <w:t xml:space="preserve"> </w:t>
            </w:r>
            <w:r w:rsidRPr="000A7EC7">
              <w:rPr>
                <w:b/>
                <w:i/>
              </w:rPr>
              <w:t xml:space="preserve">fordert </w:t>
            </w:r>
            <w:r w:rsidRPr="000A7EC7">
              <w:t>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w:t>
            </w:r>
            <w:r w:rsidRPr="000A7EC7">
              <w:lastRenderedPageBreak/>
              <w:t xml:space="preserve">21. Jahrhunderts ist und </w:t>
            </w:r>
            <w:r w:rsidRPr="000A7EC7">
              <w:rPr>
                <w:b/>
                <w:i/>
              </w:rPr>
              <w:t>eine mehrdimensionale Antwort erfordert</w:t>
            </w:r>
            <w:r w:rsidRPr="000A7EC7">
              <w:t xml:space="preserve">, </w:t>
            </w:r>
            <w:r w:rsidRPr="000A7EC7">
              <w:rPr>
                <w:b/>
                <w:i/>
              </w:rPr>
              <w:t>mit</w:t>
            </w:r>
            <w:r w:rsidRPr="000A7EC7">
              <w:t xml:space="preserve"> der die EU </w:t>
            </w:r>
            <w:r w:rsidRPr="000A7EC7">
              <w:rPr>
                <w:b/>
                <w:i/>
              </w:rPr>
              <w:t>ihre Zusammenarbeit mit China in einer Reihe von Schlüsselfragen aufrechterhält</w:t>
            </w:r>
            <w:r w:rsidRPr="000A7EC7">
              <w:t>; fordert den HR/VP und die Mitgliedstaaten auf, den regen diplomatischen Austausch aufrechtzuerhalten und gleichzeitig dafür zu sorgen, dass die EU entschiedener gegenüber China auftritt</w:t>
            </w:r>
            <w:r w:rsidRPr="000A7EC7">
              <w:rPr>
                <w:b/>
                <w:i/>
              </w:rPr>
              <w:t xml:space="preserve"> und darauf pocht, dass China seiner Verantwortung als ständiges Mitglied des Sicherheitsrats der Vereinten Nationen gerecht wird</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29.</w:t>
            </w:r>
            <w:r w:rsidRPr="000A7EC7">
              <w:tab/>
              <w:t xml:space="preserve">ist der Ansicht, dass der Aufstieg Chinas nach wie vor eine der wichtigsten geopolitischen Herausforderungen des </w:t>
            </w:r>
            <w:r w:rsidRPr="000A7EC7">
              <w:lastRenderedPageBreak/>
              <w:t xml:space="preserve">21. Jahrhunderts ist und </w:t>
            </w:r>
            <w:r w:rsidRPr="000A7EC7">
              <w:rPr>
                <w:b/>
                <w:i/>
              </w:rPr>
              <w:t>es erforderlich macht, dass die Mitgliedstaaten geschlossen dagegen auftreten; stellt fest</w:t>
            </w:r>
            <w:r w:rsidRPr="000A7EC7">
              <w:t xml:space="preserve">, </w:t>
            </w:r>
            <w:r w:rsidRPr="000A7EC7">
              <w:rPr>
                <w:b/>
                <w:i/>
              </w:rPr>
              <w:t>dass das von Präsident Xi Jinping in seinem Bericht an den 19. Parteitag</w:t>
            </w:r>
            <w:r w:rsidRPr="000A7EC7">
              <w:t xml:space="preserve"> der </w:t>
            </w:r>
            <w:r w:rsidRPr="000A7EC7">
              <w:rPr>
                <w:b/>
                <w:i/>
              </w:rPr>
              <w:t xml:space="preserve">Kommunistischen Partei Chinas im Jahr 2017 formulierte Ziel Chinas, bis 2049 die Rolle einer führenden Weltmacht zu übernehmen, eine erhebliche politische, wirtschaftliche, sicherheitspolitische und technologische Gefahr für </w:t>
            </w:r>
            <w:r w:rsidRPr="000A7EC7">
              <w:t xml:space="preserve">die EU </w:t>
            </w:r>
            <w:r w:rsidRPr="000A7EC7">
              <w:rPr>
                <w:b/>
                <w:i/>
              </w:rPr>
              <w:t>sowie eine Bedrohung der westlichen demokratischen Werte in der Welt bedeutet</w:t>
            </w:r>
            <w:r w:rsidRPr="000A7EC7">
              <w:t>; fordert den HR/VP und die Mitgliedstaaten auf, den regen diplomatischen Austausch aufrechtzuerhalten und gleichzeitig dafür zu sorgen, dass die EU entschiedener gegenüber China auftritt;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779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Eszter Lakos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 </w:t>
            </w:r>
            <w:r w:rsidRPr="000A7EC7">
              <w:rPr>
                <w:b/>
                <w:i/>
              </w:rPr>
              <w:t xml:space="preserve">ist </w:t>
            </w:r>
            <w:r w:rsidRPr="000A7EC7">
              <w:rPr>
                <w:b/>
                <w:i/>
              </w:rPr>
              <w:lastRenderedPageBreak/>
              <w:t>besorgt darüber, dass chinesische Unternehmen zunehmend die Wirtschaft der EU durchdringen, auch in strategischen Wirtschaftszweigen wie etwa der Batterieherstellung;</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w:t>
            </w:r>
            <w:r w:rsidRPr="000A7EC7">
              <w:rPr>
                <w:b/>
                <w:i/>
              </w:rPr>
              <w:t>der Aufstieg Chinas nach wie vor eine der wichtigsten geopolitischen Herausforderungen des 21. Jahrhunderts ist und</w:t>
            </w:r>
            <w:r w:rsidRPr="000A7EC7">
              <w:t xml:space="preserve"> eine </w:t>
            </w:r>
            <w:r w:rsidRPr="000A7EC7">
              <w:rPr>
                <w:b/>
                <w:i/>
              </w:rPr>
              <w:t>mehrdimensionale Antwort erfordert</w:t>
            </w:r>
            <w:r w:rsidRPr="000A7EC7">
              <w:t xml:space="preserve">, </w:t>
            </w:r>
            <w:r w:rsidRPr="000A7EC7">
              <w:rPr>
                <w:b/>
                <w:i/>
              </w:rPr>
              <w:t>mit der</w:t>
            </w:r>
            <w:r w:rsidRPr="000A7EC7">
              <w:t xml:space="preserve"> die EU ihre Zusammenarbeit mit China in einer Reihe von Schlüsselfragen aufrechterhält; fordert den HR/VP und die Mitgliedstaaten auf, den regen diplomatischen Austausch aufrechtzuerhalten und gleichzeitig </w:t>
            </w:r>
            <w:r w:rsidRPr="000A7EC7">
              <w:rPr>
                <w:b/>
                <w:i/>
              </w:rPr>
              <w:t>dafür zu sorgen, dass die</w:t>
            </w:r>
            <w:r w:rsidRPr="000A7EC7">
              <w:t xml:space="preserve"> EU</w:t>
            </w:r>
            <w:r w:rsidRPr="000A7EC7">
              <w:rPr>
                <w:b/>
                <w:i/>
              </w:rPr>
              <w:t xml:space="preserve"> entschiedener</w:t>
            </w:r>
            <w:r w:rsidRPr="000A7EC7">
              <w:t xml:space="preserve"> gegenüber China </w:t>
            </w:r>
            <w:r w:rsidRPr="000A7EC7">
              <w:rPr>
                <w:b/>
                <w:i/>
              </w:rPr>
              <w:t>auftritt und darauf pocht</w:t>
            </w:r>
            <w:r w:rsidRPr="000A7EC7">
              <w:t xml:space="preserve">, </w:t>
            </w:r>
            <w:r w:rsidRPr="000A7EC7">
              <w:rPr>
                <w:b/>
                <w:i/>
              </w:rPr>
              <w:t>dass China seiner Verantwortung als ständiges Mitglied des Sicherheitsrats der Vereinten Nationen gerecht wird</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w:t>
            </w:r>
            <w:r w:rsidRPr="000A7EC7">
              <w:rPr>
                <w:b/>
                <w:i/>
              </w:rPr>
              <w:t>die Herausforderungen, die sich aus dem Aufstieg Chinas zu einem globalen Akteur ergeben,</w:t>
            </w:r>
            <w:r w:rsidRPr="000A7EC7">
              <w:t xml:space="preserve"> eine </w:t>
            </w:r>
            <w:r w:rsidRPr="000A7EC7">
              <w:rPr>
                <w:b/>
                <w:i/>
              </w:rPr>
              <w:t>mehrschichtige Reaktion erfordern</w:t>
            </w:r>
            <w:r w:rsidRPr="000A7EC7">
              <w:t xml:space="preserve">, </w:t>
            </w:r>
            <w:r w:rsidRPr="000A7EC7">
              <w:rPr>
                <w:b/>
                <w:i/>
              </w:rPr>
              <w:t>in deren Rahmen</w:t>
            </w:r>
            <w:r w:rsidRPr="000A7EC7">
              <w:t xml:space="preserve"> die EU ihre Zusammenarbeit mit China in einer Reihe von Schlüsselfragen aufrechterhält; fordert den HR/VP und die Mitgliedstaaten auf, den regen diplomatischen Austausch </w:t>
            </w:r>
            <w:r w:rsidRPr="000A7EC7">
              <w:rPr>
                <w:b/>
                <w:i/>
              </w:rPr>
              <w:t xml:space="preserve">mit China als ständiges Mitglied des Sicherheitsrats der Vereinten Nationen </w:t>
            </w:r>
            <w:r w:rsidRPr="000A7EC7">
              <w:t xml:space="preserve">aufrechtzuerhalten und gleichzeitig </w:t>
            </w:r>
            <w:r w:rsidRPr="000A7EC7">
              <w:rPr>
                <w:b/>
                <w:i/>
              </w:rPr>
              <w:t>mit Hilfe einer neu ausgerichteten Strategie das das selbstsichere Auftreten der</w:t>
            </w:r>
            <w:r w:rsidRPr="000A7EC7">
              <w:t xml:space="preserve"> EU gegenüber China </w:t>
            </w:r>
            <w:r w:rsidRPr="000A7EC7">
              <w:rPr>
                <w:b/>
                <w:i/>
              </w:rPr>
              <w:t>zu erhöhen, wobei sich diese Strategie insbesondere mit der zunehmend repressiven Innenpolitik</w:t>
            </w:r>
            <w:r w:rsidRPr="000A7EC7">
              <w:t xml:space="preserve">, </w:t>
            </w:r>
            <w:r w:rsidRPr="000A7EC7">
              <w:rPr>
                <w:b/>
                <w:i/>
              </w:rPr>
              <w:t>der durchsetzungsorientierten Außenpolitik und dem Einsatz von wirtschaftlichem Zwang als Mittel Chinas zur Erreichung seiner Ziele befassen sollte</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Mariusz Kamiński, Michał Dworczyk</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{ECR}</w:t>
      </w:r>
      <w:r w:rsidRPr="000A7EC7">
        <w:t>im Namen der ECR-Fraktion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lastRenderedPageBreak/>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w:t>
            </w:r>
            <w:r w:rsidRPr="000A7EC7">
              <w:rPr>
                <w:b/>
                <w:i/>
              </w:rPr>
              <w:t>Aufstieg Chinas</w:t>
            </w:r>
            <w:r w:rsidRPr="000A7EC7">
              <w:t xml:space="preserve">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w:t>
            </w:r>
            <w:r w:rsidRPr="000A7EC7">
              <w:rPr>
                <w:b/>
                <w:i/>
              </w:rPr>
              <w:t xml:space="preserve"> die neue Politik Chinas unter Xi Jinping, insbesondere die selbstbewusste Außenpolitik, die „grenzenlose“ Partnerschaft mit Russland und die Strategie </w:t>
            </w:r>
            <w:r w:rsidRPr="000A7EC7">
              <w:t xml:space="preserve">der </w:t>
            </w:r>
            <w:r w:rsidRPr="000A7EC7">
              <w:rPr>
                <w:b/>
                <w:i/>
              </w:rPr>
              <w:t>militärisch-zivilen Fusion,</w:t>
            </w:r>
            <w:r w:rsidRPr="000A7EC7">
              <w:t xml:space="preserve">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w:t>
            </w:r>
            <w:r w:rsidRPr="000A7EC7">
              <w:lastRenderedPageBreak/>
              <w:t xml:space="preserve">zu sorgen, dass die EU entschiedener gegenüber China auftritt </w:t>
            </w:r>
            <w:r w:rsidRPr="000A7EC7">
              <w:rPr>
                <w:b/>
                <w:i/>
              </w:rPr>
              <w:t>und darauf pocht, dass China seiner Verantwortung als ständiges Mitglied des Sicherheitsrats der Vereinten Nationen gerecht wird</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w:t>
            </w:r>
            <w:r w:rsidRPr="000A7EC7">
              <w:lastRenderedPageBreak/>
              <w:t>zu sorgen, dass die EU entschiedener gegenüber China auftritt;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Alberico Gambino, Carlo Fidanza, 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r>
            <w:r w:rsidRPr="000A7EC7">
              <w:rPr>
                <w:b/>
                <w:i/>
              </w:rPr>
              <w:t>ist besorgt über die Gefahren, die sich aus dieser neuen Phase der Beziehungen zwischen China und Russland ergeben, und</w:t>
            </w:r>
            <w:r w:rsidRPr="000A7EC7">
              <w:t xml:space="preserve"> 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Urmas Paet, Hilde Vautmans, Petras Auštrevičius, Lucia Yar, Nathalie Loiseau, Ilhan Kyuchyuk</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 </w:t>
            </w:r>
            <w:r w:rsidRPr="000A7EC7">
              <w:rPr>
                <w:b/>
                <w:i/>
              </w:rPr>
              <w:t>betont, dass die EU in Bezug auf China geschlossener vorgehen muss;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den regen diplomatischen Austausch </w:t>
            </w:r>
            <w:r w:rsidRPr="000A7EC7">
              <w:rPr>
                <w:b/>
                <w:i/>
              </w:rPr>
              <w:t>aufrechtzuerhalten</w:t>
            </w:r>
            <w:r w:rsidRPr="000A7EC7">
              <w:t xml:space="preserve"> und gleichzeitig dafür</w:t>
            </w:r>
            <w:r w:rsidRPr="000A7EC7">
              <w:rPr>
                <w:b/>
                <w:i/>
              </w:rPr>
              <w:t xml:space="preserve"> zu</w:t>
            </w:r>
            <w:r w:rsidRPr="000A7EC7">
              <w:t xml:space="preserve"> sorgen, dass die EU entschiedener gegenüber China auftritt und darauf pocht, dass China seiner Verantwortung als </w:t>
            </w:r>
            <w:r w:rsidRPr="000A7EC7">
              <w:lastRenderedPageBreak/>
              <w:t>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lastRenderedPageBreak/>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den HR/VP und die Mitgliedstaaten auf, </w:t>
            </w:r>
            <w:r w:rsidRPr="000A7EC7">
              <w:rPr>
                <w:b/>
                <w:i/>
              </w:rPr>
              <w:t xml:space="preserve">ihre Strategie gegenüber China zu prüfen, während sie </w:t>
            </w:r>
            <w:r w:rsidRPr="000A7EC7">
              <w:t xml:space="preserve">den regen diplomatischen Austausch </w:t>
            </w:r>
            <w:r w:rsidRPr="000A7EC7">
              <w:rPr>
                <w:b/>
                <w:i/>
              </w:rPr>
              <w:t>aufrechterhalten</w:t>
            </w:r>
            <w:r w:rsidRPr="000A7EC7">
              <w:t xml:space="preserve"> und gleichzeitig dafür sorgen, dass die EU entschiedener gegenüber China auftritt und darauf pocht, </w:t>
            </w:r>
            <w:r w:rsidRPr="000A7EC7">
              <w:lastRenderedPageBreak/>
              <w:t>dass China seiner Verantwortung als ständiges Mitglied des Sicherheitsrats der Vereinten Nationen gerecht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29.</w:t>
            </w:r>
            <w:r w:rsidRPr="000A7EC7">
              <w:tab/>
              <w:t xml:space="preserve">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w:t>
            </w:r>
            <w:r w:rsidRPr="000A7EC7">
              <w:rPr>
                <w:b/>
                <w:i/>
              </w:rPr>
              <w:t xml:space="preserve">den HR/VP und </w:t>
            </w:r>
            <w:r w:rsidRPr="000A7EC7">
              <w:t>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c>
          <w:tcPr>
            <w:tcW w:w="4876" w:type="dxa"/>
            <w:tcBorders>
              <w:top w:val="nil"/>
              <w:left w:val="nil"/>
              <w:bottom w:val="nil"/>
              <w:right w:val="nil"/>
            </w:tcBorders>
          </w:tcPr>
          <w:p w:rsidR="000A7EC7" w:rsidRPr="000A7EC7" w:rsidRDefault="000A7EC7" w:rsidP="00592F5E">
            <w:pPr>
              <w:pStyle w:val="Normal6a"/>
            </w:pPr>
            <w:r w:rsidRPr="000A7EC7">
              <w:t>29.</w:t>
            </w:r>
            <w:r w:rsidRPr="000A7EC7">
              <w:tab/>
              <w:t>ist der Ansicht, dass der Aufstieg Chinas nach wie vor eine der wichtigsten geopolitischen Herausforderungen des 21. Jahrhunderts ist und eine mehrdimensionale Antwort erfordert, mit der die EU ihre Zusammenarbeit mit China in einer Reihe von Schlüsselfragen aufrechterhält; fordert die Mitgliedstaaten auf, den regen diplomatischen Austausch aufrechtzuerhalten und gleichzeitig dafür zu sorgen, dass die EU entschiedener gegenüber China auftritt und darauf pocht, dass China seiner Verantwortung als ständiges Mitglied des Sicherheitsrats der Vereinten Nationen gerecht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 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29a.</w:t>
            </w:r>
            <w:r w:rsidRPr="000A7EC7">
              <w:rPr>
                <w:b/>
                <w:i/>
              </w:rPr>
              <w:tab/>
              <w:t xml:space="preserve">verurteilt die systematischen Menschenrechtsverletzungen in China, insbesondere gegen Minderheiten wie </w:t>
            </w:r>
            <w:r w:rsidRPr="000A7EC7">
              <w:rPr>
                <w:b/>
                <w:i/>
              </w:rPr>
              <w:lastRenderedPageBreak/>
              <w:t>Christen, Mitglieder der Falun Gong, Uiguren und Tibeter; prangert das harte Vorgehen Pekings in Bezug auf die politische Autonomie Hongkongs und die Verletzung des Grundsatzes „Ein Land, zwei Systeme“ an; verurteilt die Unterdrückung chinesischer Staatsangehöriger, die im Ausland leben; fordert die Mitgliedstaaten auf, alle illegalen „Polizeiwachen“, die China bekanntermaßen heimlich auf dem Boden der EU unterhält, auszuschalten; nimmt in diesem Zusammenhang den besorgniserregenden Fall Spaniens zur Kenntnis, in dem Berichten zufolge bis zu neun dieser informellen „Polizeiwachen“ illegal Operationen in seinem Hoheitsgebiet durchführen;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29a.</w:t>
            </w:r>
            <w:r w:rsidRPr="000A7EC7">
              <w:rPr>
                <w:b/>
                <w:i/>
              </w:rPr>
              <w:tab/>
              <w:t xml:space="preserve">betont, dass das zunehmend aggressive Gebaren der VR China eine Bedrohung für die Freiheit der Schifffahrt bedeutet und die Stabilität gefährdet, die für den Welthandel unerlässlich ist; betont, dass diese Situation von einer wachsenden Zahl gleich gesinnter Partner, die sich für Frieden und Stabilität in der Region und damit auch in der Taiwanstraße einsetzen, mit Besorgnis beobachtet wird; hebt hervor, dass Abschreckung gegen destabilisierendes Verhalten betrieben werden muss, u. a. durch regelmäßige Operationen zur Durchsetzung der Freiheit der Schifffahrt, wenn die VR China versucht, die Kontrolle über </w:t>
            </w:r>
            <w:r w:rsidRPr="000A7EC7">
              <w:rPr>
                <w:b/>
                <w:i/>
              </w:rPr>
              <w:lastRenderedPageBreak/>
              <w:t>internationale Gewässer und den internationalen Luftraum zu erlangen;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789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29a.</w:t>
            </w:r>
            <w:r w:rsidRPr="000A7EC7">
              <w:rPr>
                <w:b/>
                <w:i/>
              </w:rPr>
              <w:tab/>
              <w:t>prangert an, dass China in den Entwicklungsländern die Initiative „Neue Seidenstraße“ instrumentalisiert und die wirtschaftliche Abhängigkeit von seinen Investitionen und Krediten nutzt, um seine geopolitischen Ambitionen auszuweiten;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29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29b.</w:t>
            </w:r>
            <w:r w:rsidRPr="000A7EC7">
              <w:rPr>
                <w:b/>
                <w:i/>
              </w:rPr>
              <w:tab/>
              <w:t xml:space="preserve">stellt fest, dass alle chinesischen Unternehmen dem chinesischen Cybersicherheitsgesetz untergeordnet sind, was sie de facto zu Agenten des kommunistischen Regimes macht; weist in diesem Zusammenhang erneut darauf hin, dass große Technologieunternehmen chinesischer Herkunft, insbesondere das multinationale Unternehmen Huawei, nachweislich und in Absprache internationale Embargos gegen den Iran umgangen und verbotene Kommunikationstechnologie an die Regierung Irans geliefert haben; fordert </w:t>
            </w:r>
            <w:r w:rsidRPr="000A7EC7">
              <w:rPr>
                <w:b/>
                <w:i/>
              </w:rPr>
              <w:lastRenderedPageBreak/>
              <w:t>die Mitgliedstaaten auf, den Betreibern in ihren Ländern die Verwendung von Geräten und Bauteilen dieser Unternehmen zu untersagen; stellt fest, dass einige Mitgliedstaaten besonders anfällig für die böswillige Einflussnahme Chinas sind; weist in diesem Zusammenhang auf den alarmierenden Fall Spaniens hin, dessen nationale Behörden nach wie vor den Einsatz der 5G-Technologie von Huawei befürworten und diesem Unternehmen privilegierten Zugang zum Kern seines Kommunikationsnetzes gewährt haben, obwohl mit der EU verbündete Regierungen wie die Vereinigten Staaten und das Vereinigte Königreich Huawei und andere chinesische Technologieunternehmen auf ihre Liste der Unternehmen mit aufsichtsbedingten Einschränkungen gesetzt haben;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30.</w:t>
            </w:r>
            <w:r w:rsidRPr="000A7EC7">
              <w:tab/>
            </w:r>
            <w:r w:rsidRPr="000A7EC7">
              <w:rPr>
                <w:b/>
                <w:i/>
              </w:rPr>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w:t>
            </w:r>
            <w:r w:rsidRPr="000A7EC7">
              <w:rPr>
                <w:b/>
                <w:i/>
              </w:rPr>
              <w:lastRenderedPageBreak/>
              <w:t>oder Zwang, nicht akzeptiert werden kann und 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Gahler, Andrey Kovatchev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Kommission und die Mitgliedstaaten auf, Taiwans </w:t>
            </w:r>
            <w:r w:rsidRPr="000A7EC7">
              <w:rPr>
                <w:b/>
                <w:i/>
              </w:rPr>
              <w:t>sinnvolle</w:t>
            </w:r>
            <w:r w:rsidRPr="000A7EC7">
              <w:t xml:space="preserve"> Beteiligung an einschlägigen internationalen Organisationen zu </w:t>
            </w:r>
            <w:r w:rsidRPr="000A7EC7">
              <w:lastRenderedPageBreak/>
              <w:t>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bekräftigt, dass Taiwan ein wichtiger Partner und demokratischer Verbündeter der EU in der indopazifischen Region ist;</w:t>
            </w:r>
            <w:r w:rsidRPr="000A7EC7">
              <w:rPr>
                <w:b/>
                <w:i/>
              </w:rPr>
              <w:t xml:space="preserve"> befürwortet einen kontinuierlichen Austausch zwischen der EU und Taiwan auf allen möglichen Interaktionsebenen, einschließlich regelmäßiger Dialoge, und betont, dass jeder Versuch autoritärer Regime, die positive Entwicklung der Beziehungen zwischen der EU und Taiwan einzuschränken, nicht hinnehmbar ist;</w:t>
            </w:r>
            <w:r w:rsidRPr="000A7EC7">
              <w:t xml:space="preserve">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w:t>
            </w:r>
            <w:r w:rsidRPr="000A7EC7">
              <w:lastRenderedPageBreak/>
              <w:t>Kosten mit sich bringen wird; betont, dass Chinas territoriale Ansprüche keine Grundlage im Völkerrecht haben</w:t>
            </w:r>
            <w:r w:rsidRPr="000A7EC7">
              <w:rPr>
                <w:b/>
                <w:i/>
              </w:rPr>
              <w:t xml:space="preserve"> und dass nur die demokratisch gewählte Regierung Taiwans die Menschen in Taiwan vertreten kann</w:t>
            </w:r>
            <w:r w:rsidRPr="000A7EC7">
              <w:t xml:space="preserve">; verurteilt ferner, dass China die </w:t>
            </w:r>
            <w:r w:rsidRPr="000A7EC7">
              <w:rPr>
                <w:b/>
                <w:i/>
              </w:rPr>
              <w:t xml:space="preserve">konstruktive </w:t>
            </w:r>
            <w:r w:rsidRPr="000A7EC7">
              <w:t xml:space="preserve">Beteiligung Taiwans an multilateralen Organisationen </w:t>
            </w:r>
            <w:r w:rsidRPr="000A7EC7">
              <w:rPr>
                <w:b/>
                <w:i/>
              </w:rPr>
              <w:t xml:space="preserve">durch seine anhaltende bewusste Fehlauslegung der Resolution 2758 der Generalversammlung der Vereinten Nationen </w:t>
            </w:r>
            <w:r w:rsidRPr="000A7EC7">
              <w:t xml:space="preserve">blockiert; fordert die Kommission und die Mitgliedstaaten auf, Taiwans </w:t>
            </w:r>
            <w:r w:rsidRPr="000A7EC7">
              <w:rPr>
                <w:b/>
                <w:i/>
              </w:rPr>
              <w:t>konstruktive</w:t>
            </w:r>
            <w:r w:rsidRPr="000A7EC7">
              <w:t xml:space="preserve"> Beteiligung an einschlägigen internationalen Organisationen zu unterstützen; </w:t>
            </w:r>
            <w:r w:rsidRPr="000A7EC7">
              <w:rPr>
                <w:b/>
                <w:i/>
              </w:rPr>
              <w:t>fordert die Kommission auf, die Zusammenarbeit zu verstärken, um die Wirtschafts-, Handels- und Investitionsbeziehungen zu Taiwan auszuweiten, und darüber hinaus unverzüglich vorbereitende Maßnahmen für Verhandlungen über ein Wirtschaftspartnerschaftsabkommen als Rahmen für den Aufbau einer Zusammenarbeit in Bereichen von vorrangigem und beiderseitigem Interesse einzuleiten;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bekräftigt, dass Taiwan ein wichtiger Partner und demokratischer Verbündeter</w:t>
            </w:r>
            <w:r w:rsidRPr="000A7EC7">
              <w:rPr>
                <w:b/>
                <w:i/>
              </w:rPr>
              <w:t xml:space="preserve"> der EU</w:t>
            </w:r>
            <w:r w:rsidRPr="000A7EC7">
              <w:t xml:space="preserve"> in der indopazifischen Region ist; erkennt die Bedeutung Taiwans für die Sicherung der globalen Lieferketten, insbesondere im High-Tech-Sektor, an und fordert die EU und ihre Mitgliedstaaten auf, eine engere </w:t>
            </w:r>
            <w:r w:rsidRPr="000A7EC7">
              <w:lastRenderedPageBreak/>
              <w:t xml:space="preserve">Zusammenarbeit mit Taiwan einzuleiten; fordert die </w:t>
            </w:r>
            <w:r w:rsidRPr="000A7EC7">
              <w:rPr>
                <w:b/>
                <w:i/>
              </w:rPr>
              <w:t>EU</w:t>
            </w:r>
            <w:r w:rsidRPr="000A7EC7">
              <w:t xml:space="preserve"> und </w:t>
            </w:r>
            <w:r w:rsidRPr="000A7EC7">
              <w:rPr>
                <w:b/>
                <w:i/>
              </w:rPr>
              <w:t>ihre</w:t>
            </w:r>
            <w:r w:rsidRPr="000A7EC7">
              <w:t xml:space="preserve"> Mitgliedstaaten auf, </w:t>
            </w:r>
            <w:r w:rsidRPr="000A7EC7">
              <w:rPr>
                <w:b/>
                <w:i/>
              </w:rPr>
              <w:t>durch klare und konsequente Signale sicherzustellen, dass jeder Versuch, den Status quo in</w:t>
            </w:r>
            <w:r w:rsidRPr="000A7EC7">
              <w:t xml:space="preserve"> der </w:t>
            </w:r>
            <w:r w:rsidRPr="000A7EC7">
              <w:rPr>
                <w:b/>
                <w:i/>
              </w:rPr>
              <w:t>Taiwanstraße einseitig</w:t>
            </w:r>
            <w:r w:rsidRPr="000A7EC7">
              <w:t xml:space="preserve"> zu </w:t>
            </w:r>
            <w:r w:rsidRPr="000A7EC7">
              <w:rPr>
                <w:b/>
                <w:i/>
              </w:rPr>
              <w:t>ändern, insbesondere durch Gewalt oder Zwang, nicht akzeptiert werden kann</w:t>
            </w:r>
            <w:r w:rsidRPr="000A7EC7">
              <w:t xml:space="preserve"> und </w:t>
            </w:r>
            <w:r w:rsidRPr="000A7EC7">
              <w:rPr>
                <w:b/>
                <w:i/>
              </w:rPr>
              <w:t>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 xml:space="preserve">bekräftigt, dass Taiwan ein wichtiger Partner </w:t>
            </w:r>
            <w:r w:rsidRPr="000A7EC7">
              <w:rPr>
                <w:b/>
                <w:i/>
              </w:rPr>
              <w:t xml:space="preserve">der EU </w:t>
            </w:r>
            <w:r w:rsidRPr="000A7EC7">
              <w:t xml:space="preserve">und demokratischer Verbündeter in der indopazifischen Region ist; erkennt die Bedeutung Taiwans für die Sicherung der globalen Lieferketten, insbesondere im High-Tech-Sektor, an und fordert die EU und ihre Mitgliedstaaten auf, eine engere </w:t>
            </w:r>
            <w:r w:rsidRPr="000A7EC7">
              <w:lastRenderedPageBreak/>
              <w:t xml:space="preserve">Zusammenarbeit mit Taiwan einzuleiten; fordert die </w:t>
            </w:r>
            <w:r w:rsidRPr="000A7EC7">
              <w:rPr>
                <w:b/>
                <w:i/>
              </w:rPr>
              <w:t>Kommission</w:t>
            </w:r>
            <w:r w:rsidRPr="000A7EC7">
              <w:t xml:space="preserve"> und </w:t>
            </w:r>
            <w:r w:rsidRPr="000A7EC7">
              <w:rPr>
                <w:b/>
                <w:i/>
              </w:rPr>
              <w:t>die</w:t>
            </w:r>
            <w:r w:rsidRPr="000A7EC7">
              <w:t xml:space="preserve"> Mitgliedstaaten auf, </w:t>
            </w:r>
            <w:r w:rsidRPr="000A7EC7">
              <w:rPr>
                <w:b/>
                <w:i/>
              </w:rPr>
              <w:t>Taiwans konstruktive Beteiligung an einschlägigen internationalen Organisationen zu unterstützen;</w:t>
            </w:r>
            <w:r w:rsidRPr="000A7EC7">
              <w:t xml:space="preserve"> </w:t>
            </w:r>
            <w:r w:rsidRPr="000A7EC7">
              <w:rPr>
                <w:b/>
                <w:i/>
              </w:rPr>
              <w:t>bekräftigt das Bekenntnis der EU zu ihrer Ein-China-Politik als politisches Fundament der Beziehungen zwischen der EU und China;</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Emmanouil Kefalogiannis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w:t>
            </w:r>
            <w:r w:rsidRPr="000A7EC7">
              <w:rPr>
                <w:b/>
                <w:i/>
              </w:rPr>
              <w:t xml:space="preserve">betont, dass Chinas territoriale Ansprüche keine Grundlage im Völkerrecht haben; </w:t>
            </w:r>
            <w:r w:rsidRPr="000A7EC7">
              <w:rPr>
                <w:b/>
                <w:i/>
              </w:rPr>
              <w:lastRenderedPageBreak/>
              <w:t>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 </w:t>
            </w:r>
            <w:r w:rsidRPr="000A7EC7">
              <w:rPr>
                <w:b/>
                <w:i/>
              </w:rPr>
              <w:t xml:space="preserve">fordert die Kommission erneut auf, in Vorbereitung auf Verhandlungen zur Vertiefung der bilateralen Wirtschaftsbeziehungen </w:t>
            </w:r>
            <w:r w:rsidRPr="000A7EC7">
              <w:rPr>
                <w:b/>
                <w:i/>
              </w:rPr>
              <w:lastRenderedPageBreak/>
              <w:t>unverzüglich eine Folgenabschätzung, eine öffentliche Konsultation und eine Vorstudie für ein bilaterales Investitionsabkommen mit den Staatsorganen Taiwans auf den Weg zu bringen;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Vangelis Meimarakis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w:t>
            </w:r>
            <w:r w:rsidRPr="000A7EC7">
              <w:rPr>
                <w:b/>
                <w:i/>
              </w:rPr>
              <w:t>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797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w:t>
            </w:r>
            <w:r w:rsidRPr="000A7EC7">
              <w:rPr>
                <w:b/>
                <w:i/>
              </w:rPr>
              <w:t>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w:t>
            </w:r>
            <w:r w:rsidRPr="000A7EC7">
              <w:lastRenderedPageBreak/>
              <w:t xml:space="preserve">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w:t>
            </w:r>
            <w:r w:rsidRPr="000A7EC7">
              <w:rPr>
                <w:b/>
                <w:i/>
              </w:rPr>
              <w:t>Kommission</w:t>
            </w:r>
            <w:r w:rsidRPr="000A7EC7">
              <w:t xml:space="preserve"> und </w:t>
            </w:r>
            <w:r w:rsidRPr="000A7EC7">
              <w:rPr>
                <w:b/>
                <w:i/>
              </w:rPr>
              <w:t>die</w:t>
            </w:r>
            <w:r w:rsidRPr="000A7EC7">
              <w:t xml:space="preserve"> Mitgliedstaaten auf, Taiwans </w:t>
            </w:r>
            <w:r w:rsidRPr="000A7EC7">
              <w:rPr>
                <w:b/>
                <w:i/>
              </w:rPr>
              <w:t>sinnvolle</w:t>
            </w:r>
            <w:r w:rsidRPr="000A7EC7">
              <w:t xml:space="preserv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 xml:space="preserve">bekräftigt, dass Taiwan ein wichtiger Partner und demokratischer </w:t>
            </w:r>
            <w:r w:rsidRPr="000A7EC7">
              <w:lastRenderedPageBreak/>
              <w:t xml:space="preserve">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w:t>
            </w:r>
            <w:r w:rsidRPr="000A7EC7">
              <w:rPr>
                <w:b/>
                <w:i/>
              </w:rPr>
              <w:t>EU</w:t>
            </w:r>
            <w:r w:rsidRPr="000A7EC7">
              <w:t xml:space="preserve"> und </w:t>
            </w:r>
            <w:r w:rsidRPr="000A7EC7">
              <w:rPr>
                <w:b/>
                <w:i/>
              </w:rPr>
              <w:t>ihre</w:t>
            </w:r>
            <w:r w:rsidRPr="000A7EC7">
              <w:t xml:space="preserve"> Mitgliedstaaten auf, Taiwans </w:t>
            </w:r>
            <w:r w:rsidRPr="000A7EC7">
              <w:rPr>
                <w:b/>
                <w:i/>
              </w:rPr>
              <w:t>substanzielle</w:t>
            </w:r>
            <w:r w:rsidRPr="000A7EC7">
              <w:t xml:space="preserve"> Beteiligung an einschlägigen internationalen Organisationen </w:t>
            </w:r>
            <w:r w:rsidRPr="000A7EC7">
              <w:rPr>
                <w:b/>
                <w:i/>
              </w:rPr>
              <w:t xml:space="preserve">wie der WHO, der ICAO, Interpol und dem UNFCCC </w:t>
            </w:r>
            <w:r w:rsidRPr="000A7EC7">
              <w:t xml:space="preserve">zu unterstützen; </w:t>
            </w:r>
            <w:r w:rsidRPr="000A7EC7">
              <w:rPr>
                <w:b/>
                <w:i/>
              </w:rPr>
              <w:t>fordert das Sekretariat der Vereinten Nationen ferner auf, taiwanesischen Bürgern und Journalisten den Zugang zu den Räumlichkeiten der Vereinten Nationen für Besuche, Treffen und Nachrichtenrecherche zu gewähren;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799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w:t>
            </w:r>
            <w:r w:rsidRPr="000A7EC7">
              <w:rPr>
                <w:b/>
                <w:i/>
              </w:rPr>
              <w:t>und demokratischer Verbündeter der EU</w:t>
            </w:r>
            <w:r w:rsidRPr="000A7EC7">
              <w:t xml:space="preserve"> in der indopazifischen Region ist; erkennt die Bedeutung Taiwans für die Sicherung der globalen Lieferketten, insbesondere im </w:t>
            </w:r>
            <w:r w:rsidRPr="000A7EC7">
              <w:lastRenderedPageBreak/>
              <w:t xml:space="preserve">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w:t>
            </w:r>
            <w:r w:rsidRPr="000A7EC7">
              <w:rPr>
                <w:b/>
                <w:i/>
              </w:rPr>
              <w:t>betont, dass Chinas territoriale Ansprüche keine Grundlage im Völkerrecht haben; verurteilt ferner, dass China die Beteiligung Taiwans an multilateralen Organisationen blockiert;</w:t>
            </w:r>
            <w:r w:rsidRPr="000A7EC7">
              <w:t xml:space="preserve">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 xml:space="preserve">bekräftigt, dass Taiwan ein wichtiger Partner in der indopazifischen Region ist; erkennt die Bedeutung Taiwans für die Sicherung der globalen Lieferketten, insbesondere im High-Tech-Sektor, an und fordert die EU und ihre </w:t>
            </w:r>
            <w:r w:rsidRPr="000A7EC7">
              <w:lastRenderedPageBreak/>
              <w:t>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fordert die Kommission und die Mitgliedstaaten auf, Taiwans sinnvolle Beteiligung an einschlägigen internationalen Organisationen zu unterstützen;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w:t>
            </w:r>
            <w:r w:rsidRPr="000A7EC7">
              <w:lastRenderedPageBreak/>
              <w:t>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w:t>
            </w:r>
            <w:r w:rsidRPr="000A7EC7">
              <w:rPr>
                <w:b/>
                <w:i/>
              </w:rPr>
              <w:t xml:space="preserve"> betont, dass die Wahrung des Friedens, der Stabilität und der Freiheit der Schifffahrt im indopazifischen Raum weiterhin von entscheidender Bedeutung für die Interessen der EU und ihrer Mitgliedstaaten ist;</w:t>
            </w:r>
            <w:r w:rsidRPr="000A7EC7">
              <w:t xml:space="preserve"> fordert die EU und </w:t>
            </w:r>
            <w:r w:rsidRPr="000A7EC7">
              <w:lastRenderedPageBreak/>
              <w:t>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an multilateralen Organisationen blockiert; fordert die Kommission und die Mitgliedstaaten auf, Taiwans sinnvolle Beteiligung an einschlägigen internationalen Organisationen zu unterstützen;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30.</w:t>
            </w:r>
            <w:r w:rsidRPr="000A7EC7">
              <w:tab/>
              <w:t xml:space="preserve">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 verurteilt ferner, dass China die Beteiligung Taiwans </w:t>
            </w:r>
            <w:r w:rsidRPr="000A7EC7">
              <w:lastRenderedPageBreak/>
              <w:t xml:space="preserve">an multilateralen Organisationen blockiert; fordert die Kommission und die Mitgliedstaaten auf, Taiwans </w:t>
            </w:r>
            <w:r w:rsidRPr="000A7EC7">
              <w:rPr>
                <w:b/>
                <w:i/>
              </w:rPr>
              <w:t>sinnvolle</w:t>
            </w:r>
            <w:r w:rsidRPr="000A7EC7">
              <w:t xml:space="preserve"> Beteiligung an einschlägigen internationalen Organisationen zu unterstützen;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30.</w:t>
            </w:r>
            <w:r w:rsidRPr="000A7EC7">
              <w:tab/>
              <w:t>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fordert die EU und ihre Mitgliedstaaten auf, durch klare und konsequente Signale sicherzustellen, dass jeder Versuch, den Status quo in der Taiwanstraße einseitig zu ändern, insbesondere durch Gewalt oder Zwang, nicht akzeptiert werden kann und hohe Kosten mit sich bringen wird; betont, dass Chinas territoriale Ansprüche keine Grundlage im Völkerrecht haben</w:t>
            </w:r>
            <w:r w:rsidRPr="000A7EC7">
              <w:rPr>
                <w:b/>
                <w:i/>
              </w:rPr>
              <w:t xml:space="preserve">, und verurteilt daher die anhaltende </w:t>
            </w:r>
            <w:r w:rsidRPr="000A7EC7">
              <w:rPr>
                <w:b/>
                <w:i/>
              </w:rPr>
              <w:lastRenderedPageBreak/>
              <w:t>Falschdarstellung Chinas der Resolution 2758 der Vereinten Nationen</w:t>
            </w:r>
            <w:r w:rsidRPr="000A7EC7">
              <w:t xml:space="preserve">; verurteilt ferner, dass China die Beteiligung Taiwans an multilateralen Organisationen blockiert; fordert die Kommission und die Mitgliedstaaten auf, Taiwans </w:t>
            </w:r>
            <w:r w:rsidRPr="000A7EC7">
              <w:rPr>
                <w:b/>
                <w:i/>
              </w:rPr>
              <w:t>konstruktive</w:t>
            </w:r>
            <w:r w:rsidRPr="000A7EC7">
              <w:t xml:space="preserve"> Beteiligung an einschlägigen internationalen Organisationen zu unterstützen;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Petras Auštrevičius, Dan Barna, Urmas Paet, Lucia Yar, Marie-Agnes Strack-Zimmermann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30a.</w:t>
            </w:r>
            <w:r w:rsidRPr="000A7EC7">
              <w:rPr>
                <w:b/>
                <w:i/>
              </w:rPr>
              <w:tab/>
              <w:t>ist besorgt über die wachsende Mitgliedschaft in der BRICS-Gruppe, die derzeit 45 % der Weltbevölkerung umfasst und sich als Alternative zu den Ländern Nordamerikas und Europas präsentiert; betont, dass eine solche Zusammenarbeit Russland die Möglichkeit bietet, die nach dem Einmarsch in die Ukraine verhängten Sanktionen zu umgehen, und China in die Lage versetzt, seinen Einfluss durch sein Vorgehen bei der Finanzierung von Infrastrukturprojekten weiter auszubauen;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30a.</w:t>
            </w:r>
            <w:r w:rsidRPr="000A7EC7">
              <w:rPr>
                <w:b/>
                <w:i/>
              </w:rPr>
              <w:tab/>
              <w:t>erinnert daran, dass die Wahrung des Friedens und der Stabilität im indopazifischen Raum ein Kernanliegen für die freie Welt und auch für die EU und ihre Mitgliedstaaten ist; bekräftigt, dass es wichtig ist, das Völkerrecht einzuhalten, insbesondere die Achtung des Seerechtsübereinkommens der Vereinten Nationen und seiner Bestimmungen über die Verpflichtung zur Beilegung von Streitigkeiten durch friedliche Mittel und über die Wahrung der Freiheit der Schifffahrt und des Überflugs;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30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30a.</w:t>
            </w:r>
            <w:r w:rsidRPr="000A7EC7">
              <w:rPr>
                <w:b/>
                <w:i/>
              </w:rPr>
              <w:tab/>
              <w:t>fordert die Kommission auf, unverzüglich vorbereitende Maßnahmen für Verhandlungen über ein bilaterales Investitionsabkommen und andere Abkommen mit Taiwan einzuleiten; hebt das Potenzial für eine Zusammenarbeit bei der Überprüfung ausländischer Direktinvestitionen und bei der Bekämpfung von wirtschaftlichem Zwang und Vergeltungsmaßnahmen hervor;</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31.</w:t>
            </w:r>
            <w:r w:rsidRPr="000A7EC7">
              <w:tab/>
              <w:t>weist erneut darauf hin, dass der Verband südostasiatischer Nationen (ASEAN) ein wichtiger Partner bei der Stärkung des regelbasierten Multilateralismus ist; unterstützt die Bemühungen des ASEAN, die Verhandlungen mit China über einen wirksamen und substanziellen Verhaltenskodex im Südchinesischen Meer zum Abschluss zu bringen; spricht sich für ein verstärktes Engagement und eine verstärkte Zusammenarbeit der EU mit dem ASEAN in Richtung einer umfassenden strategischen Partnerschaft aus;</w:t>
            </w:r>
          </w:p>
        </w:tc>
        <w:tc>
          <w:tcPr>
            <w:tcW w:w="4876" w:type="dxa"/>
            <w:tcBorders>
              <w:top w:val="nil"/>
              <w:left w:val="nil"/>
              <w:bottom w:val="nil"/>
              <w:right w:val="nil"/>
            </w:tcBorders>
          </w:tcPr>
          <w:p w:rsidR="000A7EC7" w:rsidRPr="000A7EC7" w:rsidRDefault="000A7EC7" w:rsidP="00592F5E">
            <w:pPr>
              <w:pStyle w:val="Normal6a"/>
            </w:pPr>
            <w:r w:rsidRPr="000A7EC7">
              <w:t>31.</w:t>
            </w:r>
            <w:r w:rsidRPr="000A7EC7">
              <w:tab/>
              <w:t xml:space="preserve">weist erneut darauf hin, dass der Verband südostasiatischer Nationen (ASEAN) ein wichtiger Partner bei der Stärkung des regelbasierten Multilateralismus ist; unterstützt die Bemühungen des ASEAN, die Verhandlungen mit China über einen wirksamen und substanziellen Verhaltenskodex im Südchinesischen Meer zum Abschluss zu bringen;  spricht sich für ein verstärktes </w:t>
            </w:r>
            <w:r w:rsidRPr="000A7EC7">
              <w:rPr>
                <w:b/>
                <w:i/>
              </w:rPr>
              <w:t xml:space="preserve">politisches  </w:t>
            </w:r>
            <w:r w:rsidRPr="000A7EC7">
              <w:t>Engagement und eine verstärkte Zusammenarbeit der EU mit dem ASEAN in Richtung einer umfassenden strategischen Partnerschaft aus</w:t>
            </w:r>
            <w:r w:rsidRPr="000A7EC7">
              <w:rPr>
                <w:b/>
                <w:i/>
              </w:rPr>
              <w:t>, und zwar nicht nur in wirtschaftlicher Hinsicht, sondern auch im Hinblick auf Menschenrechte, Demokratie und nachhaltiges Wachstum;</w:t>
            </w:r>
            <w:r w:rsidRPr="000A7EC7">
              <w:t xml:space="preserve"> </w:t>
            </w:r>
            <w:r w:rsidRPr="000A7EC7">
              <w:rPr>
                <w:b/>
                <w:i/>
              </w:rPr>
              <w:t>fordert, dass die Regierung der Nationalen Einheit Myanmars stärker unterstützt und Druck auf die ASEAN-Länder ausgeübt wird, sich den internationalen Sanktionen gegen die Militärjunta in Myanmar anzuschließen;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31.</w:t>
            </w:r>
            <w:r w:rsidRPr="000A7EC7">
              <w:tab/>
            </w:r>
            <w:r w:rsidRPr="000A7EC7">
              <w:rPr>
                <w:b/>
                <w:i/>
              </w:rPr>
              <w:t>weist erneut darauf hin, dass der Verband südostasiatischer Nationen (ASEAN) ein wichtiger Partner bei der Stärkung des regelbasierten Multilateralismus ist;</w:t>
            </w:r>
            <w:r w:rsidRPr="000A7EC7">
              <w:t xml:space="preserve"> </w:t>
            </w:r>
            <w:r w:rsidRPr="000A7EC7">
              <w:rPr>
                <w:b/>
                <w:i/>
              </w:rPr>
              <w:t>unterstützt</w:t>
            </w:r>
            <w:r w:rsidRPr="000A7EC7">
              <w:t xml:space="preserve"> die </w:t>
            </w:r>
            <w:r w:rsidRPr="000A7EC7">
              <w:rPr>
                <w:b/>
                <w:i/>
              </w:rPr>
              <w:t>Bemühungen des ASEAN, die Verhandlungen mit China über einen wirksamen und substanziellen Verhaltenskodex</w:t>
            </w:r>
            <w:r w:rsidRPr="000A7EC7">
              <w:t xml:space="preserve"> im Südchinesischen </w:t>
            </w:r>
            <w:r w:rsidRPr="000A7EC7">
              <w:lastRenderedPageBreak/>
              <w:t xml:space="preserve">Meer </w:t>
            </w:r>
            <w:r w:rsidRPr="000A7EC7">
              <w:rPr>
                <w:b/>
                <w:i/>
              </w:rPr>
              <w:t xml:space="preserve">zum Abschluss </w:t>
            </w:r>
            <w:r w:rsidRPr="000A7EC7">
              <w:t xml:space="preserve">zu </w:t>
            </w:r>
            <w:r w:rsidRPr="000A7EC7">
              <w:rPr>
                <w:b/>
                <w:i/>
              </w:rPr>
              <w:t>bringen;</w:t>
            </w:r>
            <w:r w:rsidRPr="000A7EC7">
              <w:t xml:space="preserve"> </w:t>
            </w:r>
            <w:r w:rsidRPr="000A7EC7">
              <w:rPr>
                <w:b/>
                <w:i/>
              </w:rPr>
              <w:t>spricht sich für ein verstärktes Engagement und eine verstärkte Zusammenarbeit der EU mit dem ASEAN in Richtung einer umfassenden strategischen Partnerschaft aus;</w:t>
            </w:r>
          </w:p>
        </w:tc>
        <w:tc>
          <w:tcPr>
            <w:tcW w:w="4876" w:type="dxa"/>
            <w:tcBorders>
              <w:top w:val="nil"/>
              <w:left w:val="nil"/>
              <w:bottom w:val="nil"/>
              <w:right w:val="nil"/>
            </w:tcBorders>
          </w:tcPr>
          <w:p w:rsidR="000A7EC7" w:rsidRPr="000A7EC7" w:rsidRDefault="000A7EC7" w:rsidP="00592F5E">
            <w:pPr>
              <w:pStyle w:val="Normal6a"/>
            </w:pPr>
            <w:r w:rsidRPr="000A7EC7">
              <w:lastRenderedPageBreak/>
              <w:t>31.</w:t>
            </w:r>
            <w:r w:rsidRPr="000A7EC7">
              <w:tab/>
            </w:r>
            <w:r w:rsidRPr="000A7EC7">
              <w:rPr>
                <w:b/>
                <w:i/>
              </w:rPr>
              <w:t>unterstützt die friedliche Beilegung von Streitigkeiten und die Fortsetzung</w:t>
            </w:r>
            <w:r w:rsidRPr="000A7EC7">
              <w:t xml:space="preserve"> der </w:t>
            </w:r>
            <w:r w:rsidRPr="000A7EC7">
              <w:rPr>
                <w:b/>
                <w:i/>
              </w:rPr>
              <w:t>Zusammenarbeit im maritimen Bereich, um</w:t>
            </w:r>
            <w:r w:rsidRPr="000A7EC7">
              <w:t xml:space="preserve"> die </w:t>
            </w:r>
            <w:r w:rsidRPr="000A7EC7">
              <w:rPr>
                <w:b/>
                <w:i/>
              </w:rPr>
              <w:t>regionale Stabilität</w:t>
            </w:r>
            <w:r w:rsidRPr="000A7EC7">
              <w:t xml:space="preserve"> im Südchinesischen Meer zu </w:t>
            </w:r>
            <w:r w:rsidRPr="000A7EC7">
              <w:rPr>
                <w:b/>
                <w:i/>
              </w:rPr>
              <w:t>fördern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Ana Miguel Pedro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31.</w:t>
            </w:r>
            <w:r w:rsidRPr="000A7EC7">
              <w:tab/>
              <w:t>weist erneut darauf hin, dass der Verband südostasiatischer Nationen (ASEAN) ein wichtiger Partner bei der Stärkung des regelbasierten Multilateralismus ist; unterstützt die Bemühungen des ASEAN, die Verhandlungen mit China über einen wirksamen und substanziellen Verhaltenskodex im Südchinesischen Meer zum Abschluss zu bringen; spricht sich für ein verstärktes Engagement und eine verstärkte Zusammenarbeit der EU mit dem ASEAN in Richtung einer umfassenden strategischen Partnerschaft aus;</w:t>
            </w:r>
          </w:p>
        </w:tc>
        <w:tc>
          <w:tcPr>
            <w:tcW w:w="4876" w:type="dxa"/>
            <w:tcBorders>
              <w:top w:val="nil"/>
              <w:left w:val="nil"/>
              <w:bottom w:val="nil"/>
              <w:right w:val="nil"/>
            </w:tcBorders>
          </w:tcPr>
          <w:p w:rsidR="000A7EC7" w:rsidRPr="000A7EC7" w:rsidRDefault="000A7EC7" w:rsidP="00592F5E">
            <w:pPr>
              <w:pStyle w:val="Normal6a"/>
            </w:pPr>
            <w:r w:rsidRPr="000A7EC7">
              <w:t>31.</w:t>
            </w:r>
            <w:r w:rsidRPr="000A7EC7">
              <w:tab/>
              <w:t>weist erneut darauf hin, dass der Verband südostasiatischer Nationen (ASEAN) ein wichtiger Partner bei der Stärkung des regelbasierten Multilateralismus ist; unterstützt die Bemühungen des ASEAN, die Verhandlungen mit China über einen wirksamen und substanziellen Verhaltenskodex im Südchinesischen Meer zum Abschluss zu bringen;</w:t>
            </w:r>
            <w:r w:rsidRPr="000A7EC7">
              <w:rPr>
                <w:b/>
                <w:i/>
              </w:rPr>
              <w:t>ist zutiefst besorgt über die anhaltende und unprovozierte Aggression der Volksrepublik China im Südchinesischen Meer, mit der sie ihre unrechtmäßigen Gebiets- und Souveränitätsansprüche durchzusetzen sucht;</w:t>
            </w:r>
            <w:r w:rsidRPr="000A7EC7">
              <w:t xml:space="preserve"> spricht sich für ein verstärktes Engagement und eine verstärkte Zusammenarbeit der EU mit dem ASEAN in Richtung einer umfassenden strategischen Partnerschaft aus;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31.</w:t>
            </w:r>
            <w:r w:rsidRPr="000A7EC7">
              <w:tab/>
              <w:t xml:space="preserve">weist erneut darauf hin, dass der Verband südostasiatischer Nationen (ASEAN) ein wichtiger Partner bei der Stärkung des </w:t>
            </w:r>
            <w:r w:rsidRPr="000A7EC7">
              <w:rPr>
                <w:b/>
                <w:i/>
              </w:rPr>
              <w:t>regelbasierten</w:t>
            </w:r>
            <w:r w:rsidRPr="000A7EC7">
              <w:t xml:space="preserve"> Multilateralismus ist; unterstützt die Bemühungen des ASEAN, die Verhandlungen mit China über einen wirksamen und substanziellen Verhaltenskodex im Südchinesischen Meer zum Abschluss zu bringen; spricht sich für ein verstärktes Engagement und eine verstärkte Zusammenarbeit der EU mit dem ASEAN in Richtung einer umfassenden </w:t>
            </w:r>
            <w:r w:rsidRPr="000A7EC7">
              <w:rPr>
                <w:b/>
                <w:i/>
              </w:rPr>
              <w:t>strategischen</w:t>
            </w:r>
            <w:r w:rsidRPr="000A7EC7">
              <w:t xml:space="preserve"> Partnerschaft aus;</w:t>
            </w:r>
          </w:p>
        </w:tc>
        <w:tc>
          <w:tcPr>
            <w:tcW w:w="4876" w:type="dxa"/>
            <w:tcBorders>
              <w:top w:val="nil"/>
              <w:left w:val="nil"/>
              <w:bottom w:val="nil"/>
              <w:right w:val="nil"/>
            </w:tcBorders>
          </w:tcPr>
          <w:p w:rsidR="000A7EC7" w:rsidRPr="000A7EC7" w:rsidRDefault="000A7EC7" w:rsidP="00592F5E">
            <w:pPr>
              <w:pStyle w:val="Normal6a"/>
            </w:pPr>
            <w:r w:rsidRPr="000A7EC7">
              <w:t>31.</w:t>
            </w:r>
            <w:r w:rsidRPr="000A7EC7">
              <w:tab/>
              <w:t>weist erneut darauf hin, dass der Verband südostasiatischer Nationen (ASEAN) ein wichtiger Partner bei der Stärkung des Multilateralismus ist; unterstützt die Bemühungen des ASEAN, die Verhandlungen mit China über einen wirksamen und substanziellen Verhaltenskodex im Südchinesischen Meer zum Abschluss zu bringen; spricht sich für ein verstärktes Engagement und eine verstärkte Zusammenarbeit der EU mit dem ASEAN in Richtung einer umfassenden Partnerschaft aus;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809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 </w:t>
            </w:r>
            <w:r w:rsidRPr="000A7EC7">
              <w:rPr>
                <w:b/>
                <w:i/>
              </w:rPr>
              <w:t xml:space="preserve">betrachtet Klimawandel und grünes Wachstum, Digitalisierung und neue Technologien, Forschung und Entwicklung, Konnektivität, Handel und Investitionen sowie Außen-, Sicherheits- und Verteidigungspolitik als Schlüsselbereiche der Zusammenarbeit; fordert, dass die EU-Strategie für Indien von 2018 und der Fahrplan EU-Indien bis 2025 in enger </w:t>
            </w:r>
            <w:r w:rsidRPr="000A7EC7">
              <w:rPr>
                <w:b/>
                <w:i/>
              </w:rPr>
              <w:lastRenderedPageBreak/>
              <w:t>Abstimmung mit den eigenen Maßnahmen der Mitgliedstaaten vollständig umgesetzt werden; betont insbesondere, dass größere Synergieeffekte in der Außen- und Sicherheitspolitik durch bestehende Dialogverfahren gefördert werden müssen und im Rahmen des Fahrplans EU-Indien bis 2025 entsprechende weitere Verfahren eingerichtet werden müssen; fordert in diesem Zusammenhang eine stärkere Beteiligung der Mitgliedstaaten; fordert die Mitgliedstaaten gleichermaßen auf, die Zusammenarbeit zwischen Indien und der EU im Bereich der maritimen Sicherheit als Reaktion auf die zunehmende Präsenz Chinas im indopazifischen Raum auszuweiten und zu vertiefen; hebt hervor, dass ein Austausch mit Indien über die Frage seiner starken militärischen Abhängigkeit von Russland sowie über die Sanktionspolitik der EU gegenüber Russland gesucht werden muss; fordert Indien auf, den rechtswidrigen Angriffskrieg Russlands gegen die Ukraine zu verurteilen; </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Sebastian Tynkkynen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w:t>
            </w:r>
            <w:r w:rsidRPr="000A7EC7">
              <w:lastRenderedPageBreak/>
              <w:t>Tagesordnung stehen;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w:t>
            </w:r>
            <w:r w:rsidRPr="000A7EC7">
              <w:lastRenderedPageBreak/>
              <w:t xml:space="preserve">Tagesordnung stehen; </w:t>
            </w:r>
            <w:r w:rsidRPr="000A7EC7">
              <w:rPr>
                <w:b/>
                <w:i/>
              </w:rPr>
              <w:t>nimmt mit Besorgnis die Information zur Kenntnis, dass Indien nach China zum zweitgrößten Lieferanten kritischer Technologien an Russland geworden ist; verurteilt aufs Schärfste die Rolle Indiens als Unterstützer des russischen Angriffskrieges gegen die Ukraine;</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{FI}</w:t>
      </w:r>
      <w:r w:rsidRPr="000A7EC7">
        <w:t>fi</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 </w:t>
            </w:r>
            <w:r w:rsidRPr="000A7EC7">
              <w:rPr>
                <w:b/>
                <w:i/>
              </w:rPr>
              <w:t>fordert die EU auf, die Zusammenarbeit mit Indien im Bereich der maritimen Sicherheit auszubauen und gleichzeitig sicherzustellen, dass nicht zu den zunehmenden Spannungen im indopazifischen Raum beigetragen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w:t>
            </w:r>
            <w:r w:rsidRPr="000A7EC7">
              <w:rPr>
                <w:b/>
                <w:i/>
              </w:rPr>
              <w:t>betrachtet Indien als wichtigen demokratischen Partner und legt der EU nahe, mit der indischen Regierung in Bezug auf die Achtung der Menschenrechte und der Rechtsstaatlichkeit sowohl intern als auch weltweit eng zusammenzuarbeiten;</w:t>
            </w:r>
            <w:r w:rsidRPr="000A7EC7">
              <w:t xml:space="preserve"> fordert ein Gipfeltreffen zwischen Indien und der EU, damit die bilateralen Beziehungen weiterhin ganz oben auf der Tagesordnung stehen;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Emmanouil Fragkos, Galato Alexandraki, Geadis Geadi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 </w:t>
            </w:r>
            <w:r w:rsidRPr="000A7EC7">
              <w:rPr>
                <w:b/>
                <w:i/>
              </w:rPr>
              <w:t>ist der Ansicht, dass Indien bei der Stabilisierung Südasiens und der Bekämpfung des Terrorismus eine wichtige Rolle spielt;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{EL}</w:t>
      </w:r>
      <w:r w:rsidRPr="000A7EC7">
        <w:t>el</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814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w:t>
            </w:r>
            <w:r w:rsidRPr="000A7EC7">
              <w:rPr>
                <w:b/>
                <w:i/>
              </w:rPr>
              <w:t>geopolitische Herausforderungen das gemeinsame Interesse der EU und Indiens an der Gewährleistung von Sicherheit</w:t>
            </w:r>
            <w:r w:rsidRPr="000A7EC7">
              <w:t xml:space="preserve">, Wohlstand und </w:t>
            </w:r>
            <w:r w:rsidRPr="000A7EC7">
              <w:rPr>
                <w:b/>
                <w:i/>
              </w:rPr>
              <w:t>nachhaltiger</w:t>
            </w:r>
            <w:r w:rsidRPr="000A7EC7">
              <w:t xml:space="preserve"> Entwicklung </w:t>
            </w:r>
            <w:r w:rsidRPr="000A7EC7">
              <w:rPr>
                <w:b/>
                <w:i/>
              </w:rPr>
              <w:t>gestärkt haben;</w:t>
            </w:r>
            <w:r w:rsidRPr="000A7EC7">
              <w:t xml:space="preserve"> </w:t>
            </w:r>
            <w:r w:rsidRPr="000A7EC7">
              <w:rPr>
                <w:b/>
                <w:i/>
              </w:rPr>
              <w:t>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w:t>
            </w:r>
            <w:r w:rsidRPr="000A7EC7">
              <w:rPr>
                <w:b/>
                <w:i/>
              </w:rPr>
              <w:t>sowohl die EU als auch Indien ein gemeinsames Interesse daran haben, für Frieden</w:t>
            </w:r>
            <w:r w:rsidRPr="000A7EC7">
              <w:t xml:space="preserve">, Wohlstand und </w:t>
            </w:r>
            <w:r w:rsidRPr="000A7EC7">
              <w:rPr>
                <w:b/>
                <w:i/>
              </w:rPr>
              <w:t>nachhaltige</w:t>
            </w:r>
            <w:r w:rsidRPr="000A7EC7">
              <w:t xml:space="preserve"> Entwicklung </w:t>
            </w:r>
            <w:r w:rsidRPr="000A7EC7">
              <w:rPr>
                <w:b/>
                <w:i/>
              </w:rPr>
              <w:t>zu sorgen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Urmas Paet,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32.</w:t>
            </w:r>
            <w:r w:rsidRPr="000A7EC7">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w:t>
            </w:r>
          </w:p>
        </w:tc>
        <w:tc>
          <w:tcPr>
            <w:tcW w:w="4876" w:type="dxa"/>
            <w:tcBorders>
              <w:top w:val="nil"/>
              <w:left w:val="nil"/>
              <w:bottom w:val="nil"/>
              <w:right w:val="nil"/>
            </w:tcBorders>
          </w:tcPr>
          <w:p w:rsidR="000A7EC7" w:rsidRPr="000A7EC7" w:rsidRDefault="000A7EC7" w:rsidP="00592F5E">
            <w:pPr>
              <w:pStyle w:val="Normal6a"/>
            </w:pPr>
            <w:r w:rsidRPr="000A7EC7">
              <w:t>32.</w:t>
            </w:r>
            <w:r w:rsidRPr="000A7EC7">
              <w:tab/>
              <w:t xml:space="preserve">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 </w:t>
            </w:r>
            <w:r w:rsidRPr="000A7EC7">
              <w:rPr>
                <w:b/>
                <w:i/>
              </w:rPr>
              <w:t>begrüßt die Ankündigung einer künftigen Strategischen Agenda EU-Indien;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lastRenderedPageBreak/>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w:t>
            </w:r>
            <w:r w:rsidRPr="000A7EC7">
              <w:rPr>
                <w:b/>
                <w:i/>
              </w:rPr>
              <w:t xml:space="preserve">gleichgesinnten </w:t>
            </w:r>
            <w:r w:rsidRPr="000A7EC7">
              <w:t>Partnern in Afrika</w:t>
            </w:r>
            <w:r w:rsidRPr="000A7EC7">
              <w:rPr>
                <w:b/>
                <w:i/>
              </w:rPr>
              <w:t>, unter anderem Ghana, Kenia und Senegal,</w:t>
            </w:r>
            <w:r w:rsidRPr="000A7EC7">
              <w:t xml:space="preserve"> zu konzentrieren</w:t>
            </w:r>
            <w:r w:rsidRPr="000A7EC7">
              <w:rPr>
                <w:b/>
                <w:i/>
              </w:rPr>
              <w:t xml:space="preserve"> und dabei den gegenseitigen Bedürfnissen und Interessen Rechnung zu tragen und damit echte und ausgewogene Partnerschaften zu fördern;</w:t>
            </w:r>
            <w:r w:rsidRPr="000A7EC7">
              <w:t xml:space="preserve"> </w:t>
            </w:r>
            <w:r w:rsidRPr="000A7EC7">
              <w:rPr>
                <w:b/>
                <w:i/>
              </w:rPr>
              <w:t>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t>33.</w:t>
            </w:r>
            <w:r w:rsidRPr="000A7EC7">
              <w:tab/>
              <w:t>fordert den HR/VP und die Mitgliedstaaten nachdrücklich auf, sich auf die bilateralen Beziehungen zu Partnern in Afrika zu konzentrieren, die auf</w:t>
            </w:r>
            <w:r w:rsidRPr="000A7EC7">
              <w:rPr>
                <w:b/>
                <w:i/>
              </w:rPr>
              <w:t xml:space="preserve"> gegenseitigem Respekt beruhen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Sebastian Tynkkynen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w:t>
            </w:r>
            <w:r w:rsidRPr="000A7EC7">
              <w:lastRenderedPageBreak/>
              <w:t>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Mitgliedstaaten nachdrücklich auf, sich auf die bilateralen Beziehungen zu gleichgesinnten Partnern in Afrika, unter </w:t>
            </w:r>
            <w:r w:rsidRPr="000A7EC7">
              <w:lastRenderedPageBreak/>
              <w:t xml:space="preserve">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w:t>
            </w:r>
            <w:r w:rsidRPr="000A7EC7">
              <w:rPr>
                <w:b/>
                <w:i/>
              </w:rPr>
              <w:t>betont, dass die Entwicklungshilfe der EU von der Bedingung abhängig gemacht werden sollte, dass die Empfängerländer die Ukraine bei ihren Bemühungen unterstützen, sich gegen den Angriff Russlands zu verteidigen, und dass diese Länder Rückübernahmeabkommen über die Rückkehr ihrer Bürger aus der EU in ihre Heimat- oder Herkunftsländer abschließen;</w:t>
            </w:r>
            <w:r w:rsidRPr="000A7EC7">
              <w:t xml:space="preserve">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{FI}</w:t>
      </w:r>
      <w:r w:rsidRPr="000A7EC7">
        <w:t>fi</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w:t>
            </w:r>
            <w:r w:rsidRPr="000A7EC7">
              <w:lastRenderedPageBreak/>
              <w:t xml:space="preserve">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w:t>
            </w:r>
            <w:r w:rsidRPr="000A7EC7">
              <w:rPr>
                <w:b/>
                <w:i/>
              </w:rPr>
              <w:t xml:space="preserve">ist </w:t>
            </w:r>
            <w:r w:rsidRPr="000A7EC7">
              <w:t>und</w:t>
            </w:r>
            <w:r w:rsidRPr="000A7EC7">
              <w:rPr>
                <w:b/>
                <w:i/>
              </w:rPr>
              <w:t xml:space="preserve"> dass</w:t>
            </w:r>
            <w:r w:rsidRPr="000A7EC7">
              <w:t xml:space="preserve">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Mitgliedstaaten nachdrücklich auf, sich auf die bilateralen Beziehungen zu </w:t>
            </w:r>
            <w:r w:rsidRPr="000A7EC7">
              <w:lastRenderedPageBreak/>
              <w:t xml:space="preserve">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w:t>
            </w:r>
            <w:r w:rsidRPr="000A7EC7">
              <w:rPr>
                <w:b/>
                <w:i/>
              </w:rPr>
              <w:t xml:space="preserve">sowie eine wirtschaftliche Zusammenarbeit </w:t>
            </w:r>
            <w:r w:rsidRPr="000A7EC7">
              <w:t xml:space="preserve">rasch umzusetzen, um zu zeigen, dass die EU ein entscheidender und strategischer Partner und das internationale regelbasierte System den aktuellen Herausforderungen gewachsen ist; </w:t>
            </w:r>
            <w:r w:rsidRPr="000A7EC7">
              <w:rPr>
                <w:b/>
                <w:i/>
              </w:rPr>
              <w:t>bekräftigt in diesem Zusammenhang, dass das Global Gateway enorm wichtig ist, um eine enge Partnerschaft zu fördern, die auf gegenseitigen Nutzen, wirtschaftliche Entwicklung und widerstandsfähige Lieferketten ausgerichtet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819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Alice Teodorescu Måwe</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w:t>
            </w:r>
            <w:r w:rsidRPr="000A7EC7">
              <w:lastRenderedPageBreak/>
              <w:t>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Mitgliedstaaten nachdrücklich auf, sich auf die bilateralen Beziehungen zu gleichgesinnten Partnern in Afrika, unter anderem Ghana, Kenia und Senegal, zu </w:t>
            </w:r>
            <w:r w:rsidRPr="000A7EC7">
              <w:lastRenderedPageBreak/>
              <w:t xml:space="preserve">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 </w:t>
            </w:r>
            <w:r w:rsidRPr="000A7EC7">
              <w:rPr>
                <w:b/>
                <w:i/>
              </w:rPr>
              <w:t>ist der Ansicht, dass die EU als weltweit größter Geber von Entwicklungshilfe die Entwicklungshilfe stärker von der Zusammenarbeit im Bereich Migration abhängig machen sollte;</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{SV}</w:t>
      </w:r>
      <w:r w:rsidRPr="000A7EC7">
        <w:t>sv</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Wouter Beke</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w:t>
            </w:r>
            <w:r w:rsidRPr="000A7EC7">
              <w:lastRenderedPageBreak/>
              <w:t>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w:t>
            </w:r>
            <w:r w:rsidRPr="000A7EC7">
              <w:rPr>
                <w:b/>
                <w:i/>
              </w:rPr>
              <w:t xml:space="preserve"> betont, dass </w:t>
            </w:r>
            <w:r w:rsidRPr="000A7EC7">
              <w:rPr>
                <w:b/>
                <w:i/>
              </w:rPr>
              <w:lastRenderedPageBreak/>
              <w:t>Afrika weiterhin im Fokus stehen muss, zumal der Kontinent bereits von strategischer Bedeutung ist und künftig zu einem immer wichtigeren Akteur werden wird;</w:t>
            </w:r>
            <w:r w:rsidRPr="000A7EC7">
              <w:t xml:space="preserve">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t>
            </w:r>
            <w:r w:rsidRPr="000A7EC7">
              <w:lastRenderedPageBreak/>
              <w:t>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t>
            </w:r>
            <w:r w:rsidRPr="000A7EC7">
              <w:lastRenderedPageBreak/>
              <w:t xml:space="preserve">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 </w:t>
            </w:r>
            <w:r w:rsidRPr="000A7EC7">
              <w:rPr>
                <w:b/>
                <w:i/>
              </w:rPr>
              <w:t>erachtet es als besonders wichtig, diese politischen Abkommen mit Drittländern auf der Grundlage gemeinsamer europäischer Werte und Grundrechte zu schließen;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 Jordan Bardella, Hermann Tertsch, Matthieu Valet, Pierre-Romain Thionnet,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w:t>
            </w:r>
            <w:r w:rsidRPr="000A7EC7">
              <w:lastRenderedPageBreak/>
              <w:t>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die Mitgliedstaaten nachdrücklich auf, sich auf die bilateralen Beziehungen zu gleichgesinnten Partnern in Afrika, unter anderem Ghana, Kenia, Senegal und Cabo Verde,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Grundwerte der EU wahren; fordert die EU auf, den Erwartungen der Partnerländer </w:t>
            </w:r>
            <w:r w:rsidRPr="000A7EC7">
              <w:lastRenderedPageBreak/>
              <w:t xml:space="preserve">gerecht zu werden und politische Vereinbarungen mit ihnen rasch umzusetzen, um zu zeigen, dass die EU ein entscheidender und strategischer Partner ist und dass das internationale regelbasierte System den aktuellen Herausforderungen gewachsen ist; </w:t>
            </w:r>
            <w:r w:rsidRPr="000A7EC7">
              <w:rPr>
                <w:b/>
                <w:i/>
              </w:rPr>
              <w:t>weist warnend auf die zunehmende Präsenz Russlands und Chinas auf afrikanischem Gebieten sowie auf die steigende Präsenz terroristischer und radikaler islamischer Gruppen hin;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w:t>
            </w:r>
            <w:r w:rsidRPr="000A7EC7">
              <w:rPr>
                <w:b/>
                <w:i/>
              </w:rPr>
              <w:t xml:space="preserve">Grundsätze der GASP und der Gemeinsamen Sicherheits- und Verteidigungspolitik (GSVP) sowie die </w:t>
            </w:r>
            <w:r w:rsidRPr="000A7EC7">
              <w:t>Grundwerte der EU wahren; fordert die EU auf, den Erwartungen der Partnerländer gerecht zu werden und</w:t>
            </w:r>
            <w:r w:rsidRPr="000A7EC7">
              <w:rPr>
                <w:b/>
                <w:i/>
              </w:rPr>
              <w:t xml:space="preserve"> politische</w:t>
            </w:r>
            <w:r w:rsidRPr="000A7EC7">
              <w:t xml:space="preserve"> Vereinbarungen mit ihnen rasch umzusetzen, um zu zeigen, dass die EU ein entscheidender und strategischer Partner ist </w:t>
            </w:r>
            <w:r w:rsidRPr="000A7EC7">
              <w:lastRenderedPageBreak/>
              <w:t>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Grundwerte der EU wahren; fordert die EU auf, den Erwartungen der Partnerländer gerecht zu werden und Vereinbarungen mit ihnen rasch umzusetzen, um zu zeigen, dass die EU ein entscheidender und strategischer Partner ist und dass das internationale regelbasierte System den aktuellen Herausforderungen gewachsen ist;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w:t>
            </w:r>
            <w:r w:rsidRPr="000A7EC7">
              <w:rPr>
                <w:b/>
                <w:i/>
              </w:rPr>
              <w:t>Senegal</w:t>
            </w:r>
            <w:r w:rsidRPr="000A7EC7">
              <w:t>,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t>33.</w:t>
            </w:r>
            <w:r w:rsidRPr="000A7EC7">
              <w:tab/>
              <w:t>fordert den HR/VP und die Mitgliedstaaten nachdrücklich auf, sich auf die bilateralen Beziehungen zu gleichgesinnten Partnern in Afrika, unter anderem Ghana, Kenia</w:t>
            </w:r>
            <w:r w:rsidRPr="000A7EC7">
              <w:rPr>
                <w:b/>
                <w:i/>
              </w:rPr>
              <w:t>, Senegal</w:t>
            </w:r>
            <w:r w:rsidRPr="000A7EC7">
              <w:t xml:space="preserve"> und </w:t>
            </w:r>
            <w:r w:rsidRPr="000A7EC7">
              <w:rPr>
                <w:b/>
                <w:i/>
              </w:rPr>
              <w:t>Mauretanien</w:t>
            </w:r>
            <w:r w:rsidRPr="000A7EC7">
              <w:t>,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aufbaut,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825</w:t>
      </w:r>
      <w:r w:rsidRPr="000A7EC7">
        <w:rPr>
          <w:rStyle w:val="HideTWBExt"/>
        </w:rPr>
        <w:t>&lt;/NumAm&gt;</w:t>
      </w:r>
    </w:p>
    <w:p w:rsidR="000A7EC7" w:rsidRPr="000A7EC7" w:rsidRDefault="000A7EC7" w:rsidP="000A7EC7">
      <w:pPr>
        <w:pStyle w:val="NormalBold"/>
      </w:pPr>
      <w:r w:rsidRPr="000A7EC7">
        <w:rPr>
          <w:rStyle w:val="HideTWBExt"/>
          <w:b w:val="0"/>
        </w:rPr>
        <w:lastRenderedPageBreak/>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t>33.</w:t>
            </w:r>
            <w:r w:rsidRPr="000A7EC7">
              <w:tab/>
              <w:t>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w:t>
            </w:r>
            <w:r w:rsidRPr="000A7EC7">
              <w:rPr>
                <w:b/>
                <w:i/>
              </w:rPr>
              <w:t>, verlässlicher</w:t>
            </w:r>
            <w:r w:rsidRPr="000A7EC7">
              <w:t xml:space="preserve"> und strategischer Partner ist und dass das internationale regelbasierte System den aktuellen Herausforderungen gewachsen ist;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Urmas Paet,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w:t>
            </w:r>
            <w:r w:rsidRPr="000A7EC7">
              <w:lastRenderedPageBreak/>
              <w:t>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w:t>
            </w:r>
            <w:r w:rsidRPr="000A7EC7">
              <w:lastRenderedPageBreak/>
              <w:t xml:space="preserve">Mitgliedstaaten nachdrücklich auf, sich auf die bilateralen Beziehungen zu gleichgesinnten Partnern in Afrika, unter anderem Ghana, </w:t>
            </w:r>
            <w:r w:rsidRPr="000A7EC7">
              <w:rPr>
                <w:b/>
                <w:i/>
              </w:rPr>
              <w:t xml:space="preserve">Marokko, </w:t>
            </w:r>
            <w:r w:rsidRPr="000A7EC7">
              <w:t>Kenia und Senegal, zu konzentrieren und dabei den gegenseitigen Bedürfnissen und Interessen Rechnung zu tragen und damit echte und ausgewogene Partnerschaften zu fördern; ist der Ansicht, dass der Grundsatz „mehr für mehr“ 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w:t>
            </w:r>
            <w:r w:rsidRPr="000A7EC7">
              <w:lastRenderedPageBreak/>
              <w:t xml:space="preserve">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w:t>
            </w:r>
            <w:r w:rsidRPr="000A7EC7">
              <w:rPr>
                <w:b/>
                <w:i/>
              </w:rPr>
              <w:t>regelbasierte</w:t>
            </w:r>
            <w:r w:rsidRPr="000A7EC7">
              <w:t xml:space="preserve"> System den aktuellen Herausforderungen gewachsen ist;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33.</w:t>
            </w:r>
            <w:r w:rsidRPr="000A7EC7">
              <w:tab/>
              <w:t xml:space="preserve">fordert den HR/VP und die Mitgliedstaaten nachdrücklich auf, sich auf die bilateralen Beziehungen zu gleichgesinnten Partnern in Afrika, unter anderem Ghana, Kenia und Senegal, zu konzentrieren und dabei den gegenseitigen Bedürfnissen und Interessen Rechnung zu tragen und damit echte und ausgewogene Partnerschaften zu fördern; ist der Ansicht, dass der Grundsatz „mehr für mehr“ </w:t>
            </w:r>
            <w:r w:rsidRPr="000A7EC7">
              <w:lastRenderedPageBreak/>
              <w:t>vollständig in die Beziehungen zu Drittländern einbezogen werden sollte, wobei die EU stärkere Partnerschaften mit denjenigen Ländern entwickelt, die die Grundsätze der GASP und der Gemeinsamen Sicherheits- und Verteidigungspolitik (GSVP) sowie die Grundwerte der EU wahren; fordert die EU auf, den Erwartungen der Partnerländer gerecht zu werden und politische Vereinbarungen mit ihnen rasch umzusetzen, um zu zeigen, dass die EU ein entscheidender und strategischer Partner ist und dass das internationale System den aktuellen Herausforderungen gewachsen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33a.</w:t>
            </w:r>
            <w:r w:rsidRPr="000A7EC7">
              <w:rPr>
                <w:b/>
                <w:i/>
              </w:rPr>
              <w:tab/>
              <w:t>weist darauf hin, dass die Präsenz russischer paramilitärischer Elemente der Wagner-Miliz in Afrika diese Länder destabilisiert und den Interessen der EU in der Region abträglich ist; stellt fest, dass dies Teil einer Logik sind, bei der es darum geht, die politischen, diplomatischen, wirtschaftlichen und militärischen Interessen der Mitgliedstaaten der EU, einschließlich Frankreichs, in dieser Region zu erschüttern; weist darauf hin, dass französische Soldaten auf Ersuchen afrikanischer Länder zehn Jahre lang in der Sahelzone im Kampf gegen den islamistischen Terrorismus eingesetzt wurden;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829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33a.</w:t>
            </w:r>
            <w:r w:rsidRPr="000A7EC7">
              <w:rPr>
                <w:b/>
                <w:i/>
              </w:rPr>
              <w:tab/>
              <w:t>ist besorgt über die schwierige und ernste Lage in der gesamten Sahelzone, insbesondere nach den zahlreichen Staatsstreichen, unter denen viele Länder der Region in den letzten Jahren zu leiden hatten; weist darauf hin, dass sich die Stabilität der Sahelzone unmittelbar auf die Sicherheit und den Wohlstand Europas auswirkt sowie auf die Steuerung der Migrationsströme, die vom afrikanischen Kontinent ausgehen;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Jorge Martín Frías, Hermann Tertsch</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33b.</w:t>
            </w:r>
            <w:r w:rsidRPr="000A7EC7">
              <w:rPr>
                <w:b/>
                <w:i/>
              </w:rPr>
              <w:tab/>
              <w:t>befürwortet Verhandlungen zwischen der Europäischen Union und afrikanischen Küstenstaaten wie Senegal, in denen es darum geht, zwischen Frontex und den zuständigen Behörden vor Ort eine Zusammenarbeit im Bereich der Immigration zu begründen, um die unkontrollierten Migrationsströme einzudämmen;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33b.</w:t>
            </w:r>
            <w:r w:rsidRPr="000A7EC7">
              <w:rPr>
                <w:b/>
                <w:i/>
              </w:rPr>
              <w:tab/>
              <w:t>bedauert, dass es fast 30 Jahre, nachdem der Barcelona-Prozess ins Leben gerufen wurde, noch immer nicht gelungen ist, einen gemeinsamen Raum des Wohlstands, der Stabilität und Freiheit mit den Mittelmeerländern der südlichen Nachbarschaft zu schaffen;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Jorge Martín Frías, Hermann Tertsch</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33c.</w:t>
            </w:r>
            <w:r w:rsidRPr="000A7EC7">
              <w:rPr>
                <w:b/>
                <w:i/>
              </w:rPr>
              <w:tab/>
              <w:t>begrüßt die Operation Atalante, die zur Bekämpfung der Piraterie im Golf von Aden durchgeführt wird; betont, dass der Operation Aspides beim Schutz der Schifffahrtsrouten vor der jemenitischen Küste enorme Bedeutung zukommt; hebt hervor, dass die Operation Irini vor der Küste Libyens äußerst relevant ist;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33c.</w:t>
            </w:r>
            <w:r w:rsidRPr="000A7EC7">
              <w:rPr>
                <w:b/>
                <w:i/>
              </w:rPr>
              <w:tab/>
              <w:t>begrüßt, dass ein Kommissionsmitglied mit Zuständigkeit für den Mittelmeerraum ernannt wurde;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d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33d.</w:t>
            </w:r>
            <w:r w:rsidRPr="000A7EC7">
              <w:tab/>
            </w:r>
            <w:r w:rsidRPr="000A7EC7">
              <w:rPr>
                <w:b/>
                <w:i/>
              </w:rPr>
              <w:t>betont, dass es enorm wichtig ist, mit den Ländern der südlichen Nachbarschaft Übereinkünfte zu schließen, die den gegenseitigen Interessen dienen und zu mehr Stabilität und Wohlstand und zu einem besseren Schutz der Menschenrechte beitragen; hebt hervor, dass die Länder der südlichen Nachbarschaft eine wichtige Rolle spielen, wenn es darum geht, die Migrationsströme auf Basis der Grundsätze von Solidarität, Ausgewogenheit und gemeinsamer Verantwortung der Länder zu steuern;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33 e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33e.</w:t>
            </w:r>
            <w:r w:rsidRPr="000A7EC7">
              <w:tab/>
            </w:r>
            <w:r w:rsidRPr="000A7EC7">
              <w:rPr>
                <w:b/>
                <w:i/>
              </w:rPr>
              <w:t xml:space="preserve">weist auf die Rolle hin, die die Union für den Mittelmeerraum als Plattform für eine intensivere </w:t>
            </w:r>
            <w:r w:rsidRPr="000A7EC7">
              <w:rPr>
                <w:b/>
                <w:i/>
              </w:rPr>
              <w:lastRenderedPageBreak/>
              <w:t>Zusammenarbeit zwischen den europäischen Ländern und den südlichen Anrainerstaaten des Mittelmeers spielen kann;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w:t>
            </w:r>
            <w:r w:rsidRPr="000A7EC7">
              <w:rPr>
                <w:b/>
                <w:i/>
              </w:rPr>
              <w:t> </w:t>
            </w:r>
            <w:r w:rsidRPr="000A7EC7">
              <w:t>stellt fest, dass das europäische Engagement in der Region in den letzten Jahrzehnten nachgelassen hat, wodurch ein Vakuum zugunsten ausländischer böswilliger Akteure entstanden ist;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r w:rsidRPr="000A7EC7">
              <w:rPr>
                <w:b/>
                <w:i/>
              </w:rPr>
              <w:t> erinnert daran, dass die Europäische Union und die Länder der Region dieselbe Kultur, Geschichte, Sprache, Religion und Werte teilen, was sie zu traditionellen und gleichgesinnten Partnern im heutigen geopolitischen Kontext macht;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837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 </w:t>
            </w:r>
            <w:r w:rsidRPr="000A7EC7">
              <w:rPr>
                <w:b/>
                <w:i/>
              </w:rPr>
              <w:t>begrüßt das informelle Treffen zwischen der EU und der CELAC und die Umsetzung von Initiativen im Rahmen des Fahrplans EU-CELAC 2023–2025 und betont in diesem Zusammenhang, dass auf dem Gipfeltreffen 2025 ein neuer und ambitionierter Fahrplan angenommen werden muss, mit dem die Partnerschaft weiter gestärkt wird und bei dem die bisher bewährten Verfahren berücksichtigt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w:t>
            </w:r>
            <w:r w:rsidRPr="000A7EC7">
              <w:lastRenderedPageBreak/>
              <w:t>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34.</w:t>
            </w:r>
            <w:r w:rsidRPr="000A7EC7">
              <w:tab/>
              <w:t xml:space="preserve">betont, dass die Zusammenarbeit </w:t>
            </w:r>
            <w:r w:rsidRPr="000A7EC7">
              <w:lastRenderedPageBreak/>
              <w:t>der EU mit gleichgesinnten Ländern in Lateinamerika weiter intensiviert werden muss, insbesondere angesichts des zunehmenden Einflusses von China, Iran und Russland in Lateinamerika und der Karibik;</w:t>
            </w:r>
            <w:r w:rsidRPr="000A7EC7">
              <w:rPr>
                <w:b/>
                <w:i/>
              </w:rPr>
              <w:t xml:space="preserve"> </w:t>
            </w:r>
            <w:r w:rsidRPr="000A7EC7">
              <w:t>fordert die Mitgliedstaaten der EU auf, die Bedrohung zur Kenntnis zu nehmen, die in diesem Zusammenhang von böswilligen Organisationen wie dem São-Paulo-Forum und der Puebla-Gruppe ausgeht, deren Ziel es ist, die Interessen der totalitären Achse Havanna-Bejing-Moskau-Teheran auf Kosten der westlichen Präsenz in der Region zu fördern;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839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r>
            <w:r w:rsidRPr="000A7EC7">
              <w:rPr>
                <w:b/>
                <w:i/>
              </w:rPr>
              <w:t xml:space="preserve">betont, dass die Zusammenarbeit der EU mit gleichgesinnten Ländern in Lateinamerika weiter intensiviert werden muss, insbesondere angesichts des zunehmenden Einflusses von China und Russland in Lateinamerika und der Karibik; fordert </w:t>
            </w:r>
            <w:r w:rsidRPr="000A7EC7">
              <w:t xml:space="preserve">die Mitgliedstaaten </w:t>
            </w:r>
            <w:r w:rsidRPr="000A7EC7">
              <w:rPr>
                <w:b/>
                <w:i/>
              </w:rPr>
              <w:t>und den Europäischen Auswärtigen Dienst (EAD)</w:t>
            </w:r>
            <w:r w:rsidRPr="000A7EC7">
              <w:t xml:space="preserve"> auf, </w:t>
            </w:r>
            <w:r w:rsidRPr="000A7EC7">
              <w:rPr>
                <w:b/>
                <w:i/>
              </w:rPr>
              <w:t>eine proaktive Diplomatie in der Region</w:t>
            </w:r>
            <w:r w:rsidRPr="000A7EC7">
              <w:t xml:space="preserve"> zu </w:t>
            </w:r>
            <w:r w:rsidRPr="000A7EC7">
              <w:rPr>
                <w:b/>
                <w:i/>
              </w:rPr>
              <w:t xml:space="preserve">betreiben und dabei besonderes Augenmerk auf die Verteidigung der multilateralen </w:t>
            </w:r>
            <w:r w:rsidRPr="000A7EC7">
              <w:rPr>
                <w:b/>
                <w:i/>
              </w:rPr>
              <w:lastRenderedPageBreak/>
              <w:t>Weltordnung, des Völkerrechts</w:t>
            </w:r>
            <w:r w:rsidRPr="000A7EC7">
              <w:t xml:space="preserve"> und </w:t>
            </w:r>
            <w:r w:rsidRPr="000A7EC7">
              <w:rPr>
                <w:b/>
                <w:i/>
              </w:rPr>
              <w:t>der Achtung der Demokratie und der Menschenrechte</w:t>
            </w:r>
            <w:r w:rsidRPr="000A7EC7">
              <w:t xml:space="preserve"> zu </w:t>
            </w:r>
            <w:r w:rsidRPr="000A7EC7">
              <w:rPr>
                <w:b/>
                <w:i/>
              </w:rPr>
              <w:t>legen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34.</w:t>
            </w:r>
            <w:r w:rsidRPr="000A7EC7">
              <w:tab/>
            </w:r>
            <w:r w:rsidRPr="000A7EC7">
              <w:rPr>
                <w:b/>
                <w:i/>
              </w:rPr>
              <w:t>fordert den HR/VP</w:t>
            </w:r>
            <w:r w:rsidRPr="000A7EC7">
              <w:t xml:space="preserve"> und die Mitgliedstaaten </w:t>
            </w:r>
            <w:r w:rsidRPr="000A7EC7">
              <w:rPr>
                <w:b/>
                <w:i/>
              </w:rPr>
              <w:t>nachdrücklich</w:t>
            </w:r>
            <w:r w:rsidRPr="000A7EC7">
              <w:t xml:space="preserve"> auf, </w:t>
            </w:r>
            <w:r w:rsidRPr="000A7EC7">
              <w:rPr>
                <w:b/>
                <w:i/>
              </w:rPr>
              <w:t>sich auf die bilateralen Beziehungen</w:t>
            </w:r>
            <w:r w:rsidRPr="000A7EC7">
              <w:t xml:space="preserve"> zu </w:t>
            </w:r>
            <w:r w:rsidRPr="000A7EC7">
              <w:rPr>
                <w:b/>
                <w:i/>
              </w:rPr>
              <w:t>den Partnern in Lateinamerika zu konzentrieren</w:t>
            </w:r>
            <w:r w:rsidRPr="000A7EC7">
              <w:t xml:space="preserve"> und </w:t>
            </w:r>
            <w:r w:rsidRPr="000A7EC7">
              <w:rPr>
                <w:b/>
                <w:i/>
              </w:rPr>
              <w:t>sich dabei auf gegenseitigem Respekt</w:t>
            </w:r>
            <w:r w:rsidRPr="000A7EC7">
              <w:t xml:space="preserve"> zu </w:t>
            </w:r>
            <w:r w:rsidRPr="000A7EC7">
              <w:rPr>
                <w:b/>
                <w:i/>
              </w:rPr>
              <w:t>stützen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Robert Biedroń, Sven Mikser, Marco Tarquinio, 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 </w:t>
            </w:r>
            <w:r w:rsidRPr="000A7EC7">
              <w:rPr>
                <w:b/>
                <w:i/>
              </w:rPr>
              <w:t>betont, dass ein entschiedeneres Vorgehen erforderlich ist, um auf die Gewalt gegen Umweltschützer zu reagieren und um die Bemühungen der EU zu intensivieren, was die Unterstützung mit Blick auf die Erhaltung der biologischen Vielfalt und die Anpassung an den Klimanotstand angeht; schlägt vor, die Zusammenarbeit bei der Bekämpfung des Drogenhandels weiter auszubauen;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841</w:t>
      </w:r>
      <w:r w:rsidRPr="000A7EC7">
        <w:rPr>
          <w:rStyle w:val="HideTWBExt"/>
        </w:rPr>
        <w:t>&lt;/NumAm&gt;</w:t>
      </w:r>
    </w:p>
    <w:p w:rsidR="000A7EC7" w:rsidRPr="000A7EC7" w:rsidRDefault="000A7EC7" w:rsidP="000A7EC7">
      <w:pPr>
        <w:pStyle w:val="NormalBold"/>
      </w:pPr>
      <w:r w:rsidRPr="000A7EC7">
        <w:rPr>
          <w:rStyle w:val="HideTWBExt"/>
          <w:b w:val="0"/>
        </w:rPr>
        <w:lastRenderedPageBreak/>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 </w:t>
            </w:r>
            <w:r w:rsidRPr="000A7EC7">
              <w:rPr>
                <w:b/>
                <w:i/>
              </w:rPr>
              <w:t>fordert Fortschritte bei der Unterzeichnung und Ratifizierung des Globalen Abkommens EU-Mexiko; fordert die Kommission auf, das Abkommen mit dem Mercosur entschlossen voranzubringen und abzuschließen und gleichzeitig in Bezug auf die Durchsetzung seiner Nachhaltigkeitsbestimmungen weiterhin größtmöglichen Ehrgeiz an den Tag zu 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 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w:t>
            </w:r>
            <w:r w:rsidRPr="000A7EC7">
              <w:lastRenderedPageBreak/>
              <w:t>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34.</w:t>
            </w:r>
            <w:r w:rsidRPr="000A7EC7">
              <w:tab/>
              <w:t xml:space="preserve">betont, dass die Zusammenarbeit der EU mit gleichgesinnten Ländern in Lateinamerika weiter intensiviert werden </w:t>
            </w:r>
            <w:r w:rsidRPr="000A7EC7">
              <w:lastRenderedPageBreak/>
              <w:t xml:space="preserve">muss, insbesondere angesichts des zunehmenden Einflusses von China und Russland in Lateinamerika und der Karibik; fordert die Mitgliedstaaten auf, eine proaktive Diplomatie in der Region zu betreiben und dabei besonderes Augenmerk auf die Verteidigung der multilateralen Weltordnung, des Völkerrechts und der Achtung der Demokratie und der Menschenrechte zu legen; </w:t>
            </w:r>
            <w:r w:rsidRPr="000A7EC7">
              <w:rPr>
                <w:b/>
                <w:i/>
              </w:rPr>
              <w:t>betont, dass der Autoritarismus in der Region und in totalitären Regimen wie denen in Venezuela, Kuba und Nicaragua besonders dramatisch ist; fordert, dass die demokratische Opposition in den genannten Regimen ausdrücklich unterstützt werden, während gleichzeitig alle für diese Regime geltenden Abkommen und Finanzhilfen auszusetzen sind;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w:t>
            </w:r>
            <w:r w:rsidRPr="000A7EC7">
              <w:lastRenderedPageBreak/>
              <w:t>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w:t>
            </w:r>
            <w:r w:rsidRPr="000A7EC7">
              <w:lastRenderedPageBreak/>
              <w:t xml:space="preserve">Achtung der Demokratie und der Menschenrechte zu legen; </w:t>
            </w:r>
            <w:r w:rsidRPr="000A7EC7">
              <w:rPr>
                <w:b/>
                <w:i/>
              </w:rPr>
              <w:t>fordert nachdrücklich, dass eine multilaterale Initiative zur Bekämpfung der politischen Instabilität in Haiti und der unkontrollierten Gewalt gegen die lokale Bevölkerung gefördert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w:t>
            </w:r>
            <w:r w:rsidRPr="000A7EC7">
              <w:rPr>
                <w:b/>
                <w:i/>
              </w:rPr>
              <w:t>proaktive</w:t>
            </w:r>
            <w:r w:rsidRPr="000A7EC7">
              <w:t xml:space="preserve"> Diplomatie in der Region zu betreiben und dabei </w:t>
            </w:r>
            <w:r w:rsidRPr="000A7EC7">
              <w:rPr>
                <w:b/>
                <w:i/>
              </w:rPr>
              <w:t>besonderes Augenmerk auf</w:t>
            </w:r>
            <w:r w:rsidRPr="000A7EC7">
              <w:t xml:space="preserve"> die </w:t>
            </w:r>
            <w:r w:rsidRPr="000A7EC7">
              <w:rPr>
                <w:b/>
                <w:i/>
              </w:rPr>
              <w:t>Verteidigung der multilateralen Weltordnung, des Völkerrechts und der Achtung der Demokratie und der Menschenrechte</w:t>
            </w:r>
            <w:r w:rsidRPr="000A7EC7">
              <w:t xml:space="preserve"> zu </w:t>
            </w:r>
            <w:r w:rsidRPr="000A7EC7">
              <w:rPr>
                <w:b/>
                <w:i/>
              </w:rPr>
              <w:t>legen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w:t>
            </w:r>
            <w:r w:rsidRPr="000A7EC7">
              <w:rPr>
                <w:b/>
                <w:i/>
              </w:rPr>
              <w:t>realistische</w:t>
            </w:r>
            <w:r w:rsidRPr="000A7EC7">
              <w:t xml:space="preserve"> Diplomatie in der Region zu betreiben und dabei </w:t>
            </w:r>
            <w:r w:rsidRPr="000A7EC7">
              <w:rPr>
                <w:b/>
                <w:i/>
              </w:rPr>
              <w:t>in erster Linie</w:t>
            </w:r>
            <w:r w:rsidRPr="000A7EC7">
              <w:t xml:space="preserve"> die </w:t>
            </w:r>
            <w:r w:rsidRPr="000A7EC7">
              <w:rPr>
                <w:b/>
                <w:i/>
              </w:rPr>
              <w:t>europäischen Interessen</w:t>
            </w:r>
            <w:r w:rsidRPr="000A7EC7">
              <w:t xml:space="preserve"> zu </w:t>
            </w:r>
            <w:r w:rsidRPr="000A7EC7">
              <w:rPr>
                <w:b/>
                <w:i/>
              </w:rPr>
              <w:t>berücksichtigen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lastRenderedPageBreak/>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w:t>
            </w:r>
            <w:r w:rsidRPr="000A7EC7">
              <w:rPr>
                <w:b/>
                <w:i/>
              </w:rPr>
              <w:t>des Völkerrechts und der</w:t>
            </w:r>
            <w:r w:rsidRPr="000A7EC7">
              <w:t xml:space="preserve"> Achtung der Demokratie und der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w:t>
            </w:r>
            <w:r w:rsidRPr="000A7EC7">
              <w:rPr>
                <w:b/>
                <w:i/>
              </w:rPr>
              <w:t>das Völkerrecht, die</w:t>
            </w:r>
            <w:r w:rsidRPr="000A7EC7">
              <w:t xml:space="preserve"> Achtung der Demokratie und der Menschenrechte</w:t>
            </w:r>
            <w:r w:rsidRPr="000A7EC7">
              <w:rPr>
                <w:b/>
                <w:i/>
              </w:rPr>
              <w:t xml:space="preserve"> und wirtschaftliche Zusammenarbeit</w:t>
            </w:r>
            <w:r w:rsidRPr="000A7EC7">
              <w:t xml:space="preserve"> zu legen</w:t>
            </w:r>
            <w:r w:rsidRPr="000A7EC7">
              <w:rPr>
                <w:b/>
                <w:i/>
              </w:rPr>
              <w:t>, was auch den Zugang zu kritischen Rohstoffen einschließt</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34.</w:t>
            </w:r>
            <w:r w:rsidRPr="000A7EC7">
              <w:tab/>
              <w:t xml:space="preserve">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w:t>
            </w:r>
            <w:r w:rsidRPr="000A7EC7">
              <w:rPr>
                <w:b/>
                <w:i/>
              </w:rPr>
              <w:t>Demokratie und der</w:t>
            </w:r>
            <w:r w:rsidRPr="000A7EC7">
              <w:t xml:space="preserve"> Menschenrechte zu legen;</w:t>
            </w:r>
          </w:p>
        </w:tc>
        <w:tc>
          <w:tcPr>
            <w:tcW w:w="4876" w:type="dxa"/>
            <w:tcBorders>
              <w:top w:val="nil"/>
              <w:left w:val="nil"/>
              <w:bottom w:val="nil"/>
              <w:right w:val="nil"/>
            </w:tcBorders>
          </w:tcPr>
          <w:p w:rsidR="000A7EC7" w:rsidRPr="000A7EC7" w:rsidRDefault="000A7EC7" w:rsidP="00592F5E">
            <w:pPr>
              <w:pStyle w:val="Normal6a"/>
            </w:pPr>
            <w:r w:rsidRPr="000A7EC7">
              <w:t>34.</w:t>
            </w:r>
            <w:r w:rsidRPr="000A7EC7">
              <w:tab/>
              <w:t>betont, dass die Zusammenarbeit der EU mit gleichgesinnten Ländern in Lateinamerika weiter intensiviert werden muss, insbesondere angesichts des zunehmenden Einflusses von China und Russland in Lateinamerika und der Karibik; fordert die Mitgliedstaaten und den Europäischen Auswärtigen Dienst (EAD) auf, eine proaktive Diplomatie in der Region zu betreiben und dabei besonderes Augenmerk auf die Verteidigung der multilateralen Weltordnung, des Völkerrechts und der Achtung der Menschenrechte zu 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34a.</w:t>
            </w:r>
            <w:r w:rsidRPr="000A7EC7">
              <w:rPr>
                <w:b/>
                <w:i/>
              </w:rPr>
              <w:tab/>
              <w:t>bekundet seine ausgeprägte Unterstützung für die Tätigkeiten der Mission der Europäischen Union in Armenien (EUMA) und hebt hervor, dass sie eine wichtige Aufgabe wahrnimmt; fordert die EUMA auf, die Entwicklung der Sicherheitslage vor Ort genau zu beobachten, dem Europäischen Parlament auf transparente Weise Bericht zu erstatten und tatkräftig zu den Bemühungen um eine Konfliktlösung beizutragen; fordert die EU und ihre Mitgliedstaaten auf, das Mandat der EUMA zu stärken, ihr Personal aufzustocken und ihr Mandat zu verlängern; fordert die Staatsorgane Aserbaidschans auf, einer solchen zivilen Mission auch auf ihrer Seite der Grenze zuzustimmen;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Petras Auštrevičius, Dan Barna, Urmas Paet, Ilhan Kyuchyuk, Lucia Yar, Nathalie Loiseau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34a.</w:t>
            </w:r>
            <w:r w:rsidRPr="000A7EC7">
              <w:rPr>
                <w:b/>
                <w:i/>
              </w:rPr>
              <w:tab/>
              <w:t xml:space="preserve">fordert den HV/VP auf, die Förderung der Demokratie in den Mittelpunkt der GASP zu rücken, für eine proaktive Rolle der EU in dieser Hinsicht zu sorgen und dabei auf den Erkenntnissen aufzubauen, die aus </w:t>
            </w:r>
            <w:r w:rsidRPr="000A7EC7">
              <w:rPr>
                <w:b/>
                <w:i/>
              </w:rPr>
              <w:lastRenderedPageBreak/>
              <w:t>früheren Maßnahmen zur Demokratieförderung gewonnen wurden, insbesondere mit Blick auf die Unterstützung der Zivilgesellschaft, von Menschenrechtsverteidigern, kritischen Stimmen, der demokratischen Opposition und der Medien;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849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34a.</w:t>
            </w:r>
            <w:r w:rsidRPr="000A7EC7">
              <w:rPr>
                <w:b/>
                <w:i/>
              </w:rPr>
              <w:tab/>
              <w:t>begrüßt die Unterzeichnung des Fortgeschrittenen Rahmenabkommens zwischen der EU und Chile und fordert dessen rasche und vollständige Ratifizierung; fordert, dass Fortschritte bei der Unterzeichnung und Ratifizierung des Assoziierungsabkommens EU-Mexiko erzielt werden; fordert die Kommission nachdrücklich auf, das Abkommen mit dem Mercosur entschieden voranzubringen;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Seán Kelly</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34a.</w:t>
            </w:r>
            <w:r w:rsidRPr="000A7EC7">
              <w:rPr>
                <w:b/>
                <w:i/>
              </w:rPr>
              <w:tab/>
              <w:t xml:space="preserve">begrüßt die Fortschritte auf dem Weg zu einem Handelsabkommen zwischen der EU und Australien, durch das die Beziehungen zu einem gleichgesinnten Partner im Pazifikraum </w:t>
            </w:r>
            <w:r w:rsidRPr="000A7EC7">
              <w:rPr>
                <w:b/>
                <w:i/>
              </w:rPr>
              <w:lastRenderedPageBreak/>
              <w:t>gestärkt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34b.</w:t>
            </w:r>
            <w:r w:rsidRPr="000A7EC7">
              <w:rPr>
                <w:b/>
                <w:i/>
              </w:rPr>
              <w:tab/>
              <w:t>verurteilt die fortgesetzten Anstrengungen Aserbaidschans, die Chancen auf regionalen Friedens zu unterlaufen, sowie die anhaltenden Drohungen gegen Armenien; fordert die EU und ihre Mitgliedstaaten auf, jegliche sicherheitspolitische, technische oder finanzielle Unterstützung für Aserbaidschan – auch über verschiedene EU-Instrumente – von vornherein auszuschließen, die zum Ausbau der Offensivfähigkeiten Aserbaidschans beitragen oder die Sicherheit, territoriale Integrität und Souveränität Armeniens gefährden könnte;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34b.</w:t>
            </w:r>
            <w:r w:rsidRPr="000A7EC7">
              <w:rPr>
                <w:b/>
                <w:i/>
              </w:rPr>
              <w:tab/>
              <w:t xml:space="preserve">ist besorgt über den Anstieg der organisierten Kriminalität und des Drogenhandels in Lateinamerika, was sich auch auf die Europäische Union auswirkt; fordert, dass die biregionale Zusammenarbeit bei der Bekämpfung dieser Bedrohungen spürbar ausgeweitet </w:t>
            </w:r>
            <w:r w:rsidRPr="000A7EC7">
              <w:rPr>
                <w:b/>
                <w:i/>
              </w:rPr>
              <w:lastRenderedPageBreak/>
              <w:t>wird und adäquate Mittel zur Verfügung gestellt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34c.</w:t>
            </w:r>
            <w:r w:rsidRPr="000A7EC7">
              <w:rPr>
                <w:b/>
                <w:i/>
              </w:rPr>
              <w:tab/>
              <w:t>erkennt Edmundo González Urrutia als rechtmäßigen und demokratisch gewählten Präsidenten Venezuelas an; erkennt auch María Corina Machado als Anführerin der demokratischen Kräfte in Venezuela an; weist darauf hin, dass beide 2024 mit dem Sacharow-Preis für geistige Freiheit ausgezeichnet wurden; fordert die EU und ihre Mitgliedstaaten erneut auf, alles in ihrer Macht Stehende zu tun, damit der rechtmäßige und demokratisch gewählte Präsident sein Amt am 10. Januar 2025 im Einklang mit der venezolanischen Verfassung antreten kann;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34c.</w:t>
            </w:r>
            <w:r w:rsidRPr="000A7EC7">
              <w:rPr>
                <w:b/>
                <w:i/>
              </w:rPr>
              <w:tab/>
              <w:t xml:space="preserve">fordert die EU erneut auf, ihrer Abhängigkeit von Gaseinfuhren aus Aserbaidschan ein Ende zu setzen; fordert die Kommission auf, die Vereinbarung zwischen der Union und Aserbaidschan über eine strategische Partnerschaft im </w:t>
            </w:r>
            <w:r w:rsidRPr="000A7EC7">
              <w:rPr>
                <w:b/>
                <w:i/>
              </w:rPr>
              <w:lastRenderedPageBreak/>
              <w:t>Energiebereich aus dem Jahr 2022 auszusetzen, entsprechend zu handeln und endlich eine gründliche Untersuchung in Bezug auf russisches Gas durchzuführen, das für den Verkauf in Europa als aserbaidschanisches Gas umetikettiert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d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34d.</w:t>
            </w:r>
            <w:r w:rsidRPr="000A7EC7">
              <w:rPr>
                <w:b/>
                <w:i/>
              </w:rPr>
              <w:tab/>
              <w:t xml:space="preserve">fordert, dass sämtliche Entscheidungen des Internationalen Gerichtshofs (IGH) vollständig umgesetzt werden, auch jene vom 17. November 2023, in der vorläufige Maßnahmen in Bezug auf die sichere, ungehinderte und zügige Rückkehr der aus Bergkarabach geflohenen Personen aufgeführt sind; fordert erneut, dass die von den Streitkräften Aserbaidschans in Bergkarabach begangenen Übergriffe unabhängig untersucht werden; fordert die Staatsorgane Aserbaidschans erneut auf, die sichere Rückkehr der armenischen Bevölkerung nach Bergkarabach zu ermöglichen, einen ernst gemeinten umfassenden und transparenten Dialog mit ihr aufzunehmen, belastbare Garantien für den Schutz ihrer Rechte, einschließlich ihrer Land- und Eigentumsrechte, und den Schutz ihrer eigenen Identität und ihrer bürgerlichen, kulturellen, sozialen und religiösen Rechte zu bieten und von hetzerischen Äußerungen abzusehen, die zur Diskriminierung von Armeniern aufstacheln könnten; fordert die Staatsorgane Aserbaidschans </w:t>
            </w:r>
            <w:r w:rsidRPr="000A7EC7">
              <w:rPr>
                <w:b/>
                <w:i/>
              </w:rPr>
              <w:lastRenderedPageBreak/>
              <w:t>nachdrücklich auf, alle 23 armenischen Kriegsgefangenen freizulassen, die bei dem Angriff Aserbaidschans auf Bergkarabachs gefangen genommen wurden; fordert die EU-Organe und die Mitgliedstaaten erneut auf, Armenien auch künftig bei Angelegenheiten im Zusammenhang mit Flüchtlingen aus Bergkarabach zu unterstützen; fordert die EU diesbezüglich auf, Armenien ein neues Hilfspaket zur Verfügung zu stellen, um das Land bei der Deckung des humanitären Bedarfs der Flüchtlinge zu unterstützen; </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34 e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34e.</w:t>
            </w:r>
            <w:r w:rsidRPr="000A7EC7">
              <w:rPr>
                <w:b/>
                <w:i/>
              </w:rPr>
              <w:tab/>
              <w:t xml:space="preserve">begrüßt die regelmäßigen Treffen im Rahmen des politischen und sicherheitspolitischen Dialogs zwischen Armenien und der EU, was ein weiterer Meilenstein der Zusammenarbeit in den Bereichen Verteidigung und Sicherheit ist; begrüßt zudem den Beschluss über die Annahme der ersten Unterstützungsmaßnahme im Rahmen der Europäischen Friedensfazilität (EFF) zur Unterstützung der Streitkräfte Armeniens und fordert, dass die Zusammenarbeit zwischen Armenien und der EU im Bereich Sicherheit und Verteidigung weiter ausgebaut wird; begrüßt, dass mehrere Mitgliedstaaten gehandelt und Armenien militärische Unterstützung für seine Verteidigung zur Verfügung gestellt haben, und fordert auch die anderen Mitgliedstaaten eindringlich auf, ähnliche Initiativen in </w:t>
            </w:r>
            <w:r w:rsidRPr="000A7EC7">
              <w:rPr>
                <w:b/>
                <w:i/>
              </w:rPr>
              <w:lastRenderedPageBreak/>
              <w:t>Erwägung zu ziehen; begrüßt, dass die bilateralen Beziehungen zwischen der EU und Armenien von einer neuen Dynamik erfasst wurden und die staatlichen Stellen in Jerewan diese Dynamik nachdrücklich unterstützen; fordert die Kommission und den Rat auf, Armeniens Wunsch nach verstärkter Zusammenarbeit mit der EU tatkräftig zu unterstützen;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35.</w:t>
            </w:r>
            <w:r w:rsidRPr="000A7EC7">
              <w:tab/>
            </w:r>
            <w:r w:rsidRPr="000A7EC7">
              <w:rPr>
                <w:b/>
                <w:i/>
              </w:rPr>
              <w:t>fordert den HR/VP auf, die Zusammenarbeit mit gleichgesinnten Demokratien zu einer Priorität seiner Amtszeit zu machen und die Zusammenarbeit und Konsultation mit gleichgesinnten demokratischen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35.</w:t>
            </w:r>
            <w:r w:rsidRPr="000A7EC7">
              <w:tab/>
            </w:r>
            <w:r w:rsidRPr="000A7EC7">
              <w:rPr>
                <w:b/>
                <w:i/>
              </w:rPr>
              <w:t xml:space="preserve">fordert den HR/VP auf, die Zusammenarbeit mit gleichgesinnten Demokratien zu einer Priorität seiner Amtszeit zu machen und die Zusammenarbeit und Konsultation mit </w:t>
            </w:r>
            <w:r w:rsidRPr="000A7EC7">
              <w:rPr>
                <w:b/>
                <w:i/>
              </w:rPr>
              <w:lastRenderedPageBreak/>
              <w:t>gleichgesinnten demokratischen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859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Merja Kyllönen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35.</w:t>
            </w:r>
            <w:r w:rsidRPr="000A7EC7">
              <w:tab/>
              <w:t>fordert den HR/VP auf, die Zusammenarbeit mit gleichgesinnten Demokratien zu einer Priorität seiner Amtszeit zu machen und die Zusammenarbeit und Konsultation mit gleichgesinnten demokratischen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t>35.</w:t>
            </w:r>
            <w:r w:rsidRPr="000A7EC7">
              <w:tab/>
              <w:t xml:space="preserve">fordert den HR/VP auf, die Zusammenarbeit mit gleichgesinnten Demokratien zu einer Priorität seiner Amtszeit zu machen und die Zusammenarbeit und Konsultation mit gleichgesinnten demokratischen Partnern zu systematisieren, um die gemeinsame Vorsorge und den Zugang zu Ressourcen für die Krisenreaktion zu verbessern; </w:t>
            </w:r>
            <w:r w:rsidRPr="000A7EC7">
              <w:rPr>
                <w:b/>
                <w:i/>
              </w:rPr>
              <w:t>fordert daher die EU auf, die Kommunikationskanäle mit den verschiedenen Akteuren offen zu halten, neue Formate auszuloten und weiter an der Entwicklung eines umfassenden Instrumentariums zur Stärkung der Menschenrechte und der Demokratie weltweit zu arbeiten;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35.</w:t>
            </w:r>
            <w:r w:rsidRPr="000A7EC7">
              <w:tab/>
              <w:t xml:space="preserve">fordert den HR/VP auf, die Zusammenarbeit mit gleichgesinnten </w:t>
            </w:r>
            <w:r w:rsidRPr="000A7EC7">
              <w:lastRenderedPageBreak/>
              <w:t>Demokratien zu einer Priorität seiner Amtszeit zu machen und die Zusammenarbeit und Konsultation mit gleichgesinnten demokratischen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35.</w:t>
            </w:r>
            <w:r w:rsidRPr="000A7EC7">
              <w:tab/>
              <w:t xml:space="preserve">fordert den HR/VP auf, die Zusammenarbeit mit gleichgesinnten </w:t>
            </w:r>
            <w:r w:rsidRPr="000A7EC7">
              <w:lastRenderedPageBreak/>
              <w:t xml:space="preserve">Demokratien zu einer Priorität seiner Amtszeit zu machen und die Zusammenarbeit und Konsultation mit gleichgesinnten demokratischen Partnern zu systematisieren, um die gemeinsame Vorsorge und den Zugang zu Ressourcen für die Krisenreaktion zu verbessern; </w:t>
            </w:r>
            <w:r w:rsidRPr="000A7EC7">
              <w:rPr>
                <w:b/>
                <w:i/>
              </w:rPr>
              <w:t>bekräftigt in diesem Zusammenhang die Empfehlung, die Beziehungen zu regionalen Organisationen wie dem ASEAN oder der Afrikanischen Union zu vertiefen, um die kooperativen Sicherheitsrahmen zu verbessern;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Petras Auštrevičius, Dan Barna, Urmas Paet, Ilhan Kyuchyuk, Lucia Yar, Marie-Agnes Strack-Zimmermann, Nathalie Loiseau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35.</w:t>
            </w:r>
            <w:r w:rsidRPr="000A7EC7">
              <w:tab/>
              <w:t>fordert den HR/VP auf, die Zusammenarbeit mit gleichgesinnten Demokratien zu einer Priorität seiner Amtszeit zu machen und die Zusammenarbeit und Konsultation mit gleichgesinnten demokratischen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t>35.</w:t>
            </w:r>
            <w:r w:rsidRPr="000A7EC7">
              <w:tab/>
              <w:t xml:space="preserve">fordert den HR/VP auf, die Zusammenarbeit mit gleichgesinnten Demokratien zu einer Priorität seiner Amtszeit zu machen und die Zusammenarbeit und Konsultation mit gleichgesinnten demokratischen Partnern zu systematisieren, um die </w:t>
            </w:r>
            <w:r w:rsidRPr="000A7EC7">
              <w:rPr>
                <w:b/>
                <w:i/>
              </w:rPr>
              <w:t xml:space="preserve">Demokratie zu fördern und die </w:t>
            </w:r>
            <w:r w:rsidRPr="000A7EC7">
              <w:t>gemeinsame Vorsorge und den Zugang zu Ressourcen für die Krisenreaktion zu verbessern;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35.</w:t>
            </w:r>
            <w:r w:rsidRPr="000A7EC7">
              <w:tab/>
              <w:t xml:space="preserve">fordert den HR/VP auf, die Zusammenarbeit mit gleichgesinnten </w:t>
            </w:r>
            <w:r w:rsidRPr="000A7EC7">
              <w:rPr>
                <w:b/>
                <w:i/>
              </w:rPr>
              <w:t>Demokratien</w:t>
            </w:r>
            <w:r w:rsidRPr="000A7EC7">
              <w:t xml:space="preserve"> zu einer Priorität seiner Amtszeit zu machen und die Zusammenarbeit und Konsultation mit gleichgesinnten </w:t>
            </w:r>
            <w:r w:rsidRPr="000A7EC7">
              <w:rPr>
                <w:b/>
                <w:i/>
              </w:rPr>
              <w:t>demokratischen</w:t>
            </w:r>
            <w:r w:rsidRPr="000A7EC7">
              <w:t xml:space="preserve"> Partnern zu systematisieren, um die gemeinsame Vorsorge und den Zugang zu Ressourcen für die Krisenreaktion zu verbessern;</w:t>
            </w:r>
          </w:p>
        </w:tc>
        <w:tc>
          <w:tcPr>
            <w:tcW w:w="4876" w:type="dxa"/>
            <w:tcBorders>
              <w:top w:val="nil"/>
              <w:left w:val="nil"/>
              <w:bottom w:val="nil"/>
              <w:right w:val="nil"/>
            </w:tcBorders>
          </w:tcPr>
          <w:p w:rsidR="000A7EC7" w:rsidRPr="000A7EC7" w:rsidRDefault="000A7EC7" w:rsidP="00592F5E">
            <w:pPr>
              <w:pStyle w:val="Normal6a"/>
            </w:pPr>
            <w:r w:rsidRPr="000A7EC7">
              <w:t>35.</w:t>
            </w:r>
            <w:r w:rsidRPr="000A7EC7">
              <w:tab/>
              <w:t xml:space="preserve">fordert den HR/VP auf, die Zusammenarbeit mit gleichgesinnten </w:t>
            </w:r>
            <w:r w:rsidRPr="000A7EC7">
              <w:rPr>
                <w:b/>
                <w:i/>
              </w:rPr>
              <w:t>Partnern</w:t>
            </w:r>
            <w:r w:rsidRPr="000A7EC7">
              <w:t xml:space="preserve"> zu einer Priorität seiner Amtszeit zu machen und die Zusammenarbeit und Konsultation mit gleichgesinnten Partnern zu systematisieren, um die gemeinsame Vorsorge und den Zugang zu Ressourcen für die Krisenreaktion zu verbessern;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36.</w:t>
            </w:r>
            <w:r w:rsidRPr="000A7EC7">
              <w:tab/>
              <w:t>ist gleichzeitig davon überzeugt, dass es wichtig ist, neue Bündnisse zu schließen, unter anderem mit den Ländern in unserer Nachbarschaft und im „Globalen Süden“, wobei die beiderseitigen Bedürfnisse und Interessen zu berücksichtigen sind, damit echte und ausgewogene Partnerschaften gefördert werden;</w:t>
            </w:r>
          </w:p>
        </w:tc>
        <w:tc>
          <w:tcPr>
            <w:tcW w:w="4876" w:type="dxa"/>
            <w:tcBorders>
              <w:top w:val="nil"/>
              <w:left w:val="nil"/>
              <w:bottom w:val="nil"/>
              <w:right w:val="nil"/>
            </w:tcBorders>
          </w:tcPr>
          <w:p w:rsidR="000A7EC7" w:rsidRPr="000A7EC7" w:rsidRDefault="000A7EC7" w:rsidP="00592F5E">
            <w:pPr>
              <w:pStyle w:val="Normal6a"/>
            </w:pPr>
            <w:r w:rsidRPr="000A7EC7">
              <w:t>36.</w:t>
            </w:r>
            <w:r w:rsidRPr="000A7EC7">
              <w:tab/>
              <w:t xml:space="preserve">ist gleichzeitig davon überzeugt, dass es wichtig ist, neue Bündnisse zu schließen, unter anderem mit den Ländern in unserer Nachbarschaft und im „Globalen Süden“, wobei die beiderseitigen Bedürfnisse und Interessen zu berücksichtigen sind, damit echte und ausgewogene Partnerschaften gefördert werden; </w:t>
            </w:r>
            <w:r w:rsidRPr="000A7EC7">
              <w:rPr>
                <w:b/>
                <w:i/>
              </w:rPr>
              <w:t>weist darauf hin, dass die Europäische Union besonderes Interesse an einer Neubelebung der Partnerschaft mit den Ländern Lateinamerikas und der Karibik zeigen sollte;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36.</w:t>
            </w:r>
            <w:r w:rsidRPr="000A7EC7">
              <w:tab/>
              <w:t>ist gleichzeitig davon überzeugt, dass es wichtig ist, neue Bündnisse zu schließen, unter anderem mit den Ländern in unserer Nachbarschaft</w:t>
            </w:r>
            <w:r w:rsidRPr="000A7EC7">
              <w:rPr>
                <w:b/>
                <w:i/>
              </w:rPr>
              <w:t xml:space="preserve"> und im „Globalen Süden“, wobei die beiderseitigen Bedürfnisse und Interessen zu berücksichtigen sind, damit echte und ausgewogene Partnerschaften gefördert werden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36.</w:t>
            </w:r>
            <w:r w:rsidRPr="000A7EC7">
              <w:tab/>
              <w:t>ist gleichzeitig davon überzeugt, dass es wichtig ist, neue Bündnisse zu schließen, unter anderem mit den Ländern in unserer Nachbarschaft;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36.</w:t>
            </w:r>
            <w:r w:rsidRPr="000A7EC7">
              <w:tab/>
              <w:t>ist gleichzeitig davon überzeugt, dass es wichtig ist, neue Bündnisse zu schließen, unter anderem mit den Ländern in unserer Nachbarschaft und im „Globalen Süden“, wobei die beiderseitigen Bedürfnisse und Interessen zu berücksichtigen sind, damit echte und ausgewogene Partnerschaften gefördert werden;</w:t>
            </w:r>
          </w:p>
        </w:tc>
        <w:tc>
          <w:tcPr>
            <w:tcW w:w="4876" w:type="dxa"/>
            <w:tcBorders>
              <w:top w:val="nil"/>
              <w:left w:val="nil"/>
              <w:bottom w:val="nil"/>
              <w:right w:val="nil"/>
            </w:tcBorders>
          </w:tcPr>
          <w:p w:rsidR="000A7EC7" w:rsidRPr="000A7EC7" w:rsidRDefault="000A7EC7" w:rsidP="00592F5E">
            <w:pPr>
              <w:pStyle w:val="Normal6a"/>
            </w:pPr>
            <w:r w:rsidRPr="000A7EC7">
              <w:t>36.</w:t>
            </w:r>
            <w:r w:rsidRPr="000A7EC7">
              <w:tab/>
              <w:t xml:space="preserve">ist gleichzeitig davon überzeugt, dass es wichtig ist, </w:t>
            </w:r>
            <w:r w:rsidRPr="000A7EC7">
              <w:rPr>
                <w:b/>
                <w:i/>
              </w:rPr>
              <w:t xml:space="preserve">unter Wahrung der Menschenrechte </w:t>
            </w:r>
            <w:r w:rsidRPr="000A7EC7">
              <w:t>neue Bündnisse zu schließen, unter anderem mit den Ländern in unserer Nachbarschaft und im „Globalen Süden“, wobei die beiderseitigen Bedürfnisse und Interessen zu berücksichtigen sind, damit echte und ausgewogene Partnerschaften gefördert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Rihards Kols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lastRenderedPageBreak/>
              <w:t>36.</w:t>
            </w:r>
            <w:r w:rsidRPr="000A7EC7">
              <w:tab/>
            </w:r>
            <w:r w:rsidRPr="000A7EC7">
              <w:rPr>
                <w:b/>
                <w:i/>
              </w:rPr>
              <w:t>ist gleichzeitig davon überzeugt</w:t>
            </w:r>
            <w:r w:rsidRPr="000A7EC7">
              <w:t xml:space="preserve">, </w:t>
            </w:r>
            <w:r w:rsidRPr="000A7EC7">
              <w:rPr>
                <w:b/>
                <w:i/>
              </w:rPr>
              <w:t>dass es wichtig ist, neue Bündnisse zu schließen, unter anderem mit den Ländern in unserer Nachbarschaft</w:t>
            </w:r>
            <w:r w:rsidRPr="000A7EC7">
              <w:t xml:space="preserve"> und </w:t>
            </w:r>
            <w:r w:rsidRPr="000A7EC7">
              <w:rPr>
                <w:b/>
                <w:i/>
              </w:rPr>
              <w:t>im „Globalen Süden“, wobei die beiderseitigen Bedürfnisse</w:t>
            </w:r>
            <w:r w:rsidRPr="000A7EC7">
              <w:t xml:space="preserve"> und </w:t>
            </w:r>
            <w:r w:rsidRPr="000A7EC7">
              <w:rPr>
                <w:b/>
                <w:i/>
              </w:rPr>
              <w:t>Interessen zu berücksichtigen sind, damit echte</w:t>
            </w:r>
            <w:r w:rsidRPr="000A7EC7">
              <w:t xml:space="preserve"> und </w:t>
            </w:r>
            <w:r w:rsidRPr="000A7EC7">
              <w:rPr>
                <w:b/>
                <w:i/>
              </w:rPr>
              <w:t>ausgewogene Partnerschaften gefördert werden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36.</w:t>
            </w:r>
            <w:r w:rsidRPr="000A7EC7">
              <w:tab/>
            </w:r>
            <w:r w:rsidRPr="000A7EC7">
              <w:rPr>
                <w:b/>
                <w:i/>
              </w:rPr>
              <w:t>fordert die EU auf</w:t>
            </w:r>
            <w:r w:rsidRPr="000A7EC7">
              <w:t xml:space="preserve">, </w:t>
            </w:r>
            <w:r w:rsidRPr="000A7EC7">
              <w:rPr>
                <w:b/>
                <w:i/>
              </w:rPr>
              <w:t>neue, ausgewogene Partnerschaften mit Ländern des Globalen Südens und der Nachbarschaft auf der Grundlage gegenseitiger wirtschaftlicher</w:t>
            </w:r>
            <w:r w:rsidRPr="000A7EC7">
              <w:t xml:space="preserve"> und </w:t>
            </w:r>
            <w:r w:rsidRPr="000A7EC7">
              <w:rPr>
                <w:b/>
                <w:i/>
              </w:rPr>
              <w:t>sicherheitspolitischer Erfordernisse aufzubauen und Partnerschaften mit demokratischen Regierungen</w:t>
            </w:r>
            <w:r w:rsidRPr="000A7EC7">
              <w:t xml:space="preserve"> und </w:t>
            </w:r>
            <w:r w:rsidRPr="000A7EC7">
              <w:rPr>
                <w:b/>
                <w:i/>
              </w:rPr>
              <w:t>Nationen, die sich für die Wahrung der Menschenrechte</w:t>
            </w:r>
            <w:r w:rsidRPr="000A7EC7">
              <w:t xml:space="preserve"> und </w:t>
            </w:r>
            <w:r w:rsidRPr="000A7EC7">
              <w:rPr>
                <w:b/>
                <w:i/>
              </w:rPr>
              <w:t>des Völkerrechts einsetzen, Vorrang einzuräumen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36.</w:t>
            </w:r>
            <w:r w:rsidRPr="000A7EC7">
              <w:tab/>
              <w:t xml:space="preserve">ist gleichzeitig davon überzeugt, dass es wichtig ist, neue Bündnisse zu schließen, unter anderem mit den Ländern in </w:t>
            </w:r>
            <w:r w:rsidRPr="000A7EC7">
              <w:rPr>
                <w:b/>
                <w:i/>
              </w:rPr>
              <w:t>unserer</w:t>
            </w:r>
            <w:r w:rsidRPr="000A7EC7">
              <w:t xml:space="preserve"> Nachbarschaft und im „Globalen Süden“, wobei die beiderseitigen Bedürfnisse und Interessen zu berücksichtigen sind, damit echte und ausgewogene Partnerschaften gefördert werden;</w:t>
            </w:r>
          </w:p>
        </w:tc>
        <w:tc>
          <w:tcPr>
            <w:tcW w:w="4876" w:type="dxa"/>
            <w:tcBorders>
              <w:top w:val="nil"/>
              <w:left w:val="nil"/>
              <w:bottom w:val="nil"/>
              <w:right w:val="nil"/>
            </w:tcBorders>
          </w:tcPr>
          <w:p w:rsidR="000A7EC7" w:rsidRPr="000A7EC7" w:rsidRDefault="000A7EC7" w:rsidP="00592F5E">
            <w:pPr>
              <w:pStyle w:val="Normal6a"/>
            </w:pPr>
            <w:r w:rsidRPr="000A7EC7">
              <w:t>36.</w:t>
            </w:r>
            <w:r w:rsidRPr="000A7EC7">
              <w:tab/>
              <w:t xml:space="preserve">ist gleichzeitig davon überzeugt, dass es wichtig ist, </w:t>
            </w:r>
            <w:r w:rsidRPr="000A7EC7">
              <w:rPr>
                <w:b/>
                <w:i/>
              </w:rPr>
              <w:t xml:space="preserve">nach Treu und Glauben </w:t>
            </w:r>
            <w:r w:rsidRPr="000A7EC7">
              <w:t xml:space="preserve">neue Bündnisse zu schließen, unter anderem mit den Ländern in </w:t>
            </w:r>
            <w:r w:rsidRPr="000A7EC7">
              <w:rPr>
                <w:b/>
                <w:i/>
              </w:rPr>
              <w:t>der</w:t>
            </w:r>
            <w:r w:rsidRPr="000A7EC7">
              <w:t xml:space="preserve"> Nachbarschaft</w:t>
            </w:r>
            <w:r w:rsidRPr="000A7EC7">
              <w:rPr>
                <w:b/>
                <w:i/>
              </w:rPr>
              <w:t xml:space="preserve"> Europas</w:t>
            </w:r>
            <w:r w:rsidRPr="000A7EC7">
              <w:t xml:space="preserve"> und im „Globalen Süden“, wobei die beiderseitigen Bedürfnisse und Interessen zu berücksichtigen sind, damit echte und ausgewogene Partnerschaften gefördert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 xml:space="preserve">betont, dass die Handels-, Investitions- und Entwicklungspolitik </w:t>
            </w:r>
            <w:r w:rsidRPr="000A7EC7">
              <w:rPr>
                <w:b/>
                <w:i/>
              </w:rPr>
              <w:lastRenderedPageBreak/>
              <w:t>sowie die Außen- und Sicherheitspolitik der EU besser koordiniert werden muss, damit sie vollständig mit den Verpflichtungen der EU in Bezug auf Menschenrechte und Nachhaltigkeit im Einklang stehen; stellt fest, dass Abkommen mit dem Globalen Süden, insbesondere im Bereich Rohstoffe, dazu beitragen sollten, die lokale Wirtschaftsentwicklung zu fördern, anstatt die Abhängigkeit und die exzessive Rohstoffausbeutung zu verstärken; betont, dass die Sorgfaltspflicht gestärkt und für Transparenz in den Lieferketten, vor allem in besonders gefährdeten Branchen wie dem Bergbau, gesorgt werden muss, um die Achtung der Menschenrechte und der Umwelt auf allen Produktions- und Versorgungsebenen sicherzustellen;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869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 xml:space="preserve">fordert eine weitere Stärkung der Beziehungen zum Globalen Süden unter Berücksichtigung der beiderseitigen Bedürfnisse und Interessen, um echte und ausgewogene Partnerschaften zu fördern; betont, dass die EU diese Beziehungen stärken sollte, indem sie sich für ein proaktives und inklusives Engagement in verschiedenen Bereichen mit diesen Ländern als gleichberechtigte Partner stark macht; betont, dass die geopolitischen und geoökonomischen Bedenken des Globalen Südens analysiert und gemeinsam angegangen werden </w:t>
            </w:r>
            <w:r w:rsidRPr="000A7EC7">
              <w:rPr>
                <w:b/>
                <w:i/>
              </w:rPr>
              <w:lastRenderedPageBreak/>
              <w:t>müssen;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fordert die Demokratische Volksrepublik Korea auf, ihre Programme für die Herstellung von Massenvernichtungswaffen und ballistischen Flugkörper vollständig, überprüfbar und unumkehrbar aufzugeben; fordert die Regierung der Demokratischen Volksrepublik Korea nachdrücklich auf, ihre anhaltenden Verbrechen gegen die Menschlichkeit einzustellen und einen Reformprozess einzuleiten, bei dem alle Menschenrechte geachtet und geschützt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hält die zunehmende weltweite Tendenz im Bereich der Bewegung blockfreier Staaten für positiv; fordert die EU und ihre Mitgliedstaaten auf, eine vorausschauende Außenpolitik mit Blick auf diese Bewegung zu entwickeln; fordert, Lehren aus der Bandung-</w:t>
            </w:r>
            <w:r w:rsidRPr="000A7EC7">
              <w:rPr>
                <w:b/>
                <w:i/>
              </w:rPr>
              <w:lastRenderedPageBreak/>
              <w:t>Konferenz von 1955 und der Gründung der Bewegung blockfreier Staaten zu ziehen;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weist darauf hin, dass Ägypten, Tunesien und Marokko wichtige Partner bei der Bekämpfung des Islamismus und der illegalen Einwanderung sind; fordert den Abschluss und die Stärkung von Partnerschaften mit diesen Ländern;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36b.</w:t>
            </w:r>
            <w:r w:rsidRPr="000A7EC7">
              <w:rPr>
                <w:b/>
                <w:i/>
              </w:rPr>
              <w:tab/>
              <w:t xml:space="preserve">betont, dass alternative Ansätze zu internationalen Sanktionen geprüft werden müssen, mit denen die Ursachen von Konflikten besser angegangen und die Zusammenarbeit mit Ländern im Globalen Süden gefördert werden; fordert die EU auf, Initiativen zu unterstützen, die die Abhängigkeit von Strafmaßnahmen verringern und diplomatischem Engagement, nachhaltiger Entwicklung und gegenseitiger Wirtschaftspartnerschaft als Instrumente zur Wahrung der regionalen </w:t>
            </w:r>
            <w:r w:rsidRPr="000A7EC7">
              <w:rPr>
                <w:b/>
                <w:i/>
              </w:rPr>
              <w:lastRenderedPageBreak/>
              <w:t>Stabilität Vorrang einräumen;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36b.</w:t>
            </w:r>
            <w:r w:rsidRPr="000A7EC7">
              <w:rPr>
                <w:b/>
                <w:i/>
              </w:rPr>
              <w:tab/>
              <w:t>verurteilt die destabilisierenden Methoden der Polisario im Maghreb, die unterstützt vom algerischen Regime den Frieden und die Sicherheit in der nordafrikanischen Region und darüber hinaus gefährden; weist erneut darauf hin, dass Marokko uneingeschränkte Souveränität über die Westsahara besitzt;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36c.</w:t>
            </w:r>
            <w:r w:rsidRPr="000A7EC7">
              <w:rPr>
                <w:b/>
                <w:i/>
              </w:rPr>
              <w:tab/>
              <w:t xml:space="preserve">betont, dass es von entscheidender Bedeutung ist, die Schuldenkrise im Globalen Süden zu bewältigen, um die weltweite wirtschaftliche Stabilität zu fördern, was sowohl für die EU als auch für die betroffenen Länder erhebliche Auswirkungen hat; betont, dass die EU ein strategisches Interesse daran hat, die nachhaltige Entwicklung, die Armutsbekämpfung und die Gleichstellung im Globalen Süden voranzubringen, da diese Bemühungen zu langfristigem Frieden und entsprechender </w:t>
            </w:r>
            <w:r w:rsidRPr="000A7EC7">
              <w:rPr>
                <w:b/>
                <w:i/>
              </w:rPr>
              <w:lastRenderedPageBreak/>
              <w:t>Sicherheit in der Welt beitragen; ruft zu gemeinsamen Initiativen zwischen der EU und den Ländern des Globalen Südens auf, um die Schuldenkrise zu analysieren und zu bewältigen, da derartige Partnerschaften die globale Zusammenarbeit für ein gerechteres Finanzsystem stärken und gleichzeitig den europäischen Einfluss und die beiderseitige Resilienz in der Region fördern;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d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36d.</w:t>
            </w:r>
            <w:r w:rsidRPr="000A7EC7">
              <w:rPr>
                <w:b/>
                <w:i/>
              </w:rPr>
              <w:tab/>
              <w:t>betont, dass die Europäische Union ihre Zusammenarbeit mit den arabischen Ländern als Reaktion auf die dringenden geopolitischen, sozialen und wirtschaftlichen Herausforderungen, mit denen die Region konfrontiert ist, stärken und vertiefen muss; betont, dass Schlüsselbereichen wie Migration, digitaler Wandel, Sicherheit, ökologischer Wandel und kultureller Austausch Vorrang eingeräumt werden sollte, um eine widerstandsfähige Partnerschaft aufzubauen, mit der sowohl aktuelle als auch künftige regionale Herausforderungen bewältigt werden können; fordert einen strategischen Ansatz, bei dem die Zusammenarbeit auf jedes Land zugeschnitten wird, sodass die nachhaltige Entwicklung und das gegenseitige Verständnisgefördert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e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36e.</w:t>
            </w:r>
            <w:r w:rsidRPr="000A7EC7">
              <w:rPr>
                <w:b/>
                <w:i/>
              </w:rPr>
              <w:tab/>
              <w:t>betont, dass Saudi-Arabien, die die Vereinigten Arabischen Emirate und die Golfstaaten als strategische Partner der EU im Rahmen der strategischen Partnerschaft zwischen der EU und den Golfstaaten enorm wichtig sind, und nimmt ihre entscheidende Rolle bei der Förderung der regionalen Stabilität und Entwicklung zur Kenntnis; betont, dass die EU durch eine Stärkung der Zusammenarbeit mit diesen Ländern im Rahmen dieser strategischen Partnerschaft gemeinsame Ziele voranbringen könnte und dass gemeinsame Standpunkte in einer schwierigen geopolitischen Landschaft ermittelt werden könnten;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f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36f.</w:t>
            </w:r>
            <w:r w:rsidRPr="000A7EC7">
              <w:rPr>
                <w:b/>
                <w:i/>
              </w:rPr>
              <w:tab/>
              <w:t xml:space="preserve">stellt fest, dass es äußerst wichtig ist, die demokratischen Werte zu bewahren und hochzuhalten; verurteilt die Zunahme von Hassreden und Angriffen auf die individuellen Freiheiten und die internationale Ordnung, die sowohl innerhalb der europäischen Institutionen als auch außerhalb, einschließlich in den Mitgliedstaaten, zu </w:t>
            </w:r>
            <w:r w:rsidRPr="000A7EC7">
              <w:rPr>
                <w:b/>
                <w:i/>
              </w:rPr>
              <w:lastRenderedPageBreak/>
              <w:t>verzeichnen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879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Zwischenüberschrift 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Förderung von EU-Maßnahmen im Ausland</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Zwischenüberschrift 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 xml:space="preserve">Förderung von </w:t>
            </w:r>
            <w:r w:rsidRPr="000A7EC7">
              <w:t>EU-Maßnahmen im Ausland</w:t>
            </w:r>
          </w:p>
        </w:tc>
        <w:tc>
          <w:tcPr>
            <w:tcW w:w="4876" w:type="dxa"/>
            <w:tcBorders>
              <w:top w:val="nil"/>
              <w:left w:val="nil"/>
              <w:bottom w:val="nil"/>
              <w:right w:val="nil"/>
            </w:tcBorders>
          </w:tcPr>
          <w:p w:rsidR="000A7EC7" w:rsidRPr="000A7EC7" w:rsidRDefault="000A7EC7" w:rsidP="00592F5E">
            <w:pPr>
              <w:pStyle w:val="Normal6a"/>
            </w:pPr>
            <w:r w:rsidRPr="000A7EC7">
              <w:t>EU-Maßnahmen im Ausland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 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weist darauf hin, dass die ausschließliche Zuständigkeit für die internationalen Beziehungen bei den Mitgliedstaaten liegt;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36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36a.</w:t>
            </w:r>
            <w:r w:rsidRPr="000A7EC7">
              <w:rPr>
                <w:b/>
                <w:i/>
              </w:rPr>
              <w:tab/>
              <w:t xml:space="preserve">stellt fest, dass die Anforderung der Einstimmigkeit die Mitgliedstaaten dazu zwingt, unermüdlich daran zu arbeiten, Kompromisse und Einigkeit zu erreichen, was den Ursprung der politischen Hebelwirkung der EU auf der Weltbühne bildet; weist jedoch darauf hin, dass der Kompromiss zwischen dem Ideal der Einigkeit und den hohen Kosten der Einstimmigkeit im Hinblick auf die Glaubwürdigkeit auf der Weltbühne kritisch bewertet werden sollte, insbesondere vor dem Hintergrund des wirksamen Funktionierens einer erweiterten EU; bedauert in diesem Zusammenhang, dass einzelne Mitgliedstaaten ihr Vetorecht genutzt haben, um Vereinbarungen abzuschwächen, die Entscheidungsfindung zu verzögern oder eine gemeinsame Politik generell zu verhindern; bedauert, dass das Potenzial für schnelle, effiziente und wirksame Außen-, Sicherheits- und Verteidigungsmaßnahmen, wie sie unter anderem in den Überleitungsklauseln des EUV vorgesehen sind, nur sehr begrenzt genutzt wurde; bekräftigt seine Forderung an den Rat, bei Beschlüssen in Bereichen der GASP, die keine militärischen oder verteidigungspolitischen Bezüge haben, schrittweise zur Beschlussfassung mit qualifizierter Mehrheit überzugehen; nimmt die Bedenken einiger Mitgliedstaaten zur Kenntnis, die eine verringerte Fähigkeit zur Einflussnahme </w:t>
            </w:r>
            <w:r w:rsidRPr="000A7EC7">
              <w:rPr>
                <w:b/>
                <w:i/>
              </w:rPr>
              <w:lastRenderedPageBreak/>
              <w:t>auf die Außen- und Sicherheitspolitik auf der Ebene der EU fürchten; stellt fest, dass Fortschritte im Hinblick auf die Anwendung der Beschlussfassung mit qualifizierter Mehrheit nur schrittweise erfolgen können und auf der Schaffung einer europäischen Strategiekultur aufbauen müssen;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37.</w:t>
            </w:r>
            <w:r w:rsidRPr="000A7EC7">
              <w:tab/>
            </w:r>
            <w:r w:rsidRPr="000A7EC7">
              <w:rPr>
                <w:b/>
                <w:i/>
              </w:rPr>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Marion Maréchal</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t xml:space="preserve">hebt die Rolle des HR/VP als </w:t>
            </w:r>
            <w:r w:rsidRPr="000A7EC7">
              <w:lastRenderedPageBreak/>
              <w:t>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37.</w:t>
            </w:r>
            <w:r w:rsidRPr="000A7EC7">
              <w:tab/>
              <w:t xml:space="preserve">hebt die Rolle des HR/VP als </w:t>
            </w:r>
            <w:r w:rsidRPr="000A7EC7">
              <w:lastRenderedPageBreak/>
              <w:t xml:space="preserve">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 </w:t>
            </w:r>
            <w:r w:rsidRPr="000A7EC7">
              <w:rPr>
                <w:b/>
                <w:i/>
              </w:rPr>
              <w:t>weist darauf hin, dass die Außenpolitik nach wie vor ein souveränes Vorrecht der Mitgliedstaaten ist, dass sie gemäß den Verträgen ihre wesentlichen Befugnisse in diesem Bereich beibehalten und dass die meisten GASP-Beschlüsse einstimmig gefasst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t>37.</w:t>
            </w:r>
            <w:r w:rsidRPr="000A7EC7">
              <w:tab/>
              <w:t>hebt die Rolle des HR/VP als Brückenbauer zwischen der GASP und den Außenbeziehungen der EU hervor, um für ein Höchstmaß an Koordinierung und Kohärenz im außenpolitischen Handeln der EU zu sorgen;</w:t>
            </w:r>
            <w:r w:rsidRPr="000A7EC7">
              <w:rPr>
                <w:b/>
                <w:i/>
              </w:rPr>
              <w:t xml:space="preserve"> fordert die Kommission auf, ihre Koordinierung mit dem EAD in diesem Bereich zu verstärken, indem sie unter anderem dafür sorgt, dass Artikel 3 Absatz 2 und Artikel 9 des EAD-Beschlusses, der gegebenenfalls aktualisiert werden muss, vollständig eingehalten werden;</w:t>
            </w:r>
            <w:r w:rsidRPr="000A7EC7">
              <w:t xml:space="preserve"> bedauert jedoch, dass es bei der Außenvertretung der EU in </w:t>
            </w:r>
            <w:r w:rsidRPr="000A7EC7">
              <w:lastRenderedPageBreak/>
              <w:t>einigen Fällen an Klarheit mangelt; betont, dass die Zuständigkeiten des HR/VP, der Kommissionspräsidentin und des Präsidenten des Europäischen Rates in Bezug auf das auswärtige Handeln und die Vertretung der EU nach außen klar festgelegt werden müssen;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 Jordan Bardella, Hermann Tertsch, Matthieu Valet, Pierre-Romain Thionnet,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r>
            <w:r w:rsidRPr="000A7EC7">
              <w:rPr>
                <w:b/>
                <w:i/>
              </w:rPr>
              <w:t>hebt die Rolle des HR/VP als Brückenbauer zwischen der GASP und den Außenbeziehungen der EU hervor, um für ein Höchstmaß an Koordinierung und Kohärenz im außenpolitischen Handeln der EU zu sorgen; bedauert jedoch</w:t>
            </w:r>
            <w:r w:rsidRPr="000A7EC7">
              <w:t xml:space="preserve">, dass </w:t>
            </w:r>
            <w:r w:rsidRPr="000A7EC7">
              <w:rPr>
                <w:b/>
                <w:i/>
              </w:rPr>
              <w:t>es bei der Außenvertretung</w:t>
            </w:r>
            <w:r w:rsidRPr="000A7EC7">
              <w:t xml:space="preserve"> der EU </w:t>
            </w:r>
            <w:r w:rsidRPr="000A7EC7">
              <w:rPr>
                <w:b/>
                <w:i/>
              </w:rPr>
              <w:t>in einigen Fällen an Klarheit mangelt; betont, dass die Zuständigkeiten des HR/VP,</w:t>
            </w:r>
            <w:r w:rsidRPr="000A7EC7">
              <w:t xml:space="preserve"> der </w:t>
            </w:r>
            <w:r w:rsidRPr="000A7EC7">
              <w:rPr>
                <w:b/>
                <w:i/>
              </w:rPr>
              <w:t>Kommissionspräsidentin</w:t>
            </w:r>
            <w:r w:rsidRPr="000A7EC7">
              <w:t xml:space="preserve"> und </w:t>
            </w:r>
            <w:r w:rsidRPr="000A7EC7">
              <w:rPr>
                <w:b/>
                <w:i/>
              </w:rPr>
              <w:t>des Präsidenten des Europäischen Rates in Bezug auf das auswärtige Handeln</w:t>
            </w:r>
            <w:r w:rsidRPr="000A7EC7">
              <w:t xml:space="preserve"> und </w:t>
            </w:r>
            <w:r w:rsidRPr="000A7EC7">
              <w:rPr>
                <w:b/>
                <w:i/>
              </w:rPr>
              <w:t>die Vertretung der EU nach außen klar festgelegt werden müssen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37.</w:t>
            </w:r>
            <w:r w:rsidRPr="000A7EC7">
              <w:tab/>
            </w:r>
            <w:r w:rsidRPr="000A7EC7">
              <w:rPr>
                <w:b/>
                <w:i/>
              </w:rPr>
              <w:t>bekräftigt, dass</w:t>
            </w:r>
            <w:r w:rsidRPr="000A7EC7">
              <w:t xml:space="preserve"> die </w:t>
            </w:r>
            <w:r w:rsidRPr="000A7EC7">
              <w:rPr>
                <w:b/>
                <w:i/>
              </w:rPr>
              <w:t>Diplomatie der Mitgliedstaaten gegenüber</w:t>
            </w:r>
            <w:r w:rsidRPr="000A7EC7">
              <w:t xml:space="preserve"> der der EU </w:t>
            </w:r>
            <w:r w:rsidRPr="000A7EC7">
              <w:rPr>
                <w:b/>
                <w:i/>
              </w:rPr>
              <w:t>selbst Vorrang hat</w:t>
            </w:r>
            <w:r w:rsidRPr="000A7EC7">
              <w:t>;</w:t>
            </w:r>
            <w:r w:rsidRPr="000A7EC7">
              <w:rPr>
                <w:b/>
                <w:i/>
              </w:rPr>
              <w:t xml:space="preserve"> unterstreicht</w:t>
            </w:r>
            <w:r w:rsidRPr="000A7EC7">
              <w:t xml:space="preserve">, dass </w:t>
            </w:r>
            <w:r w:rsidRPr="000A7EC7">
              <w:rPr>
                <w:b/>
                <w:i/>
              </w:rPr>
              <w:t>die Rolle</w:t>
            </w:r>
            <w:r w:rsidRPr="000A7EC7">
              <w:t xml:space="preserve"> der EU </w:t>
            </w:r>
            <w:r w:rsidRPr="000A7EC7">
              <w:rPr>
                <w:b/>
                <w:i/>
              </w:rPr>
              <w:t>im Bereich des auswärtigen Handelns instrumenteller Art und der Rolle</w:t>
            </w:r>
            <w:r w:rsidRPr="000A7EC7">
              <w:t xml:space="preserve"> der </w:t>
            </w:r>
            <w:r w:rsidRPr="000A7EC7">
              <w:rPr>
                <w:b/>
                <w:i/>
              </w:rPr>
              <w:t>Mitgliedstaaten</w:t>
            </w:r>
            <w:r w:rsidRPr="000A7EC7">
              <w:t xml:space="preserve"> und </w:t>
            </w:r>
            <w:r w:rsidRPr="000A7EC7">
              <w:rPr>
                <w:b/>
                <w:i/>
              </w:rPr>
              <w:t>der Einstimmigkeitsregel untergeordnet ist</w:t>
            </w:r>
            <w:r w:rsidRPr="000A7EC7">
              <w:t xml:space="preserve"> und </w:t>
            </w:r>
            <w:r w:rsidRPr="000A7EC7">
              <w:rPr>
                <w:b/>
                <w:i/>
              </w:rPr>
              <w:t>kein eigenständiges Mandat vorliegt</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lastRenderedPageBreak/>
              <w:t>37.</w:t>
            </w:r>
            <w:r w:rsidRPr="000A7EC7">
              <w:tab/>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t>37.</w:t>
            </w:r>
            <w:r w:rsidRPr="000A7EC7">
              <w:tab/>
              <w:t xml:space="preserve">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 </w:t>
            </w:r>
            <w:r w:rsidRPr="000A7EC7">
              <w:rPr>
                <w:b/>
                <w:i/>
              </w:rPr>
              <w:t>betont, dass Fragen im Bereich Diplomatie und Verteidigung in erster Linie in die Zuständigkeit der Mitgliedstaaten der Europäischen Union fallen;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Urmas Paet,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t>37.</w:t>
            </w:r>
            <w:r w:rsidRPr="000A7EC7">
              <w:tab/>
              <w:t xml:space="preserve">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w:t>
            </w:r>
            <w:r w:rsidRPr="000A7EC7">
              <w:rPr>
                <w:b/>
                <w:i/>
              </w:rPr>
              <w:t>bedauert ferner, dass dieser Mangel an Klarheit die strategische Kommunikation der EU im Ausland behindert;</w:t>
            </w:r>
            <w:r w:rsidRPr="000A7EC7">
              <w:t xml:space="preserve"> betont, dass die Zuständigkeiten des HR/VP, der Kommissionspräsidentin und des Präsidenten des Europäischen Rates in Bezug auf das auswärtige Handeln und die Vertretung der EU nach außen klar </w:t>
            </w:r>
            <w:r w:rsidRPr="000A7EC7">
              <w:lastRenderedPageBreak/>
              <w:t>festgelegt werden müssen;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889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p>
        </w:tc>
        <w:tc>
          <w:tcPr>
            <w:tcW w:w="4876" w:type="dxa"/>
            <w:tcBorders>
              <w:top w:val="nil"/>
              <w:left w:val="nil"/>
              <w:bottom w:val="nil"/>
              <w:right w:val="nil"/>
            </w:tcBorders>
          </w:tcPr>
          <w:p w:rsidR="000A7EC7" w:rsidRPr="000A7EC7" w:rsidRDefault="000A7EC7" w:rsidP="00592F5E">
            <w:pPr>
              <w:pStyle w:val="Normal6a"/>
            </w:pPr>
            <w:r w:rsidRPr="000A7EC7">
              <w:t>37.</w:t>
            </w:r>
            <w:r w:rsidRPr="000A7EC7">
              <w:tab/>
              <w:t>hebt die Rolle des HR/VP als Brückenbauer zwischen der GASP und den Außenbeziehungen der EU hervor, um für ein Höchstmaß an Koordinierung und Kohärenz im außenpolitischen Handeln der EU zu sorgen; bedauert jedoch, dass es bei der Außenvertretung der EU in einigen Fällen an Klarheit mangelt; betont, dass die Zuständigkeiten des HR/VP, der Kommissionspräsidentin und des Präsidenten des Europäischen Rates in Bezug auf das auswärtige Handeln und die Vertretung der EU nach außen klar festgelegt werden müssen</w:t>
            </w:r>
            <w:r w:rsidRPr="000A7EC7">
              <w:rPr>
                <w:b/>
                <w:i/>
              </w:rPr>
              <w:t>, damit die Stimme der EU kohärent ist und von den Partner als kohärent wahrgenommen wird</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Rihards Kols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37.</w:t>
            </w:r>
            <w:r w:rsidRPr="000A7EC7">
              <w:tab/>
            </w:r>
            <w:r w:rsidRPr="000A7EC7">
              <w:rPr>
                <w:b/>
                <w:i/>
              </w:rPr>
              <w:t>hebt</w:t>
            </w:r>
            <w:r w:rsidRPr="000A7EC7">
              <w:t xml:space="preserve"> die Rolle des HR/VP als </w:t>
            </w:r>
            <w:r w:rsidRPr="000A7EC7">
              <w:rPr>
                <w:b/>
                <w:i/>
              </w:rPr>
              <w:t>Brückenbauer zwischen</w:t>
            </w:r>
            <w:r w:rsidRPr="000A7EC7">
              <w:t xml:space="preserve"> der </w:t>
            </w:r>
            <w:r w:rsidRPr="000A7EC7">
              <w:rPr>
                <w:b/>
                <w:i/>
              </w:rPr>
              <w:t xml:space="preserve">GASP und den Außenbeziehungen der EU hervor, um für ein Höchstmaß an Koordinierung und Kohärenz im außenpolitischen </w:t>
            </w:r>
            <w:r w:rsidRPr="000A7EC7">
              <w:rPr>
                <w:b/>
                <w:i/>
              </w:rPr>
              <w:lastRenderedPageBreak/>
              <w:t>Handeln</w:t>
            </w:r>
            <w:r w:rsidRPr="000A7EC7">
              <w:t xml:space="preserve"> der </w:t>
            </w:r>
            <w:r w:rsidRPr="000A7EC7">
              <w:rPr>
                <w:b/>
                <w:i/>
              </w:rPr>
              <w:t>EU zu sorgen; bedauert jedoch</w:t>
            </w:r>
            <w:r w:rsidRPr="000A7EC7">
              <w:t xml:space="preserve">, </w:t>
            </w:r>
            <w:r w:rsidRPr="000A7EC7">
              <w:rPr>
                <w:b/>
                <w:i/>
              </w:rPr>
              <w:t>dass es bei der Außenvertretung der EU in einigen Fällen an Klarheit mangelt</w:t>
            </w:r>
            <w:r w:rsidRPr="000A7EC7">
              <w:t>;</w:t>
            </w:r>
            <w:r w:rsidRPr="000A7EC7">
              <w:rPr>
                <w:b/>
                <w:i/>
              </w:rPr>
              <w:t xml:space="preserve"> betont, dass die Zuständigkeiten des HR/VP</w:t>
            </w:r>
            <w:r w:rsidRPr="000A7EC7">
              <w:t xml:space="preserve">, </w:t>
            </w:r>
            <w:r w:rsidRPr="000A7EC7">
              <w:rPr>
                <w:b/>
                <w:i/>
              </w:rPr>
              <w:t>der Kommissionspräsidentin und des Präsidenten des Europäischen Rates in Bezug auf das auswärtige Handeln</w:t>
            </w:r>
            <w:r w:rsidRPr="000A7EC7">
              <w:t xml:space="preserve"> und die </w:t>
            </w:r>
            <w:r w:rsidRPr="000A7EC7">
              <w:rPr>
                <w:b/>
                <w:i/>
              </w:rPr>
              <w:t>Vertretung der EU nach außen klar festgelegt werden müssen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37.</w:t>
            </w:r>
            <w:r w:rsidRPr="000A7EC7">
              <w:tab/>
            </w:r>
            <w:r w:rsidRPr="000A7EC7">
              <w:rPr>
                <w:b/>
                <w:i/>
              </w:rPr>
              <w:t>betont, dass</w:t>
            </w:r>
            <w:r w:rsidRPr="000A7EC7">
              <w:t xml:space="preserve"> die Rolle des HR/VP als </w:t>
            </w:r>
            <w:r w:rsidRPr="000A7EC7">
              <w:rPr>
                <w:b/>
                <w:i/>
              </w:rPr>
              <w:t>primärer Vertreter</w:t>
            </w:r>
            <w:r w:rsidRPr="000A7EC7">
              <w:t xml:space="preserve"> der </w:t>
            </w:r>
            <w:r w:rsidRPr="000A7EC7">
              <w:rPr>
                <w:b/>
                <w:i/>
              </w:rPr>
              <w:t xml:space="preserve">EU in GASP-Angelegenheiten gestärkt und die Aufgabe der Außenvertretung, die jeweils der VP/HR, der Präsident der </w:t>
            </w:r>
            <w:r w:rsidRPr="000A7EC7">
              <w:rPr>
                <w:b/>
                <w:i/>
              </w:rPr>
              <w:lastRenderedPageBreak/>
              <w:t>Kommission und</w:t>
            </w:r>
            <w:r w:rsidRPr="000A7EC7">
              <w:t xml:space="preserve"> der </w:t>
            </w:r>
            <w:r w:rsidRPr="000A7EC7">
              <w:rPr>
                <w:b/>
                <w:i/>
              </w:rPr>
              <w:t>Präsident des Europäischen Rates innehaben</w:t>
            </w:r>
            <w:r w:rsidRPr="000A7EC7">
              <w:t xml:space="preserve">, </w:t>
            </w:r>
            <w:r w:rsidRPr="000A7EC7">
              <w:rPr>
                <w:b/>
                <w:i/>
              </w:rPr>
              <w:t>klar abgegrenzt werden muss, um ein einheitliches Vorgehen der EU im Ausland sicherzustellen</w:t>
            </w:r>
            <w:r w:rsidRPr="000A7EC7">
              <w:t>;</w:t>
            </w:r>
            <w:r w:rsidRPr="000A7EC7">
              <w:rPr>
                <w:b/>
                <w:i/>
              </w:rPr>
              <w:t xml:space="preserve"> fordert den Hohen Vertreter auf</w:t>
            </w:r>
            <w:r w:rsidRPr="000A7EC7">
              <w:t xml:space="preserve">, </w:t>
            </w:r>
            <w:r w:rsidRPr="000A7EC7">
              <w:rPr>
                <w:b/>
                <w:i/>
              </w:rPr>
              <w:t>konstruktiv mit den nationalen Parlamenten zusammenzuarbeiten, um eine engere Angleichung der außenpolitischen Prioritäten zu erleichtern</w:t>
            </w:r>
            <w:r w:rsidRPr="000A7EC7">
              <w:t xml:space="preserve"> und die </w:t>
            </w:r>
            <w:r w:rsidRPr="000A7EC7">
              <w:rPr>
                <w:b/>
                <w:i/>
              </w:rPr>
              <w:t>demokratische Legitimität in allen Mitgliedstaaten zu stärken</w:t>
            </w:r>
            <w:r w:rsidRPr="000A7EC7">
              <w: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macht darauf aufmerksam, dass Sicherheit und Verteidigung nach wie vor zu den Kernkompetenzen der Mitgliedstaaten gehören und die Einstimmigkeitsregel ein wichtiges Instrument ist, um Kompromisse zu erreichen und Solidarität zwischen den Mitgliedstaaten in den wichtigsten Bereichen zu schaffen, sodass die Union in ihrer Geschlossenheit eine Stärkung erfährt und ein solideres Mandat für ihr weltweites Handeln erhält; weist erneut darauf hin, dass selbst in einer sehr viel größeren und heterogeneren Organisation wie der NATO Beschlüsse auf der Basis eines Konsenses gefasst werden; fordert mehr Bereitschaft, die Bedrohungen gemeinsam wahrzunehmen, und zwar durch eine Vertiefung der Solidarität und die Wiederherstellung des Respekts für alle Mitgliedstaaten unabhängig von ihrer Größe oder politischen Ausrichtung;</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betont, dass die EU die Sichtbarkeit und Wirksamkeit ihres auswärtigen Handelns und ihrer Bemühungen im Bereich der Entwicklungszusammenarbeit fördern muss, auch um dem postkolonialen Narrativ einer Nord-Süd-Kluft entgegenzuwirken; betont jedoch, dass eine der größten Herausforderungen für die Glaubwürdigkeit und den Einfluss der EU im Ausland in der mangelnden Einheitlichkeit und Kohärenz ihrer Außenpolitik besteht, die häufig zu dem Eindruck führt, dass mit zweierlei Maß gemessen wird; fordert die EU und ihre Mitgliedstaaten auf, ihre internationalen Maßnahmen kohärenter zu gestalten und aufeinander abzustimmen, damit sie weltweit eine verlässlichere und prinzipienfeste Haltung einnehmen können;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Eszter Lakos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 xml:space="preserve">bekräftigt, dass angemessene </w:t>
            </w:r>
            <w:r w:rsidRPr="000A7EC7">
              <w:rPr>
                <w:b/>
                <w:i/>
              </w:rPr>
              <w:lastRenderedPageBreak/>
              <w:t>strategische Kommunikationsbemühungen von maßgeblicher Bedeutung sind, um die Maßnahmen der EU über ihre Grenzen hinaus sichtbarer zu machen; ist davon überzeugt, dass den Staaten des westlichen Balkans besondere Aufmerksamkeit gewidmet werden muss, um der ausländischen Einflussnahme durch Fehlinformations- und Desinformationskampagnen entgegenzuwirken, die darauf abzielen, die Union als unzuverlässigen Partner zu präsentieren und gleichzeitig die Handlungen und das Engagement autoritärer Regime falsch darzustellen und zu verherrlichen;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fordert den EAD, die Kommission und die Mitgliedstaaten auf, ihr diplomatisches Instrumentarium und ihre Finanzierungsinstrumente in vollem Umfang zu nutzen, um Menschenrechtsverteidiger vor Bedrohungen und Angriffen durch staatliche und nichtstaatliche Akteure, einschließlich Unternehmen oder Gruppen, die in ihrem Namen handeln, kriminelle Gruppen und bewaffnete Gruppen sowie vor Bedrohungen in Konflikt- und Übergangssituationen zu unterstützen und zu schützen;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Francisco José Millán Mon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weist erneut darauf hin, dass der Rat und der Hohe Vertreter der Union für Außen- und Sicherheitspolitik und der Europäische Rat für ein einheitliches, kohärentes und wirksames Vorgehen der Union Sorge tragen; betont, dass es wichtig ist, dass sich die Mitgliedstaaten bei ihren Entscheidungen auf eine gemeinsame Herangehensweise einigen und ihre Maßnahmen von gegenseitiger Solidarität zeugen;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{ES}</w:t>
      </w:r>
      <w:r w:rsidRPr="000A7EC7">
        <w:t>es</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 Jorge Martín Frías, Hermann Tertsch,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betont, dass das Einstimmigkeitsprinzip im Rat für Beschlüsse über Fragen der Außen-, Sicherheits- und Verteidigungspolitik beibehalten werden muss;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 Özlem Demirel</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lastRenderedPageBreak/>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37a.</w:t>
            </w:r>
            <w:r w:rsidRPr="000A7EC7">
              <w:rPr>
                <w:b/>
                <w:i/>
              </w:rPr>
              <w:tab/>
              <w:t>ist der festen Überzeugung, dass durch Diplomatie Kriege verhindert und beendet werden und sie ein zentraler Bestandteil des Handelns der EU sein sollte;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37b.</w:t>
            </w:r>
            <w:r w:rsidRPr="000A7EC7">
              <w:rPr>
                <w:b/>
                <w:i/>
              </w:rPr>
              <w:tab/>
              <w:t>fordert die Übernahme der Führungsrolle bei der Stärkung multilateraler Partnerschaften bei globalen Prioritäten, insbesondere in den Bereichen Demokratie, Menschenrechte, Gleichstellung der Geschlechter und Klimawandel; betont, dass regionale Strategien weiterentwickelt werden müssen, auch zu den Themen Klimaschutz, Menschenrechte und sicherheitspolitische Zusammenarbeit;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899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37b.</w:t>
            </w:r>
            <w:r w:rsidRPr="000A7EC7">
              <w:rPr>
                <w:b/>
                <w:i/>
              </w:rPr>
              <w:tab/>
              <w:t>fordert die Mitgliedstaaten auf, ihre diplomatischen Gremien, die in den letzten Jahren drastisch abgebaut wurden, erneut finanziell zu versorgen; bedauert, dass das diplomatische Korps Frankreichs und Belgiens eine Schwächung erfahren hat;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37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37c.</w:t>
            </w:r>
            <w:r w:rsidRPr="000A7EC7">
              <w:rPr>
                <w:b/>
                <w:i/>
              </w:rPr>
              <w:tab/>
              <w:t>fordert die EU und ihre Mitgliedstaaten auf, besser gegen die Umgehung von Sanktionen vorzugehen und sich unter anderem auf die Stärkung der internationalen Zusammenarbeit in dieser Hinsicht zu konzentrieren;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38.</w:t>
            </w:r>
            <w:r w:rsidRPr="000A7EC7">
              <w:tab/>
            </w:r>
            <w:r w:rsidRPr="000A7EC7">
              <w:rPr>
                <w:b/>
                <w:i/>
              </w:rPr>
              <w:t xml:space="preserve">fordert, dass der EAD – sowohl seine Zentrale als auch die EU-Delegationen – durch die Bereitstellung angemessener finanzieller und personeller Ressourcen gestärkt wird, damit die EU besser auf aktuelle und sich abzeichnende globale Herausforderungen vorbereitet ist; fordert den HR/VP auf, rasch Vorschläge für die künftige </w:t>
            </w:r>
            <w:r w:rsidRPr="000A7EC7">
              <w:rPr>
                <w:b/>
                <w:i/>
              </w:rPr>
              <w:lastRenderedPageBreak/>
              <w:t>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dass der EAD – sowohl seine Zentrale als auch die EU-Delegationen – durch die Bereitstellung angemessener finanzieller und personeller Ressourcen gestärkt wird, damit die EU besser auf aktuelle und sich abzeichnende globale Herausforderungen vorbereitet ist;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dass der EAD – sowohl seine Zentrale als auch die EU-Delegationen – durch die Bereitstellung angemessener finanzieller und personeller Ressourcen gestärkt wird, damit die EU besser auf aktuelle und sich abzeichnende globale Herausforderungen vorbereitet ist; fordert</w:t>
            </w:r>
            <w:r w:rsidRPr="000A7EC7">
              <w:rPr>
                <w:b/>
                <w:i/>
              </w:rPr>
              <w:t>, dass der EAD in der Lage sein muss, sein ständiges diplomatisches Personal der EU auszuwählen und einzustellen und für ein gerechteres und geografisches Gleichgewicht zwischen den Mitgliedstaaten auf allen Ebenen innerhalb des EAD zu sorgen; fordert</w:t>
            </w:r>
            <w:r w:rsidRPr="000A7EC7">
              <w:t xml:space="preserve"> den HR/VP auf, rasch Vorschläge für die künftige operative Struktur des auswärtigen Handelns der EU vorzulegen</w:t>
            </w:r>
            <w:r w:rsidRPr="000A7EC7">
              <w:rPr>
                <w:b/>
                <w:i/>
              </w:rPr>
              <w:t xml:space="preserve"> und der Entschließung des Europäischen Parlaments zur Bestandsaufnahme der Funktionsweise des EAD und für eine stärkere EU in der Welt in vollem Umfang Rechnung zu tragen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w:t>
            </w:r>
            <w:r w:rsidRPr="000A7EC7">
              <w:rPr>
                <w:b/>
                <w:i/>
              </w:rPr>
              <w:t>, dass der</w:t>
            </w:r>
            <w:r w:rsidRPr="000A7EC7">
              <w:t xml:space="preserve"> EAD</w:t>
            </w:r>
            <w:r w:rsidRPr="000A7EC7">
              <w:rPr>
                <w:b/>
                <w:i/>
              </w:rPr>
              <w:t xml:space="preserve"> –</w:t>
            </w:r>
            <w:r w:rsidRPr="000A7EC7">
              <w:t xml:space="preserve"> sowohl </w:t>
            </w:r>
            <w:r w:rsidRPr="000A7EC7">
              <w:rPr>
                <w:b/>
                <w:i/>
              </w:rPr>
              <w:t>seine Zentrale</w:t>
            </w:r>
            <w:r w:rsidRPr="000A7EC7">
              <w:t xml:space="preserve"> als auch die EU-Delegationen </w:t>
            </w:r>
            <w:r w:rsidRPr="000A7EC7">
              <w:rPr>
                <w:b/>
                <w:i/>
              </w:rPr>
              <w:t>– durch die Bereitstellung angemessener finanzieller und personeller Ressourcen gestärkt wird, damit die EU besser auf aktuelle und sich abzeichnende globale Herausforderungen vorbereitet ist;</w:t>
            </w:r>
            <w:r w:rsidRPr="000A7EC7">
              <w:t xml:space="preserve"> </w:t>
            </w:r>
            <w:r w:rsidRPr="000A7EC7">
              <w:rPr>
                <w:b/>
                <w:i/>
              </w:rPr>
              <w:t>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w:t>
            </w:r>
            <w:r w:rsidRPr="000A7EC7">
              <w:rPr>
                <w:b/>
                <w:i/>
              </w:rPr>
              <w:t xml:space="preserve"> das Ende des</w:t>
            </w:r>
            <w:r w:rsidRPr="000A7EC7">
              <w:t xml:space="preserve"> EAD</w:t>
            </w:r>
            <w:r w:rsidRPr="000A7EC7">
              <w:rPr>
                <w:b/>
                <w:i/>
              </w:rPr>
              <w:t>, was</w:t>
            </w:r>
            <w:r w:rsidRPr="000A7EC7">
              <w:t xml:space="preserve"> sowohl </w:t>
            </w:r>
            <w:r w:rsidRPr="000A7EC7">
              <w:rPr>
                <w:b/>
                <w:i/>
              </w:rPr>
              <w:t>seinen Hauptsitz</w:t>
            </w:r>
            <w:r w:rsidRPr="000A7EC7">
              <w:t xml:space="preserve"> als auch die EU-Delegationen </w:t>
            </w:r>
            <w:r w:rsidRPr="000A7EC7">
              <w:rPr>
                <w:b/>
                <w:i/>
              </w:rPr>
              <w:t>einschließt</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r>
            <w:r w:rsidRPr="000A7EC7">
              <w:rPr>
                <w:b/>
                <w:i/>
              </w:rPr>
              <w:t>fordert, dass der EAD – sowohl seine Zentrale als auch die EU-Delegationen – durch die Bereitstellung angemessener finanzieller und personeller Ressourcen gestärkt wird, damit die EU besser auf aktuelle und sich abzeichnende globale Herausforderungen vorbereitet ist;</w:t>
            </w:r>
            <w:r w:rsidRPr="000A7EC7">
              <w:t xml:space="preserve">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den HR/VP auf, rasch Vorschläge für die künftige operative Struktur des auswärtigen Handelns der EU vorzulegen;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dass der EAD – sowohl seine Zentrale als auch die EU-Delegationen – durch die Bereitstellung angemessener finanzieller und personeller Ressourcen gestärkt wird, damit die EU besser auf aktuelle und sich abzeichnende globale Herausforderungen vorbereitet ist;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 xml:space="preserve">fordert, dass der EAD – sowohl seine Zentrale als auch die EU-Delegationen – durch die Bereitstellung angemessener finanzieller und personeller Ressourcen gestärkt wird, damit die EU besser auf aktuelle und sich abzeichnende globale Herausforderungen vorbereitet ist; fordert </w:t>
            </w:r>
            <w:r w:rsidRPr="000A7EC7">
              <w:rPr>
                <w:b/>
                <w:i/>
              </w:rPr>
              <w:t xml:space="preserve">eine bessere geografische Vertretung der Mitgliedstaaten bei der Ernennung von Leitern von EU-Delegationen; fordert </w:t>
            </w:r>
            <w:r w:rsidRPr="000A7EC7">
              <w:t>den HR/VP auf, rasch Vorschläge für die künftige operative Struktur des auswärtigen Handelns der EU vorzulegen;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Sebastiaan Stöteler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r>
            <w:r w:rsidRPr="000A7EC7">
              <w:rPr>
                <w:b/>
                <w:i/>
              </w:rPr>
              <w:t>fordert, dass der EAD – sowohl seine Zentrale als auch die EU-Delegationen – durch die Bereitstellung angemessener finanzieller und personeller Ressourcen gestärkt wird, damit die EU besser auf aktuelle und sich abzeichnende globale Herausforderungen vorbereitet ist;</w:t>
            </w:r>
            <w:r w:rsidRPr="000A7EC7">
              <w:t xml:space="preserve">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 xml:space="preserve">fordert den HR/VP auf, rasch Vorschläge für die künftige operative Struktur des auswärtigen Handelns der EU vorzulegen; </w:t>
            </w:r>
            <w:r w:rsidRPr="000A7EC7">
              <w:rPr>
                <w:b/>
                <w:i/>
              </w:rPr>
              <w:t>betont, dass die EU-Diplomatie die Außenpolitik der Mitgliedstaaten nicht ersetzen kann;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Mariusz Kamiński, Michał Dworczyk</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{ECR}</w:t>
      </w:r>
      <w:r w:rsidRPr="000A7EC7">
        <w:t>im Namen der ECR-Fraktion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lastRenderedPageBreak/>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dass der EAD – sowohl seine Zentrale als auch die EU-Delegationen – durch die Bereitstellung angemessener finanzieller und personeller Ressourcen gestärkt wird, damit die EU besser auf aktuelle und sich abzeichnende globale Herausforderungen vorbereitet ist;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 xml:space="preserve">fordert, dass der EAD – sowohl seine Zentrale als auch die EU-Delegationen – durch die Bereitstellung angemessener finanzieller und personeller Ressourcen gestärkt wird, damit die EU besser auf aktuelle und sich abzeichnende globale Herausforderungen vorbereitet ist; fordert den HR/VP auf, rasch Vorschläge für die künftige operative Struktur des auswärtigen Handelns der EU vorzulegen; </w:t>
            </w:r>
            <w:r w:rsidRPr="000A7EC7">
              <w:rPr>
                <w:b/>
                <w:i/>
              </w:rPr>
              <w:t>fordert den HV/VP auf, eine geografische Ausgewogenheit innerhalb des EAD, insbesondere auf höheren Ebenen, zu erreichen;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Alexander Sell</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r>
            <w:r w:rsidRPr="000A7EC7">
              <w:rPr>
                <w:b/>
                <w:i/>
              </w:rPr>
              <w:t>fordert, dass der EAD – sowohl seine Zentrale als auch die EU-Delegationen – durch die Bereitstellung angemessener finanzieller</w:t>
            </w:r>
            <w:r w:rsidRPr="000A7EC7">
              <w:t xml:space="preserve"> und </w:t>
            </w:r>
            <w:r w:rsidRPr="000A7EC7">
              <w:rPr>
                <w:b/>
                <w:i/>
              </w:rPr>
              <w:t>personeller Ressourcen gestärkt wird</w:t>
            </w:r>
            <w:r w:rsidRPr="000A7EC7">
              <w:t xml:space="preserve">, </w:t>
            </w:r>
            <w:r w:rsidRPr="000A7EC7">
              <w:rPr>
                <w:b/>
                <w:i/>
              </w:rPr>
              <w:t xml:space="preserve">damit </w:t>
            </w:r>
            <w:r w:rsidRPr="000A7EC7">
              <w:t xml:space="preserve">die </w:t>
            </w:r>
            <w:r w:rsidRPr="000A7EC7">
              <w:rPr>
                <w:b/>
                <w:i/>
              </w:rPr>
              <w:t>EU besser auf aktuelle und sich abzeichnende globale Herausforderungen vorbereitet ist</w:t>
            </w:r>
            <w:r w:rsidRPr="000A7EC7">
              <w:t>;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r>
            <w:r w:rsidRPr="000A7EC7">
              <w:rPr>
                <w:b/>
                <w:i/>
              </w:rPr>
              <w:t>empfiehlt ein gestrafftes Finanzierungskonzept für den EAD, bei dem der Schwerpunkt auf wesentlichen Missionen liegt</w:t>
            </w:r>
            <w:r w:rsidRPr="000A7EC7">
              <w:t xml:space="preserve"> und </w:t>
            </w:r>
            <w:r w:rsidRPr="000A7EC7">
              <w:rPr>
                <w:b/>
                <w:i/>
              </w:rPr>
              <w:t>übermäßige Zuweisungen verhindert werden</w:t>
            </w:r>
            <w:r w:rsidRPr="000A7EC7">
              <w:t xml:space="preserve">, die </w:t>
            </w:r>
            <w:r w:rsidRPr="000A7EC7">
              <w:rPr>
                <w:b/>
                <w:i/>
              </w:rPr>
              <w:t>den EU-Haushalt belasten könnten</w:t>
            </w:r>
            <w:r w:rsidRPr="000A7EC7">
              <w:t>; fordert den HR/VP auf, rasch Vorschläge für die künftige operative Struktur des auswärtigen Handelns der EU vorzulegen;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909</w:t>
      </w:r>
      <w:r w:rsidRPr="000A7EC7">
        <w:rPr>
          <w:rStyle w:val="HideTWBExt"/>
        </w:rPr>
        <w:t>&lt;/NumAm&gt;</w:t>
      </w:r>
    </w:p>
    <w:p w:rsidR="000A7EC7" w:rsidRPr="000A7EC7" w:rsidRDefault="000A7EC7" w:rsidP="000A7EC7">
      <w:pPr>
        <w:pStyle w:val="NormalBold"/>
      </w:pPr>
      <w:r w:rsidRPr="000A7EC7">
        <w:rPr>
          <w:rStyle w:val="HideTWBExt"/>
          <w:b w:val="0"/>
        </w:rPr>
        <w:lastRenderedPageBreak/>
        <w:t>&lt;RepeatBlock-By&gt;&lt;Members&gt;</w:t>
      </w:r>
      <w:r w:rsidRPr="000A7EC7">
        <w:t>Jordan Bardella, Pierre-Romain Thionnet, Matthieu Valet,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38.</w:t>
            </w:r>
            <w:r w:rsidRPr="000A7EC7">
              <w:tab/>
              <w:t xml:space="preserve">fordert, dass der EAD – sowohl seine Zentrale als auch die EU-Delegationen – </w:t>
            </w:r>
            <w:r w:rsidRPr="000A7EC7">
              <w:rPr>
                <w:b/>
                <w:i/>
              </w:rPr>
              <w:t xml:space="preserve">durch die Bereitstellung angemessener finanzieller und personeller Ressourcen </w:t>
            </w:r>
            <w:r w:rsidRPr="000A7EC7">
              <w:t>gestärkt wird, damit die EU besser auf aktuelle und sich abzeichnende globale Herausforderungen vorbereitet ist; fordert den HR/VP auf, rasch Vorschläge für die künftige operative Struktur des auswärtigen Handelns der EU vorzulegen;</w:t>
            </w:r>
          </w:p>
        </w:tc>
        <w:tc>
          <w:tcPr>
            <w:tcW w:w="4876" w:type="dxa"/>
            <w:tcBorders>
              <w:top w:val="nil"/>
              <w:left w:val="nil"/>
              <w:bottom w:val="nil"/>
              <w:right w:val="nil"/>
            </w:tcBorders>
          </w:tcPr>
          <w:p w:rsidR="000A7EC7" w:rsidRPr="000A7EC7" w:rsidRDefault="000A7EC7" w:rsidP="00592F5E">
            <w:pPr>
              <w:pStyle w:val="Normal6a"/>
            </w:pPr>
            <w:r w:rsidRPr="000A7EC7">
              <w:t>38.</w:t>
            </w:r>
            <w:r w:rsidRPr="000A7EC7">
              <w:tab/>
              <w:t>fordert, dass der EAD – sowohl seine Zentrale als auch die EU-Delegationen – gestärkt wird, damit die EU besser auf aktuelle und sich abzeichnende globale Herausforderungen vorbereitet ist; fordert den HR/VP auf, rasch Vorschläge für die künftige operative Struktur des auswärtigen Handelns der EU vorzulegen;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38a.</w:t>
            </w:r>
            <w:r w:rsidRPr="000A7EC7">
              <w:rPr>
                <w:b/>
                <w:i/>
              </w:rPr>
              <w:tab/>
              <w:t xml:space="preserve">fordert den HR/VP auf, ein überzeugendes, dauerhaftes und zielgerichtetes demokratisches Narrativ zu fördern, das zeigt, dass die Demokratie dem Einzelnen und der Gesellschaft in aller Welt nützt und in der Lage ist, autokratischem Druck und Einfluss zu widerstehen; bedauert, dass die Volksrepublik China, Russland, Iran und andere totalitäre oder autoritäre Regime Informationsmanipulation und böswillige Einmischung als integrale Instrumente nutzen, um Druck auf multilaterale Institutionen und demokratische Werte und Normen auszuüben, die Kontrolle des Machtmissbrauchs auszuhöhlen, die Häufigkeit und Schwere von </w:t>
            </w:r>
            <w:r w:rsidRPr="000A7EC7">
              <w:rPr>
                <w:b/>
                <w:i/>
              </w:rPr>
              <w:lastRenderedPageBreak/>
              <w:t>Menschenrechtsverletzungen zu erhöhen, den Raum für die Zivilgesellschaft, unabhängige Medien und demokratische Oppositionsbewegungen einzuschränken und antiwestliche Desinformation zu verbreiten;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Andrey Kovatchev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38a.</w:t>
            </w:r>
            <w:r w:rsidRPr="000A7EC7">
              <w:rPr>
                <w:b/>
                <w:i/>
              </w:rPr>
              <w:tab/>
              <w:t>fordert die Kommission und den EAD nachdrücklich auf, ihre Bemühungen zu verstärken, wenn es darum geht, gegen die Informationsmanipulation und Einflussnahme aus dem Ausland vorzugehen; unterstützt die zugesagte Einrichtung eines Europäischen  Schutzschilds für die Demokratie, das auf die Aufdeckung, Verfolgung und Löschung betrügerischer Online-Inhalte abzielt, wodurch die Fähigkeit der EU gestärkt wird, gegen Informationsmanipulation und Einflussnahme aus dem Ausland vorzugehen, und wodurch der Schutz für die Demokratien in Drittstaaten, insbesondere in der Nachbarschaft der EU, besser unterstützt werden kann; fordert den EAD und die EU-Delegationen in Drittstaaten auf, ihre jeweiligen Kapazitäten zur Bekämpfung und Bekämpfung von Desinformation und Propaganda im Zusammenhang mit der GASP der EU zu verstärken;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912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38a.</w:t>
            </w:r>
            <w:r w:rsidRPr="000A7EC7">
              <w:rPr>
                <w:b/>
                <w:i/>
              </w:rPr>
              <w:tab/>
              <w:t>betont, dass festzulegen ist, wie Absolventen der Europäischen Diplomatenakademie Zugang zum EAD bekommen können, und dass ihnen die Möglichkeit zu eröffnen ist, eine Festanstellung im EAD zu erhalten; fordert, dass diese Akademie Europäerinnen und Europäer, die eine Hochschulausbildung abgeschlossen haben und keine Diplomaten der Mitgliedstaaten sind, in ihr Verfahren mit Blick auf Auswahl, Einstellung und Ausbildung einzubeziehen; betont, dass unbedingt dafür zu sorgen ist, dass der Akademie ausreichende Ressourcen, einschließlich Personal, zugewiesen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Urmas Paet,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38a.</w:t>
            </w:r>
            <w:r w:rsidRPr="000A7EC7">
              <w:rPr>
                <w:b/>
                <w:i/>
              </w:rPr>
              <w:tab/>
              <w:t xml:space="preserve">weist darauf hin, dass alle Tätigkeiten der Union in ihren östlichen und südlichen Nachbarländern, insbesondere in der Ukraine und der Republik Moldau, angemessen kommuniziert werden sollten, um die Maßnahmen der EU sichtbar zu machen und zu verhindern, dass ausländische Akteure eine böswillige Rhetorik </w:t>
            </w:r>
            <w:r w:rsidRPr="000A7EC7">
              <w:rPr>
                <w:b/>
                <w:i/>
              </w:rPr>
              <w:lastRenderedPageBreak/>
              <w:t>verbreiten, die ein unbegründetes EU-feindliches Narrativ vermittelt;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Jordan Bardella, Pierre-Romain Thionnet, Matthieu Valet</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38a.</w:t>
            </w:r>
            <w:r w:rsidRPr="000A7EC7">
              <w:rPr>
                <w:b/>
                <w:i/>
              </w:rPr>
              <w:tab/>
              <w:t>bedauert den übermäßigen Gebrauch der englischen Sprache des EAD in seinen Mitteilungen; fordert, dass in den Mitteilungen des EAD die französische Sprache in demselben Umfang verwendet wird wie die englische Sprache;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38b.</w:t>
            </w:r>
            <w:r w:rsidRPr="000A7EC7">
              <w:rPr>
                <w:b/>
                <w:i/>
              </w:rPr>
              <w:tab/>
              <w:t xml:space="preserve">bekräftigt, dass die EU und ihre Mitgliedstaaten die Unterstützung der Demokratie stärker in die Programmplanung der EU-Finanzinstrumente einbeziehen müssen, und betont in diesem Zusammenhang, dass die zuständigen EU-Delegationen mit geeigneten Mitteln ausgestattet werden müssen, um die Aktivitäten im Bereich der öffentlichen Diplomatie zu stärken und ihre strategischen Kommunikationsfähigkeiten auszubauen, um gegen Desinformation und </w:t>
            </w:r>
            <w:r w:rsidRPr="000A7EC7">
              <w:rPr>
                <w:b/>
                <w:i/>
              </w:rPr>
              <w:lastRenderedPageBreak/>
              <w:t>Propaganda vorzugehen;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38b.</w:t>
            </w:r>
            <w:r w:rsidRPr="000A7EC7">
              <w:rPr>
                <w:b/>
                <w:i/>
              </w:rPr>
              <w:tab/>
              <w:t>wiederholt seine Forderung, sich für ein System einzusetzen, mit dem automatisch und fortlaufend nachrichtendienstlicher Erkenntnisse aus den Mitgliedstaaten an den EAD übermittelt werden, die außen- und sicherheitspolitische Fragen außerhalb der Union betreffen; fordert, die Sicherheitsprotokolle der Dienststellen, die mit nachrichtendienstlichen Erkenntnissen und/oder vertraulichen Informationen arbeiten, zu verbessern;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38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38c.</w:t>
            </w:r>
            <w:r w:rsidRPr="000A7EC7">
              <w:rPr>
                <w:b/>
                <w:i/>
              </w:rPr>
              <w:tab/>
              <w:t xml:space="preserve">begrüßt die Durchführung des Pilotprojekts mit dem Titel „Auf dem Weg zur Schaffung einer Europäischen Diplomatenakademie“; fordert die Einrichtung einer ständigen Struktur, die mit den erforderlichen Ressourcen unterstützt wird; fordert dazu auf, die Möglichkeit zu prüfen, ob die Absolventen dieser Akademie in den EAD eintreten </w:t>
            </w:r>
            <w:r w:rsidRPr="000A7EC7">
              <w:rPr>
                <w:b/>
                <w:i/>
              </w:rPr>
              <w:lastRenderedPageBreak/>
              <w:t>können, und eine entsprechende Entscheidung dafür zu treffen, da auf diesem Wege zur umfassenden Entwicklung einer eigenständigen EU-Diplomatie beigetragen werden können, die von einer gemeinsamen diplomatischen Kultur mit einer EU-Perspektive geprägt ist; fordert die Kommission erneut auf, für junge Diplomaten aus EU-Bewerberländern ein ständiges aufenthaltsgebundenes Schulungsprogramm zum auswärtigen Handeln der EU und zur GASP einzurichten;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39.</w:t>
            </w:r>
            <w:r w:rsidRPr="000A7EC7">
              <w:tab/>
            </w:r>
            <w:r w:rsidRPr="000A7EC7">
              <w:rPr>
                <w:b/>
                <w:i/>
              </w:rPr>
              <w:t>fordert die Kommission auf, wirksam und rasch dafür zu sorgen, dass 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919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39.</w:t>
            </w:r>
            <w:r w:rsidRPr="000A7EC7">
              <w:tab/>
            </w:r>
            <w:r w:rsidRPr="000A7EC7">
              <w:rPr>
                <w:b/>
                <w:i/>
              </w:rPr>
              <w:t xml:space="preserve">fordert die Kommission auf, wirksam und rasch dafür zu sorgen, dass </w:t>
            </w:r>
            <w:r w:rsidRPr="000A7EC7">
              <w:rPr>
                <w:b/>
                <w:i/>
              </w:rPr>
              <w:lastRenderedPageBreak/>
              <w:t>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fordert die Kommission auf, wirksam und rasch dafür zu sorgen, dass 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„Neue Seidenstraße“ und als Instrument zur Stärkung der Präsenz und Sichtbarkeit der EU weltweit genutzt wird. </w:t>
            </w:r>
            <w:r w:rsidRPr="000A7EC7">
              <w:rPr>
                <w:b/>
                <w:i/>
              </w:rPr>
              <w:t>ist besorgt über Berichte, wonach eine Reihe von Global-Gateway-Projekten von chinesischen Unternehmen durchgeführt werden, womit direkt gegen die Ziele der Initiative verstoßen wird, bei denen unter anderem darum geht, die wirtschaftlichen Sicherheit der EU zu erhöhen und die Wirtschaftsentwicklung von Drittstaaten sowie Partnerschaften mit ihnen zu fördern, die für beide Seiten vorteilhaft sind; fordert daher eine unverzügliche Untersuchung und den Ausschluss aller chinesischen Unternehmen, die an Global Gateway beteiligt sind;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fordert die Kommission auf, wirksam und rasch dafür zu sorgen, dass 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„Neue Seidenstraße“ und als Instrument zur Stärkung der Präsenz und Sichtbarkeit der EU weltweit genutzt wird. </w:t>
            </w:r>
            <w:r w:rsidRPr="000A7EC7">
              <w:rPr>
                <w:b/>
                <w:i/>
              </w:rPr>
              <w:t>erinnert daran, dass Global Gateway als strategisches Konzept zu verstehen ist, in dem Außen-, Wirtschafts- und Entwicklungspolitik miteinander verflochten werden; betont in diesem Zusammenhang, dass die Koordinierung mit internationalen Finanzinstitutionen, eine klar definierte Beteiligung des Privatsektors und eine maßgeschneiderte strategische Kommunikation von wesentlicher Bedeutung sind, damit das Instrument die gewünschte Größenordnung erreichen kann;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Robert Biedroń, Sven Mikser,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fordert die Kommission auf, wirksam und rasch dafür zu sorgen, dass 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fordert die Kommission auf, wirksam und rasch dafür zu sorgen, dass das Global Gateway als nachhaltige Alternative zur chinesischen Initiative „Neue Seidenstraße“ und als Instrument zur Stärkung der Präsenz und Sichtbarkeit der EU weltweit genutzt wird</w:t>
            </w:r>
            <w:r w:rsidRPr="000A7EC7">
              <w:rPr>
                <w:b/>
                <w:i/>
              </w:rPr>
              <w:t>, unbeschadet des vorrangigen Ziels der Entwicklungspolitik der EU, d</w:t>
            </w:r>
            <w:r w:rsidRPr="000A7EC7">
              <w:t>.</w:t>
            </w:r>
            <w:r w:rsidRPr="000A7EC7">
              <w:rPr>
                <w:b/>
                <w:i/>
              </w:rPr>
              <w:t xml:space="preserve"> h. der Beseitigung der Armut, wie in Artikel 208 AEUV verankert, wobei sicherzustellen ist, dass alle Mittel aus dem NDICI/Europa in der Welt gemäß den in </w:t>
            </w:r>
            <w:r w:rsidRPr="000A7EC7">
              <w:rPr>
                <w:b/>
                <w:i/>
              </w:rPr>
              <w:lastRenderedPageBreak/>
              <w:t>der entsprechenden Verordnung festgelegten Regeln und mit dem Bestreben verwendet werden, die Verwirklichung der Ziele für nachhaltige Entwicklung zu fördern;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fordert die Kommission auf, wirksam und rasch dafür zu sorgen, dass das Global Gateway als nachhaltige Alternative zur chinesischen Initiative „Neue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„Neue Seidenstraße“ und als Instrument zur Stärkung der Präsenz und Sichtbarkeit der EU weltweit genutzt wird. </w:t>
            </w:r>
            <w:r w:rsidRPr="000A7EC7">
              <w:rPr>
                <w:b/>
                <w:i/>
              </w:rPr>
              <w:t>betont, dass die EU andere Alternativen wie die Partnerschaft für globale Infrastruktur und Investitionen, den Wirtschaftskorridor Indien-Naher Osten-Europa oder den Lobito-Korridor unterstützen muss;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w:t>
            </w:r>
            <w:r w:rsidRPr="000A7EC7">
              <w:lastRenderedPageBreak/>
              <w:t>„Neue Seidenstraße“ und als Instrument zur Stärkung der 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lastRenderedPageBreak/>
              <w:t>39.</w:t>
            </w:r>
            <w:r w:rsidRPr="000A7EC7">
              <w:tab/>
              <w:t xml:space="preserve">fordert die Kommission auf, wirksam und rasch dafür zu sorgen, dass das Global Gateway als nachhaltige Alternative zur chinesischen Initiative </w:t>
            </w:r>
            <w:r w:rsidRPr="000A7EC7">
              <w:lastRenderedPageBreak/>
              <w:t xml:space="preserve">„Neue Seidenstraße“ und als Instrument zur Stärkung der Präsenz und Sichtbarkeit der EU weltweit genutzt wird. </w:t>
            </w:r>
            <w:r w:rsidRPr="000A7EC7">
              <w:rPr>
                <w:b/>
                <w:i/>
              </w:rPr>
              <w:t>stellt fest, dass sich die europäischen Investitionen und Hilfen auf gemeinsame Ziele konzentrieren und auf der am besten geeigneten Handlungsebene stattfinden sollten, wobei sie in den Empfängerländern deutlich sichtbar sein sollten;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Mariusz Kamiński, Adam Bielan, Michał Dworczyk</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{ECR}</w:t>
      </w:r>
      <w:r w:rsidRPr="000A7EC7">
        <w:t>im Namen der ECR-Fraktion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„Neue Seidenstraße“ und als Instrument </w:t>
            </w:r>
            <w:r w:rsidRPr="000A7EC7">
              <w:rPr>
                <w:b/>
                <w:i/>
              </w:rPr>
              <w:t>zur Stärkung der</w:t>
            </w:r>
            <w:r w:rsidRPr="000A7EC7">
              <w:t xml:space="preserve"> Präsenz und Sichtbarkeit der EU </w:t>
            </w:r>
            <w:r w:rsidRPr="000A7EC7">
              <w:rPr>
                <w:b/>
                <w:i/>
              </w:rPr>
              <w:t>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dass das Global Gateway als nachhaltige Alternative zur chinesischen Initiative „Neue Seidenstraße“ und als Instrument </w:t>
            </w:r>
            <w:r w:rsidRPr="000A7EC7">
              <w:rPr>
                <w:b/>
                <w:i/>
              </w:rPr>
              <w:t>genutzt wird, um Entwicklungsländer zu unterstützen, ihre Beziehungen zu Europa zu stärken und die globale</w:t>
            </w:r>
            <w:r w:rsidRPr="000A7EC7">
              <w:t xml:space="preserve"> Präsenz und Sichtbarkeit der EU </w:t>
            </w:r>
            <w:r w:rsidRPr="000A7EC7">
              <w:rPr>
                <w:b/>
                <w:i/>
              </w:rPr>
              <w:t>zu erhöhen, was sowohl den Interessen der EU als auch umfassenderen internationalen Zielen dient;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Rihards Kols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t>
            </w:r>
            <w:r w:rsidRPr="000A7EC7">
              <w:rPr>
                <w:b/>
                <w:i/>
              </w:rPr>
              <w:t>wirksam und rasch dafür zu sorgen, dass das</w:t>
            </w:r>
            <w:r w:rsidRPr="000A7EC7">
              <w:t xml:space="preserve"> Global Gateway als nachhaltige Alternative zur chinesischen Initiative „Neue Seidenstraße“ und </w:t>
            </w:r>
            <w:r w:rsidRPr="000A7EC7">
              <w:rPr>
                <w:b/>
                <w:i/>
              </w:rPr>
              <w:t>als Instrument zur Stärkung der Präsenz</w:t>
            </w:r>
            <w:r w:rsidRPr="000A7EC7">
              <w:t xml:space="preserve"> und Sichtbarkeit </w:t>
            </w:r>
            <w:r w:rsidRPr="000A7EC7">
              <w:rPr>
                <w:b/>
                <w:i/>
              </w:rPr>
              <w:t>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t>
            </w:r>
            <w:r w:rsidRPr="000A7EC7">
              <w:rPr>
                <w:b/>
                <w:i/>
              </w:rPr>
              <w:t>die Einführung des</w:t>
            </w:r>
            <w:r w:rsidRPr="000A7EC7">
              <w:t xml:space="preserve"> Global Gateway als nachhaltige Alternative zur chinesischen Initiative „Neue Seidenstraße“ </w:t>
            </w:r>
            <w:r w:rsidRPr="000A7EC7">
              <w:rPr>
                <w:b/>
                <w:i/>
              </w:rPr>
              <w:t xml:space="preserve">vorrangig voranzutreiben </w:t>
            </w:r>
            <w:r w:rsidRPr="000A7EC7">
              <w:t xml:space="preserve">und </w:t>
            </w:r>
            <w:r w:rsidRPr="000A7EC7">
              <w:rPr>
                <w:b/>
                <w:i/>
              </w:rPr>
              <w:t>so die Präsenz der EU, Infrastrukturinvestitionen</w:t>
            </w:r>
            <w:r w:rsidRPr="000A7EC7">
              <w:t xml:space="preserve"> und</w:t>
            </w:r>
            <w:r w:rsidRPr="000A7EC7">
              <w:rPr>
                <w:b/>
                <w:i/>
              </w:rPr>
              <w:t xml:space="preserve"> die</w:t>
            </w:r>
            <w:r w:rsidRPr="000A7EC7">
              <w:t xml:space="preserve"> Sichtbarkeit </w:t>
            </w:r>
            <w:r w:rsidRPr="000A7EC7">
              <w:rPr>
                <w:b/>
                <w:i/>
              </w:rPr>
              <w:t>in strategischen Regionen, insbesondere in Zentralasien, Afrika und Lateinamerika, zu stärken;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wirksam und rasch dafür zu sorgen, </w:t>
            </w:r>
            <w:r w:rsidRPr="000A7EC7">
              <w:rPr>
                <w:b/>
                <w:i/>
              </w:rPr>
              <w:t>dass das Global Gateway als nachhaltige Alternative</w:t>
            </w:r>
            <w:r w:rsidRPr="000A7EC7">
              <w:t xml:space="preserve"> zur </w:t>
            </w:r>
            <w:r w:rsidRPr="000A7EC7">
              <w:rPr>
                <w:b/>
                <w:i/>
              </w:rPr>
              <w:t>chinesischen Initiative „Neue Seidenstraße“ und als Instrument zur Stärkung</w:t>
            </w:r>
            <w:r w:rsidRPr="000A7EC7">
              <w:t xml:space="preserve"> der </w:t>
            </w:r>
            <w:r w:rsidRPr="000A7EC7">
              <w:rPr>
                <w:b/>
                <w:i/>
              </w:rPr>
              <w:t>Präsenz und Sichtbarkeit der EU weltweit genutzt wird.</w:t>
            </w:r>
          </w:p>
        </w:tc>
        <w:tc>
          <w:tcPr>
            <w:tcW w:w="4876" w:type="dxa"/>
            <w:tcBorders>
              <w:top w:val="nil"/>
              <w:left w:val="nil"/>
              <w:bottom w:val="nil"/>
              <w:right w:val="nil"/>
            </w:tcBorders>
          </w:tcPr>
          <w:p w:rsidR="000A7EC7" w:rsidRPr="000A7EC7" w:rsidRDefault="000A7EC7" w:rsidP="00592F5E">
            <w:pPr>
              <w:pStyle w:val="Normal6a"/>
            </w:pPr>
            <w:r w:rsidRPr="000A7EC7">
              <w:t>39.</w:t>
            </w:r>
            <w:r w:rsidRPr="000A7EC7">
              <w:tab/>
              <w:t xml:space="preserve">fordert die Kommission auf, </w:t>
            </w:r>
            <w:r w:rsidRPr="000A7EC7">
              <w:rPr>
                <w:b/>
                <w:i/>
              </w:rPr>
              <w:t xml:space="preserve">das Global Gateway </w:t>
            </w:r>
            <w:r w:rsidRPr="000A7EC7">
              <w:t xml:space="preserve">wirksam und rasch dafür zu sorgen, </w:t>
            </w:r>
            <w:r w:rsidRPr="000A7EC7">
              <w:rPr>
                <w:b/>
                <w:i/>
              </w:rPr>
              <w:t>um</w:t>
            </w:r>
            <w:r w:rsidRPr="000A7EC7">
              <w:t xml:space="preserve"> zur </w:t>
            </w:r>
            <w:r w:rsidRPr="000A7EC7">
              <w:rPr>
                <w:b/>
                <w:i/>
              </w:rPr>
              <w:t>souveränen Entwicklung</w:t>
            </w:r>
            <w:r w:rsidRPr="000A7EC7">
              <w:t xml:space="preserve"> der </w:t>
            </w:r>
            <w:r w:rsidRPr="000A7EC7">
              <w:rPr>
                <w:b/>
                <w:i/>
              </w:rPr>
              <w:t>Länder des Globalen Südens beizutragen;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39a.</w:t>
            </w:r>
            <w:r w:rsidRPr="000A7EC7">
              <w:rPr>
                <w:b/>
                <w:i/>
              </w:rPr>
              <w:tab/>
              <w:t xml:space="preserve">weist warnend darauf hin, dass die Verschlechterung des Sicherheitsumfelds in Europa und weltweit dringend Überlegungen dazu erfordert, wie die </w:t>
            </w:r>
            <w:r w:rsidRPr="000A7EC7">
              <w:rPr>
                <w:b/>
                <w:i/>
              </w:rPr>
              <w:lastRenderedPageBreak/>
              <w:t>Abhängigkeit der EU von Gegnern wie China verringert werden kann; betont, dass verhindert werden muss, dass sensible neu aufkommende Technologien und wichtige Güter mit doppeltem Verwendungszweck, insbesondere solche, die für die Sicherheit und Verteidigung der EU von entscheidender Bedeutung sind, in problematische Länder gelangen, die Strategien der militärisch-zivilen Fusion verfolgen oder an einer diesbezüglichen Zusammenarbeit beteiligt sind; fordert die Organe der EU und die Mitgliedstaaten ferner auf, die Zusammenarbeit mit den transatlantischen und anderen gleichgesinnten Partnern beim Schutz sowohl kritischer Technologien als auch kritischer Infrastrukturen zu stärken;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929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Carlo Fidanza, Alberico Gambino, 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39a.</w:t>
            </w:r>
            <w:r w:rsidRPr="000A7EC7">
              <w:rPr>
                <w:b/>
                <w:i/>
              </w:rPr>
              <w:tab/>
              <w:t xml:space="preserve">fordert die Kommission auf, maßgeschneiderte Partnerschaften mit den wichtigsten Herkunfts- und Transitdrittländern aufzubauen und dabei alle der EU zur Verfügung stehenden politischen Strategien und Instrumente mit Blick auf konkrete Ergebnisse zu nutzen, mit denen wirtschaftliche Anreize für das Potenzial in den Herkunftsländern geschaffen und gefördert werden und mit denen die Entwicklung der Drittländer unterstützt wird, um gegen die eigentlichen Ursachen der irregulären Migration vorzugehen; stellt fest, dass die Beiträge der Mitgliedstaaten zu diesen Partnerschaften </w:t>
            </w:r>
            <w:r w:rsidRPr="000A7EC7">
              <w:rPr>
                <w:b/>
                <w:i/>
              </w:rPr>
              <w:lastRenderedPageBreak/>
              <w:t>– diplomatischer, technischer und finanzieller Art – für die Erzielung von Ergebnissen von grundlegender Bedeutung sein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39a.</w:t>
            </w:r>
            <w:r w:rsidRPr="000A7EC7">
              <w:rPr>
                <w:b/>
                <w:i/>
              </w:rPr>
              <w:tab/>
              <w:t>fordert, dass die Funktionsweise, das Format der Repräsentation und die Rechenschaftspflicht im Zusammenhang mit dem Konzept „Team Europa“ präzisiert werden, um eine wirksame Zuweisung der Ressourcen sicherzustellen und Dopplungen in der Außen- und Sicherheitspolitik der EU zu verhindern; besteht darauf, dass das Parlament Teil von „Team Europa“ ist und als solcher behandelt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39b.</w:t>
            </w:r>
            <w:r w:rsidRPr="000A7EC7">
              <w:rPr>
                <w:b/>
                <w:i/>
              </w:rPr>
              <w:tab/>
              <w:t xml:space="preserve">betont, dass es wichtig ist, kritische Technologien und kritische Infrastrukturen als Grundpfeiler der europäischen Sicherheit zu schützen; wiederholt seine Aufforderung an die Kommission, dem Parlament eine detaillierte Analyse der Risiken im Zusammenhang mit Technologien wie </w:t>
            </w:r>
            <w:r w:rsidRPr="000A7EC7">
              <w:rPr>
                <w:b/>
                <w:i/>
              </w:rPr>
              <w:lastRenderedPageBreak/>
              <w:t>Halbleitern, Quantencomputern, Blockchain, Weltraum, künstlicher Intelligenz und Biotechnologien (einschließlich Genomforschung), die von unseren Gegnern missbräuchlich eingesetzt werden, sowie die vorgeschlagene Liste der EU-Maßnahmen in diesen Bereichen im Einklang mit der EU-Strategie für wirtschaftliche Sicherheit vorzulegen;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Miriam Lexmann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39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39c.</w:t>
            </w:r>
            <w:r w:rsidRPr="000A7EC7">
              <w:rPr>
                <w:b/>
                <w:i/>
              </w:rPr>
              <w:tab/>
              <w:t>begrüßt die Strategie der EU für wirtschaftliche Sicherheit, in der die Verknüpfung zwischen innerer und äußerer Sicherheit und Technologie hervorgehoben wird und die mit der GASP verknüpft werden muss; ist besorgt über die Rolle chinesischer Militärunternehmen wie der BGI, was die Erhebung genetischer Daten europäischer Bürgerinnen und Bürger anbelangt; stellt fest, dass solche Daten unter dem Deckmantel von Forschung und Entwicklung von den Gegnern der EU missbräuchlich eingesetzt werden könnten; fordert die EU und ihre Mitgliedstaaten auf, Anbieter mit hohem Risiko wie BGI von ihrer kritischen Infrastruktur, einschließlich der Gesundheits- und Genomforschungsbranche, sowie von Forschungsprogrammen auszuschließen;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933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40.</w:t>
            </w:r>
            <w:r w:rsidRPr="000A7EC7">
              <w:tab/>
            </w:r>
            <w:r w:rsidRPr="000A7EC7">
              <w:rPr>
                <w:b/>
                <w:i/>
              </w:rPr>
              <w:t>weist erneut darauf hin, dass das Parlament in der GASP eine wesentliche Rolle spielt und mittels parlamentarischer Diplomatie, seiner eigenen Instrumente, Kanäle und Kontakte einen spezifischen Beitrag dazu leistet;</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40.</w:t>
            </w:r>
            <w:r w:rsidRPr="000A7EC7">
              <w:tab/>
              <w:t>weist erneut darauf hin, dass das Parlament in der GASP eine wesentliche Rolle spielt und mittels parlamentarischer Diplomatie, seiner eigenen Instrumente, Kanäle und Kontakte einen spezifischen Beitrag dazu leistet;</w:t>
            </w:r>
          </w:p>
        </w:tc>
        <w:tc>
          <w:tcPr>
            <w:tcW w:w="4876" w:type="dxa"/>
            <w:tcBorders>
              <w:top w:val="nil"/>
              <w:left w:val="nil"/>
              <w:bottom w:val="nil"/>
              <w:right w:val="nil"/>
            </w:tcBorders>
          </w:tcPr>
          <w:p w:rsidR="000A7EC7" w:rsidRPr="000A7EC7" w:rsidRDefault="000A7EC7" w:rsidP="00592F5E">
            <w:pPr>
              <w:pStyle w:val="Normal6a"/>
            </w:pPr>
            <w:r w:rsidRPr="000A7EC7">
              <w:t>40.</w:t>
            </w:r>
            <w:r w:rsidRPr="000A7EC7">
              <w:tab/>
              <w:t xml:space="preserve">weist erneut darauf hin, dass das Parlament in der GASP eine wesentliche Rolle spielt und mittels parlamentarischer Diplomatie, seiner eigenen Instrumente, Kanäle und Kontakte einen spezifischen Beitrag dazu leistet, </w:t>
            </w:r>
            <w:r w:rsidRPr="000A7EC7">
              <w:rPr>
                <w:b/>
                <w:i/>
              </w:rPr>
              <w:t xml:space="preserve">was auch seine Programme zur Demokratieförderung, den Ausschuss für auswärtige Angelegenheiten, regelmäßiger parlamentarischer Dialoge oder offizielle Delegationen einschließt; betont, dass die parlamentarische Diplomatie ein großes Potenzial hat, wichtige politische Interessenträger einzubinden und die demokratische Regierungsführung zu erleichtern; betont insbesondere den Mehrwert der parlamentarischen Diplomatie während des Angriffskriegs Russlands gegen die Ukraine und hebt in diesem Zusammenhang die wertvolle Zusammenarbeit zwischen der ukrainischen Werchowna Rada und dem </w:t>
            </w:r>
            <w:r w:rsidRPr="000A7EC7">
              <w:rPr>
                <w:b/>
                <w:i/>
              </w:rPr>
              <w:lastRenderedPageBreak/>
              <w:t>Europäischen Parlament auf politischer und technischer Ebene hervor;</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Sebastiaan Stöteler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40.</w:t>
            </w:r>
            <w:r w:rsidRPr="000A7EC7">
              <w:tab/>
              <w:t xml:space="preserve">weist erneut darauf hin, dass das Parlament in der GASP eine </w:t>
            </w:r>
            <w:r w:rsidRPr="000A7EC7">
              <w:rPr>
                <w:b/>
                <w:i/>
              </w:rPr>
              <w:t>wesentliche Rolle spielt</w:t>
            </w:r>
            <w:r w:rsidRPr="000A7EC7">
              <w:t xml:space="preserve"> und mittels parlamentarischer Diplomatie, seiner eigenen Instrumente, Kanäle und Kontakte einen spezifischen Beitrag dazu leistet;</w:t>
            </w:r>
          </w:p>
        </w:tc>
        <w:tc>
          <w:tcPr>
            <w:tcW w:w="4876" w:type="dxa"/>
            <w:tcBorders>
              <w:top w:val="nil"/>
              <w:left w:val="nil"/>
              <w:bottom w:val="nil"/>
              <w:right w:val="nil"/>
            </w:tcBorders>
          </w:tcPr>
          <w:p w:rsidR="000A7EC7" w:rsidRPr="000A7EC7" w:rsidRDefault="000A7EC7" w:rsidP="00592F5E">
            <w:pPr>
              <w:pStyle w:val="Normal6a"/>
            </w:pPr>
            <w:r w:rsidRPr="000A7EC7">
              <w:t>40.</w:t>
            </w:r>
            <w:r w:rsidRPr="000A7EC7">
              <w:tab/>
              <w:t xml:space="preserve">weist erneut darauf hin, dass das Parlament in der GASP eine </w:t>
            </w:r>
            <w:r w:rsidRPr="000A7EC7">
              <w:rPr>
                <w:b/>
                <w:i/>
              </w:rPr>
              <w:t>beratende Funktion hat</w:t>
            </w:r>
            <w:r w:rsidRPr="000A7EC7">
              <w:t xml:space="preserve"> und mittels parlamentarischer Diplomatie, seiner eigenen Instrumente, Kanäle und Kontakte einen spezifischen Beitrag dazu leistet;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40.</w:t>
            </w:r>
            <w:r w:rsidRPr="000A7EC7">
              <w:tab/>
              <w:t xml:space="preserve">weist erneut darauf hin, dass das Parlament </w:t>
            </w:r>
            <w:r w:rsidRPr="000A7EC7">
              <w:rPr>
                <w:b/>
                <w:i/>
              </w:rPr>
              <w:t>in</w:t>
            </w:r>
            <w:r w:rsidRPr="000A7EC7">
              <w:t xml:space="preserve"> der </w:t>
            </w:r>
            <w:r w:rsidRPr="000A7EC7">
              <w:rPr>
                <w:b/>
                <w:i/>
              </w:rPr>
              <w:t>GASP eine wesentliche Rolle</w:t>
            </w:r>
            <w:r w:rsidRPr="000A7EC7">
              <w:t xml:space="preserve"> spielt</w:t>
            </w:r>
            <w:r w:rsidRPr="000A7EC7">
              <w:rPr>
                <w:b/>
                <w:i/>
              </w:rPr>
              <w:t xml:space="preserve"> und mittels parlamentarischer Diplomatie, seiner eigenen Instrumente</w:t>
            </w:r>
            <w:r w:rsidRPr="000A7EC7">
              <w:t xml:space="preserve">, </w:t>
            </w:r>
            <w:r w:rsidRPr="000A7EC7">
              <w:rPr>
                <w:b/>
                <w:i/>
              </w:rPr>
              <w:t>Kanäle und Kontakte einen spezifischen Beitrag dazu leistet</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40.</w:t>
            </w:r>
            <w:r w:rsidRPr="000A7EC7">
              <w:tab/>
              <w:t xml:space="preserve">weist erneut darauf hin, dass das Parlament </w:t>
            </w:r>
            <w:r w:rsidRPr="000A7EC7">
              <w:rPr>
                <w:b/>
                <w:i/>
              </w:rPr>
              <w:t>eine wesentliche Rolle bei</w:t>
            </w:r>
            <w:r w:rsidRPr="000A7EC7">
              <w:t xml:space="preserve"> der </w:t>
            </w:r>
            <w:r w:rsidRPr="000A7EC7">
              <w:rPr>
                <w:b/>
                <w:i/>
              </w:rPr>
              <w:t>Aufsicht über die Organe der EU</w:t>
            </w:r>
            <w:r w:rsidRPr="000A7EC7">
              <w:t xml:space="preserve"> spielt</w:t>
            </w:r>
            <w:r w:rsidRPr="000A7EC7">
              <w:rPr>
                <w:b/>
                <w:i/>
              </w:rPr>
              <w:t>, einschließlich derjenigen, die instrumentelle Funktionen im Bereich der Außenbeziehungen wahrnehmen</w:t>
            </w:r>
            <w:r w:rsidRPr="000A7EC7">
              <w:t xml:space="preserve">, </w:t>
            </w:r>
            <w:r w:rsidRPr="000A7EC7">
              <w:rPr>
                <w:b/>
                <w:i/>
              </w:rPr>
              <w:t>sowie bei der eigentlichen Gestaltung des auswärtigen Handelns</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lastRenderedPageBreak/>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41.</w:t>
            </w:r>
            <w:r w:rsidRPr="000A7EC7">
              <w:tab/>
            </w:r>
            <w:r w:rsidRPr="000A7EC7">
              <w:rPr>
                <w:b/>
                <w:i/>
              </w:rPr>
              <w:t>fordert die Weiterentwicklung der präventiven Diplomatie der EU, einschließlich der Friedensvermittlung und des Dialogs, als ein proaktives außenpolitisches Instrument; fordert den EAD nachdrücklich auf, Übungen durchzuführen, wie Lehren aus gewonnenen Erkenntnissen gezogen werden können;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 xml:space="preserve">fordert die Weiterentwicklung der präventiven Diplomatie der EU, einschließlich der Friedensvermittlung und des Dialogs, als ein proaktives außenpolitisches Instrument; fordert den EAD nachdrücklich auf, </w:t>
            </w:r>
            <w:r w:rsidRPr="000A7EC7">
              <w:rPr>
                <w:b/>
                <w:i/>
              </w:rPr>
              <w:t>Übungen durchzuführen</w:t>
            </w:r>
            <w:r w:rsidRPr="000A7EC7">
              <w:t xml:space="preserve">, wie </w:t>
            </w:r>
            <w:r w:rsidRPr="000A7EC7">
              <w:rPr>
                <w:b/>
                <w:i/>
              </w:rPr>
              <w:t>Lehren aus gewonnenen Erkenntnissen gezogen</w:t>
            </w:r>
            <w:r w:rsidRPr="000A7EC7">
              <w:t xml:space="preserve"> werden können;</w:t>
            </w:r>
          </w:p>
        </w:tc>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 die Weiterentwicklung der präventiven Diplomatie der EU, einschließlich der Friedensvermittlung und des Dialogs, als ein proaktives außenpolitisches Instrument</w:t>
            </w:r>
            <w:r w:rsidRPr="000A7EC7">
              <w:rPr>
                <w:b/>
                <w:i/>
              </w:rPr>
              <w:t xml:space="preserve"> sowie die Stärkung ihrer Instrumente und die Aufstockung der diesbezüglichen Ressourcen des EAD, insbesondere der GSVP und der Einrichtung für die Krisenreaktion; fordert, die Instrumente der präventiven Diplomatie der EU in strukturelle Präventionsmechanismen und -maßnahmen einzubinden, wie z. B. politische Vereinbarungen zwischen verschiedenen Akteuren, die an Konflikten beteiligt sind, nationale Dialoge für die Versöhnung, die Friedenskonsolidierung und die Übergangsjustiz sowie Wahrheits- und Versöhnungskommissionen</w:t>
            </w:r>
            <w:r w:rsidRPr="000A7EC7">
              <w:t xml:space="preserve">; fordert den </w:t>
            </w:r>
            <w:r w:rsidRPr="000A7EC7">
              <w:lastRenderedPageBreak/>
              <w:t xml:space="preserve">EAD nachdrücklich auf, </w:t>
            </w:r>
            <w:r w:rsidRPr="000A7EC7">
              <w:rPr>
                <w:b/>
                <w:i/>
              </w:rPr>
              <w:t>Lehren aus der Vergangenheit zu ziehen</w:t>
            </w:r>
            <w:r w:rsidRPr="000A7EC7">
              <w:t xml:space="preserve">, </w:t>
            </w:r>
            <w:r w:rsidRPr="000A7EC7">
              <w:rPr>
                <w:b/>
                <w:i/>
              </w:rPr>
              <w:t>insbesondere in Bezug auf den Konflikt im Gazastreifen und im Libanon;</w:t>
            </w:r>
            <w:r w:rsidRPr="000A7EC7">
              <w:t xml:space="preserve"> </w:t>
            </w:r>
            <w:r w:rsidRPr="000A7EC7">
              <w:rPr>
                <w:b/>
                <w:i/>
              </w:rPr>
              <w:t>betont, dass Rechtsstreitigkeiten vor einem internationalen Gericht wie dem IStGH oder de ISGH als eine Methode der präventiven Diplomatie eingesetzt werden können;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939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Merja Kyllönen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 die Weiterentwicklung der präventiven Diplomatie der EU, einschließlich der Friedensvermittlung und des Dialogs, als ein proaktives außenpolitisches Instrument; fordert den EAD nachdrücklich auf, Übungen durchzuführen, wie Lehren aus gewonnenen Erkenntnissen gezogen werden können;</w:t>
            </w:r>
          </w:p>
        </w:tc>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 die Weiterentwicklung der präventiven Diplomatie der EU, einschließlich der Friedensvermittlung und des Dialogs, als ein proaktives außenpolitisches Instrument; fordert den EAD nachdrücklich auf, Übungen durchzuführen, wie Lehren aus gewonnenen Erkenntnissen gezogen werden können;</w:t>
            </w:r>
            <w:r w:rsidRPr="000A7EC7">
              <w:rPr>
                <w:b/>
                <w:i/>
              </w:rPr>
              <w:t xml:space="preserve"> unterstützt uneingeschränkt die Arbeit des EU-Sonderbeauftragten für Menschenrechte, die dazu beiträgt, die Sichtbarkeit und Kohärenz der Menschenrechtsmaßnahmen der EU in ihren Außenbeziehungen zu verbessern; bekräftigt die zentrale Rolle des Sonderbeauftragten bei der Förderung und dem Schutz der Menschenrechte und des Friedens durch die EU, in deren Rahmen er mit Drittländern und gleich- und andersgesinnten Partnern zusammenarbeitet; betont, dass der EU-Sonderbeauftragte für Menschenrechte und die anderen Sonderbeauftragten eng zusammenarbeiten müssen, um diese Kohärenz weiter zu verbessern, und </w:t>
            </w:r>
            <w:r w:rsidRPr="000A7EC7">
              <w:rPr>
                <w:b/>
                <w:i/>
              </w:rPr>
              <w:lastRenderedPageBreak/>
              <w:t>fordert, dass der Rolle des EU-Sonderbeauftragten für Menschenrechte mehr Sichtbarkeit verliehen wird; fordert, dass der EU-Sonderbeauftragte mit mehr Ressourcen ausgestattet wird, um ihn bei seiner Arbeit zu unterstützen;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 xml:space="preserve">fordert die </w:t>
            </w:r>
            <w:r w:rsidRPr="000A7EC7">
              <w:rPr>
                <w:b/>
                <w:i/>
              </w:rPr>
              <w:t>Weiterentwicklung</w:t>
            </w:r>
            <w:r w:rsidRPr="000A7EC7">
              <w:t xml:space="preserve"> der </w:t>
            </w:r>
            <w:r w:rsidRPr="000A7EC7">
              <w:rPr>
                <w:b/>
                <w:i/>
              </w:rPr>
              <w:t>präventiven Diplomatie</w:t>
            </w:r>
            <w:r w:rsidRPr="000A7EC7">
              <w:t xml:space="preserve"> der </w:t>
            </w:r>
            <w:r w:rsidRPr="000A7EC7">
              <w:rPr>
                <w:b/>
                <w:i/>
              </w:rPr>
              <w:t>EU</w:t>
            </w:r>
            <w:r w:rsidRPr="000A7EC7">
              <w:t xml:space="preserve">, </w:t>
            </w:r>
            <w:r w:rsidRPr="000A7EC7">
              <w:rPr>
                <w:b/>
                <w:i/>
              </w:rPr>
              <w:t>einschließlich</w:t>
            </w:r>
            <w:r w:rsidRPr="000A7EC7">
              <w:t xml:space="preserve"> der Friedensvermittlung und </w:t>
            </w:r>
            <w:r w:rsidRPr="000A7EC7">
              <w:rPr>
                <w:b/>
                <w:i/>
              </w:rPr>
              <w:t>des Dialogs</w:t>
            </w:r>
            <w:r w:rsidRPr="000A7EC7">
              <w:t xml:space="preserve">, </w:t>
            </w:r>
            <w:r w:rsidRPr="000A7EC7">
              <w:rPr>
                <w:b/>
                <w:i/>
              </w:rPr>
              <w:t>als ein proaktives außenpolitisches Instrument</w:t>
            </w:r>
            <w:r w:rsidRPr="000A7EC7">
              <w:t xml:space="preserve">; fordert den EAD nachdrücklich auf, </w:t>
            </w:r>
            <w:r w:rsidRPr="000A7EC7">
              <w:rPr>
                <w:b/>
                <w:i/>
              </w:rPr>
              <w:t>Übungen durchzuführen</w:t>
            </w:r>
            <w:r w:rsidRPr="000A7EC7">
              <w:t xml:space="preserve">, </w:t>
            </w:r>
            <w:r w:rsidRPr="000A7EC7">
              <w:rPr>
                <w:b/>
                <w:i/>
              </w:rPr>
              <w:t>wie Lehren aus gewonnenen Erkenntnissen gezogen</w:t>
            </w:r>
            <w:r w:rsidRPr="000A7EC7">
              <w:t xml:space="preserve"> werden </w:t>
            </w:r>
            <w:r w:rsidRPr="000A7EC7">
              <w:rPr>
                <w:b/>
                <w:i/>
              </w:rPr>
              <w:t>können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w:t>
            </w:r>
            <w:r w:rsidRPr="000A7EC7">
              <w:rPr>
                <w:b/>
                <w:i/>
              </w:rPr>
              <w:t>, dass</w:t>
            </w:r>
            <w:r w:rsidRPr="000A7EC7">
              <w:t xml:space="preserve"> die </w:t>
            </w:r>
            <w:r w:rsidRPr="000A7EC7">
              <w:rPr>
                <w:b/>
                <w:i/>
              </w:rPr>
              <w:t>präventive Diplomatie</w:t>
            </w:r>
            <w:r w:rsidRPr="000A7EC7">
              <w:t xml:space="preserve"> der </w:t>
            </w:r>
            <w:r w:rsidRPr="000A7EC7">
              <w:rPr>
                <w:b/>
                <w:i/>
              </w:rPr>
              <w:t>EU als proaktives Instrument</w:t>
            </w:r>
            <w:r w:rsidRPr="000A7EC7">
              <w:t xml:space="preserve"> der </w:t>
            </w:r>
            <w:r w:rsidRPr="000A7EC7">
              <w:rPr>
                <w:b/>
                <w:i/>
              </w:rPr>
              <w:t>Außenpolitik weiterentwickelt wird</w:t>
            </w:r>
            <w:r w:rsidRPr="000A7EC7">
              <w:t xml:space="preserve">, </w:t>
            </w:r>
            <w:r w:rsidRPr="000A7EC7">
              <w:rPr>
                <w:b/>
                <w:i/>
              </w:rPr>
              <w:t>um Konflikte zwischen Dritten zu vermeiden und sie bei</w:t>
            </w:r>
            <w:r w:rsidRPr="000A7EC7">
              <w:t xml:space="preserve"> der </w:t>
            </w:r>
            <w:r w:rsidRPr="000A7EC7">
              <w:rPr>
                <w:b/>
                <w:i/>
              </w:rPr>
              <w:t xml:space="preserve">Suche nach friedlichen Lösungen, einschließlich </w:t>
            </w:r>
            <w:r w:rsidRPr="000A7EC7">
              <w:t xml:space="preserve">Friedensvermittlung und </w:t>
            </w:r>
            <w:r w:rsidRPr="000A7EC7">
              <w:rPr>
                <w:b/>
                <w:i/>
              </w:rPr>
              <w:t>Friedensdialoge, zu unterstützen; stellt fest, dass frühere diplomatische Bemühungen zum Auftreten böswilliger dritter Akteure geführt haben</w:t>
            </w:r>
            <w:r w:rsidRPr="000A7EC7">
              <w:t xml:space="preserve">, </w:t>
            </w:r>
            <w:r w:rsidRPr="000A7EC7">
              <w:rPr>
                <w:b/>
                <w:i/>
              </w:rPr>
              <w:t>wodurch der Einfluss der EU in der Welt verringert wurde</w:t>
            </w:r>
            <w:r w:rsidRPr="000A7EC7">
              <w:t xml:space="preserve">; fordert den EAD nachdrücklich auf, </w:t>
            </w:r>
            <w:r w:rsidRPr="000A7EC7">
              <w:rPr>
                <w:b/>
                <w:i/>
              </w:rPr>
              <w:t>Lehren aus der Vergangenheit zu ziehen und frühere europäische diplomatische Bemühungen und ihre Ergebnisse sowie die Arbeit von Sonderbeauftragten und Sondergesandten zu analysieren;</w:t>
            </w:r>
            <w:r w:rsidRPr="000A7EC7">
              <w:t xml:space="preserve"> </w:t>
            </w:r>
            <w:r w:rsidRPr="000A7EC7">
              <w:rPr>
                <w:b/>
                <w:i/>
              </w:rPr>
              <w:t>fordert, dass als Teil eines überarbeiteten Konzepts der präventiven Diplomatie ein besseres Verständnis des lokalen, historischen, kulturellen und religiösen Kontexts entwickelt wird, damit die Botschaft der EU an den lokalen Kontext angepasst werden kann und die EU als zuverlässiger Partner wahrgenommen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 die Weiterentwicklung der präventiven Diplomatie der EU, einschließlich der Friedensvermittlung und des Dialogs, als ein proaktives außenpolitisches Instrument; fordert den EAD nachdrücklich auf, Übungen durchzuführen, wie Lehren aus gewonnenen Erkenntnissen gezogen werden können;</w:t>
            </w:r>
          </w:p>
        </w:tc>
        <w:tc>
          <w:tcPr>
            <w:tcW w:w="4876" w:type="dxa"/>
            <w:tcBorders>
              <w:top w:val="nil"/>
              <w:left w:val="nil"/>
              <w:bottom w:val="nil"/>
              <w:right w:val="nil"/>
            </w:tcBorders>
          </w:tcPr>
          <w:p w:rsidR="000A7EC7" w:rsidRPr="000A7EC7" w:rsidRDefault="000A7EC7" w:rsidP="00592F5E">
            <w:pPr>
              <w:pStyle w:val="Normal6a"/>
            </w:pPr>
            <w:r w:rsidRPr="000A7EC7">
              <w:t>41.</w:t>
            </w:r>
            <w:r w:rsidRPr="000A7EC7">
              <w:tab/>
              <w:t xml:space="preserve">fordert die Weiterentwicklung der präventiven Diplomatie der EU, einschließlich der Friedensvermittlung und des Dialogs, als ein proaktives außenpolitisches Instrument; fordert den EAD nachdrücklich auf, Übungen durchzuführen, wie Lehren aus gewonnenen Erkenntnissen gezogen werden können; </w:t>
            </w:r>
            <w:r w:rsidRPr="000A7EC7">
              <w:rPr>
                <w:b/>
                <w:i/>
              </w:rPr>
              <w:t>betont, dass es dringend erforderlich ist, die entsprechenden EU-Haushaltsmittel im Rahmen von NDICI/Europa in der Welt aufzustocken bzw. zu verdoppeln und die Maßnahmen der EU in den Bereichen Vermittlung, Dialog und Versöhnung deutlich auszuweiten, um der großen Nachfrage nach solchen Maßnahmen und Konzepten in verschiedenen Regionen und Ländern, insbesondere im Nahen Osten, in der Sahelzone, in Ostafrika, im Kaukasus usw., Rechnung zu tragen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Ioan-Rareş Bogdan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 xml:space="preserve">fordert die </w:t>
            </w:r>
            <w:r w:rsidRPr="000A7EC7">
              <w:rPr>
                <w:b/>
                <w:i/>
              </w:rPr>
              <w:t>Weiterentwicklung der präventiven</w:t>
            </w:r>
            <w:r w:rsidRPr="000A7EC7">
              <w:t xml:space="preserve"> Diplomatie der EU, einschließlich der Friedensvermittlung</w:t>
            </w:r>
            <w:r w:rsidRPr="000A7EC7">
              <w:rPr>
                <w:b/>
                <w:i/>
              </w:rPr>
              <w:t xml:space="preserve"> und</w:t>
            </w:r>
            <w:r w:rsidRPr="000A7EC7">
              <w:t xml:space="preserve"> des Dialogs, als ein proaktives </w:t>
            </w:r>
            <w:r w:rsidRPr="000A7EC7">
              <w:rPr>
                <w:b/>
                <w:i/>
              </w:rPr>
              <w:lastRenderedPageBreak/>
              <w:t>außenpolitisches Instrument</w:t>
            </w:r>
            <w:r w:rsidRPr="000A7EC7">
              <w:t xml:space="preserve">; fordert den EAD nachdrücklich auf, </w:t>
            </w:r>
            <w:r w:rsidRPr="000A7EC7">
              <w:rPr>
                <w:b/>
                <w:i/>
              </w:rPr>
              <w:t>Übungen durchzuführen</w:t>
            </w:r>
            <w:r w:rsidRPr="000A7EC7">
              <w:t xml:space="preserve">, </w:t>
            </w:r>
            <w:r w:rsidRPr="000A7EC7">
              <w:rPr>
                <w:b/>
                <w:i/>
              </w:rPr>
              <w:t>wie Lehren aus gewonnenen Erkenntnissen gezogen werden können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41.</w:t>
            </w:r>
            <w:r w:rsidRPr="000A7EC7">
              <w:tab/>
              <w:t>fordert</w:t>
            </w:r>
            <w:r w:rsidRPr="000A7EC7">
              <w:rPr>
                <w:b/>
                <w:i/>
              </w:rPr>
              <w:t>, das</w:t>
            </w:r>
            <w:r w:rsidRPr="000A7EC7">
              <w:t xml:space="preserve"> die </w:t>
            </w:r>
            <w:r w:rsidRPr="000A7EC7">
              <w:rPr>
                <w:b/>
                <w:i/>
              </w:rPr>
              <w:t>präventive</w:t>
            </w:r>
            <w:r w:rsidRPr="000A7EC7">
              <w:t xml:space="preserve"> Diplomatie der EU, einschließlich der Friedensvermittlung</w:t>
            </w:r>
            <w:r w:rsidRPr="000A7EC7">
              <w:rPr>
                <w:b/>
                <w:i/>
              </w:rPr>
              <w:t>,</w:t>
            </w:r>
            <w:r w:rsidRPr="000A7EC7">
              <w:t xml:space="preserve"> des Dialogs</w:t>
            </w:r>
            <w:r w:rsidRPr="000A7EC7">
              <w:rPr>
                <w:b/>
                <w:i/>
              </w:rPr>
              <w:t xml:space="preserve"> und der Konfliktprävention</w:t>
            </w:r>
            <w:r w:rsidRPr="000A7EC7">
              <w:t xml:space="preserve">, als ein proaktives </w:t>
            </w:r>
            <w:r w:rsidRPr="000A7EC7">
              <w:rPr>
                <w:b/>
                <w:i/>
              </w:rPr>
              <w:lastRenderedPageBreak/>
              <w:t>Instrument der Außenpolitik weiterentwickelt wird</w:t>
            </w:r>
            <w:r w:rsidRPr="000A7EC7">
              <w:t xml:space="preserve">; fordert den EAD nachdrücklich auf, </w:t>
            </w:r>
            <w:r w:rsidRPr="000A7EC7">
              <w:rPr>
                <w:b/>
                <w:i/>
              </w:rPr>
              <w:t>umfassende Lehren aus der Vergangenheit zu ziehen und hierzu die diplomatischen Bemühungen zu bewerten</w:t>
            </w:r>
            <w:r w:rsidRPr="000A7EC7">
              <w:t xml:space="preserve">, </w:t>
            </w:r>
            <w:r w:rsidRPr="000A7EC7">
              <w:rPr>
                <w:b/>
                <w:i/>
              </w:rPr>
              <w:t>verbesserungswürdige Bereiche zu ermitteln und bewährte Verfahren bei künftigen Initiativen einzubauen</w:t>
            </w:r>
            <w:r w:rsidRPr="000A7EC7">
              <w: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41.</w:t>
            </w:r>
            <w:r w:rsidRPr="000A7EC7">
              <w:tab/>
              <w:t xml:space="preserve">fordert die Weiterentwicklung der präventiven Diplomatie der EU, einschließlich der Friedensvermittlung und des Dialogs, als ein proaktives außenpolitisches Instrument; </w:t>
            </w:r>
            <w:r w:rsidRPr="000A7EC7">
              <w:rPr>
                <w:b/>
                <w:i/>
              </w:rPr>
              <w:t>fordert den EAD nachdrücklich auf, Übungen durchzuführen, wie Lehren aus gewonnenen Erkenntnissen gezogen werden können;</w:t>
            </w:r>
          </w:p>
        </w:tc>
        <w:tc>
          <w:tcPr>
            <w:tcW w:w="4876" w:type="dxa"/>
            <w:tcBorders>
              <w:top w:val="nil"/>
              <w:left w:val="nil"/>
              <w:bottom w:val="nil"/>
              <w:right w:val="nil"/>
            </w:tcBorders>
          </w:tcPr>
          <w:p w:rsidR="000A7EC7" w:rsidRPr="000A7EC7" w:rsidRDefault="000A7EC7" w:rsidP="00592F5E">
            <w:pPr>
              <w:pStyle w:val="Normal6a"/>
            </w:pPr>
            <w:r w:rsidRPr="000A7EC7">
              <w:t>41.</w:t>
            </w:r>
            <w:r w:rsidRPr="000A7EC7">
              <w:tab/>
              <w:t>fordert die Weiterentwicklung der präventiven Diplomatie der EU, einschließlich der Friedensvermittlung und des Dialogs, als ein proaktives außenpolitisches Instrument;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41a.</w:t>
            </w:r>
            <w:r w:rsidRPr="000A7EC7">
              <w:rPr>
                <w:b/>
                <w:i/>
              </w:rPr>
              <w:tab/>
              <w:t xml:space="preserve">fordert, dass die digitale Souveränität der EU in den kommenden Jahren eine der Prioritäten ihres auswärtigen Handelns sein sollte; fordert </w:t>
            </w:r>
            <w:r w:rsidRPr="000A7EC7">
              <w:rPr>
                <w:b/>
                <w:i/>
              </w:rPr>
              <w:lastRenderedPageBreak/>
              <w:t>nachdrücklich die Entwicklung einer klaren und ambitionierten Digitalstrategie der EU, die dazu beiträgt, ihre Autonomie zu stärken und ihre strategischen Interessen in diesem Bereich zu schützen, wobei diese von der Sicherung strategischer Materialien und Rohstoffe bis zur Annahme internationaler Normen reichen; betont, dass diese Strategie den Herausforderungen des digitalen Wandels und des ökologischen Wandels in der EU Rechnung tragen sollte; begrüßt das EU-Netzwerk für digitale Diplomatie und hält es für notwendig, seine Arbeit durch die Einsetzung eines EU-Sonderbeauftragten für digitale Diplomatie zu institutionalisieren; fordert, dass Zentren der „EU für KI“ eingerichtet werden, die darauf abzielen, Initiativen zu entwickeln und die gemeinsame Entwicklung in diesem Bereich zu fördern;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41a.</w:t>
            </w:r>
            <w:r w:rsidRPr="000A7EC7">
              <w:rPr>
                <w:b/>
                <w:i/>
              </w:rPr>
              <w:tab/>
              <w:t xml:space="preserve">hebt hervor, dass es äußerst wichtig ist, das Gleichgewicht zwischen den Geschlechtern in der EU-Außenpolitik zu verbessern, da dies ein Schlüsselfaktor für die Förderung einer integrativen und wirksamen Diplomatie ist; nimmt das Engagement der EU für die Gleichstellung der Geschlechter und die Umsetzung der Agenda für Frauen, Frieden und Sicherheit zur Kenntnis, das durch die Verlängerung des EU-Aktionsplans für die Gleichstellung der Geschlechter und die Stärkung der Rolle der Frau im auswärtigen Handeln der EU </w:t>
            </w:r>
            <w:r w:rsidRPr="000A7EC7">
              <w:rPr>
                <w:b/>
                <w:i/>
              </w:rPr>
              <w:lastRenderedPageBreak/>
              <w:t>bis 2027 bekräftigt wurde; weist auf die Anstrengungen hin, die die EU im Rahmen des EAD und der Kommission unternimmt, um eine geschlechtergerechte Führung im gesamten diplomatischen Handeln zu verankern, die Rechenschaftspflicht zu verbessern und sicherzustellen, dass die Geschlechterperspektive konsequent in den politischen Dialog, die Sicherheitspolitik und die Menschenrechtsdiskussionen mit Partnerländern und regionalen Organisationen einbezogen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41b.</w:t>
            </w:r>
            <w:r w:rsidRPr="000A7EC7">
              <w:rPr>
                <w:b/>
                <w:i/>
              </w:rPr>
              <w:tab/>
              <w:t xml:space="preserve">fordert, dass die Kulturdiplomatie und die internationalen Kulturbeziehungen der EU als relevantes Instrument für den Frieden und die Bewältigung globaler Herausforderungen gestärkt werden; spricht sich nachdrücklich dafür aus, die Unterstützung der EU für kreative und künstlerische Branchen von Drittländern zu verstärken, was auch eine Hilfe beim Kapazitätsaufbau einschließt; fordert dazu auf, die kulturelle Zusammenarbeit zwischen Drittländern zu fördern, auch durch die Unterstützung des kulturellen Austauschs und entsprechender Aufenthalte; betont in diesem Zusammenhang, dass die strategische Kommunikation des EAD gestärkt werden muss; begrüßt die bevorstehende Teilnahme der EU an der Weltausstellung </w:t>
            </w:r>
            <w:r w:rsidRPr="000A7EC7">
              <w:rPr>
                <w:b/>
                <w:i/>
              </w:rPr>
              <w:lastRenderedPageBreak/>
              <w:t>in Osaka und die Weltausstellung selbst; spricht sich dafür aus, dass die EU auch künftig daran teilnimmt sowie auch auf internationalen Buchmessen vertreten ist;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41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41c.</w:t>
            </w:r>
            <w:r w:rsidRPr="000A7EC7">
              <w:rPr>
                <w:b/>
                <w:i/>
              </w:rPr>
              <w:tab/>
              <w:t>hebt hervor, dass die EU angesichts der zunehmenden geopolitischen Herausforderungen und Krisen in der Welt über die notwendigen Informationen aus erster Hand zu globalen Themen außerhalb ihrer Grenzen verfügen muss; fordert in diesem Zusammenhang, dass das EU INTCEN, das Krisenreaktionszentrum des EAD und das Satellitenzentrum der Europäischen Union gestärkt werden, indem die jeweiligen personellen und finanziellen Ressourcen aufgestockt und die Fähigkeiten verbessert werden;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42.</w:t>
            </w:r>
            <w:r w:rsidRPr="000A7EC7">
              <w:tab/>
            </w:r>
            <w:r w:rsidRPr="000A7EC7">
              <w:rPr>
                <w:b/>
                <w:i/>
              </w:rPr>
              <w:t xml:space="preserve">bekräftigt die Rolle der EU-Sonderbeauftragten, die die Politik und die Interessen der EU in bestimmten Regionen und Ländern vertreten und eine </w:t>
            </w:r>
            <w:r w:rsidRPr="000A7EC7">
              <w:rPr>
                <w:b/>
                <w:i/>
              </w:rPr>
              <w:lastRenderedPageBreak/>
              <w:t>wichtige Rolle bei der Entwicklung einer stärkeren 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949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42.</w:t>
            </w:r>
            <w:r w:rsidRPr="000A7EC7">
              <w:tab/>
            </w:r>
            <w:r w:rsidRPr="000A7EC7">
              <w:rPr>
                <w:b/>
                <w:i/>
              </w:rPr>
              <w:t>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42.</w:t>
            </w:r>
            <w:r w:rsidRPr="000A7EC7">
              <w:tab/>
              <w:t xml:space="preserve">bekräftigt die Rolle der EU-Sonderbeauftragten, die die Politik und die Interessen der EU in bestimmten Regionen und Ländern vertreten und eine wichtige </w:t>
            </w:r>
            <w:r w:rsidRPr="000A7EC7">
              <w:lastRenderedPageBreak/>
              <w:t>Rolle bei der Entwicklung einer stärkeren 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42.</w:t>
            </w:r>
            <w:r w:rsidRPr="000A7EC7">
              <w:tab/>
              <w:t xml:space="preserve">bekräftigt die Rolle der EU-Sonderbeauftragten, die die Politik und die Interessen der EU in bestimmten Regionen und Ländern vertreten und eine wichtige </w:t>
            </w:r>
            <w:r w:rsidRPr="000A7EC7">
              <w:lastRenderedPageBreak/>
              <w:t xml:space="preserve">Rolle bei der Entwicklung einer stärkeren und wirksameren GASP spielen, indem sie der EU als aktive politische Präsenz in wichtigen Ländern und Regionen dienen und der EU und ihrer Politik eine Stimme und ein Gesicht verleihen; </w:t>
            </w:r>
            <w:r w:rsidRPr="000A7EC7">
              <w:rPr>
                <w:b/>
                <w:i/>
              </w:rPr>
              <w:t>hebt hervor, dass es wichtig ist, die EU-Sonderbeauftragten mit einem breit gefächerten, flexiblen Mandat auszustatten, das an sich verändernde geopolitische Umstände angepasst werden kann, um die politischen Maßnahmen und Interessen der EU in bestimmten Regionen und Ländern zu fördern, und damit er eine aktive Rolle bei den Bemühungen um präventive Diplomatie übernehmen kann;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Ioan-Rareş Bogdan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42.</w:t>
            </w:r>
            <w:r w:rsidRPr="000A7EC7">
              <w:tab/>
              <w:t>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t>42.</w:t>
            </w:r>
            <w:r w:rsidRPr="000A7EC7">
              <w:tab/>
              <w:t xml:space="preserve">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 </w:t>
            </w:r>
            <w:r w:rsidRPr="000A7EC7">
              <w:rPr>
                <w:b/>
                <w:i/>
              </w:rPr>
              <w:t>betont, dass es wichtig ist, die EU-Sonderbeauftragten mit ausreichenden Mitteln auszustatten, damit sie wirksam mit führenden Politikern, der Zivilgesellschaft und internationalen Organisationen zusammenarbeiten können, um Vertrauen zu fördern und einen konstruktiven Dialog zu erleichtern;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42.</w:t>
            </w:r>
            <w:r w:rsidRPr="000A7EC7">
              <w:tab/>
              <w:t>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t>42.</w:t>
            </w:r>
            <w:r w:rsidRPr="000A7EC7">
              <w:tab/>
              <w:t xml:space="preserve">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 </w:t>
            </w:r>
            <w:r w:rsidRPr="000A7EC7">
              <w:rPr>
                <w:b/>
                <w:i/>
              </w:rPr>
              <w:t>betont, dass die strategische Kommunikation und die Arbeit der EU zur Bekämpfung von Desinformation mithilfe spezielle Ressourcen und Büros in strategisch relevanten Regionen und Ländern gestärkt werden müssen;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42.</w:t>
            </w:r>
            <w:r w:rsidRPr="000A7EC7">
              <w:tab/>
              <w:t xml:space="preserve">bekräftigt die Rolle der EU-Sonderbeauftragten, die die Politik und die Interessen der EU in bestimmten Regionen und Ländern vertreten und eine wichtige Rolle bei der Entwicklung einer stärkeren </w:t>
            </w:r>
            <w:r w:rsidRPr="000A7EC7">
              <w:lastRenderedPageBreak/>
              <w:t>und wirksameren GASP spielen, indem sie der EU als aktive politische Präsenz in wichtigen Ländern und Regionen dienen und der EU und ihrer Politik eine Stimme und ein Gesicht verleihen;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42.</w:t>
            </w:r>
            <w:r w:rsidRPr="000A7EC7">
              <w:tab/>
              <w:t xml:space="preserve">bekräftigt die Rolle der EU-Sonderbeauftragten, die die Politik und die Interessen der EU in bestimmten Regionen und Ländern vertreten und eine wichtige Rolle bei der Entwicklung einer stärkeren </w:t>
            </w:r>
            <w:r w:rsidRPr="000A7EC7">
              <w:lastRenderedPageBreak/>
              <w:t xml:space="preserve">und wirksameren GASP spielen, indem sie der EU als aktive politische Präsenz in wichtigen Ländern und Regionen dienen und der EU und ihrer Politik eine Stimme und ein Gesicht verleihen; </w:t>
            </w:r>
            <w:r w:rsidRPr="000A7EC7">
              <w:rPr>
                <w:b/>
                <w:i/>
              </w:rPr>
              <w:t>fordert nachdrücklich, dass neue EU-Sonderbeauftragte für Menschenrechte erst nach einer vorherigen Anhörung im Europäischen Parlament ernannt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Mariusz Kamiński, Adam Bielan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{ECR}</w:t>
      </w:r>
      <w:r w:rsidRPr="000A7EC7">
        <w:t>im Namen der ECR-Fraktion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42a.</w:t>
            </w:r>
            <w:r w:rsidRPr="000A7EC7">
              <w:rPr>
                <w:b/>
                <w:i/>
              </w:rPr>
              <w:tab/>
              <w:t>weist auf die nachteiligen Folgen hin, die Korruption auf die wichtigsten außen- und sicherheitspolitischen Ziele der EU haben kann; fordert Strategien zur Bewältigung der damit verbundenen Risiken, die sich für Stabilität, Regierungsführung und Frieden ergeben; betont, dass Korruption die Legitimität der Partnerregierungen schwächt, das internationale Vertrauen in die Entwicklungs- und Wiederaufbaubemühungen schmälert, die schlechte Regierungsführung verschärft, Konflikte schürt, feindselige Akteure – einschließlich aufständischer Gruppen und Kriegsherren – stärkt und die Unterstützung für den Terrorismus begünstigt; fordert den HV/VP auf, umfassende Maßnahmen vorzuschlagen, um diesen Bedrohungen der Interessen der EU sowie des Wohlstands und der Stabilität weltweit, insbesondere in den östlichen und südlichen Nachbarländern der EU, vorzubeugen und ihnen entgegenzuwirken;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42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42a.</w:t>
            </w:r>
            <w:r w:rsidRPr="000A7EC7">
              <w:rPr>
                <w:b/>
                <w:i/>
              </w:rPr>
              <w:tab/>
              <w:t>begrüßt, dass der Sicherheitsrat der Vereinten Nationen das Mandat der EUFOR ALTHEA in Bosnien und Herzegowina um ein Jahr verlängert hat; stellt fest, dass diese Verlängerung ein klares Signal ist und das gemeinsame Engagement des gesamten politischen Spektrums in Bosnien und Herzegowina aufzeigt, in Zusammenarbeit mit der EU Frieden und Sicherheit zu wahren;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43.</w:t>
            </w:r>
            <w:r w:rsidRPr="000A7EC7">
              <w:tab/>
            </w:r>
            <w:r w:rsidRPr="000A7EC7">
              <w:rPr>
                <w:b/>
                <w:i/>
              </w:rPr>
              <w:t>hebt die Missionen und Operationen der EU im Ausland zur Förderung von Frieden, Sicherheit und Fortschritt in Europa und der ganzen Welt hervor; fordert den HR/VP auf,</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empfiehlt, mit Bosnien und Herzegowina, dem Kosovo, der NATO und den anderen entsprechenden Partnern zusammenzuarbeiten, um robuste Polizeikräfte in die Lage zu versetzen, ab 2026 alle Schlüsselaufgaben der Wahrung der inneren Sicherheit in Bosnien und Herzegowina und im Kosovo zu übernehmen, und die Vorschläge für </w:t>
            </w:r>
            <w:r w:rsidRPr="000A7EC7">
              <w:rPr>
                <w:b/>
                <w:i/>
              </w:rPr>
              <w:lastRenderedPageBreak/>
              <w:t>die erforderlichen GASP-Missionen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bekräftigt seine Unterstützung für die laufende Tätigkeit der Polizeimission der Europäischen Union für die Palästinensischen Gebiete (EUPOL COPPS) und der Mission der Europäischen Union zur Unterstützung des Grenzschutzes (EU BAM) in Rafah bei der Unterstützung der von den palästinensischen Behörden durchgeführten Reform des Sicherheits- und Justizsektors und des integrierten Grenzschutzes;</w:t>
            </w:r>
          </w:p>
        </w:tc>
        <w:tc>
          <w:tcPr>
            <w:tcW w:w="4876" w:type="dxa"/>
            <w:tcBorders>
              <w:top w:val="nil"/>
              <w:left w:val="nil"/>
              <w:bottom w:val="nil"/>
              <w:right w:val="nil"/>
            </w:tcBorders>
          </w:tcPr>
          <w:p w:rsidR="000A7EC7" w:rsidRPr="000A7EC7" w:rsidRDefault="000A7EC7" w:rsidP="00592F5E">
            <w:pPr>
              <w:pStyle w:val="Normal6a"/>
            </w:pP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Rihards Kols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Einleitung</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43.</w:t>
            </w:r>
            <w:r w:rsidRPr="000A7EC7">
              <w:tab/>
            </w:r>
            <w:r w:rsidRPr="000A7EC7">
              <w:rPr>
                <w:b/>
                <w:i/>
              </w:rPr>
              <w:t xml:space="preserve">hebt die Missionen und </w:t>
            </w:r>
            <w:r w:rsidRPr="000A7EC7">
              <w:rPr>
                <w:b/>
                <w:i/>
              </w:rPr>
              <w:lastRenderedPageBreak/>
              <w:t>Operationen der EU im Ausland zur Förderung von Frieden, Sicherheit und Fortschritt in Europa und der ganzen Welt hervor;</w:t>
            </w:r>
            <w:r w:rsidRPr="000A7EC7">
              <w:t xml:space="preserve"> </w:t>
            </w:r>
            <w:r w:rsidRPr="000A7EC7">
              <w:rPr>
                <w:b/>
                <w:i/>
              </w:rPr>
              <w:t>fordert den HR/VP auf,</w:t>
            </w:r>
          </w:p>
        </w:tc>
        <w:tc>
          <w:tcPr>
            <w:tcW w:w="4876" w:type="dxa"/>
            <w:tcBorders>
              <w:top w:val="nil"/>
              <w:left w:val="nil"/>
              <w:bottom w:val="nil"/>
              <w:right w:val="nil"/>
            </w:tcBorders>
          </w:tcPr>
          <w:p w:rsidR="000A7EC7" w:rsidRPr="000A7EC7" w:rsidRDefault="000A7EC7" w:rsidP="00592F5E">
            <w:pPr>
              <w:pStyle w:val="Normal6a"/>
            </w:pPr>
            <w:r w:rsidRPr="000A7EC7">
              <w:lastRenderedPageBreak/>
              <w:t>43.</w:t>
            </w:r>
            <w:r w:rsidRPr="000A7EC7">
              <w:tab/>
            </w:r>
            <w:r w:rsidRPr="000A7EC7">
              <w:rPr>
                <w:b/>
                <w:i/>
              </w:rPr>
              <w:t>fordert den HR/VP auf,</w:t>
            </w:r>
            <w:r w:rsidRPr="000A7EC7">
              <w:t xml:space="preserve"> die </w:t>
            </w:r>
            <w:r w:rsidRPr="000A7EC7">
              <w:rPr>
                <w:b/>
                <w:i/>
              </w:rPr>
              <w:lastRenderedPageBreak/>
              <w:t>gelungenen Evakuierungsaktionen im Sudan weiterzuverfolgen, die konsularischen Schutzmechanismen zu verbessern</w:t>
            </w:r>
            <w:r w:rsidRPr="000A7EC7">
              <w:t xml:space="preserve"> und </w:t>
            </w:r>
            <w:r w:rsidRPr="000A7EC7">
              <w:rPr>
                <w:b/>
                <w:i/>
              </w:rPr>
              <w:t>Strategien zu entwickeln, um hybride Angriffe an der Ostgrenze</w:t>
            </w:r>
            <w:r w:rsidRPr="000A7EC7">
              <w:t xml:space="preserve"> der EU </w:t>
            </w:r>
            <w:r w:rsidRPr="000A7EC7">
              <w:rPr>
                <w:b/>
                <w:i/>
              </w:rPr>
              <w:t>abzuwehren, insbesondere solche, bei denen die Migration als Mittel zur Destabilisierung</w:t>
            </w:r>
            <w:r w:rsidRPr="000A7EC7">
              <w:t xml:space="preserve"> der </w:t>
            </w:r>
            <w:r w:rsidRPr="000A7EC7">
              <w:rPr>
                <w:b/>
                <w:i/>
              </w:rPr>
              <w:t>Mitgliedstaaten und zur Ausübung von politischem Druck eingesetzt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Einleitung</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43.</w:t>
            </w:r>
            <w:r w:rsidRPr="000A7EC7">
              <w:tab/>
            </w:r>
            <w:r w:rsidRPr="000A7EC7">
              <w:rPr>
                <w:b/>
                <w:i/>
              </w:rPr>
              <w:t>hebt die Missionen und Operationen der EU im Ausland zur Förderung von Frieden, Sicherheit und Fortschritt in Europa und der ganzen Welt hervor; fordert den HR/VP auf,</w:t>
            </w:r>
          </w:p>
        </w:tc>
        <w:tc>
          <w:tcPr>
            <w:tcW w:w="4876" w:type="dxa"/>
            <w:tcBorders>
              <w:top w:val="nil"/>
              <w:left w:val="nil"/>
              <w:bottom w:val="nil"/>
              <w:right w:val="nil"/>
            </w:tcBorders>
          </w:tcPr>
          <w:p w:rsidR="000A7EC7" w:rsidRPr="000A7EC7" w:rsidRDefault="000A7EC7" w:rsidP="00592F5E">
            <w:pPr>
              <w:pStyle w:val="Normal6a"/>
            </w:pPr>
            <w:r w:rsidRPr="000A7EC7">
              <w:t>43.</w:t>
            </w:r>
            <w:r w:rsidRPr="000A7EC7">
              <w:tab/>
            </w:r>
            <w:r w:rsidRPr="000A7EC7">
              <w:rPr>
                <w:b/>
                <w:i/>
              </w:rPr>
              <w:t>nimmt</w:t>
            </w:r>
            <w:r w:rsidRPr="000A7EC7">
              <w:t xml:space="preserve"> die </w:t>
            </w:r>
            <w:r w:rsidRPr="000A7EC7">
              <w:rPr>
                <w:b/>
                <w:i/>
              </w:rPr>
              <w:t>laufenden Arbeit des HR/VP</w:t>
            </w:r>
            <w:r w:rsidRPr="000A7EC7">
              <w:t xml:space="preserve"> in </w:t>
            </w:r>
            <w:r w:rsidRPr="000A7EC7">
              <w:rPr>
                <w:b/>
                <w:i/>
              </w:rPr>
              <w:t>Bezug auf Folgendes zur Kenntnis:</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959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Einleitung</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43.</w:t>
            </w:r>
            <w:r w:rsidRPr="000A7EC7">
              <w:tab/>
              <w:t xml:space="preserve">hebt die Missionen und Operationen der EU im Ausland zur Förderung von Frieden, Sicherheit und Fortschritt in Europa und der ganzen Welt hervor; </w:t>
            </w:r>
            <w:r w:rsidRPr="000A7EC7">
              <w:rPr>
                <w:b/>
                <w:i/>
              </w:rPr>
              <w:t>fordert den HR/VP auf,</w:t>
            </w:r>
          </w:p>
        </w:tc>
        <w:tc>
          <w:tcPr>
            <w:tcW w:w="4876" w:type="dxa"/>
            <w:tcBorders>
              <w:top w:val="nil"/>
              <w:left w:val="nil"/>
              <w:bottom w:val="nil"/>
              <w:right w:val="nil"/>
            </w:tcBorders>
          </w:tcPr>
          <w:p w:rsidR="000A7EC7" w:rsidRPr="000A7EC7" w:rsidRDefault="000A7EC7" w:rsidP="00592F5E">
            <w:pPr>
              <w:pStyle w:val="Normal6a"/>
            </w:pPr>
            <w:r w:rsidRPr="000A7EC7">
              <w:t>43.</w:t>
            </w:r>
            <w:r w:rsidRPr="000A7EC7">
              <w:tab/>
              <w:t>hebt die Missionen und Operationen der EU im Ausland zur Förderung von Frieden, Sicherheit und Fortschritt in Europa und der ganzen Welt hervor;</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Hans Neuhoff</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empfiehlt, mit Bosnien und Herzegowina, dem Kosovo, der NATO und den anderen entsprechenden Partnern zusammenzuarbeiten, um robuste Polizeikräfte in die Lage zu versetzen, ab 2026 alle Schlüsselaufgaben der Wahrung der inneren Sicherheit in Bosnien und Herzegowina und im Kosovo zu übernehmen, und die Vorschläge für die erforderlichen GASP-Missionen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{DE}</w:t>
      </w:r>
      <w:r w:rsidRPr="000A7EC7">
        <w:t>de</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empfiehlt, mit Bosnien und Herzegowina, dem Kosovo, der NATO und den anderen entsprechenden Partnern zusammenzuarbeiten, um robuste Polizeikräfte in die Lage zu versetzen, ab 2026 alle Schlüsselaufgaben der Wahrung der inneren Sicherheit in </w:t>
            </w:r>
            <w:r w:rsidRPr="000A7EC7">
              <w:rPr>
                <w:b/>
                <w:i/>
              </w:rPr>
              <w:lastRenderedPageBreak/>
              <w:t>Bosnien und Herzegowina und im Kosovo zu übernehmen, und die Vorschläge für die erforderlichen GASP-Missionen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von der Schulenburg</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empfiehlt, mit Bosnien und Herzegowina, dem Kosovo, der NATO und den anderen entsprechenden Partnern zusammenzuarbeiten, um robuste Polizeikräfte in die Lage zu versetzen, ab 2026 alle Schlüsselaufgaben der Wahrung der inneren Sicherheit in Bosnien und Herzegowina und im Kosovo zu übernehmen, und die Vorschläge für die erforderlichen GASP-Missionen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963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empfiehlt</w:t>
            </w:r>
            <w:r w:rsidRPr="000A7EC7">
              <w:rPr>
                <w:b/>
                <w:i/>
              </w:rPr>
              <w:t>, mit Bosnien und Herzegowina, dem Kosovo, der NATO und</w:t>
            </w:r>
            <w:r w:rsidRPr="000A7EC7">
              <w:t xml:space="preserve"> den </w:t>
            </w:r>
            <w:r w:rsidRPr="000A7EC7">
              <w:rPr>
                <w:b/>
                <w:i/>
              </w:rPr>
              <w:t>anderen entsprechenden Partnern zusammenzuarbeiten, um robuste Polizeikräfte in die Lage zu versetzen, ab 2026 alle Schlüsselaufgaben der Wahrung der inneren Sicherheit in Bosnien und Herzegowina und im Kosovo zu übernehmen, und die Vorschläge für die erforderlichen GASP-Missionen auszuarbeiten, die 2025 eingeleitet werden sollen, wobei die EU-Schnelleingreifkapazität als präventive militärische Verstärkung zu nutzen ist;</w:t>
            </w:r>
            <w:r w:rsidRPr="000A7EC7">
              <w:t xml:space="preserve"> </w:t>
            </w:r>
            <w:r w:rsidRPr="000A7EC7">
              <w:rPr>
                <w:b/>
                <w:i/>
              </w:rPr>
              <w:t>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empfiehlt den </w:t>
            </w:r>
            <w:r w:rsidRPr="000A7EC7">
              <w:rPr>
                <w:b/>
                <w:i/>
              </w:rPr>
              <w:t>Aufbau</w:t>
            </w:r>
            <w:r w:rsidRPr="000A7EC7">
              <w:t xml:space="preserve"> der </w:t>
            </w:r>
            <w:r w:rsidRPr="000A7EC7">
              <w:rPr>
                <w:b/>
                <w:i/>
              </w:rPr>
              <w:t>EU-Schnelleinsatzkapazität</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empfiehlt</w:t>
            </w:r>
            <w:r w:rsidRPr="000A7EC7">
              <w:rPr>
                <w:b/>
                <w:i/>
              </w:rPr>
              <w:t>,</w:t>
            </w:r>
            <w:r w:rsidRPr="000A7EC7">
              <w:t xml:space="preserve"> mit Bosnien und Herzegowina, dem Kosovo, der NATO und den anderen </w:t>
            </w:r>
            <w:r w:rsidRPr="000A7EC7">
              <w:rPr>
                <w:b/>
                <w:i/>
              </w:rPr>
              <w:t>entsprechenden</w:t>
            </w:r>
            <w:r w:rsidRPr="000A7EC7">
              <w:t xml:space="preserve"> Partnern</w:t>
            </w:r>
            <w:r w:rsidRPr="000A7EC7">
              <w:rPr>
                <w:b/>
                <w:i/>
              </w:rPr>
              <w:t xml:space="preserve"> zusammenzuarbeiten, um robuste Polizeikräfte in die Lage zu versetzen, ab 2026 alle Schlüsselaufgaben der Wahrung der inneren Sicherheit</w:t>
            </w:r>
            <w:r w:rsidRPr="000A7EC7">
              <w:t xml:space="preserve"> in Bosnien und Herzegowina und im Kosovo </w:t>
            </w:r>
            <w:r w:rsidRPr="000A7EC7">
              <w:rPr>
                <w:b/>
                <w:i/>
              </w:rPr>
              <w:lastRenderedPageBreak/>
              <w:t>zu übernehmen, und die Vorschläge</w:t>
            </w:r>
            <w:r w:rsidRPr="000A7EC7">
              <w:t xml:space="preserve"> für die erforderlichen GASP-Missionen</w:t>
            </w:r>
            <w:r w:rsidRPr="000A7EC7">
              <w:rPr>
                <w:b/>
                <w:i/>
              </w:rPr>
              <w:t xml:space="preserve"> auszuarbeiten</w:t>
            </w:r>
            <w:r w:rsidRPr="000A7EC7">
              <w:t>, die 2025 eingeleitet werden sollen</w:t>
            </w:r>
            <w:r w:rsidRPr="000A7EC7">
              <w:rPr>
                <w:b/>
                <w:i/>
              </w:rPr>
              <w:t>, wobei die EU-Schnelleingreifkapazität als präventive militärische Verstärkung zu nutzen ist;</w:t>
            </w:r>
            <w:r w:rsidRPr="000A7EC7">
              <w:t xml:space="preserve"> </w:t>
            </w:r>
            <w:r w:rsidRPr="000A7EC7">
              <w:rPr>
                <w:b/>
                <w:i/>
              </w:rPr>
              <w:t>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lastRenderedPageBreak/>
              <w:t>–</w:t>
            </w:r>
            <w:r w:rsidRPr="000A7EC7">
              <w:tab/>
              <w:t>empfiehlt</w:t>
            </w:r>
            <w:r w:rsidRPr="000A7EC7">
              <w:rPr>
                <w:b/>
                <w:i/>
              </w:rPr>
              <w:t xml:space="preserve"> die Zusammenarbeit</w:t>
            </w:r>
            <w:r w:rsidRPr="000A7EC7">
              <w:t xml:space="preserve"> mit Bosnien und Herzegowina, dem Kosovo, der NATO und den anderen </w:t>
            </w:r>
            <w:r w:rsidRPr="000A7EC7">
              <w:rPr>
                <w:b/>
                <w:i/>
              </w:rPr>
              <w:t>betroffenen</w:t>
            </w:r>
            <w:r w:rsidRPr="000A7EC7">
              <w:t xml:space="preserve"> Partnern in Bosnien und Herzegowina und im Kosovo </w:t>
            </w:r>
            <w:r w:rsidRPr="000A7EC7">
              <w:rPr>
                <w:b/>
                <w:i/>
              </w:rPr>
              <w:t>und Ausarbeitung von Vorschlägen</w:t>
            </w:r>
            <w:r w:rsidRPr="000A7EC7">
              <w:t xml:space="preserve"> für die erforderlichen GASP-Missionen, die 2025 eingeleitet werden </w:t>
            </w:r>
            <w:r w:rsidRPr="000A7EC7">
              <w:lastRenderedPageBreak/>
              <w:t>sollen;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empfiehlt,</w:t>
            </w:r>
            <w:r w:rsidRPr="000A7EC7">
              <w:rPr>
                <w:b/>
                <w:i/>
              </w:rPr>
              <w:t xml:space="preserve"> mit Bosnien und Herzegowina, dem Kosovo, der NATO und den anderen entsprechenden Partnern zusammenzuarbeiten, um robuste Polizeikräfte in die Lage zu versetzen, ab 2026 alle Schlüsselaufgaben der Wahrung der inneren Sicherheit in Bosnien und Herzegowina und im Kosovo zu übernehmen, und </w:t>
            </w:r>
            <w:r w:rsidRPr="000A7EC7">
              <w:t xml:space="preserve">die Vorschläge für die erforderlichen </w:t>
            </w:r>
            <w:r w:rsidRPr="000A7EC7">
              <w:rPr>
                <w:b/>
                <w:i/>
              </w:rPr>
              <w:t>GASP-Missionen</w:t>
            </w:r>
            <w:r w:rsidRPr="000A7EC7">
              <w:t xml:space="preserve">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empfiehlt, die Vorschläge für die erforderlichen </w:t>
            </w:r>
            <w:r w:rsidRPr="000A7EC7">
              <w:rPr>
                <w:b/>
                <w:i/>
              </w:rPr>
              <w:t>Missionen</w:t>
            </w:r>
            <w:r w:rsidRPr="000A7EC7">
              <w:t xml:space="preserve"> auszuarbeiten, die 2025 eingeleitet werden sollen, wobei die EU-Schnelleingreifkapazität als präventive militärische Verstärkung zu nutzen ist; weist darauf hin, dass die Ausgaben für diese Maßnahmen, einschließlich der für die Bereitschaft der Schnelleingreifkapazität, zulasten des EU-Haushalts gehen sollten;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966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Thijs Reuten, Nacho Sánchez Amor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1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fordert gezielte Sanktionen gegen destabilisierende Akteure in Bosnien und Herzegowina, einschließlich derjenigen, die die Souveränität und territoriale Integrität des Landes bedrohen, insbesondere gegen Milorad Dodik; fordert, dass jedes Mal auf sezessionistische Rhetorik in Bezug auf Bosnien und Herzegowina und auf alle Akteure reagiert wird, die den Völkermord leugnen und verurteilte Kriegsverbrecher aus der Region verherrlichen; fordert die Mitgliedstaaten auf, Bosnien und Herzegowina nachdrücklich aufzufordern, allen einschlägigen Urteilen des EGMR zu seinem diskriminierenden Wahlsystem, einschließlich des Urteils in der Rechtssache Kovačević, Folge zu leisten und Verfassungs- und Wahlreformen umzusetzen; fordert die Kommission und die Mitgliedstaaten auf, beim Hohen Vertreter Christian Schmidt darauf zu bestehen, dass es zu keinen weiteren Eingriffen in die Gerichtsverfahren zu diesem Fall kommt;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Costas Mavrides,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mit Zypern, der Türkei, dem Vereinigten Königreich und den </w:t>
            </w:r>
            <w:r w:rsidRPr="000A7EC7">
              <w:rPr>
                <w:b/>
                <w:i/>
              </w:rPr>
              <w:lastRenderedPageBreak/>
              <w:t>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Loucas Fourlas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969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mit Zypern, der Türkei, dem Vereinigten Königreich und den Vereinten Nationen zusammenzuarbeiten, </w:t>
            </w:r>
            <w:r w:rsidRPr="000A7EC7">
              <w:rPr>
                <w:b/>
                <w:i/>
              </w:rPr>
              <w:lastRenderedPageBreak/>
              <w:t>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r w:rsidRPr="000A7EC7">
              <w:rPr>
                <w:b/>
                <w:i/>
              </w:rPr>
              <w:lastRenderedPageBreak/>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Geadis Geadi, Emmanouil Fragkos, Afroditi Latinopoulou, Fernand Kartheiser, Charlie Weimers, Nikolaos Anadiotis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mit Zypern, der Türkei, dem Vereinigten Königreich und den Vereinten Nationen zusammenzuarbeiten, um </w:t>
            </w:r>
            <w:r w:rsidRPr="000A7EC7">
              <w:rPr>
                <w:b/>
                <w:i/>
              </w:rPr>
              <w:t>konkrete Maßnahmen</w:t>
            </w:r>
            <w:r w:rsidRPr="000A7EC7">
              <w:t xml:space="preserve"> </w:t>
            </w:r>
            <w:r w:rsidRPr="000A7EC7">
              <w:rPr>
                <w:b/>
                <w:bCs/>
                <w:i/>
                <w:iCs/>
              </w:rPr>
              <w:t>für</w:t>
            </w:r>
            <w:r w:rsidRPr="000A7EC7">
              <w:t xml:space="preserve"> </w:t>
            </w:r>
            <w:r w:rsidRPr="000A7EC7">
              <w:rPr>
                <w:b/>
                <w:i/>
              </w:rPr>
              <w:t>eine Demilitarisierung der Pufferzone auf Zypern umzusetzen</w:t>
            </w:r>
            <w:r w:rsidRPr="000A7EC7">
              <w:t xml:space="preserve"> </w:t>
            </w:r>
            <w:r w:rsidRPr="000A7EC7">
              <w:rPr>
                <w:b/>
                <w:bCs/>
                <w:i/>
                <w:iCs/>
              </w:rPr>
              <w:t>und die</w:t>
            </w:r>
            <w:r w:rsidRPr="000A7EC7">
              <w:t xml:space="preserve"> </w:t>
            </w:r>
            <w:r w:rsidRPr="000A7EC7">
              <w:rPr>
                <w:b/>
                <w:i/>
              </w:rPr>
              <w:t>Sicherheitslage auf der Insel</w:t>
            </w:r>
            <w:r w:rsidRPr="000A7EC7">
              <w:t xml:space="preserve">, </w:t>
            </w:r>
            <w:r w:rsidRPr="000A7EC7">
              <w:rPr>
                <w:b/>
                <w:i/>
              </w:rPr>
              <w:t>sowohl für</w:t>
            </w:r>
            <w:r w:rsidRPr="000A7EC7">
              <w:t xml:space="preserve"> </w:t>
            </w:r>
            <w:r w:rsidRPr="000A7EC7">
              <w:rPr>
                <w:b/>
                <w:bCs/>
                <w:i/>
                <w:iCs/>
              </w:rPr>
              <w:t>die</w:t>
            </w:r>
            <w:r w:rsidRPr="000A7EC7">
              <w:t xml:space="preserve"> </w:t>
            </w:r>
            <w:r w:rsidRPr="000A7EC7">
              <w:rPr>
                <w:b/>
                <w:i/>
              </w:rPr>
              <w:t>griechisch-zyprische Bevölkerungsgruppe als auch</w:t>
            </w:r>
            <w:r w:rsidRPr="000A7EC7">
              <w:t xml:space="preserve"> </w:t>
            </w:r>
            <w:r w:rsidRPr="000A7EC7">
              <w:rPr>
                <w:b/>
                <w:bCs/>
                <w:i/>
                <w:iCs/>
              </w:rPr>
              <w:t>für</w:t>
            </w:r>
            <w:r w:rsidRPr="000A7EC7">
              <w:t xml:space="preserve"> </w:t>
            </w:r>
            <w:r w:rsidRPr="000A7EC7">
              <w:rPr>
                <w:b/>
                <w:i/>
              </w:rPr>
              <w:t>die türkisch-zyprische Bevölkerungsgruppe</w:t>
            </w:r>
            <w:r w:rsidRPr="000A7EC7">
              <w:t xml:space="preserve">, </w:t>
            </w:r>
            <w:r w:rsidRPr="000A7EC7">
              <w:rPr>
                <w:b/>
                <w:i/>
              </w:rPr>
              <w:t>zu verbessern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mit Zypern, </w:t>
            </w:r>
            <w:r w:rsidRPr="000A7EC7">
              <w:rPr>
                <w:b/>
                <w:i/>
              </w:rPr>
              <w:t xml:space="preserve">Griechenland, </w:t>
            </w:r>
            <w:r w:rsidRPr="000A7EC7">
              <w:t xml:space="preserve">der Türkei, dem Vereinigten Königreich und den Vereinten Nationen zusammenzuarbeiten, um </w:t>
            </w:r>
            <w:r w:rsidRPr="000A7EC7">
              <w:rPr>
                <w:b/>
                <w:i/>
              </w:rPr>
              <w:t>eine tragfähige, funktionierende und vor allem demokratische Lösung</w:t>
            </w:r>
            <w:r w:rsidRPr="000A7EC7">
              <w:t xml:space="preserve"> </w:t>
            </w:r>
            <w:r w:rsidRPr="000A7EC7">
              <w:rPr>
                <w:b/>
                <w:bCs/>
                <w:i/>
                <w:iCs/>
              </w:rPr>
              <w:t>für</w:t>
            </w:r>
            <w:r w:rsidRPr="000A7EC7">
              <w:t xml:space="preserve"> </w:t>
            </w:r>
            <w:r w:rsidRPr="000A7EC7">
              <w:rPr>
                <w:b/>
                <w:i/>
              </w:rPr>
              <w:t>die Zypernfrage zu finden, durch die die vollendeten Tatsachen, die die Türkei mit Gewalt schaffen will, nicht legitimiert werden</w:t>
            </w:r>
            <w:r w:rsidRPr="000A7EC7">
              <w:t xml:space="preserve"> </w:t>
            </w:r>
            <w:r w:rsidRPr="000A7EC7">
              <w:rPr>
                <w:b/>
                <w:bCs/>
                <w:i/>
                <w:iCs/>
              </w:rPr>
              <w:t>und die</w:t>
            </w:r>
            <w:r w:rsidRPr="000A7EC7">
              <w:t xml:space="preserve"> </w:t>
            </w:r>
            <w:r w:rsidRPr="000A7EC7">
              <w:rPr>
                <w:b/>
                <w:i/>
              </w:rPr>
              <w:t>keine rassistische, territoriale oder sonstige Segregation beinhaltet</w:t>
            </w:r>
            <w:r w:rsidRPr="000A7EC7">
              <w:t xml:space="preserve">, </w:t>
            </w:r>
            <w:r w:rsidRPr="000A7EC7">
              <w:rPr>
                <w:b/>
                <w:i/>
              </w:rPr>
              <w:t>da eine solche Segregation in absolutem Widerstreit zur Europäischen Union und zu Kapitel 1 der Charta der Vereinten Nationen steht, das</w:t>
            </w:r>
            <w:r w:rsidRPr="000A7EC7">
              <w:t xml:space="preserve"> </w:t>
            </w:r>
            <w:r w:rsidRPr="000A7EC7">
              <w:rPr>
                <w:b/>
                <w:bCs/>
                <w:i/>
                <w:iCs/>
              </w:rPr>
              <w:t>die</w:t>
            </w:r>
            <w:r w:rsidRPr="000A7EC7">
              <w:t xml:space="preserve"> </w:t>
            </w:r>
            <w:r w:rsidRPr="000A7EC7">
              <w:rPr>
                <w:b/>
                <w:i/>
              </w:rPr>
              <w:t>„Verwirklichung der Menschenrechte und Grundfreiheiten</w:t>
            </w:r>
            <w:r w:rsidRPr="000A7EC7">
              <w:t xml:space="preserve"> </w:t>
            </w:r>
            <w:r w:rsidRPr="000A7EC7">
              <w:rPr>
                <w:b/>
                <w:bCs/>
                <w:i/>
                <w:iCs/>
              </w:rPr>
              <w:t>für</w:t>
            </w:r>
            <w:r w:rsidRPr="000A7EC7">
              <w:t xml:space="preserve"> </w:t>
            </w:r>
            <w:r w:rsidRPr="000A7EC7">
              <w:rPr>
                <w:b/>
                <w:i/>
              </w:rPr>
              <w:t>alle ohne Unterschied der Rasse, des Geschlechts</w:t>
            </w:r>
            <w:r w:rsidRPr="000A7EC7">
              <w:t xml:space="preserve">, </w:t>
            </w:r>
            <w:r w:rsidRPr="000A7EC7">
              <w:rPr>
                <w:b/>
                <w:i/>
              </w:rPr>
              <w:t>der Sprache oder der Religion“ vorsieht</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{EL}</w:t>
      </w:r>
      <w:r w:rsidRPr="000A7EC7">
        <w:t>el</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 xml:space="preserve">Jordan Bardella, Pierre-Romain Thionnet, Matthieu Valet, </w:t>
      </w:r>
      <w:r w:rsidRPr="000A7EC7">
        <w:lastRenderedPageBreak/>
        <w:t>Jorge Martín Frías, Hermann Tertsch, Roberto Vannacci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 </w:t>
            </w:r>
            <w:r w:rsidRPr="000A7EC7">
              <w:rPr>
                <w:b/>
                <w:i/>
              </w:rPr>
              <w:t>bringt seine Unterstützung für die griechisch-zypriotische Gemeinschaft zum Ausdruck, die unter einer ungerechtfertigten Annexion ihres Territoriums durch die Türkei, bei der es sich um ein NATO-Mitglied und einen EU-Beitrittskandidaten handelt, zu leiden hat;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{FR}</w:t>
      </w:r>
      <w:r w:rsidRPr="000A7EC7">
        <w:t>fr</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Emmanouil Fragkos, Galato Alexandraki, Geadis Geadi</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r>
            <w:r w:rsidRPr="000A7EC7">
              <w:rPr>
                <w:b/>
                <w:i/>
              </w:rPr>
              <w:t>mit Zypern, der Türkei, dem Vereinigten Königreich und den Vereinten Nationen zusammenzuarbeiten, um konkrete Maßnahmen für eine Demilitarisierung der Pufferzone</w:t>
            </w:r>
            <w:r w:rsidRPr="000A7EC7">
              <w:t xml:space="preserve"> auf </w:t>
            </w:r>
            <w:r w:rsidRPr="000A7EC7">
              <w:rPr>
                <w:b/>
                <w:i/>
              </w:rPr>
              <w:t xml:space="preserve">Zypern umzusetzen und </w:t>
            </w:r>
            <w:r w:rsidRPr="000A7EC7">
              <w:rPr>
                <w:b/>
                <w:bCs/>
                <w:i/>
                <w:iCs/>
              </w:rPr>
              <w:t>die</w:t>
            </w:r>
            <w:r w:rsidRPr="000A7EC7">
              <w:t xml:space="preserve"> </w:t>
            </w:r>
            <w:r w:rsidRPr="000A7EC7">
              <w:rPr>
                <w:b/>
                <w:i/>
              </w:rPr>
              <w:t>Sicherheitslage auf</w:t>
            </w:r>
            <w:r w:rsidRPr="000A7EC7">
              <w:t xml:space="preserve"> </w:t>
            </w:r>
            <w:r w:rsidRPr="000A7EC7">
              <w:rPr>
                <w:b/>
                <w:bCs/>
                <w:i/>
                <w:iCs/>
              </w:rPr>
              <w:t>der</w:t>
            </w:r>
            <w:r w:rsidRPr="000A7EC7">
              <w:t xml:space="preserve"> </w:t>
            </w:r>
            <w:r w:rsidRPr="000A7EC7">
              <w:rPr>
                <w:b/>
                <w:i/>
              </w:rPr>
              <w:t>Insel, sowohl für die griechisch-zyprische Bevölkerungsgruppe als auch für die türkisch-zyprische Bevölkerungsgruppe,</w:t>
            </w:r>
            <w:r w:rsidRPr="000A7EC7">
              <w:t xml:space="preserve"> </w:t>
            </w:r>
            <w:r w:rsidRPr="000A7EC7">
              <w:rPr>
                <w:b/>
                <w:bCs/>
                <w:i/>
                <w:iCs/>
              </w:rPr>
              <w:lastRenderedPageBreak/>
              <w:t>zu</w:t>
            </w:r>
            <w:r w:rsidRPr="000A7EC7">
              <w:t xml:space="preserve"> </w:t>
            </w:r>
            <w:r w:rsidRPr="000A7EC7">
              <w:rPr>
                <w:b/>
                <w:i/>
              </w:rPr>
              <w:t>verbessern</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lastRenderedPageBreak/>
              <w:t>–</w:t>
            </w:r>
            <w:r w:rsidRPr="000A7EC7">
              <w:tab/>
              <w:t xml:space="preserve">auf die </w:t>
            </w:r>
            <w:r w:rsidRPr="000A7EC7">
              <w:rPr>
                <w:b/>
                <w:i/>
              </w:rPr>
              <w:t>Umsetzung</w:t>
            </w:r>
            <w:r w:rsidRPr="000A7EC7">
              <w:t xml:space="preserve"> </w:t>
            </w:r>
            <w:r w:rsidRPr="000A7EC7">
              <w:rPr>
                <w:b/>
                <w:bCs/>
                <w:i/>
                <w:iCs/>
              </w:rPr>
              <w:t>der</w:t>
            </w:r>
            <w:r w:rsidRPr="000A7EC7">
              <w:t xml:space="preserve"> </w:t>
            </w:r>
            <w:r w:rsidRPr="000A7EC7">
              <w:rPr>
                <w:b/>
                <w:i/>
              </w:rPr>
              <w:t>Resolutionen des Sicherheitsrates der Vereinten Nationen zur Zypernfrage</w:t>
            </w:r>
            <w:r w:rsidRPr="000A7EC7">
              <w:t xml:space="preserve"> </w:t>
            </w:r>
            <w:r w:rsidRPr="000A7EC7">
              <w:rPr>
                <w:b/>
                <w:bCs/>
                <w:i/>
                <w:iCs/>
              </w:rPr>
              <w:t>zu</w:t>
            </w:r>
            <w:r w:rsidRPr="000A7EC7">
              <w:t xml:space="preserve"> </w:t>
            </w:r>
            <w:r w:rsidRPr="000A7EC7">
              <w:rPr>
                <w:b/>
                <w:i/>
              </w:rPr>
              <w:t>drängen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{EL}</w:t>
      </w:r>
      <w:r w:rsidRPr="000A7EC7">
        <w:t>el</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Sebastian Tynkkynen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r w:rsidRPr="000A7EC7">
              <w:rPr>
                <w:b/>
                <w:i/>
              </w:rPr>
              <w:t xml:space="preserve"> und auf die Beendigung der türkischen Besetzung hinzuwirken</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{FI}</w:t>
      </w:r>
      <w:r w:rsidRPr="000A7EC7">
        <w:t>fi</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die Zahl der Beobachter, die im Rahmen der zivilen Mission der EU in Armenien (EUMA) auf die armenische Seite der internationalen Grenze zu Aserbaidschan entsandt werden, weiter zu erhöhen und Aserbaidschan erneut aufzufordern, mit der Mission zusammenzuarbeiten und seine Verleumdungskampagne gegen sie </w:t>
            </w:r>
            <w:r w:rsidRPr="000A7EC7">
              <w:rPr>
                <w:b/>
                <w:i/>
              </w:rPr>
              <w:lastRenderedPageBreak/>
              <w:t>einzustellen;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Michael Gahler, Andrey Kovatchev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2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mit Australien, Neuseeland, der Republik Korea, Japan, Taiwan und den Mitgliedstaaten des ASEAN zusammenzuarbeiten, um Frieden und Sicherheit in den indopazifischen und südostasiatischen Regionen zu fördern;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bekräftigt seine Unterstützung für die laufende Tätigkeit der Polizeimission der Europäischen Union für die Palästinensischen Gebiete (EUPOL COPPS) und der Mission der Europäischen Union zur Unterstützung des Grenzschutzes (EU BAM) in Rafah bei der Unterstützung der von den palästinensischen Behörden durchgeführten Reform des Sicherheits- und Justizsektors und des integrierten Grenzschutzes;</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977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Nathalie Loiseau, Hilde Vautmans, Lucia Yar, Petras Auštrevičius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r>
            <w:r w:rsidRPr="000A7EC7">
              <w:rPr>
                <w:b/>
                <w:i/>
              </w:rPr>
              <w:t>bekräftigt seine Unterstützung für die laufende Tätigkeit</w:t>
            </w:r>
            <w:r w:rsidRPr="000A7EC7">
              <w:t xml:space="preserve"> der </w:t>
            </w:r>
            <w:r w:rsidRPr="000A7EC7">
              <w:rPr>
                <w:b/>
                <w:i/>
              </w:rPr>
              <w:t>Polizeimission der</w:t>
            </w:r>
            <w:r w:rsidRPr="000A7EC7">
              <w:t xml:space="preserve"> Europäischen </w:t>
            </w:r>
            <w:r w:rsidRPr="000A7EC7">
              <w:rPr>
                <w:b/>
                <w:i/>
              </w:rPr>
              <w:t>Union für die Palästinensischen Gebiete (EUPOL COPPS)</w:t>
            </w:r>
            <w:r w:rsidRPr="000A7EC7">
              <w:t xml:space="preserve"> und der </w:t>
            </w:r>
            <w:r w:rsidRPr="000A7EC7">
              <w:rPr>
                <w:b/>
                <w:i/>
              </w:rPr>
              <w:t>Mission</w:t>
            </w:r>
            <w:r w:rsidRPr="000A7EC7">
              <w:t xml:space="preserve"> der </w:t>
            </w:r>
            <w:r w:rsidRPr="000A7EC7">
              <w:rPr>
                <w:b/>
                <w:i/>
              </w:rPr>
              <w:t>Europäischen Union zur Unterstützung des Grenzschutzes (EU BAM) in Rafah bei</w:t>
            </w:r>
            <w:r w:rsidRPr="000A7EC7">
              <w:t xml:space="preserve"> der </w:t>
            </w:r>
            <w:r w:rsidRPr="000A7EC7">
              <w:rPr>
                <w:b/>
                <w:i/>
              </w:rPr>
              <w:t>Unterstützung</w:t>
            </w:r>
            <w:r w:rsidRPr="000A7EC7">
              <w:t xml:space="preserve"> der </w:t>
            </w:r>
            <w:r w:rsidRPr="000A7EC7">
              <w:rPr>
                <w:b/>
                <w:i/>
              </w:rPr>
              <w:t>von</w:t>
            </w:r>
            <w:r w:rsidRPr="000A7EC7">
              <w:t xml:space="preserve"> den palästinensischen Behörden </w:t>
            </w:r>
            <w:r w:rsidRPr="000A7EC7">
              <w:rPr>
                <w:b/>
                <w:i/>
              </w:rPr>
              <w:t>durchgeführten Reform des Sicherheits-</w:t>
            </w:r>
            <w:r w:rsidRPr="000A7EC7">
              <w:t xml:space="preserve"> und </w:t>
            </w:r>
            <w:r w:rsidRPr="000A7EC7">
              <w:rPr>
                <w:b/>
                <w:i/>
              </w:rPr>
              <w:t>Justizsektors</w:t>
            </w:r>
            <w:r w:rsidRPr="000A7EC7">
              <w:t xml:space="preserve"> und </w:t>
            </w:r>
            <w:r w:rsidRPr="000A7EC7">
              <w:rPr>
                <w:b/>
                <w:i/>
              </w:rPr>
              <w:t>des integrierten Grenzschutzes</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r>
            <w:r w:rsidRPr="000A7EC7">
              <w:rPr>
                <w:b/>
                <w:i/>
              </w:rPr>
              <w:t>eine stärkere Rolle der beiden zivilen GSVP-Missionen</w:t>
            </w:r>
            <w:r w:rsidRPr="000A7EC7">
              <w:t xml:space="preserve"> der </w:t>
            </w:r>
            <w:r w:rsidRPr="000A7EC7">
              <w:rPr>
                <w:b/>
                <w:i/>
              </w:rPr>
              <w:t>EU, EUPOL COPPS und EUBAM Rafah, im Einklang mit den Schlussfolgerungen des</w:t>
            </w:r>
            <w:r w:rsidRPr="000A7EC7">
              <w:t xml:space="preserve"> Europäischen </w:t>
            </w:r>
            <w:r w:rsidRPr="000A7EC7">
              <w:rPr>
                <w:b/>
                <w:i/>
              </w:rPr>
              <w:t>Rates vom 21. und 22. März 2024 zu unterstützen</w:t>
            </w:r>
            <w:r w:rsidRPr="000A7EC7">
              <w:t xml:space="preserve"> und </w:t>
            </w:r>
            <w:r w:rsidRPr="000A7EC7">
              <w:rPr>
                <w:b/>
                <w:i/>
              </w:rPr>
              <w:t xml:space="preserve">daran zu erinnern, dass sie auf </w:t>
            </w:r>
            <w:r w:rsidRPr="000A7EC7">
              <w:t xml:space="preserve">der </w:t>
            </w:r>
            <w:r w:rsidRPr="000A7EC7">
              <w:rPr>
                <w:b/>
                <w:i/>
              </w:rPr>
              <w:t>Grundlage des Prinzips</w:t>
            </w:r>
            <w:r w:rsidRPr="000A7EC7">
              <w:t xml:space="preserve"> der </w:t>
            </w:r>
            <w:r w:rsidRPr="000A7EC7">
              <w:rPr>
                <w:b/>
                <w:i/>
              </w:rPr>
              <w:t>Zweistaatenlösung und der Lebensfähigkeit eines künftigen palästinensischen Staates eine wichtige Rolle spielen können, um an</w:t>
            </w:r>
            <w:r w:rsidRPr="000A7EC7">
              <w:t xml:space="preserve"> der </w:t>
            </w:r>
            <w:r w:rsidRPr="000A7EC7">
              <w:rPr>
                <w:b/>
                <w:i/>
              </w:rPr>
              <w:t>Erleichterung</w:t>
            </w:r>
            <w:r w:rsidRPr="000A7EC7">
              <w:t xml:space="preserve"> der </w:t>
            </w:r>
            <w:r w:rsidRPr="000A7EC7">
              <w:rPr>
                <w:b/>
                <w:i/>
              </w:rPr>
              <w:t>Bereitstellung humanitärer Hilfe für</w:t>
            </w:r>
            <w:r w:rsidRPr="000A7EC7">
              <w:t xml:space="preserve"> den </w:t>
            </w:r>
            <w:r w:rsidRPr="000A7EC7">
              <w:rPr>
                <w:b/>
                <w:i/>
              </w:rPr>
              <w:t xml:space="preserve">Gazastreifen mitzuwirken, die Effizienz der </w:t>
            </w:r>
            <w:r w:rsidRPr="000A7EC7">
              <w:t xml:space="preserve">palästinensischen </w:t>
            </w:r>
            <w:r w:rsidRPr="000A7EC7">
              <w:rPr>
                <w:b/>
                <w:i/>
              </w:rPr>
              <w:t xml:space="preserve">Behörde im Westjordanland zu verbessern und ihre Rückkehr in den Gazastreifen vorzubereiten; betont insbesondere, dass die notwendigen Voraussetzungen für die vollständige Reaktivierung der EUBAM Rafah geschaffen werden müssen, damit sie in Abstimmung mit der Palästinensischen Behörde sowie den </w:t>
            </w:r>
            <w:r w:rsidRPr="000A7EC7">
              <w:t xml:space="preserve">Behörden </w:t>
            </w:r>
            <w:r w:rsidRPr="000A7EC7">
              <w:rPr>
                <w:b/>
                <w:i/>
              </w:rPr>
              <w:t>Israels und Ägyptens am Grenzübergang Rafah als neutraler Dritter auftreten kann; erwartet, dass die Ausweitung der Einsatzbereiche</w:t>
            </w:r>
            <w:r w:rsidRPr="000A7EC7">
              <w:t xml:space="preserve"> und </w:t>
            </w:r>
            <w:r w:rsidRPr="000A7EC7">
              <w:rPr>
                <w:b/>
                <w:i/>
              </w:rPr>
              <w:t>der Mandate von EUPOL COPPS</w:t>
            </w:r>
            <w:r w:rsidRPr="000A7EC7">
              <w:t xml:space="preserve"> und </w:t>
            </w:r>
            <w:r w:rsidRPr="000A7EC7">
              <w:rPr>
                <w:b/>
                <w:i/>
              </w:rPr>
              <w:t>EUBAM Rafah vor Ort als Schlüsselpriorität in die künftige Strategie der EU für den Nahen Osten aufgenommen wird</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Merja Kyllönen</w:t>
      </w:r>
      <w:r w:rsidRPr="000A7EC7">
        <w:rPr>
          <w:rStyle w:val="HideTWBExt"/>
          <w:b w:val="0"/>
        </w:rPr>
        <w:t>&lt;/Members&gt;</w:t>
      </w:r>
    </w:p>
    <w:p w:rsidR="000A7EC7" w:rsidRPr="000A7EC7" w:rsidRDefault="000A7EC7" w:rsidP="000A7EC7">
      <w:pPr>
        <w:pStyle w:val="NormalBold"/>
      </w:pPr>
      <w:r w:rsidRPr="000A7EC7">
        <w:rPr>
          <w:rStyle w:val="HideTWBExt"/>
          <w:b w:val="0"/>
        </w:rPr>
        <w:lastRenderedPageBreak/>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bekräftigt seine Unterstützung für die laufende Tätigkeit der Polizeimission der Europäischen Union für die Palästinensischen Gebiete (EUPOL COPPS) und der Mission der Europäischen Union zur Unterstützung des Grenzschutzes (EU BAM) in Rafah bei der Unterstützung der von den palästinensischen Behörden durchgeführten Reform des Sicherheits- und Justizsektors und des integrierten Grenzschutzes;</w:t>
            </w:r>
          </w:p>
        </w:tc>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bekräftigt seine Unterstützung für die laufende Tätigkeit der Polizeimission der Europäischen Union für die Palästinensischen Gebiete (EUPOL COPPS) und der Mission der Europäischen Union zur Unterstützung des Grenzschutzes (EU BAM) in Rafah bei der Unterstützung der von den palästinensischen Behörden durchgeführten Reform des Sicherheits- und Justizsektors und des integrierten Grenzschutzes; </w:t>
            </w:r>
            <w:r w:rsidRPr="000A7EC7">
              <w:rPr>
                <w:b/>
                <w:i/>
              </w:rPr>
              <w:t>betont, dass die Menschenrechtsdialoge eine wichtige Rolle im Rahmen des Menschenrechtsinstrumentariums der EU spielen und ein Schlüsselinstrument für die Umsetzung des EU-Aktionsplans für Menschenrechte und Demokratie sind; hebt hervor, dass in diesen Dialoge mit den betreffenden Ländern die Gesamtsituation der Menschenrechte und der Demokratie behandelt werden sollten und sie dazu beitragen sollten, den Weg in die Zukunft zu ebnen; </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979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Emmanouil Kefalogiannis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w:t>
            </w:r>
            <w:r w:rsidRPr="000A7EC7">
              <w:tab/>
              <w:t xml:space="preserve">bekräftigt seine Unterstützung für die laufende Tätigkeit der Polizeimission der Europäischen Union für die Palästinensischen Gebiete (EUPOL COPPS) und der Mission der Europäischen Union zur Unterstützung des </w:t>
            </w:r>
            <w:r w:rsidRPr="000A7EC7">
              <w:lastRenderedPageBreak/>
              <w:t>Grenzschutzes (EU BAM) in Rafah bei der Unterstützung der von den palästinensischen Behörden durchgeführten Reform des Sicherheits- und Justizsektors und des integrierten Grenzschutzes;</w:t>
            </w:r>
          </w:p>
        </w:tc>
        <w:tc>
          <w:tcPr>
            <w:tcW w:w="4876" w:type="dxa"/>
            <w:tcBorders>
              <w:top w:val="nil"/>
              <w:left w:val="nil"/>
              <w:bottom w:val="nil"/>
              <w:right w:val="nil"/>
            </w:tcBorders>
          </w:tcPr>
          <w:p w:rsidR="000A7EC7" w:rsidRPr="000A7EC7" w:rsidRDefault="000A7EC7" w:rsidP="00592F5E">
            <w:pPr>
              <w:pStyle w:val="Normal6a"/>
            </w:pPr>
            <w:r w:rsidRPr="000A7EC7">
              <w:lastRenderedPageBreak/>
              <w:t>–</w:t>
            </w:r>
            <w:r w:rsidRPr="000A7EC7">
              <w:tab/>
              <w:t xml:space="preserve">bekräftigt seine Unterstützung für die laufende Tätigkeit der Polizeimission der Europäischen Union für die Palästinensischen Gebiete (EUPOL COPPS) und der Mission der Europäischen Union zur Unterstützung des </w:t>
            </w:r>
            <w:r w:rsidRPr="000A7EC7">
              <w:lastRenderedPageBreak/>
              <w:t xml:space="preserve">Grenzschutzes (EU BAM) in Rafah bei der Unterstützung der von den palästinensischen Behörden durchgeführten Reform des Sicherheits- und Justizsektors und des integrierten Grenzschutzes; </w:t>
            </w:r>
            <w:r w:rsidRPr="000A7EC7">
              <w:rPr>
                <w:b/>
                <w:i/>
              </w:rPr>
              <w:t>bekräftigt, dass es den Plan der Kommission für eine finanzielle Soforthilfe für die Palästinensische Behörde unterstützt, wobei auf deren Reform, Erholung, Resilienz und eine wirksame Regierungsführung abgezielt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Andrey Kovatchev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spricht sich dafür aus, dass die zivile Mission der Europäischen Union in Armenien (EUMA) so lange wie nötig aufrechterhalten wird, und die Staatsorgane Aserbaidschans aufzufordern, der Präsenz der EUMA auch auf ihrer Seite der Grenze zuzustimmen;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Christophe Gomart</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43 – Spiegelstrich 3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w:t>
            </w:r>
            <w:r w:rsidRPr="000A7EC7">
              <w:tab/>
            </w:r>
            <w:r w:rsidRPr="000A7EC7">
              <w:rPr>
                <w:b/>
                <w:i/>
              </w:rPr>
              <w:t xml:space="preserve">empfiehlt, Sanktionen gegen Aserbaidschan zu verhängen, das für die ethnische Säuberung in Bergkarabachs </w:t>
            </w:r>
            <w:r w:rsidRPr="000A7EC7">
              <w:rPr>
                <w:b/>
                <w:i/>
              </w:rPr>
              <w:lastRenderedPageBreak/>
              <w:t>verantwortlich ist, die sich gegen Armenier richtete;</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António Tânger Corrêa</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44.</w:t>
            </w:r>
            <w:r w:rsidRPr="000A7EC7">
              <w:tab/>
            </w:r>
            <w:r w:rsidRPr="000A7EC7">
              <w:rPr>
                <w:b/>
                <w:i/>
              </w:rPr>
              <w:t>fordert den HR/VP auf, die Beispiele erfolgreicher Evakuierungsmaßnahmen im Sudan und des verstärkten konsularischen Schutzes weiterzuverfolgen und auf ein umfassendes Schutzsystem für EU-Bürger im Ausland hinzuarbeiten;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44.</w:t>
            </w:r>
            <w:r w:rsidRPr="000A7EC7">
              <w:tab/>
              <w:t>fordert den HR/VP auf, die Beispiele erfolgreicher Evakuierungsmaßnahmen im Sudan und des verstärkten konsularischen Schutzes weiterzuverfolgen und auf ein umfassendes Schutzsystem für EU-Bürger im Ausland hinzuarbeiten;</w:t>
            </w:r>
          </w:p>
        </w:tc>
        <w:tc>
          <w:tcPr>
            <w:tcW w:w="4876" w:type="dxa"/>
            <w:tcBorders>
              <w:top w:val="nil"/>
              <w:left w:val="nil"/>
              <w:bottom w:val="nil"/>
              <w:right w:val="nil"/>
            </w:tcBorders>
          </w:tcPr>
          <w:p w:rsidR="000A7EC7" w:rsidRPr="000A7EC7" w:rsidRDefault="000A7EC7" w:rsidP="00592F5E">
            <w:pPr>
              <w:pStyle w:val="Normal6a"/>
            </w:pPr>
            <w:r w:rsidRPr="000A7EC7">
              <w:t>44.</w:t>
            </w:r>
            <w:r w:rsidRPr="000A7EC7">
              <w:tab/>
              <w:t xml:space="preserve">fordert den HR/VP auf, die Beispiele erfolgreicher Evakuierungsmaßnahmen im Sudan und des verstärkten konsularischen Schutzes weiterzuverfolgen und auf ein umfassendes Schutzsystem für EU-Bürger im Ausland hinzuarbeiten; </w:t>
            </w:r>
            <w:r w:rsidRPr="000A7EC7">
              <w:rPr>
                <w:b/>
                <w:i/>
              </w:rPr>
              <w:t xml:space="preserve">betont, dass die Auswirkungen anhaltender Krisen und Konflikte weltweit das Risiko einer Überlastung des konsularischen Schutzes und/oder der Unterstützung der Mitgliedstaaten mit sich bringen können, und fordert in diesem Zusammenhang, </w:t>
            </w:r>
            <w:r w:rsidRPr="000A7EC7">
              <w:rPr>
                <w:b/>
                <w:i/>
              </w:rPr>
              <w:lastRenderedPageBreak/>
              <w:t>die Kapazitäten und Ressourcen des Krisenreaktionszentrums des EAD und des EU-Katastrophenschutzverfahrens zu stärken;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44.</w:t>
            </w:r>
            <w:r w:rsidRPr="000A7EC7">
              <w:tab/>
              <w:t>fordert den HR/VP auf, die Beispiele erfolgreicher Evakuierungsmaßnahmen im Sudan und des verstärkten konsularischen Schutzes weiterzuverfolgen und auf ein umfassendes Schutzsystem für EU-Bürger im Ausland hinzuarbeiten;</w:t>
            </w:r>
          </w:p>
        </w:tc>
        <w:tc>
          <w:tcPr>
            <w:tcW w:w="4876" w:type="dxa"/>
            <w:tcBorders>
              <w:top w:val="nil"/>
              <w:left w:val="nil"/>
              <w:bottom w:val="nil"/>
              <w:right w:val="nil"/>
            </w:tcBorders>
          </w:tcPr>
          <w:p w:rsidR="000A7EC7" w:rsidRPr="000A7EC7" w:rsidRDefault="000A7EC7" w:rsidP="00592F5E">
            <w:pPr>
              <w:pStyle w:val="Normal6a"/>
            </w:pPr>
            <w:r w:rsidRPr="000A7EC7">
              <w:t>44.</w:t>
            </w:r>
            <w:r w:rsidRPr="000A7EC7">
              <w:tab/>
              <w:t xml:space="preserve">fordert den HR/VP auf, die Beispiele erfolgreicher Evakuierungsmaßnahmen im Sudan und des verstärkten konsularischen Schutzes weiterzuverfolgen und auf ein umfassendes Schutzsystem für EU-Bürger im Ausland </w:t>
            </w:r>
            <w:r w:rsidRPr="000A7EC7">
              <w:rPr>
                <w:b/>
                <w:i/>
              </w:rPr>
              <w:t xml:space="preserve">sowie für das örtliche Personal in EU-Delegationen und GASP-Missionen und -Operationen </w:t>
            </w:r>
            <w:r w:rsidRPr="000A7EC7">
              <w:t>hinzuarbeiten;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 xml:space="preserve">begrüßt die Anstrengungen der EU als globaler Vorreiter bei der Bekämpfung des Klimawandels und fordert die Kommission und den Europäischen Auswärtigen Dienst (EAD) nachdrücklich auf, neue Initiativen vorzuschlagen, mit denen der europäische Grüne Deal nach außen getragen wird; ist </w:t>
            </w:r>
            <w:r w:rsidRPr="000A7EC7">
              <w:rPr>
                <w:b/>
                <w:i/>
              </w:rPr>
              <w:lastRenderedPageBreak/>
              <w:t>davon überzeugt, dass die Umsetzung des europäischen Grünen Deals erhebliche geopolitische Auswirkungen haben und die Beziehungen der EU zu einigen ihrer Partner beeinflussen wird und dass die EU ambitionierte CO</w:t>
            </w:r>
            <w:r w:rsidRPr="000A7EC7">
              <w:rPr>
                <w:b/>
                <w:i/>
                <w:vertAlign w:val="subscript"/>
              </w:rPr>
              <w:t>2</w:t>
            </w:r>
            <w:r w:rsidRPr="000A7EC7">
              <w:rPr>
                <w:b/>
                <w:i/>
              </w:rPr>
              <w:t>-Reduktionsziele in Drittländern unterstützen sollte, und betont, dass die Klimadiplomatie eine entscheidende Rolle übernehmen muss; hebt die Bedeutung der wirtschaftlichen Widerstandsfähigkeit und des Aufbaus von Volkswirtschaften mit niedrigen CO</w:t>
            </w:r>
            <w:r w:rsidRPr="000A7EC7">
              <w:rPr>
                <w:b/>
                <w:i/>
                <w:vertAlign w:val="subscript"/>
              </w:rPr>
              <w:t>2</w:t>
            </w:r>
            <w:r w:rsidRPr="000A7EC7">
              <w:rPr>
                <w:b/>
                <w:i/>
              </w:rPr>
              <w:t>-Emissionen, die mit dem Übereinkommen von Paris in Einklang stehen, hervor; betont, dass sich die Investitionen in die Konnektivität auf wirtschaftliche Widerstandsfähigkeit und eine mit dem Übereinkommen von Paris vereinbare Umstellung auf eine Wirtschaft mit geringen CO</w:t>
            </w:r>
            <w:r w:rsidRPr="000A7EC7">
              <w:rPr>
                <w:b/>
                <w:i/>
                <w:vertAlign w:val="subscript"/>
              </w:rPr>
              <w:t>2</w:t>
            </w:r>
            <w:r w:rsidRPr="000A7EC7">
              <w:rPr>
                <w:b/>
                <w:i/>
              </w:rPr>
              <w:t>-Emissionen konzentrieren müssen;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 xml:space="preserve">betont, dass es wichtig ist, die Außengrenzen der EU zu schützen, und fordert die EU auf, die Aussetzung der Mittel in Erwägung zu ziehen, bis der entsprechende Empfängerstaat Vereinbarungen geschlossen hat, die die Rückführung illegaler Migranten aus den Mitgliedstaaten ermöglichen; fordert die EU auf, die Ressourcen aufzustocken und die Zusammenarbeit mit Partnern wie Europol, Interpol, Eurojust, Frontex, aber auch mit den Herkunfts-, Transit- und Zielländern illegaler Migranten zu vertiefen, damit diese Länder ihre </w:t>
            </w:r>
            <w:r w:rsidRPr="000A7EC7">
              <w:rPr>
                <w:b/>
                <w:i/>
              </w:rPr>
              <w:lastRenderedPageBreak/>
              <w:t>Maßnahmen zur Bekämpfung des Menschenhandels im Mittelmeerraum und in Belarus verstärken und die kriminelle Netze, die für den Menschenhandel genutzt werden, zerschlagen werden;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Andrey Kovatchev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fordert die aserbaidschanischen Staatsorgane auf, die sichere Rückkehr der armenischen Bevölkerung nach Bergkarabach mit internationalen Garantien und unter internationaler Präsenz zu ermöglichen; fordert, dass das armenische kulturelle, historische und religiöse Erbe in Bergkarabach nach Maßgabe der UNESCO-Standards und der internationalen Verpflichtungen Aserbaidschans geschützt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 xml:space="preserve">betont, dass die Mittel für den Europäischen Verteidigungsfonds aufgestockt werden müssen, um gemeinsame Forschung sowie entsprechende Technologien und Innovationen im Verteidigungsbereich zu </w:t>
            </w:r>
            <w:r w:rsidRPr="000A7EC7">
              <w:rPr>
                <w:b/>
                <w:i/>
              </w:rPr>
              <w:lastRenderedPageBreak/>
              <w:t>unterstützen; weist darauf hin, dass dies die Abhängigkeit der EU von externen Anbietern von Verteidigungsgütern verringern wird, insbesondere in kritischen Sektoren wie Cyberabwehr, Luft- und Raumfahrt und künstlicher Intelligenz, die für militärische Anwendungen eingesetzt wird;</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989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fordert die EU und ihre Mitgliedstaaten auf, fundierte Vorschläge zur Schaffung eines eigenen und dauerhaften Sitzes der Union in allen multilateralen Foren, einschließlich des Sicherheitsrats der Vereinten Nationen, vorzulegen, um die Rolle, Geschlossenheit und Überzeugungskraft der EU in der Welt zu stärken;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Ivaylo Valchev</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 xml:space="preserve">fordert, dass in Zusammenarbeit mit den Herkunfts- und Transitländern, in denen ein Migrationsdruck herrscht, konsequentere Maßnahmen zur Bekämpfung der irregulären Migration </w:t>
            </w:r>
            <w:r w:rsidRPr="000A7EC7">
              <w:rPr>
                <w:b/>
                <w:i/>
              </w:rPr>
              <w:lastRenderedPageBreak/>
              <w:t>ergriffen werden, bevor diese die Außengrenzen der Europäischen Union erreicht;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fordert die Kommission und den EAD auf, zusammen mit unseren Partner und im Einklang mit dem Bericht des Europäischen Parlaments über den EU-Aktionsplan für die Gleichstellung (GAP) III eine feministische Außen- und Sicherheitspolitik zu verfolgen;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Marc Botenga, Rima Hassan, Özlem Demirel</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{The Left}</w:t>
      </w:r>
      <w:r w:rsidRPr="000A7EC7">
        <w:t>im Namen der Fraktion The Left</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44a.</w:t>
            </w:r>
            <w:r w:rsidRPr="000A7EC7">
              <w:rPr>
                <w:b/>
                <w:i/>
              </w:rPr>
              <w:tab/>
              <w:t>fordert den HR/VP auf, auf eine kollektive Sicherheit hinzuarbeiten, die sich an dem Helsinki-Prozess von 1975 orientiert, um Frieden und Sicherheit für alle Menschen auf dem europäischen Kontinent zu sicherzustellen;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993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44b.</w:t>
            </w:r>
            <w:r w:rsidRPr="000A7EC7">
              <w:rPr>
                <w:b/>
                <w:i/>
              </w:rPr>
              <w:tab/>
              <w:t>stellt fest, dass die Arktisregion aufgrund neu entstehender Schifffahrtsrouten, ihrer reichen natürlichen Ressourcen und der Chancen für die wirtschaftliche Entwicklung, die sich aus der Erderwärmung ergeben, eine erhebliche strategische und geopolitische Bedeutung hat, sie aber zugleich in zunehmendem Maße umstritten ist; hält es für beunruhigend, dass autoritäre Regime, darunter Russland und China, verstärkt in der Arktis aktiv sind und ein wachsendes Interesse an der Region zeigen; betont, dass es wichtig ist, die Sicherheit, Stabilität und Zusammenarbeit in der Arktis zu wahren; betont, dass die Region frei von militärischen Spannungen und der Ausbeutung natürlicher Ressourcen bleiben muss, wobei die Rechte der indigenen Völker zu achten sind; bekräftigt, dass die Arktispolitik der Union in die GASP einbezogen und eine wirksame Zusammenarbeit mit der NATO aufgenommen werden muss; fordert, dass bei den Tagungen des Politischen und Sicherheitspolitischen Komitees und des Rates regelmäßig auf das Thema Arktis eingegangen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lastRenderedPageBreak/>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44b.</w:t>
            </w:r>
            <w:r w:rsidRPr="000A7EC7">
              <w:rPr>
                <w:b/>
                <w:i/>
              </w:rPr>
              <w:tab/>
              <w:t>betont, dass die SSZ-Initiativen weiter ausgebaut werden müssen, um die militärische Mobilität, die Cyberverteidigungskapazitäten und die gemeinsame Verteidigungsinfrastruktur der EU zu verbessern, wobei der Schwerpunkt auf der Entwicklung wichtiger Verteidigungssysteme wie unbemannte Luftfahrzeuge, Raketenabwehr und Marinekapazitäten liegen sollte, damit sich die Mitgliedstaaten der EU gemeinsam gegen neue Bedrohungen verteidigen können;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44c.</w:t>
            </w:r>
            <w:r w:rsidRPr="000A7EC7">
              <w:rPr>
                <w:b/>
                <w:i/>
              </w:rPr>
              <w:tab/>
              <w:t>begrüßt das erste Gipfeltreffen zwischen der EU und dem Golf-Kooperationsrat am 16. Oktober 2024; bedauert jedoch, dass die Menschenrechtsfragen in der gemeinsamen Erklärung des Gipfels nur am Rande behandelt wurden; fordert die EU und die Mitgliedstaaten auf, weiterhin die Achtung der Menschenrechte und die Gleichstellung der Geschlechter sowie die schrittweise Angleichung der Werte herauszustellen, insbesondere um dem Angriffskrieg Russlands gegen die Ukraine und seinen Folgen zu begegnen;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996</w:t>
      </w:r>
      <w:r w:rsidRPr="000A7EC7">
        <w:rPr>
          <w:rStyle w:val="HideTWBExt"/>
        </w:rPr>
        <w:t>&lt;/NumAm&gt;</w:t>
      </w:r>
    </w:p>
    <w:p w:rsidR="000A7EC7" w:rsidRPr="000A7EC7" w:rsidRDefault="000A7EC7" w:rsidP="000A7EC7">
      <w:pPr>
        <w:pStyle w:val="NormalBold"/>
      </w:pPr>
      <w:r w:rsidRPr="000A7EC7">
        <w:rPr>
          <w:rStyle w:val="HideTWBExt"/>
          <w:b w:val="0"/>
        </w:rPr>
        <w:lastRenderedPageBreak/>
        <w:t>&lt;RepeatBlock-By&gt;&lt;Members&gt;</w:t>
      </w:r>
      <w:r w:rsidRPr="000A7EC7">
        <w:t>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c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44c.</w:t>
            </w:r>
            <w:r w:rsidRPr="000A7EC7">
              <w:rPr>
                <w:b/>
                <w:i/>
              </w:rPr>
              <w:tab/>
              <w:t>fordert, dass die Präsenz und der Einfluss der EU in ihrer unmittelbaren Nachbarschaft, insbesondere in den Ländern des westlichen Balkans, Osteuropas und des Mittelmeerraums, durch wirtschaftliche Unterstützung, sicherheitspolitische Zusammenarbeit und diplomatisches Engagement gestärkt werden, wobei der EU die Möglichkeit gegeben wird, ihre Interessen zu schützen, die Stabilität zu fördern und ihre Werte weltweit voranzubringen;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 Marco Tarquinio, Vasile Dîncu</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d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44d.</w:t>
            </w:r>
            <w:r w:rsidRPr="000A7EC7">
              <w:rPr>
                <w:b/>
                <w:i/>
              </w:rPr>
              <w:tab/>
              <w:t>fordert die EU auf, ihre Unterstützung von Zivilgesellschaft und Menschenrechtsverteidigern in unseren Partnerländern angesichts des schrumpfenden Handlungsspielraums, den die Zivilgesellschaft in der Welt hat, zu verstärken;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 xml:space="preserve">Sven Mikser, Lucia Annunziata, Nicola Zingaretti, Thijs Reuten, Alessandra Moretti, Giorgio Gori, Tobias Cremer, Yannis Maniatis, Marco </w:t>
      </w:r>
      <w:r w:rsidRPr="000A7EC7">
        <w:lastRenderedPageBreak/>
        <w:t>Tarquinio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44 e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44e.</w:t>
            </w:r>
            <w:r w:rsidRPr="000A7EC7">
              <w:rPr>
                <w:b/>
                <w:i/>
              </w:rPr>
              <w:tab/>
              <w:t>bringt seine ernste Besorgnis über die weltweit zunehmenden Angriffe auf die Rechte von LGBTIQ-Personen zum Ausdruck, zumal LGBTIQ-Personen weiterhin unter Diskriminierung und Gewalt leiden, auch in Ländern, in denen diese hart erkämpften Rechte trotz einiger Fortschritte neuerdings ins Hintertreffen geraten, etwa durch feindselige Äußerungen gewählter Politiker, eine Zunahme homophober Gewalt und die Ausrufung sogenannter LGBTIQ-freier Zonen;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999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45.</w:t>
            </w:r>
            <w:r w:rsidRPr="000A7EC7">
              <w:tab/>
            </w:r>
            <w:r w:rsidRPr="000A7EC7">
              <w:rPr>
                <w:b/>
                <w:i/>
              </w:rPr>
              <w:t>ist der Ansicht, dass eine stärkere institutionalisierte parlamentarische Kontrolle des auswärtigen Handelns der EU erforderlich ist, einschließlich eines regelmäßigen und rechtzeitigen, aber auch sicheren Zugangs zu vertraulichen Informationen;</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Adam Bielan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lastRenderedPageBreak/>
        <w:t>&lt;Article&gt;</w:t>
      </w:r>
      <w:r w:rsidRPr="000A7EC7">
        <w:t>Ziffer 45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45.</w:t>
            </w:r>
            <w:r w:rsidRPr="000A7EC7">
              <w:tab/>
              <w:t>ist der Ansicht, dass eine stärkere institutionalisierte parlamentarische Kontrolle des auswärtigen Handelns der EU erforderlich ist, einschließlich eines regelmäßigen und rechtzeitigen, aber auch sicheren Zugangs zu vertraulichen Informationen;</w:t>
            </w:r>
          </w:p>
        </w:tc>
        <w:tc>
          <w:tcPr>
            <w:tcW w:w="4876" w:type="dxa"/>
            <w:tcBorders>
              <w:top w:val="nil"/>
              <w:left w:val="nil"/>
              <w:bottom w:val="nil"/>
              <w:right w:val="nil"/>
            </w:tcBorders>
          </w:tcPr>
          <w:p w:rsidR="000A7EC7" w:rsidRPr="000A7EC7" w:rsidRDefault="000A7EC7" w:rsidP="00592F5E">
            <w:pPr>
              <w:pStyle w:val="Normal6a"/>
            </w:pPr>
            <w:r w:rsidRPr="000A7EC7">
              <w:t>45.</w:t>
            </w:r>
            <w:r w:rsidRPr="000A7EC7">
              <w:tab/>
              <w:t xml:space="preserve">ist der Ansicht, dass eine stärkere institutionalisierte parlamentarische Kontrolle des auswärtigen Handelns der EU erforderlich ist, einschließlich eines regelmäßigen und rechtzeitigen, aber auch sicheren Zugangs zu vertraulichen Informationen; </w:t>
            </w:r>
            <w:r w:rsidRPr="000A7EC7">
              <w:rPr>
                <w:b/>
                <w:i/>
              </w:rPr>
              <w:t>betont, dass der EAD mehr Rückmeldungen über seine Maßnahmen (und deren Auswirkungen) geben muss, die er ergriffen hat, um den Empfehlungen nachzukommen, die das Europäische Parlaments zu außenpolitischen Fragen in seinen Entschließungen formuliert hat;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Željana Zovko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45</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45.</w:t>
            </w:r>
            <w:r w:rsidRPr="000A7EC7">
              <w:tab/>
              <w:t>ist der Ansicht, dass eine stärkere institutionalisierte parlamentarische Kontrolle des auswärtigen Handelns der EU erforderlich ist, einschließlich eines regelmäßigen und rechtzeitigen, aber auch sicheren Zugangs zu vertraulichen Informationen;</w:t>
            </w:r>
          </w:p>
        </w:tc>
        <w:tc>
          <w:tcPr>
            <w:tcW w:w="4876" w:type="dxa"/>
            <w:tcBorders>
              <w:top w:val="nil"/>
              <w:left w:val="nil"/>
              <w:bottom w:val="nil"/>
              <w:right w:val="nil"/>
            </w:tcBorders>
          </w:tcPr>
          <w:p w:rsidR="000A7EC7" w:rsidRPr="000A7EC7" w:rsidRDefault="000A7EC7" w:rsidP="00592F5E">
            <w:pPr>
              <w:pStyle w:val="Normal6a"/>
            </w:pPr>
            <w:r w:rsidRPr="000A7EC7">
              <w:t>45.</w:t>
            </w:r>
            <w:r w:rsidRPr="000A7EC7">
              <w:tab/>
              <w:t>ist der Ansicht, dass eine stärkere institutionalisierte parlamentarische Kontrolle des auswärtigen Handelns der EU erforderlich ist, einschließlich eines regelmäßigen und rechtzeitigen, aber auch sicheren Zugangs zu vertraulichen Informationen</w:t>
            </w:r>
            <w:r w:rsidRPr="000A7EC7">
              <w:rPr>
                <w:b/>
                <w:i/>
              </w:rPr>
              <w:t xml:space="preserve"> und einer Unterrichtung des Parlaments</w:t>
            </w:r>
            <w:r w:rsidRPr="000A7EC7">
              <w: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Sebastiaan Stöteler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46</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46.</w:t>
            </w:r>
            <w:r w:rsidRPr="000A7EC7">
              <w:tab/>
              <w:t xml:space="preserve">betont, dass das Europäische Parlament im Rahmen der GASP, zu der die GSVP gehört, seine Haushaltsbefugnisse gemeinsam mit dem Rat ausübt; weist darauf hin, dass es auch die Aufgabe der politischen </w:t>
            </w:r>
            <w:r w:rsidRPr="000A7EC7">
              <w:rPr>
                <w:b/>
                <w:i/>
              </w:rPr>
              <w:t xml:space="preserve">Kontrolle und </w:t>
            </w:r>
            <w:r w:rsidRPr="000A7EC7">
              <w:t>Konsultation hinsichtlich dieser Politikbereiche gemäß Artikel 36 EUV wahrnimmt;</w:t>
            </w:r>
          </w:p>
        </w:tc>
        <w:tc>
          <w:tcPr>
            <w:tcW w:w="4876" w:type="dxa"/>
            <w:tcBorders>
              <w:top w:val="nil"/>
              <w:left w:val="nil"/>
              <w:bottom w:val="nil"/>
              <w:right w:val="nil"/>
            </w:tcBorders>
          </w:tcPr>
          <w:p w:rsidR="000A7EC7" w:rsidRPr="000A7EC7" w:rsidRDefault="000A7EC7" w:rsidP="00592F5E">
            <w:pPr>
              <w:pStyle w:val="Normal6a"/>
            </w:pPr>
            <w:r w:rsidRPr="000A7EC7">
              <w:t>46.</w:t>
            </w:r>
            <w:r w:rsidRPr="000A7EC7">
              <w:tab/>
              <w:t>betont, dass das Europäische Parlament im Rahmen der GASP, zu der die GSVP gehört, seine Haushaltsbefugnisse gemeinsam mit dem Rat ausübt; weist darauf hin, dass es auch die Aufgabe der politischen Konsultation hinsichtlich dieser Politikbereiche gemäß Artikel 36 EUV wahrnimmt;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47.</w:t>
            </w:r>
            <w:r w:rsidRPr="000A7EC7">
              <w:tab/>
              <w:t xml:space="preserve">weist darauf hin, dass alle GASP- und GSVP-Ausgaben zulasten des EU-Haushalts gehen sollten, sofern der Rat nicht von Fall zu Fall etwas anderes beschließt oder wenn die Ausgaben Vorhaben mit militärischen oder verteidigungspolitischen Bezügen betreffen; </w:t>
            </w:r>
            <w:r w:rsidRPr="000A7EC7">
              <w:rPr>
                <w:b/>
                <w:i/>
              </w:rPr>
              <w:t>erkennt an, dass es Sache des Rates ist, festzustellen, ob es sich bei einer Maßnahme der EU im Ausland um eine Operation mit militärischen oder verteidigungspolitischen Bezügen handelt; betont, dass der Rat in allen anderen Fällen von Beschlüssen im Rahmen der GASP oder GSVP, die mit Ausgaben verbunden sind, erwägen sollte, die Ausgaben zulasten des EU-Haushalts zu verbuchen;</w:t>
            </w:r>
          </w:p>
        </w:tc>
        <w:tc>
          <w:tcPr>
            <w:tcW w:w="4876" w:type="dxa"/>
            <w:tcBorders>
              <w:top w:val="nil"/>
              <w:left w:val="nil"/>
              <w:bottom w:val="nil"/>
              <w:right w:val="nil"/>
            </w:tcBorders>
          </w:tcPr>
          <w:p w:rsidR="000A7EC7" w:rsidRPr="000A7EC7" w:rsidRDefault="000A7EC7" w:rsidP="00592F5E">
            <w:pPr>
              <w:pStyle w:val="Normal6a"/>
            </w:pPr>
            <w:r w:rsidRPr="000A7EC7">
              <w:t>47.</w:t>
            </w:r>
            <w:r w:rsidRPr="000A7EC7">
              <w:tab/>
              <w:t>weist darauf hin, dass alle GASP- und GSVP-Ausgaben zulasten des EU-Haushalts gehen sollten, sofern der Rat nicht von Fall zu Fall etwas anderes beschließt oder wenn die Ausgaben Vorhaben mit militärischen oder verteidigungspolitischen Bezügen betreffen;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lastRenderedPageBreak/>
        <w:t>&lt;Amend&gt;</w:t>
      </w:r>
      <w:r w:rsidRPr="000A7EC7">
        <w:t>Änderungsantrag</w:t>
      </w:r>
      <w:r w:rsidRPr="000A7EC7">
        <w:tab/>
      </w:r>
      <w:r w:rsidRPr="000A7EC7">
        <w:tab/>
      </w:r>
      <w:r w:rsidRPr="000A7EC7">
        <w:rPr>
          <w:rStyle w:val="HideTWBExt"/>
        </w:rPr>
        <w:t>&lt;NumAm&gt;</w:t>
      </w:r>
      <w:r w:rsidRPr="000A7EC7">
        <w:t>1004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Sebastiaan Stöteler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47</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47.</w:t>
            </w:r>
            <w:r w:rsidRPr="000A7EC7">
              <w:tab/>
              <w:t xml:space="preserve">weist darauf hin, dass alle GASP- und GSVP-Ausgaben zulasten des EU-Haushalts gehen sollten, sofern der Rat nicht von Fall zu Fall etwas anderes beschließt oder wenn die Ausgaben Vorhaben mit militärischen oder verteidigungspolitischen Bezügen betreffen; erkennt an, dass es Sache des Rates ist, festzustellen, ob es sich bei einer Maßnahme der EU im Ausland um eine Operation mit militärischen oder verteidigungspolitischen Bezügen handelt; </w:t>
            </w:r>
            <w:r w:rsidRPr="000A7EC7">
              <w:rPr>
                <w:b/>
                <w:i/>
              </w:rPr>
              <w:t>betont, dass der Rat in allen anderen Fällen von Beschlüssen im Rahmen der GASP oder GSVP, die mit Ausgaben verbunden sind, erwägen sollte, die Ausgaben zulasten des EU-Haushalts zu verbuchen;</w:t>
            </w:r>
          </w:p>
        </w:tc>
        <w:tc>
          <w:tcPr>
            <w:tcW w:w="4876" w:type="dxa"/>
            <w:tcBorders>
              <w:top w:val="nil"/>
              <w:left w:val="nil"/>
              <w:bottom w:val="nil"/>
              <w:right w:val="nil"/>
            </w:tcBorders>
          </w:tcPr>
          <w:p w:rsidR="000A7EC7" w:rsidRPr="000A7EC7" w:rsidRDefault="000A7EC7" w:rsidP="00592F5E">
            <w:pPr>
              <w:pStyle w:val="Normal6a"/>
            </w:pPr>
            <w:r w:rsidRPr="000A7EC7">
              <w:t>47.</w:t>
            </w:r>
            <w:r w:rsidRPr="000A7EC7">
              <w:tab/>
              <w:t>weist darauf hin, dass alle GASP- und GSVP-Ausgaben zulasten des EU-Haushalts gehen sollten, sofern der Rat nicht von Fall zu Fall etwas anderes beschließt oder wenn die Ausgaben Vorhaben mit militärischen oder verteidigungspolitischen Bezügen betreffen; erkennt an, dass es Sache des Rates ist, festzustellen, ob es sich bei einer Maßnahme der EU im Ausland um eine Operation mit militärischen oder verteidigungspolitischen Bezügen handelt;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47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47a.</w:t>
            </w:r>
            <w:r w:rsidRPr="000A7EC7">
              <w:rPr>
                <w:b/>
                <w:i/>
              </w:rPr>
              <w:tab/>
              <w:t xml:space="preserve">weist erneut auf Nummer 1 Buchstabe m seiner Empfehlung vom 8. Juni 2022 an den Rat und den Vizepräsidenten der Kommission und Hohen Vertreter der Union für Außen- und Sicherheitspolitik zu der Außen-, Sicherheits- und Verteidigungspolitik der EU nach dem Angriffskrieg Russlands gegen die Ukraine hin und auf seine </w:t>
            </w:r>
            <w:r w:rsidRPr="000A7EC7">
              <w:rPr>
                <w:b/>
                <w:i/>
              </w:rPr>
              <w:lastRenderedPageBreak/>
              <w:t>Forderung, dringend eine Diskussion im Hinblick auf die Einrichtung einer weiteren außerbudgetären Finanzfazilität aufzunehmen, die sich mit dem gesamten Lebenszyklus militärischer Fähigkeiten auf der Ebene der EU befassen würde, von der gemeinsamen Forschung und Entwicklung und der gemeinsamen Beschaffung bis hin zu gemeinsamer Wartung, Ausbildung und Versorgungssicherheit;</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47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47b.</w:t>
            </w:r>
            <w:r w:rsidRPr="000A7EC7">
              <w:rPr>
                <w:b/>
                <w:i/>
              </w:rPr>
              <w:tab/>
              <w:t>bedauert, dass die Haushaltsmittel im Rahmen der Gemeinsamen Außen- und Sicherheitspolitik (GASP) für zivile GSVP-Missionen im mehrjährigen Finanzrahmen (MFR) 2021-2027 gegenüber dem MFR 2014-2020 lediglich geringfügig aufgestockt wurden (bei einem Ausgangspunkt von etwa 350 Mio. EUR pro Jahr), während gleichzeitig die Anzahl der Missionen gestiegen ist und deren Aufgaben zugenommen haben, das Sicherheitsumfeld schwieriger geworden ist und die Kosten der Operationen gestiegen sind; fordert daher die Mitgliedstaaten nachdrücklich auf, die Mittel für den GASP-Haushalt erheblich aufzustocken und gleichzeitig für die effiziente Verwendung der den zivilen GSVP-Missionen zugewiesenen Mittel zu sorgen und somit sicherzustellen, dass mit ihnen wirksam auf Krisensituationen und unvorhergesehene Ereignisse reagiert werden kann;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48.</w:t>
            </w:r>
            <w:r w:rsidRPr="000A7EC7">
              <w:tab/>
            </w:r>
            <w:r w:rsidRPr="000A7EC7">
              <w:rPr>
                <w:b/>
                <w:i/>
              </w:rPr>
              <w:t>betont, dass es sich bei GASP- oder GSVP-Beschlüssen, die mit Ausgaben verbunden sind, stets um grundlegende Optionen für diese Politikbereiche handelt; fordert den HR/VP auf, das Europäische Parlament zu konsultieren, bevor solche Vorschläge für solche GASP- oder GSVP-Beschlüsse unterbreitet;</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Rihards Kols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48</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48.</w:t>
            </w:r>
            <w:r w:rsidRPr="000A7EC7">
              <w:tab/>
              <w:t xml:space="preserve">betont, dass </w:t>
            </w:r>
            <w:r w:rsidRPr="000A7EC7">
              <w:rPr>
                <w:b/>
                <w:i/>
              </w:rPr>
              <w:t>es sich bei</w:t>
            </w:r>
            <w:r w:rsidRPr="000A7EC7">
              <w:t xml:space="preserve"> GASP- oder </w:t>
            </w:r>
            <w:r w:rsidRPr="000A7EC7">
              <w:rPr>
                <w:b/>
                <w:i/>
              </w:rPr>
              <w:t>GSVP-Beschlüssen</w:t>
            </w:r>
            <w:r w:rsidRPr="000A7EC7">
              <w:t xml:space="preserve">, die mit Ausgaben verbunden sind, stets </w:t>
            </w:r>
            <w:r w:rsidRPr="000A7EC7">
              <w:rPr>
                <w:b/>
                <w:i/>
              </w:rPr>
              <w:t>um grundlegende Optionen für diese Politikbereiche handelt</w:t>
            </w:r>
            <w:r w:rsidRPr="000A7EC7">
              <w:t xml:space="preserve">; fordert den HR/VP auf, das Europäische Parlament zu konsultieren, bevor </w:t>
            </w:r>
            <w:r w:rsidRPr="000A7EC7">
              <w:rPr>
                <w:b/>
                <w:i/>
              </w:rPr>
              <w:t>solche Vorschläge für solche GASP- oder GSVP-Beschlüsse unterbreitet</w:t>
            </w:r>
            <w:r w:rsidRPr="000A7EC7">
              <w:t>;</w:t>
            </w:r>
          </w:p>
        </w:tc>
        <w:tc>
          <w:tcPr>
            <w:tcW w:w="4876" w:type="dxa"/>
            <w:tcBorders>
              <w:top w:val="nil"/>
              <w:left w:val="nil"/>
              <w:bottom w:val="nil"/>
              <w:right w:val="nil"/>
            </w:tcBorders>
          </w:tcPr>
          <w:p w:rsidR="000A7EC7" w:rsidRPr="000A7EC7" w:rsidRDefault="000A7EC7" w:rsidP="00592F5E">
            <w:pPr>
              <w:pStyle w:val="Normal6a"/>
            </w:pPr>
            <w:r w:rsidRPr="000A7EC7">
              <w:t>48.</w:t>
            </w:r>
            <w:r w:rsidRPr="000A7EC7">
              <w:tab/>
              <w:t xml:space="preserve">betont, dass </w:t>
            </w:r>
            <w:r w:rsidRPr="000A7EC7">
              <w:rPr>
                <w:b/>
                <w:i/>
              </w:rPr>
              <w:t>die</w:t>
            </w:r>
            <w:r w:rsidRPr="000A7EC7">
              <w:t xml:space="preserve"> GASP- oder </w:t>
            </w:r>
            <w:r w:rsidRPr="000A7EC7">
              <w:rPr>
                <w:b/>
                <w:i/>
              </w:rPr>
              <w:t>GSVP-Beschlüsse</w:t>
            </w:r>
            <w:r w:rsidRPr="000A7EC7">
              <w:t xml:space="preserve">, die mit Ausgaben verbunden sind, stets </w:t>
            </w:r>
            <w:r w:rsidRPr="000A7EC7">
              <w:rPr>
                <w:b/>
                <w:i/>
              </w:rPr>
              <w:t>einer parlamentarischen Aufsicht unterliegen müssen</w:t>
            </w:r>
            <w:r w:rsidRPr="000A7EC7">
              <w:t xml:space="preserve">; fordert den HR/VP auf, das Europäische Parlament zu konsultieren, bevor </w:t>
            </w:r>
            <w:r w:rsidRPr="000A7EC7">
              <w:rPr>
                <w:b/>
                <w:i/>
              </w:rPr>
              <w:t>er GASP- oder GSVP-Beschlüsse vorschlägt, damit die Transparenz und Rechenschaftspflicht im Einklang mit Artikel 36 EUV sichergestellt werden;</w:t>
            </w:r>
            <w:r w:rsidRPr="000A7EC7">
              <w:t xml:space="preserve"> </w:t>
            </w:r>
            <w:r w:rsidRPr="000A7EC7">
              <w:rPr>
                <w:b/>
                <w:i/>
              </w:rPr>
              <w:t xml:space="preserve">empfiehlt strukturierte Dialoge zwischen dem Hohen Vertreter und den nationalen Parlamenten, um die Rechenschaftspflicht sowohl auf der </w:t>
            </w:r>
            <w:r w:rsidRPr="000A7EC7">
              <w:rPr>
                <w:b/>
                <w:i/>
              </w:rPr>
              <w:lastRenderedPageBreak/>
              <w:t>Ebene der EU als auch auf nationaler Ebene zu wahren;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1009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49</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rPr>
                <w:b/>
                <w:i/>
              </w:rPr>
              <w:t>49.</w:t>
            </w:r>
            <w:r w:rsidRPr="000A7EC7">
              <w:tab/>
            </w:r>
            <w:r w:rsidRPr="000A7EC7">
              <w:rPr>
                <w:b/>
                <w:i/>
              </w:rPr>
              <w:t>weist darauf hin, dass die Ausübung der Haushaltsbefugnisse des Europäischen Parlaments untrennbar mit seiner Funktion der politischen Kontrolle und Konsultation verbunden ist; weist darauf hin, dass gemäß Artikel 36 EUV eine besondere Beziehung zwischen dem HR/VP und dem Europäischen Parlament besteht, die eine Voraussetzung für die Wahrnehmung dieser Aufgaben durch das Parlament ist, und dass der VP/VR das Parlament in dieser Hinsicht unterstützen sollte;</w:t>
            </w:r>
          </w:p>
        </w:tc>
        <w:tc>
          <w:tcPr>
            <w:tcW w:w="4876" w:type="dxa"/>
            <w:tcBorders>
              <w:top w:val="nil"/>
              <w:left w:val="nil"/>
              <w:bottom w:val="nil"/>
              <w:right w:val="nil"/>
            </w:tcBorders>
          </w:tcPr>
          <w:p w:rsidR="000A7EC7" w:rsidRPr="000A7EC7" w:rsidRDefault="000A7EC7" w:rsidP="00592F5E">
            <w:pPr>
              <w:pStyle w:val="Normal6a"/>
            </w:pPr>
            <w:r w:rsidRPr="000A7EC7">
              <w:rPr>
                <w:b/>
                <w:i/>
              </w:rPr>
              <w:t>entfällt</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1010</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Alice Teodorescu Måwe</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49a.</w:t>
            </w:r>
            <w:r w:rsidRPr="000A7EC7">
              <w:rPr>
                <w:b/>
                <w:i/>
              </w:rPr>
              <w:tab/>
              <w:t xml:space="preserve">fordert die Kommission nachdrücklich auf, die Zuweisung von EU-Mitteln an Einzelpersonen oder Organisationen zu verbieten, die Verbindungen zu terroristischen oder islamistischen Bewegungen oder anderen extremistischen Bewegungen, die den </w:t>
            </w:r>
            <w:r w:rsidRPr="000A7EC7">
              <w:rPr>
                <w:b/>
                <w:i/>
              </w:rPr>
              <w:lastRenderedPageBreak/>
              <w:t>Grundwerten der Europäischen Union zuwiderlaufen, unterhalten, und fordert zu diesem Zweck, dass die Überwachungs- und Kontrollmechanismen gestärkt werden, damit Unionsmittel unter keinen Umständen für Aktivitäten, Projekte oder Literatur verwendet werden, die zu Gewalt und/oder Hass wie Antisemitismus aufstacheln; ist der Auffassung, dass diese Einschränkung auch für die EU-Finanzierung Dritter gelten sollte, die direkt oder indirekt zur Finanzierung solcher Einrichtungen oder Aktivitäten beitragen;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{SV}</w:t>
      </w:r>
      <w:r w:rsidRPr="000A7EC7">
        <w:t>sv</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1011</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David McAllister</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49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49a.</w:t>
            </w:r>
            <w:r w:rsidRPr="000A7EC7">
              <w:rPr>
                <w:b/>
                <w:i/>
              </w:rPr>
              <w:tab/>
              <w:t>bedauert, dass die GASP-Haushaltsmittel für zivile GSVP-Missionen im mehrjährigen Finanzrahmen (MFR) 2021-2027 gegenüber dem MFR 2014-2020 lediglich geringfügig aufgestockt wurden, obwohl die Anzahl der Missionen und der in ihrem Rahmen zu erledigenden Aufgaben gestiegen ist, das Sicherheitsumfeld schwieriger geworden ist und die Kosten der Operationen gestiegen sind;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1012</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Alice Teodorescu Måwe</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49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49b.</w:t>
            </w:r>
            <w:r w:rsidRPr="000A7EC7">
              <w:rPr>
                <w:b/>
                <w:i/>
              </w:rPr>
              <w:tab/>
              <w:t>fordert eine stärkere Auflagenbindung der Hilfe; ist der Ansicht, dass in Fällen, in denen festgestellt wird, dass EU-Mittel missbräuchlich verwendet wurden und für Zwecke verwendet wurden, die den Grundwerten der Union zuwiderlaufen, die Hilfe immer eingestellt, gekürzt oder zumindest strengeren Bedingungen und Kontrollen unterworfen werden sollte;</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{SV}</w:t>
      </w:r>
      <w:r w:rsidRPr="000A7EC7">
        <w:t>sv</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1013</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Merja Kyllönen</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50.</w:t>
            </w:r>
            <w:r w:rsidRPr="000A7EC7">
              <w:tab/>
              <w:t>fordert die Kommission auf, ihre Vorschläge für den nächsten MFR im ersten Halbjahr 2025 vorzulegen, damit genügend Zeit für die Aushandlung der Programme bleibt; betont, dass sowohl im Rahmen des Instruments für Nachbarschaft, Entwicklungszusammenarbeit und internationale Zusammenarbeit – Europa in der Welt (NDICI/Europa in der Welt) als auch des Instruments für Heranführungshilfe ein detaillierterer Eingliederungsplan erforderlich ist, der es der Haushaltsbehörde ermöglicht, politische und geografische Prioritäten im Rahmen des jährlichen Haushaltsverfahrens festzulegen;</w:t>
            </w:r>
          </w:p>
        </w:tc>
        <w:tc>
          <w:tcPr>
            <w:tcW w:w="4876" w:type="dxa"/>
            <w:tcBorders>
              <w:top w:val="nil"/>
              <w:left w:val="nil"/>
              <w:bottom w:val="nil"/>
              <w:right w:val="nil"/>
            </w:tcBorders>
          </w:tcPr>
          <w:p w:rsidR="000A7EC7" w:rsidRPr="000A7EC7" w:rsidRDefault="000A7EC7" w:rsidP="00592F5E">
            <w:pPr>
              <w:pStyle w:val="Normal6a"/>
            </w:pPr>
            <w:r w:rsidRPr="000A7EC7">
              <w:t>50.</w:t>
            </w:r>
            <w:r w:rsidRPr="000A7EC7">
              <w:tab/>
              <w:t xml:space="preserve">fordert die Kommission auf, ihre Vorschläge für den nächsten MFR im ersten Halbjahr 2025 vorzulegen, damit genügend Zeit für die Aushandlung der Programme bleibt; betont, dass sowohl im Rahmen des Instruments für Nachbarschaft, Entwicklungszusammenarbeit und internationale Zusammenarbeit – Europa in der Welt (NDICI/Europa in der Welt) als auch des Instruments für Heranführungshilfe ein detaillierterer Eingliederungsplan erforderlich ist, der es der Haushaltsbehörde ermöglicht, politische und geografische Prioritäten im Rahmen des jährlichen Haushaltsverfahrens festzulegen; </w:t>
            </w:r>
            <w:r w:rsidRPr="000A7EC7">
              <w:rPr>
                <w:b/>
                <w:i/>
              </w:rPr>
              <w:t xml:space="preserve">betont, dass es von entscheidender Bedeutung ist, die Zivilgesellschaft und Personen, die abweichende Ansichten äußern, unmittelbar zu unterstützen, insbesondere vor dem Hintergrund zunehmender globaler Spannungen und Repressionen </w:t>
            </w:r>
            <w:r w:rsidRPr="000A7EC7">
              <w:rPr>
                <w:b/>
                <w:i/>
              </w:rPr>
              <w:lastRenderedPageBreak/>
              <w:t>in immer mehr Ländern und angesichts der drastischen Mittelkürzungen für diese Organisationen;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1014</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Hannah Neumann</w:t>
      </w:r>
      <w:r w:rsidRPr="000A7EC7">
        <w:rPr>
          <w:rStyle w:val="HideTWBExt"/>
          <w:b w:val="0"/>
        </w:rPr>
        <w:t>&lt;/Members&gt;</w:t>
      </w:r>
    </w:p>
    <w:p w:rsidR="000A7EC7" w:rsidRPr="000A7EC7" w:rsidRDefault="000A7EC7" w:rsidP="000A7EC7">
      <w:r w:rsidRPr="000A7EC7">
        <w:rPr>
          <w:rStyle w:val="HideTWBExt"/>
        </w:rPr>
        <w:t>&lt;AuNomDe&gt;</w:t>
      </w:r>
      <w:r w:rsidRPr="000A7EC7">
        <w:rPr>
          <w:rStyle w:val="HideTWBInt"/>
          <w:color w:val="auto"/>
        </w:rPr>
        <w:t>{Greens/EFA}</w:t>
      </w:r>
      <w:r w:rsidRPr="000A7EC7">
        <w:t>im Namen der Verts/ALE-Fraktion</w:t>
      </w:r>
      <w:r w:rsidRPr="000A7EC7">
        <w:rPr>
          <w:rStyle w:val="HideTWBExt"/>
        </w:rPr>
        <w:t>&lt;/AuNomDe&gt;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50</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50.</w:t>
            </w:r>
            <w:r w:rsidRPr="000A7EC7">
              <w:tab/>
              <w:t xml:space="preserve">fordert die Kommission auf, ihre Vorschläge für den nächsten MFR im ersten Halbjahr 2025 vorzulegen, damit genügend Zeit für die Aushandlung der Programme bleibt; betont, dass </w:t>
            </w:r>
            <w:r w:rsidRPr="000A7EC7">
              <w:rPr>
                <w:b/>
                <w:i/>
              </w:rPr>
              <w:t xml:space="preserve">sowohl </w:t>
            </w:r>
            <w:r w:rsidRPr="000A7EC7">
              <w:t>im Rahmen des Instruments für Nachbarschaft, Entwicklungszusammenarbeit und internationale Zusammenarbeit – Europa in der Welt (NDICI/Europa in der Welt)</w:t>
            </w:r>
            <w:r w:rsidRPr="000A7EC7">
              <w:rPr>
                <w:b/>
                <w:i/>
              </w:rPr>
              <w:t xml:space="preserve"> als auch</w:t>
            </w:r>
            <w:r w:rsidRPr="000A7EC7">
              <w:t xml:space="preserve"> des Instruments für Heranführungshilfe ein detaillierterer Eingliederungsplan erforderlich ist, der es der Haushaltsbehörde ermöglicht, politische und geografische Prioritäten im Rahmen des jährlichen Haushaltsverfahrens festzulegen;</w:t>
            </w:r>
          </w:p>
        </w:tc>
        <w:tc>
          <w:tcPr>
            <w:tcW w:w="4876" w:type="dxa"/>
            <w:tcBorders>
              <w:top w:val="nil"/>
              <w:left w:val="nil"/>
              <w:bottom w:val="nil"/>
              <w:right w:val="nil"/>
            </w:tcBorders>
          </w:tcPr>
          <w:p w:rsidR="000A7EC7" w:rsidRPr="000A7EC7" w:rsidRDefault="000A7EC7" w:rsidP="00592F5E">
            <w:pPr>
              <w:pStyle w:val="Normal6a"/>
            </w:pPr>
            <w:r w:rsidRPr="000A7EC7">
              <w:t>50.</w:t>
            </w:r>
            <w:r w:rsidRPr="000A7EC7">
              <w:tab/>
              <w:t>fordert die Kommission auf, ihre Vorschläge für den nächsten MFR im ersten Halbjahr 2025 vorzulegen, damit genügend Zeit für die Aushandlung der Programme bleibt; betont, dass im Rahmen des Instruments für Nachbarschaft, Entwicklungszusammenarbeit und internationale Zusammenarbeit – Europa in der Welt (NDICI/Europa in der Welt)</w:t>
            </w:r>
            <w:r w:rsidRPr="000A7EC7">
              <w:rPr>
                <w:b/>
                <w:i/>
              </w:rPr>
              <w:t>, der GASP und</w:t>
            </w:r>
            <w:r w:rsidRPr="000A7EC7">
              <w:t xml:space="preserve"> des Instruments für Heranführungshilfe ein detaillierterer Eingliederungsplan erforderlich ist, der es der Haushaltsbehörde ermöglicht, politische und geografische Prioritäten im Rahmen des jährlichen Haushaltsverfahrens festzulegen;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1015</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50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50a.</w:t>
            </w:r>
            <w:r w:rsidRPr="000A7EC7">
              <w:rPr>
                <w:b/>
                <w:i/>
              </w:rPr>
              <w:tab/>
              <w:t>weist erneut darauf hin, dass der EAD strukturell unterfinanziert ist und beim Ansatz für den Verwaltungshaushalt nicht denselben Sachzwängen wie die anderen Organe, Einrichtungen und sonstigen Stellen unterliegen sollte; ist zutiefst besorgt über die schwerwiegenden und weitreichenden negativen Auswirkungen der genannten Haushaltsfragen auf das auswärtige Handeln der EU und die Leistung der EU-Organe in diesem Bereich; weist darauf hin, dass dem EAD von den EU-Organen, u. a. vom Rat und vom Parlament, immer mehr Zuständigkeiten übertragen werden; stellt fest, dass die Beziehungen der EU zu Drittländern erheblich beeinträchtigt werden können, wenn Maßnahmen zur Korrektur der derzeitigen Haushaltslage des EAD ausbleiben; weist erneut darauf hin, dass es dem EAD an operativen Haushaltsmitteln fehlt, und fordert, die sich daraus ergebenden Folgen sowie die Alternativen zu analysieren;</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1016</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50 a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50a.</w:t>
            </w:r>
            <w:r w:rsidRPr="000A7EC7">
              <w:rPr>
                <w:b/>
                <w:i/>
              </w:rPr>
              <w:tab/>
              <w:t xml:space="preserve">fordert die Aufstockung einer eigenen Haushaltslinie im Rahmen der außenpolitischen Maßnahmen der EU, insbesondere für die Gleichstellung der Geschlechter und die Agenda für Frauen, Frieden und Sicherheit, um eine kohärente Finanzierung von Initiativen zur Förderung einer geschlechtergerechten Führung, zum Schutz der Rechte von Frauen und zur </w:t>
            </w:r>
            <w:bookmarkStart w:id="0" w:name="_GoBack"/>
            <w:bookmarkEnd w:id="0"/>
            <w:r w:rsidRPr="000A7EC7">
              <w:rPr>
                <w:b/>
                <w:i/>
              </w:rPr>
              <w:lastRenderedPageBreak/>
              <w:t>Bekämpfung von sexueller und geschlechtsspezifischer Gewalt in Konflikt- und Nachkonfliktsituationen sicherzustellen; betont, dass eine solche Finanzierung von wesentlicher Bedeutung ist, um lokale Organisationen der Zivilgesellschaft zu unterstützen, auf Opfer ausgerichtete Unterstützung zu leisten und Geschlechterperspektiven in die diplomatischen und sicherheitspolitischen Bemühungen der EU einzubeziehen;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1017</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Nacho Sánchez Amor, Sven Mikser, Alessandra Moretti, Yannis Maniatis, Vasile Dîncu, Marco Tarquinio, Hana Jalloul Muro</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50 b (neu)</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p>
        </w:tc>
        <w:tc>
          <w:tcPr>
            <w:tcW w:w="4876" w:type="dxa"/>
            <w:tcBorders>
              <w:top w:val="nil"/>
              <w:left w:val="nil"/>
              <w:bottom w:val="nil"/>
              <w:right w:val="nil"/>
            </w:tcBorders>
          </w:tcPr>
          <w:p w:rsidR="000A7EC7" w:rsidRPr="000A7EC7" w:rsidRDefault="000A7EC7" w:rsidP="00592F5E">
            <w:pPr>
              <w:pStyle w:val="Normal6a"/>
            </w:pPr>
            <w:r w:rsidRPr="000A7EC7">
              <w:rPr>
                <w:b/>
                <w:i/>
              </w:rPr>
              <w:t>50b.</w:t>
            </w:r>
            <w:r w:rsidRPr="000A7EC7">
              <w:rPr>
                <w:b/>
                <w:i/>
              </w:rPr>
              <w:tab/>
              <w:t xml:space="preserve">fordert die Kommission auf, in ihren Vorschlag für den nächsten MFR belastbare Kapazitäten und Ressourcen für das auswärtige Handeln der EU aufzunehmen und dabei die zunehmend schwierige internationale Lage zu berücksichtigen; erinnert in diesem Zusammenhang daran, dass es unerlässlich ist, die Unterstützung von Menschenrechten, Demokratie und Entwicklung in Drittländern durch die EU weiter zu verstärken, da eine Welt der Demokratien eine sicherere Welt ist; betont, dass die Ressourcen für die digitale Diplomatie der EU angesichts des derzeitigen Kontexts des raschen technologischen Fortschritts und des geopolitischen Wettbewerbs weiter aufgestockt werden sollten; beharrt darauf, dass die „grüne Diplomatie“ und der ökologische Wandel als eine der Prioritäten der EU gegenüber </w:t>
            </w:r>
            <w:r w:rsidRPr="000A7EC7">
              <w:rPr>
                <w:b/>
                <w:i/>
              </w:rPr>
              <w:lastRenderedPageBreak/>
              <w:t>Drittländern durch das auswärtige Handeln der EU gestärkt werden sollten;</w:t>
            </w:r>
          </w:p>
        </w:tc>
      </w:tr>
    </w:tbl>
    <w:p w:rsidR="000A7EC7" w:rsidRPr="000A7EC7" w:rsidRDefault="000A7EC7" w:rsidP="000A7EC7">
      <w:pPr>
        <w:pStyle w:val="AmOrLang"/>
      </w:pPr>
      <w:r w:rsidRPr="000A7EC7">
        <w:lastRenderedPageBreak/>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1018</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Sven Mikser, Lucia Annunziata, Nicola Zingaretti, Thijs Reuten, Alessandra Moretti, Giorgio Gori, Tobias Cremer, Yannis Maniatis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51.</w:t>
            </w:r>
            <w:r w:rsidRPr="000A7EC7">
              <w:tab/>
              <w:t xml:space="preserve">betont, dass für jede oben angesprochene Angelegenheit eine angemessene Reaktion der Exekutive erforderlich ist; fordert den HR/VP auf, rasch und in schriftlicher Form auf die Forderungen, Gesuche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Europäischen Parlament und dem HR/VP von strategischer Bedeutung sind; erwartet einen systematischeren Austausch vor der Annahme von Mandaten und GASP-Strategien und einen verbesserten Informationsfluss über Verhandlungen und die Umsetzung internationaler Abkommen sowie Absichtserklärungen; erwartet darüber hinaus, dass das Parlament </w:t>
            </w:r>
            <w:r w:rsidRPr="000A7EC7">
              <w:rPr>
                <w:b/>
                <w:i/>
              </w:rPr>
              <w:t xml:space="preserve">als integraler Akteur des „Teams Europa“ </w:t>
            </w:r>
            <w:r w:rsidRPr="000A7EC7">
              <w:t>wirksam in alle außenpolitischen Strategien und Maßnahmen der EU einbezogen</w:t>
            </w:r>
            <w:r w:rsidRPr="000A7EC7">
              <w:rPr>
                <w:b/>
                <w:i/>
              </w:rPr>
              <w:t xml:space="preserve"> wird</w:t>
            </w:r>
            <w:r w:rsidRPr="000A7EC7">
              <w:t xml:space="preserve"> und dabei die parlamentarische Diplomatie zur Unterstützung der Bemühungen des HR/VP mobilisiert wird;</w:t>
            </w:r>
          </w:p>
        </w:tc>
        <w:tc>
          <w:tcPr>
            <w:tcW w:w="4876" w:type="dxa"/>
            <w:tcBorders>
              <w:top w:val="nil"/>
              <w:left w:val="nil"/>
              <w:bottom w:val="nil"/>
              <w:right w:val="nil"/>
            </w:tcBorders>
          </w:tcPr>
          <w:p w:rsidR="000A7EC7" w:rsidRPr="000A7EC7" w:rsidRDefault="000A7EC7" w:rsidP="00592F5E">
            <w:pPr>
              <w:pStyle w:val="Normal6a"/>
            </w:pPr>
            <w:r w:rsidRPr="000A7EC7">
              <w:t>51.</w:t>
            </w:r>
            <w:r w:rsidRPr="000A7EC7">
              <w:tab/>
              <w:t>betont, dass für jede oben angesprochene Angelegenheit eine angemessene Reaktion der Exekutive erforderlich ist; fordert den HR/VP auf, rasch und in schriftlicher Form auf die Forderungen, Gesuche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Europäischen Parlament und dem HR/VP von strategischer Bedeutung sind; erwartet einen systematischeren Austausch vor der Annahme von Mandaten und GASP-Strategien und einen verbesserten Informationsfluss über Verhandlungen und die Umsetzung internationaler Abkommen sowie Absichtserklärungen; erwartet darüber hinaus, dass das Parlament wirksam in alle außenpolitischen Strategien und Maßnahmen der EU einbezogen und dabei die parlamentarische Diplomatie zur Unterstützung der Bemühungen des HR/VP mobilisiert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Pr="000A7EC7" w:rsidRDefault="000A7EC7" w:rsidP="000A7EC7">
      <w:r w:rsidRPr="000A7EC7">
        <w:rPr>
          <w:rStyle w:val="HideTWBExt"/>
        </w:rPr>
        <w:lastRenderedPageBreak/>
        <w:t>&lt;/Amend&gt;</w:t>
      </w:r>
    </w:p>
    <w:p w:rsidR="000A7EC7" w:rsidRPr="000A7EC7" w:rsidRDefault="000A7EC7" w:rsidP="000A7EC7">
      <w:pPr>
        <w:pStyle w:val="AmNumberTabs"/>
      </w:pPr>
      <w:r w:rsidRPr="000A7EC7">
        <w:rPr>
          <w:rStyle w:val="HideTWBExt"/>
        </w:rPr>
        <w:t>&lt;Amend&gt;</w:t>
      </w:r>
      <w:r w:rsidRPr="000A7EC7">
        <w:t>Änderungsantrag</w:t>
      </w:r>
      <w:r w:rsidRPr="000A7EC7">
        <w:tab/>
      </w:r>
      <w:r w:rsidRPr="000A7EC7">
        <w:tab/>
      </w:r>
      <w:r w:rsidRPr="000A7EC7">
        <w:rPr>
          <w:rStyle w:val="HideTWBExt"/>
        </w:rPr>
        <w:t>&lt;NumAm&gt;</w:t>
      </w:r>
      <w:r w:rsidRPr="000A7EC7">
        <w:t>1019</w:t>
      </w:r>
      <w:r w:rsidRPr="000A7EC7">
        <w:rPr>
          <w:rStyle w:val="HideTWBExt"/>
        </w:rPr>
        <w:t>&lt;/NumAm&gt;</w:t>
      </w:r>
    </w:p>
    <w:p w:rsidR="000A7EC7" w:rsidRPr="000A7EC7" w:rsidRDefault="000A7EC7" w:rsidP="000A7EC7">
      <w:pPr>
        <w:pStyle w:val="NormalBold"/>
      </w:pPr>
      <w:r w:rsidRPr="000A7EC7">
        <w:rPr>
          <w:rStyle w:val="HideTWBExt"/>
          <w:b w:val="0"/>
        </w:rPr>
        <w:t>&lt;RepeatBlock-By&gt;&lt;Members&gt;</w:t>
      </w:r>
      <w:r w:rsidRPr="000A7EC7">
        <w:t>Hermann Tertsch, Jorge Martín Frías</w:t>
      </w:r>
      <w:r w:rsidRPr="000A7EC7">
        <w:rPr>
          <w:rStyle w:val="HideTWBExt"/>
          <w:b w:val="0"/>
        </w:rPr>
        <w:t>&lt;/Members&gt;</w:t>
      </w:r>
    </w:p>
    <w:p w:rsidR="000A7EC7" w:rsidRPr="000A7EC7" w:rsidRDefault="000A7EC7" w:rsidP="000A7EC7">
      <w:pPr>
        <w:pStyle w:val="NormalBold"/>
      </w:pPr>
      <w:r w:rsidRPr="000A7EC7">
        <w:rPr>
          <w:rStyle w:val="HideTWBExt"/>
          <w:b w:val="0"/>
        </w:rPr>
        <w:t>&lt;/RepeatBlock-By&gt;</w:t>
      </w:r>
    </w:p>
    <w:p w:rsidR="000A7EC7" w:rsidRPr="000A7EC7" w:rsidRDefault="000A7EC7" w:rsidP="000A7EC7">
      <w:pPr>
        <w:pStyle w:val="NormalBold"/>
      </w:pPr>
      <w:r w:rsidRPr="000A7EC7">
        <w:rPr>
          <w:rStyle w:val="HideTWBExt"/>
        </w:rPr>
        <w:t>&lt;DocAmend&gt;</w:t>
      </w:r>
      <w:r w:rsidRPr="000A7EC7">
        <w:t>Entschließungsantrag</w:t>
      </w:r>
      <w:r w:rsidRPr="000A7EC7">
        <w:rPr>
          <w:rStyle w:val="HideTWBExt"/>
        </w:rPr>
        <w:t>&lt;/DocAmend&gt;</w:t>
      </w:r>
    </w:p>
    <w:p w:rsidR="000A7EC7" w:rsidRPr="000A7EC7" w:rsidRDefault="000A7EC7" w:rsidP="000A7EC7">
      <w:pPr>
        <w:pStyle w:val="NormalBold"/>
      </w:pPr>
      <w:r w:rsidRPr="000A7EC7">
        <w:rPr>
          <w:rStyle w:val="HideTWBExt"/>
        </w:rPr>
        <w:t>&lt;Article&gt;</w:t>
      </w:r>
      <w:r w:rsidRPr="000A7EC7">
        <w:t>Ziffer 51</w:t>
      </w:r>
      <w:r w:rsidRPr="000A7EC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EC7" w:rsidRPr="000A7EC7" w:rsidTr="00592F5E">
        <w:trPr>
          <w:trHeight w:hRule="exact" w:val="240"/>
          <w:jc w:val="center"/>
        </w:trPr>
        <w:tc>
          <w:tcPr>
            <w:tcW w:w="9752" w:type="dxa"/>
            <w:gridSpan w:val="2"/>
            <w:tcBorders>
              <w:top w:val="nil"/>
              <w:left w:val="nil"/>
              <w:bottom w:val="nil"/>
              <w:right w:val="nil"/>
            </w:tcBorders>
          </w:tcPr>
          <w:p w:rsidR="000A7EC7" w:rsidRPr="000A7EC7" w:rsidRDefault="000A7EC7" w:rsidP="00592F5E"/>
        </w:tc>
      </w:tr>
      <w:tr w:rsidR="000A7EC7" w:rsidRPr="000A7EC7" w:rsidTr="00592F5E">
        <w:trPr>
          <w:trHeight w:val="240"/>
          <w:jc w:val="center"/>
        </w:trPr>
        <w:tc>
          <w:tcPr>
            <w:tcW w:w="4876" w:type="dxa"/>
            <w:tcBorders>
              <w:top w:val="nil"/>
              <w:left w:val="nil"/>
              <w:bottom w:val="nil"/>
              <w:right w:val="nil"/>
            </w:tcBorders>
          </w:tcPr>
          <w:p w:rsidR="000A7EC7" w:rsidRPr="000A7EC7" w:rsidRDefault="000A7EC7" w:rsidP="00592F5E">
            <w:pPr>
              <w:pStyle w:val="AmColumnHeading"/>
            </w:pPr>
            <w:r w:rsidRPr="000A7EC7">
              <w:t>Entschließungsantrag</w:t>
            </w:r>
          </w:p>
        </w:tc>
        <w:tc>
          <w:tcPr>
            <w:tcW w:w="4876" w:type="dxa"/>
            <w:tcBorders>
              <w:top w:val="nil"/>
              <w:left w:val="nil"/>
              <w:bottom w:val="nil"/>
              <w:right w:val="nil"/>
            </w:tcBorders>
          </w:tcPr>
          <w:p w:rsidR="000A7EC7" w:rsidRPr="000A7EC7" w:rsidRDefault="000A7EC7" w:rsidP="00592F5E">
            <w:pPr>
              <w:pStyle w:val="AmColumnHeading"/>
            </w:pPr>
            <w:r w:rsidRPr="000A7EC7">
              <w:t>Geänderter Text</w:t>
            </w:r>
          </w:p>
        </w:tc>
      </w:tr>
      <w:tr w:rsidR="000A7EC7" w:rsidRPr="000A7EC7" w:rsidTr="00592F5E">
        <w:trPr>
          <w:jc w:val="center"/>
        </w:trPr>
        <w:tc>
          <w:tcPr>
            <w:tcW w:w="4876" w:type="dxa"/>
            <w:tcBorders>
              <w:top w:val="nil"/>
              <w:left w:val="nil"/>
              <w:bottom w:val="nil"/>
              <w:right w:val="nil"/>
            </w:tcBorders>
          </w:tcPr>
          <w:p w:rsidR="000A7EC7" w:rsidRPr="000A7EC7" w:rsidRDefault="000A7EC7" w:rsidP="00592F5E">
            <w:pPr>
              <w:pStyle w:val="Normal6a"/>
            </w:pPr>
            <w:r w:rsidRPr="000A7EC7">
              <w:t>51.</w:t>
            </w:r>
            <w:r w:rsidRPr="000A7EC7">
              <w:tab/>
              <w:t xml:space="preserve">betont, dass für jede </w:t>
            </w:r>
            <w:r w:rsidRPr="000A7EC7">
              <w:rPr>
                <w:b/>
                <w:i/>
              </w:rPr>
              <w:t xml:space="preserve">oben </w:t>
            </w:r>
            <w:r w:rsidRPr="000A7EC7">
              <w:t xml:space="preserve">angesprochene Angelegenheit eine angemessene Reaktion der </w:t>
            </w:r>
            <w:r w:rsidRPr="000A7EC7">
              <w:rPr>
                <w:b/>
                <w:i/>
              </w:rPr>
              <w:t>Exekutive</w:t>
            </w:r>
            <w:r w:rsidRPr="000A7EC7">
              <w:t xml:space="preserve"> erforderlich ist; fordert den HR/VP auf, rasch und in schriftlicher Form auf die Forderungen, Gesuche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Europäischen Parlament und dem HR/VP von strategischer Bedeutung sind; erwartet einen systematischeren Austausch vor der Annahme von Mandaten und GASP-Strategien und einen verbesserten Informationsfluss über Verhandlungen und die Umsetzung internationaler Abkommen sowie Absichtserklärungen; erwartet darüber hinaus, dass das Parlament als integraler Akteur des „Teams Europa“ wirksam in alle außenpolitischen Strategien und Maßnahmen der EU einbezogen wird und dabei die parlamentarische Diplomatie zur Unterstützung der Bemühungen des HR/VP mobilisiert wird;</w:t>
            </w:r>
          </w:p>
        </w:tc>
        <w:tc>
          <w:tcPr>
            <w:tcW w:w="4876" w:type="dxa"/>
            <w:tcBorders>
              <w:top w:val="nil"/>
              <w:left w:val="nil"/>
              <w:bottom w:val="nil"/>
              <w:right w:val="nil"/>
            </w:tcBorders>
          </w:tcPr>
          <w:p w:rsidR="000A7EC7" w:rsidRPr="000A7EC7" w:rsidRDefault="000A7EC7" w:rsidP="00592F5E">
            <w:pPr>
              <w:pStyle w:val="Normal6a"/>
            </w:pPr>
            <w:r w:rsidRPr="000A7EC7">
              <w:t>51.</w:t>
            </w:r>
            <w:r w:rsidRPr="000A7EC7">
              <w:tab/>
              <w:t xml:space="preserve">betont, dass für jede angesprochene Angelegenheit eine angemessene Reaktion der </w:t>
            </w:r>
            <w:r w:rsidRPr="000A7EC7">
              <w:rPr>
                <w:b/>
                <w:i/>
              </w:rPr>
              <w:t>Kommission</w:t>
            </w:r>
            <w:r w:rsidRPr="000A7EC7">
              <w:t xml:space="preserve"> erforderlich ist; fordert den HR/VP auf, rasch und in schriftlicher Form auf die Forderungen, Gesuche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Europäischen Parlament und dem HR/VP von strategischer Bedeutung sind; erwartet einen systematischeren Austausch vor der Annahme von Mandaten und GASP-Strategien und einen verbesserten Informationsfluss über Verhandlungen und die Umsetzung internationaler Abkommen sowie Absichtserklärungen; erwartet darüber hinaus, dass das Parlament als integraler Akteur des „Teams Europa“ wirksam in alle außenpolitischen Strategien und Maßnahmen der EU einbezogen wird und dabei die parlamentarische Diplomatie zur Unterstützung der Bemühungen des HR/VP mobilisiert wird;</w:t>
            </w:r>
          </w:p>
        </w:tc>
      </w:tr>
    </w:tbl>
    <w:p w:rsidR="000A7EC7" w:rsidRPr="000A7EC7" w:rsidRDefault="000A7EC7" w:rsidP="000A7EC7">
      <w:pPr>
        <w:pStyle w:val="AmOrLang"/>
      </w:pPr>
      <w:r w:rsidRPr="000A7EC7">
        <w:t xml:space="preserve">Or. </w:t>
      </w:r>
      <w:r w:rsidRPr="000A7EC7">
        <w:rPr>
          <w:rStyle w:val="HideTWBExt"/>
        </w:rPr>
        <w:t>&lt;Original&gt;</w:t>
      </w:r>
      <w:r w:rsidRPr="000A7EC7">
        <w:rPr>
          <w:rStyle w:val="HideTWBInt"/>
        </w:rPr>
        <w:t>{EN}</w:t>
      </w:r>
      <w:r w:rsidRPr="000A7EC7">
        <w:t>en</w:t>
      </w:r>
      <w:r w:rsidRPr="000A7EC7">
        <w:rPr>
          <w:rStyle w:val="HideTWBExt"/>
        </w:rPr>
        <w:t>&lt;/Original&gt;</w:t>
      </w:r>
    </w:p>
    <w:p w:rsidR="000A7EC7" w:rsidRDefault="000A7EC7" w:rsidP="000A7EC7">
      <w:r w:rsidRPr="000A7EC7">
        <w:rPr>
          <w:rStyle w:val="HideTWBExt"/>
        </w:rPr>
        <w:t>&lt;/Amend&gt;</w:t>
      </w:r>
      <w:r w:rsidRPr="000A7EC7">
        <w:rPr>
          <w:rStyle w:val="HideTWBExt"/>
        </w:rPr>
        <w:t>&lt;/RepeatBlock-Amend&gt;</w:t>
      </w:r>
    </w:p>
    <w:p w:rsidR="00794E41" w:rsidRPr="00487B77" w:rsidRDefault="00794E41" w:rsidP="000A7EC7"/>
    <w:sectPr w:rsidR="00794E41" w:rsidRPr="00487B77"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B77" w:rsidRPr="00487B77" w:rsidRDefault="00487B77">
      <w:r w:rsidRPr="00487B77">
        <w:separator/>
      </w:r>
    </w:p>
  </w:endnote>
  <w:endnote w:type="continuationSeparator" w:id="0">
    <w:p w:rsidR="00487B77" w:rsidRPr="00487B77" w:rsidRDefault="00487B77">
      <w:r w:rsidRPr="00487B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487B77" w:rsidRDefault="00AD3D9F" w:rsidP="00BE6658">
    <w:pPr>
      <w:pStyle w:val="EPFooter"/>
    </w:pPr>
    <w:r w:rsidRPr="00487B77">
      <w:t>PE</w:t>
    </w:r>
    <w:r w:rsidRPr="00487B77">
      <w:rPr>
        <w:rStyle w:val="HideTWBExt"/>
      </w:rPr>
      <w:t>&lt;NoPE&gt;</w:t>
    </w:r>
    <w:r w:rsidR="00DC1A4D" w:rsidRPr="00DC1A4D">
      <w:t>765.314</w:t>
    </w:r>
    <w:r w:rsidRPr="00487B77">
      <w:rPr>
        <w:rStyle w:val="HideTWBExt"/>
      </w:rPr>
      <w:t>&lt;/NoPE&gt;&lt;Version&gt;</w:t>
    </w:r>
    <w:r w:rsidR="00487B77" w:rsidRPr="00487B77">
      <w:t>v</w:t>
    </w:r>
    <w:r w:rsidR="00DC1A4D" w:rsidRPr="00DC1A4D">
      <w:t>01-00</w:t>
    </w:r>
    <w:r w:rsidRPr="00487B77">
      <w:rPr>
        <w:rStyle w:val="HideTWBExt"/>
      </w:rPr>
      <w:t>&lt;/Version&gt;</w:t>
    </w:r>
    <w:r w:rsidRPr="00487B77">
      <w:tab/>
    </w:r>
    <w:r w:rsidR="001C108E" w:rsidRPr="00487B77">
      <w:fldChar w:fldCharType="begin"/>
    </w:r>
    <w:r w:rsidR="001C108E" w:rsidRPr="00487B77">
      <w:instrText xml:space="preserve"> PAGE </w:instrText>
    </w:r>
    <w:r w:rsidR="001C108E" w:rsidRPr="00487B77">
      <w:fldChar w:fldCharType="separate"/>
    </w:r>
    <w:r w:rsidR="000A7EC7">
      <w:rPr>
        <w:noProof/>
      </w:rPr>
      <w:t>158</w:t>
    </w:r>
    <w:r w:rsidR="001C108E" w:rsidRPr="00487B77">
      <w:fldChar w:fldCharType="end"/>
    </w:r>
    <w:r w:rsidR="001C108E" w:rsidRPr="00487B77">
      <w:t>/</w:t>
    </w:r>
    <w:fldSimple w:instr=" NUMPAGES ">
      <w:r w:rsidR="000A7EC7">
        <w:rPr>
          <w:noProof/>
        </w:rPr>
        <w:t>161</w:t>
      </w:r>
    </w:fldSimple>
    <w:r w:rsidRPr="00487B77">
      <w:tab/>
    </w:r>
    <w:r w:rsidRPr="00487B77">
      <w:rPr>
        <w:rStyle w:val="HideTWBExt"/>
      </w:rPr>
      <w:t>&lt;PathFdR&gt;</w:t>
    </w:r>
    <w:r w:rsidR="00DC1A4D" w:rsidRPr="00DC1A4D">
      <w:t>AM\1309978DE.docx</w:t>
    </w:r>
    <w:r w:rsidRPr="00487B77">
      <w:rPr>
        <w:rStyle w:val="HideTWBExt"/>
      </w:rPr>
      <w:t>&lt;/PathFdR&gt;</w:t>
    </w:r>
  </w:p>
  <w:p w:rsidR="00AD3D9F" w:rsidRPr="00487B77" w:rsidRDefault="005E5FA1">
    <w:pPr>
      <w:pStyle w:val="EPFooter2"/>
    </w:pPr>
    <w:fldSimple w:instr=" DOCPROPERTY &quot;&lt;Extension&gt;&quot; ">
      <w:r w:rsidR="000A7EC7">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487B77" w:rsidRDefault="00AD3D9F" w:rsidP="00BE6658">
    <w:pPr>
      <w:pStyle w:val="EPFooter"/>
    </w:pPr>
    <w:r w:rsidRPr="00487B77">
      <w:rPr>
        <w:rStyle w:val="HideTWBExt"/>
      </w:rPr>
      <w:t>&lt;PathFdR&gt;</w:t>
    </w:r>
    <w:r w:rsidR="00DC1A4D" w:rsidRPr="00DC1A4D">
      <w:t>AM\1309978DE.docx</w:t>
    </w:r>
    <w:r w:rsidRPr="00487B77">
      <w:rPr>
        <w:rStyle w:val="HideTWBExt"/>
      </w:rPr>
      <w:t>&lt;/PathFdR&gt;</w:t>
    </w:r>
    <w:r w:rsidRPr="00487B77">
      <w:tab/>
    </w:r>
    <w:r w:rsidR="001C108E" w:rsidRPr="00487B77">
      <w:fldChar w:fldCharType="begin"/>
    </w:r>
    <w:r w:rsidR="001C108E" w:rsidRPr="00487B77">
      <w:instrText xml:space="preserve"> PAGE </w:instrText>
    </w:r>
    <w:r w:rsidR="001C108E" w:rsidRPr="00487B77">
      <w:fldChar w:fldCharType="separate"/>
    </w:r>
    <w:r w:rsidR="000A7EC7">
      <w:rPr>
        <w:noProof/>
      </w:rPr>
      <w:t>159</w:t>
    </w:r>
    <w:r w:rsidR="001C108E" w:rsidRPr="00487B77">
      <w:fldChar w:fldCharType="end"/>
    </w:r>
    <w:r w:rsidR="001C108E" w:rsidRPr="00487B77">
      <w:t>/</w:t>
    </w:r>
    <w:fldSimple w:instr=" NUMPAGES ">
      <w:r w:rsidR="000A7EC7">
        <w:rPr>
          <w:noProof/>
        </w:rPr>
        <w:t>161</w:t>
      </w:r>
    </w:fldSimple>
    <w:r w:rsidRPr="00487B77">
      <w:tab/>
      <w:t>PE</w:t>
    </w:r>
    <w:r w:rsidRPr="00487B77">
      <w:rPr>
        <w:rStyle w:val="HideTWBExt"/>
      </w:rPr>
      <w:t>&lt;NoPE&gt;</w:t>
    </w:r>
    <w:r w:rsidR="00DC1A4D" w:rsidRPr="00DC1A4D">
      <w:t>765.314</w:t>
    </w:r>
    <w:r w:rsidRPr="00487B77">
      <w:rPr>
        <w:rStyle w:val="HideTWBExt"/>
      </w:rPr>
      <w:t>&lt;/NoPE&gt;&lt;Version&gt;</w:t>
    </w:r>
    <w:r w:rsidR="00487B77" w:rsidRPr="00487B77">
      <w:t>v</w:t>
    </w:r>
    <w:r w:rsidR="00DC1A4D" w:rsidRPr="00DC1A4D">
      <w:t>01-00</w:t>
    </w:r>
    <w:r w:rsidRPr="00487B77">
      <w:rPr>
        <w:rStyle w:val="HideTWBExt"/>
      </w:rPr>
      <w:t>&lt;/Version&gt;</w:t>
    </w:r>
  </w:p>
  <w:p w:rsidR="00AD3D9F" w:rsidRPr="00487B77" w:rsidRDefault="001C108E">
    <w:pPr>
      <w:pStyle w:val="EPFooter2"/>
    </w:pPr>
    <w:r w:rsidRPr="00487B77">
      <w:tab/>
    </w:r>
    <w:r w:rsidR="00AD3D9F" w:rsidRPr="00487B77">
      <w:tab/>
    </w:r>
    <w:fldSimple w:instr=" DOCPROPERTY &quot;&lt;Extension&gt;&quot; ">
      <w:r w:rsidR="000A7EC7">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487B77" w:rsidRDefault="00AD3D9F" w:rsidP="00BE6658">
    <w:pPr>
      <w:pStyle w:val="EPFooter"/>
    </w:pPr>
    <w:r w:rsidRPr="00487B77">
      <w:rPr>
        <w:rStyle w:val="HideTWBExt"/>
      </w:rPr>
      <w:t>&lt;PathFdR&gt;</w:t>
    </w:r>
    <w:r w:rsidR="00DC1A4D" w:rsidRPr="00DC1A4D">
      <w:t>AM\1309978DE.docx</w:t>
    </w:r>
    <w:r w:rsidRPr="00487B77">
      <w:rPr>
        <w:rStyle w:val="HideTWBExt"/>
      </w:rPr>
      <w:t>&lt;/PathFdR&gt;</w:t>
    </w:r>
    <w:r w:rsidRPr="00487B77">
      <w:tab/>
    </w:r>
    <w:r w:rsidRPr="00487B77">
      <w:tab/>
      <w:t>PE</w:t>
    </w:r>
    <w:r w:rsidRPr="00487B77">
      <w:rPr>
        <w:rStyle w:val="HideTWBExt"/>
      </w:rPr>
      <w:t>&lt;NoPE&gt;</w:t>
    </w:r>
    <w:r w:rsidR="00DC1A4D" w:rsidRPr="00DC1A4D">
      <w:t>765.314</w:t>
    </w:r>
    <w:r w:rsidRPr="00487B77">
      <w:rPr>
        <w:rStyle w:val="HideTWBExt"/>
      </w:rPr>
      <w:t>&lt;/NoPE&gt;&lt;Version&gt;</w:t>
    </w:r>
    <w:r w:rsidR="00487B77" w:rsidRPr="00487B77">
      <w:t>v</w:t>
    </w:r>
    <w:r w:rsidR="00DC1A4D" w:rsidRPr="00DC1A4D">
      <w:t>01-00</w:t>
    </w:r>
    <w:r w:rsidRPr="00487B77">
      <w:rPr>
        <w:rStyle w:val="HideTWBExt"/>
      </w:rPr>
      <w:t>&lt;/Version&gt;</w:t>
    </w:r>
  </w:p>
  <w:p w:rsidR="00AD3D9F" w:rsidRPr="00487B77" w:rsidRDefault="005E5FA1" w:rsidP="00CF4E9D">
    <w:pPr>
      <w:pStyle w:val="EPFooter2"/>
      <w:tabs>
        <w:tab w:val="clear" w:pos="4535"/>
        <w:tab w:val="center" w:pos="4536"/>
      </w:tabs>
    </w:pPr>
    <w:fldSimple w:instr=" DOCPROPERTY &quot;&lt;Extension&gt;&quot; ">
      <w:r w:rsidR="000A7EC7">
        <w:t>DE</w:t>
      </w:r>
    </w:fldSimple>
    <w:r w:rsidR="00AD3D9F" w:rsidRPr="00487B77">
      <w:tab/>
    </w:r>
    <w:r w:rsidR="00DC1A4D">
      <w:rPr>
        <w:b w:val="0"/>
        <w:i/>
        <w:color w:val="C0C0C0"/>
        <w:sz w:val="22"/>
        <w:szCs w:val="22"/>
      </w:rPr>
      <w:t>In Vielfalt geeint</w:t>
    </w:r>
    <w:r w:rsidR="00AD3D9F" w:rsidRPr="00487B77">
      <w:tab/>
    </w:r>
    <w:fldSimple w:instr=" DOCPROPERTY &quot;&lt;Extension&gt;&quot; ">
      <w:r w:rsidR="000A7EC7">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B77" w:rsidRPr="00487B77" w:rsidRDefault="00487B77">
      <w:r w:rsidRPr="00487B77">
        <w:separator/>
      </w:r>
    </w:p>
  </w:footnote>
  <w:footnote w:type="continuationSeparator" w:id="0">
    <w:p w:rsidR="00487B77" w:rsidRPr="00487B77" w:rsidRDefault="00487B77">
      <w:r w:rsidRPr="00487B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EC7" w:rsidRDefault="000A7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EC7" w:rsidRDefault="000A7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EC7" w:rsidRDefault="000A7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AFET"/>
    <w:docVar w:name="DOCDT" w:val="08/11/2024"/>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68852 HideTWBExt;}{\*\cs18 \additive \v\f1\fs20\cf15 _x000d__x000a_\spriority0 \styrsid16268852 HideTWBInt;}{\s19\qr \li0\ri0\sb240\sa240\nowidctlpar\wrapdefault\aspalpha\aspnum\faauto\adjustright\rin0\lin0\itap0 \rtlch\fcs1 \af0\afs20\alang1025 \ltrch\fcs0 \fs24\lang1031\langfe2057\cgrid\langnp1031\langfenp2057 _x000d__x000a_\sbasedon0 \snext19 \spriority0 \styrsid16268852 AmOrLang;}{\s20\ql \li0\ri0\sa120\nowidctlpar\wrapdefault\aspalpha\aspnum\faauto\adjustright\rin0\lin0\itap0 \rtlch\fcs1 \af0\afs20\alang1025 \ltrch\fcs0 _x000d__x000a_\fs24\lang1031\langfe2057\cgrid\langnp1031\langfenp2057 \sbasedon0 \snext20 \spriority0 \styrsid16268852 Normal6a;}{\s21\ql \li0\ri0\nowidctlpar\wrapdefault\aspalpha\aspnum\faauto\adjustright\rin0\lin0\itap0 \rtlch\fcs1 \af0\afs20\alang1025 \ltrch\fcs0 _x000d__x000a_\b\fs24\lang1031\langfe2057\cgrid\langnp1031\langfenp2057 \sbasedon0 \snext21 \spriority0 \styrsid16268852 NormalBold;}{\s22\qc \li0\ri0\sa240\nowidctlpar\wrapdefault\aspalpha\aspnum\faauto\adjustright\rin0\lin0\itap0 \rtlch\fcs1 \af0\afs20\alang1025 _x000d__x000a_\ltrch\fcs0 \i\fs24\lang1031\langfe2057\cgrid\langnp1031\langfenp2057 \sbasedon0 \snext22 \spriority0 \styrsid162688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6268852 AmNumberTabs;}}{\*\rsidtbl \rsid24658\rsid223860\rsid735077\rsid1718133\rsid2892074\rsid3565327\rsid4666813\rsid6641733\rsid7823322_x000d__x000a_\rsid8323978\rsid9636012\rsid10377208\rsid11215221\rsid11549030\rsid12154954\rsid14382809\rsid14424199\rsid15204470\rsid15285974\rsid15950462\rsid16268852\rsid16324206\rsid16662270}{\mmathPr\mmathFont34\mbrkBin0\mbrkBinSub0\msmallFrac0\mdispDef1\mlMargin0_x000d__x000a_\mrMargin0\mdefJc1\mwrapIndent1440\mintLim0\mnaryLim1}{\info{\author SIEPMANN Mario}{\operator SIEPMANN Mario}{\creatim\yr2024\mo11\dy6\hr9\min20}{\revtim\yr2024\mo11\dy6\hr9\min20}{\version1}{\edmins0}{\nofpages1}{\nofwords94}{\nofchars538}_x000d__x000a_{\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68852\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8323978 \chftnsep _x000d__x000a_\par }}{\*\ftnsepc \ltrpar \pard\plain \ltrpar\ql \li0\ri0\widctlpar\wrapdefault\aspalpha\aspnum\faauto\adjustright\rin0\lin0\itap0 \rtlch\fcs1 \af0\afs20\alang1025 \ltrch\fcs0 \fs24\lang2057\langfe2057\cgrid\langnp2057\langfenp2057 {\rtlch\fcs1 \af0 _x000d__x000a_\ltrch\fcs0 \insrsid8323978 \chftnsepc _x000d__x000a_\par }}{\*\aftnsep \ltrpar \pard\plain \ltrpar\ql \li0\ri0\widctlpar\wrapdefault\aspalpha\aspnum\faauto\adjustright\rin0\lin0\itap0 \rtlch\fcs1 \af0\afs20\alang1025 \ltrch\fcs0 \fs24\lang2057\langfe2057\cgrid\langnp2057\langfenp2057 {\rtlch\fcs1 \af0 _x000d__x000a_\ltrch\fcs0 \insrsid8323978 \chftnsep _x000d__x000a_\par }}{\*\aftnsepc \ltrpar \pard\plain \ltrpar\ql \li0\ri0\widctlpar\wrapdefault\aspalpha\aspnum\faauto\adjustright\rin0\lin0\itap0 \rtlch\fcs1 \af0\afs20\alang1025 \ltrch\fcs0 \fs24\lang2057\langfe2057\cgrid\langnp2057\langfenp2057 {\rtlch\fcs1 \af0 _x000d__x000a_\ltrch\fcs0 \insrsid8323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268852 \rtlch\fcs1 _x000d__x000a_\af0\afs20\alang1025 \ltrch\fcs0 \b\fs24\lang1031\langfe2057\cgrid\langnp1031\langfenp2057 {\rtlch\fcs1 \af0 \ltrch\fcs0 \cs17\b0\v\f1\fs20\cf9\lang1024\langfe1024\noproof\insrsid16268852\charrsid10247850 {\*\bkmkstart restart}&lt;Amend&gt;}{\rtlch\fcs1 \af0 _x000d__x000a_\ltrch\fcs0 \insrsid16268852\charrsid10247850 \'c4nderungsantrag\tab \tab }{\rtlch\fcs1 \af0 \ltrch\fcs0 \cs17\b0\v\f1\fs20\cf9\lang1024\langfe1024\noproof\insrsid16268852\charrsid10247850 &lt;NumAm&gt;}{\rtlch\fcs1 \af0 \ltrch\fcs0 _x000d__x000a_\insrsid16268852\charrsid10247850 #}{\rtlch\fcs1 \af1 \ltrch\fcs0 \cs18\v\f1\fs20\cf15\insrsid16268852\charrsid10247850 ENMIENDA@NRAM@}{\rtlch\fcs1 \af0 \ltrch\fcs0 \insrsid16268852\charrsid10247850 #}{\rtlch\fcs1 \af0 \ltrch\fcs0 _x000d__x000a_\cs17\b0\v\f1\fs20\cf9\lang1024\langfe1024\noproof\insrsid16268852\charrsid10247850 &lt;/NumAm&gt;}{\rtlch\fcs1 \af0 \ltrch\fcs0 \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RepeatBlock-By&gt;}{\rtlch\fcs1 \af0 \ltrch\fcs0 \insrsid16268852\charrsid10247850 #}{\rtlch\fcs1 \af1 \ltrch\fcs0 _x000d__x000a_\cs18\v\f1\fs20\cf15\insrsid16268852\charrsid10247850 (MOD@InsideLoop()}{\rtlch\fcs1 \af0 \ltrch\fcs0 \insrsid16268852\charrsid10247850 ##}{\rtlch\fcs1 \af1 \ltrch\fcs0 \cs18\v\f1\fs20\cf15\insrsid16268852\charrsid10247850 &gt;&gt;&gt;@[ZMEMBERSMSG]@}{\rtlch\fcs1 _x000d__x000a_\af0 \ltrch\fcs0 \insrsid16268852\charrsid10247850 #}{\rtlch\fcs1 \af0 \ltrch\fcs0 \cs17\b0\v\f1\fs20\cf9\lang1024\langfe1024\noproof\insrsid16268852\charrsid10247850 &lt;Members&gt;}{\rtlch\fcs1 \af0 \ltrch\fcs0 \insrsid16268852\charrsid10247850 #}{_x000d__x000a_\rtlch\fcs1 \af1 \ltrch\fcs0 \cs18\v\f1\fs20\cf15\insrsid16268852\charrsid10247850 (MOD@InsideLoop(\'a7)}{\rtlch\fcs1 \af0 \ltrch\fcs0 \insrsid16268852\charrsid10247850 #}{\rtlch\fcs1 \af0 \ltrch\fcs0 \cf10\insrsid16268852\charrsid10247850 \u9668\'3f}{_x000d__x000a_\rtlch\fcs1 \af0 \ltrch\fcs0 \insrsid16268852\charrsid10247850 #}{\rtlch\fcs1 \af1 \ltrch\fcs0 \cs18\v\f1\fs20\cf15\insrsid16268852\charrsid10247850 TVTMEMBERS\'a7@MEMBERS@}{\rtlch\fcs1 \af0 \ltrch\fcs0 \insrsid16268852\charrsid10247850 #}{\rtlch\fcs1 _x000d__x000a_\af0 \ltrch\fcs0 \cf10\insrsid16268852\charrsid10247850 \u9658\'3f}{\rtlch\fcs1 \af0 \ltrch\fcs0 \cs17\b0\v\f1\fs20\cf9\lang1024\langfe1024\noproof\insrsid16268852\charrsid10247850 &lt;/Members&gt;}{\rtlch\fcs1 \af0 \ltrch\fcs0 _x000d__x000a_\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uNomDe&gt;&lt;OptDel&gt;}{\rtlch\fcs1 \af0 \ltrch\fcs0 \lang1031\langfe2057\langnp1031\insrsid16268852\charrsid10247850 #}{\rtlch\fcs1 \af1 \ltrch\fcs0 _x000d__x000a_\cs18\v\f1\fs20\cf15\lang1031\langfe2057\langnp1031\insrsid16268852\charrsid10247850 MNU[ONBEHALFYES][NOTAPP]@CHOICE@}{\rtlch\fcs1 \af0 \ltrch\fcs0 \lang1031\langfe2057\langnp1031\insrsid16268852\charrsid10247850 #}{\rtlch\fcs1 \af0 \ltrch\fcs0 _x000d__x000a_\cs17\v\f1\fs20\cf9\lang1024\langfe1024\noproof\langnp1031\insrsid16268852\charrsid10247850 &lt;/OptDel&gt;&lt;/AuNomDe&gt;}{\rtlch\fcs1 \af0 \ltrch\fcs0 \lang1031\langfe2057\langnp1031\insrsid16268852\charrsid10247850 _x000d__x000a_\par &lt;&lt;&lt;}{\rtlch\fcs1 \af0 \ltrch\fcs0 \cs17\v\f1\fs20\cf9\lang1024\langfe1024\noproof\langnp1031\insrsid16268852\charrsid10247850 &lt;/RepeatBlock-By&gt;}{\rtlch\fcs1 \af0 \ltrch\fcs0 \lang1031\langfe2057\langnp1031\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DocAmend&gt;}{\rtlch\fcs1 \af0 \ltrch\fcs0 \insrsid16268852\charrsid10247850 #}{\rtlch\fcs1 \af1 \ltrch\fcs0 _x000d__x000a_\cs18\v\f1\fs20\cf15\insrsid16268852\charrsid10247850 MNU[OPTAMDOCINI][AMDOCA1][OPTAMDOCNLE][AMDOCA1][AMDOCA2][AMDOCA1][AMDOCA1][OPTAMDOCDEC]@CHOICE@CODEMNU}{\rtlch\fcs1 \af0 \ltrch\fcs0 \insrsid16268852\charrsid10247850 #}{\rtlch\fcs1 \af0 \ltrch\fcs0 _x000d__x000a_\cs17\b0\v\f1\fs20\cf9\lang1024\langfe1024\noproof\insrsid16268852\charrsid10247850 &lt;/DocAmend&gt;}{\rtlch\fcs1 \af0 \ltrch\fcs0 \insrsid16268852\charrsid10247850 _x000d__x000a_\par }{\rtlch\fcs1 \af0 \ltrch\fcs0 \cs17\b0\v\f1\fs20\cf9\lang1024\langfe1024\noproof\insrsid16268852\charrsid10247850 &lt;Article&gt;}{\rtlch\fcs1 \af0 \ltrch\fcs0 \cf10\insrsid16268852\charrsid10247850 \u9668\'3f}{\rtlch\fcs1 \af0 \ltrch\fcs0 _x000d__x000a_\insrsid16268852\charrsid10247850 #}{\rtlch\fcs1 \af1 \ltrch\fcs0 \cs18\v\f1\fs20\cf15\insrsid16268852\charrsid10247850 TVTAMPART@AMPART@}{\rtlch\fcs1 \af0 \ltrch\fcs0 \insrsid16268852\charrsid10247850 #}{\rtlch\fcs1 \af0 \ltrch\fcs0 _x000d__x000a_\cf10\insrsid16268852\charrsid10247850 \u9658\'3f}{\rtlch\fcs1 \af0 \ltrch\fcs0 \cs17\b0\v\f1\fs20\cf9\lang1024\langfe1024\noproof\insrsid16268852\charrsid10247850 &lt;/Article&gt;}{\rtlch\fcs1 \af0 \ltrch\fcs0 \insrsid16268852\charrsid1024785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31\langfe2057\langnp1031\insrsid16268852\charrsid10247850 \cell }\pard\plain \ltrpar_x000d__x000a_\ql \li0\ri0\widctlpar\intbl\wrapdefault\aspalpha\aspnum\faauto\adjustright\rin0\lin0 \rtlch\fcs1 \af0\afs20\alang1025 \ltrch\fcs0 \fs24\lang2057\langfe2057\cgrid\langnp2057\langfenp2057 {\rtlch\fcs1 \af0 \ltrch\fcs0 _x000d__x000a_\lang1031\langfe2057\langnp1031\insrsid16268852\charrsid1024785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1\langfe2057\cgrid\langnp1031\langfenp2057 {\rtlch\fcs1 \af0 \ltrch\fcs0 _x000d__x000a_\insrsid16268852\charrsid10247850 #}{\rtlch\fcs1 \af1 \ltrch\fcs0 \cs18\v\f1\fs20\cf15\insrsid16268852\charrsid10247850 MNU[OPTAMDOCINI][AMDOCA1][OPTAMDOCNLE][AMDOCA1][AMDOCA2][AMDOCA1][AMDOCA1][OPTAMDOCDEC]@CHOICE@CODEMNU}{\rtlch\fcs1 \af0 \ltrch\fcs0 _x000d__x000a_\insrsid16268852\charrsid10247850 #\cell Ge\'e4nderter Text\cell }\pard\plain \ltrpar\ql \li0\ri0\widctlpar\intbl\wrapdefault\aspalpha\aspnum\faauto\adjustright\rin0\lin0 \rtlch\fcs1 \af0\afs20\alang1025 \ltrch\fcs0 _x000d__x000a_\fs24\lang2057\langfe2057\cgrid\langnp2057\langfenp2057 {\rtlch\fcs1 \af0 \ltrch\fcs0 \lang1031\langfe2057\langnp1031\insrsid16268852\charrsid1024785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1\langfe2057\cgrid\langnp1031\langfenp2057 {\rtlch\fcs1 \af0 \ltrch\fcs0 _x000d__x000a_\insrsid16268852\charrsid10247850 ##\cell ##}{\rtlch\fcs1 \af0\afs24 \ltrch\fcs0 \insrsid16268852\charrsid10247850 \cell }\pard\plain \ltrpar\ql \li0\ri0\widctlpar\intbl\wrapdefault\aspalpha\aspnum\faauto\adjustright\rin0\lin0 \rtlch\fcs1 _x000d__x000a_\af0\afs20\alang1025 \ltrch\fcs0 \fs24\lang2057\langfe2057\cgrid\langnp2057\langfenp2057 {\rtlch\fcs1 \af0 \ltrch\fcs0 \lang1031\langfe2057\langnp1031\insrsid16268852\charrsid1024785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6268852 \rtlch\fcs1 \af0\afs20\alang1025 \ltrch\fcs0 \fs24\lang1031\langfe2057\cgrid\langnp1031\langfenp2057 {\rtlch\fcs1 \af0 \ltrch\fcs0 _x000d__x000a_\insrsid16268852\charrsid10247850 Or. }{\rtlch\fcs1 \af0 \ltrch\fcs0 \cs17\v\f1\fs20\cf9\lang1024\langfe1024\noproof\insrsid16268852\charrsid10247850 &lt;Original&gt;}{\rtlch\fcs1 \af0 \ltrch\fcs0 \insrsid16268852\charrsid10247850 #}{\rtlch\fcs1 \af1 _x000d__x000a_\ltrch\fcs0 \cs18\v\f1\fs20\cf15\insrsid16268852\charrsid10247850 KEY(MAIN/LANGMIN)sh@ORLANGMSG@}{\rtlch\fcs1 \af0 \ltrch\fcs0 \insrsid16268852\charrsid10247850 #}{\rtlch\fcs1 \af0 \ltrch\fcs0 _x000d__x000a_\cs17\v\f1\fs20\cf9\lang1024\langfe1024\noproof\insrsid16268852\charrsid10247850 &lt;/Original&gt;}{\rtlch\fcs1 \af0 \ltrch\fcs0 \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a_x000d__x000a_46ca243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E"/>
    <w:docVar w:name="TXTLANGUEMIN" w:val="de"/>
    <w:docVar w:name="TXTNRFIRSTAM" w:val="768"/>
    <w:docVar w:name="TXTNRLASTAM" w:val="1019"/>
    <w:docVar w:name="TXTNRPE" w:val="765.314"/>
    <w:docVar w:name="TXTNRPROC" w:val="2024/2080"/>
    <w:docVar w:name="TXTPEorAP" w:val="PE"/>
    <w:docVar w:name="TXTROUTE" w:val="AM\1309978DE.docx"/>
    <w:docVar w:name="TXTVERSION" w:val="01-00"/>
  </w:docVars>
  <w:rsids>
    <w:rsidRoot w:val="00487B77"/>
    <w:rsid w:val="000058AA"/>
    <w:rsid w:val="00072B4B"/>
    <w:rsid w:val="000A7EC7"/>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C7A69"/>
    <w:rsid w:val="003D7856"/>
    <w:rsid w:val="004106BA"/>
    <w:rsid w:val="0044299E"/>
    <w:rsid w:val="00444941"/>
    <w:rsid w:val="00487B77"/>
    <w:rsid w:val="004B02E9"/>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E1D01"/>
    <w:rsid w:val="00CF4E9D"/>
    <w:rsid w:val="00D2257D"/>
    <w:rsid w:val="00D34123"/>
    <w:rsid w:val="00D35B06"/>
    <w:rsid w:val="00D42F84"/>
    <w:rsid w:val="00DA7120"/>
    <w:rsid w:val="00DC19A9"/>
    <w:rsid w:val="00DC1A4D"/>
    <w:rsid w:val="00DC1DD4"/>
    <w:rsid w:val="00DC3244"/>
    <w:rsid w:val="00DC36BD"/>
    <w:rsid w:val="00DF038C"/>
    <w:rsid w:val="00E67987"/>
    <w:rsid w:val="00EA1780"/>
    <w:rsid w:val="00EF54D2"/>
    <w:rsid w:val="00F15510"/>
    <w:rsid w:val="00F20F19"/>
    <w:rsid w:val="00F457AA"/>
    <w:rsid w:val="00F61FB2"/>
    <w:rsid w:val="00F925F1"/>
    <w:rsid w:val="00F9782F"/>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85715"/>
  <w15:chartTrackingRefBased/>
  <w15:docId w15:val="{C43211DB-30B0-4BC0-BA31-F4DB839B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DC1A4D"/>
    <w:pPr>
      <w:spacing w:before="240" w:after="240"/>
      <w:jc w:val="center"/>
    </w:pPr>
    <w:rPr>
      <w:i/>
      <w:szCs w:val="24"/>
      <w:lang w:eastAsia="en-US"/>
    </w:rPr>
  </w:style>
  <w:style w:type="character" w:customStyle="1" w:styleId="EPFooter2Motto">
    <w:name w:val="EPFooter2Motto"/>
    <w:rsid w:val="00DC1A4D"/>
    <w:rPr>
      <w:rFonts w:ascii="Arial" w:hAnsi="Arial"/>
      <w:b/>
      <w:i/>
      <w:color w:val="C0C0C0"/>
      <w:sz w:val="22"/>
    </w:rPr>
  </w:style>
  <w:style w:type="paragraph" w:customStyle="1" w:styleId="EPFooterLandscape">
    <w:name w:val="EPFooterLandscape"/>
    <w:rsid w:val="00DC1A4D"/>
    <w:pPr>
      <w:widowControl w:val="0"/>
      <w:tabs>
        <w:tab w:val="center" w:pos="6800"/>
        <w:tab w:val="right" w:pos="15020"/>
      </w:tabs>
    </w:pPr>
    <w:rPr>
      <w:sz w:val="22"/>
      <w:lang w:eastAsia="en-US"/>
    </w:rPr>
  </w:style>
  <w:style w:type="paragraph" w:customStyle="1" w:styleId="Normal0">
    <w:name w:val="Normal0"/>
    <w:basedOn w:val="Normal"/>
    <w:rsid w:val="00DC1A4D"/>
    <w:rPr>
      <w:sz w:val="0"/>
      <w:szCs w:val="24"/>
      <w:lang w:eastAsia="en-US"/>
    </w:rPr>
  </w:style>
  <w:style w:type="paragraph" w:customStyle="1" w:styleId="EPFooter2Landscape">
    <w:name w:val="EPFooter2Landscape"/>
    <w:rsid w:val="00DC1A4D"/>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DC1A4D"/>
    <w:rPr>
      <w:rFonts w:ascii="Arial" w:hAnsi="Arial"/>
      <w:b w:val="0"/>
      <w:i/>
      <w:color w:val="AEAAAA"/>
      <w:sz w:val="22"/>
      <w:shd w:val="pct50" w:color="auto" w:fill="auto"/>
    </w:rPr>
  </w:style>
  <w:style w:type="paragraph" w:customStyle="1" w:styleId="PMissingStyle">
    <w:name w:val="P_MissingStyle"/>
    <w:basedOn w:val="Normal"/>
    <w:rsid w:val="00DC1A4D"/>
    <w:rPr>
      <w:color w:val="FFFFFF"/>
      <w:szCs w:val="24"/>
      <w:shd w:val="clear" w:color="000000" w:fill="000000"/>
      <w:lang w:eastAsia="en-US"/>
    </w:rPr>
  </w:style>
  <w:style w:type="character" w:customStyle="1" w:styleId="CMissingStyle">
    <w:name w:val="C_MissingStyle"/>
    <w:rsid w:val="00DC1A4D"/>
    <w:rPr>
      <w:color w:val="FFFFFF"/>
      <w:sz w:val="22"/>
      <w:shd w:val="clear" w:color="000000" w:fill="000000"/>
    </w:rPr>
  </w:style>
  <w:style w:type="paragraph" w:customStyle="1" w:styleId="Normal12a">
    <w:name w:val="Normal12a"/>
    <w:basedOn w:val="Normal"/>
    <w:rsid w:val="00DC1A4D"/>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38424</Words>
  <Characters>254755</Characters>
  <Application>Microsoft Office Word</Application>
  <DocSecurity>0</DocSecurity>
  <Lines>4108</Lines>
  <Paragraphs>1035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SIEPMANN Mario</dc:creator>
  <cp:keywords/>
  <dc:description/>
  <cp:lastModifiedBy>SIEPMANN Mario</cp:lastModifiedBy>
  <cp:revision>2</cp:revision>
  <cp:lastPrinted>2003-08-28T15:32:00Z</cp:lastPrinted>
  <dcterms:created xsi:type="dcterms:W3CDTF">2024-12-04T11:31:00Z</dcterms:created>
  <dcterms:modified xsi:type="dcterms:W3CDTF">2024-12-04T11:31:00Z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1309978</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\\eiciLUXpr1\pdocep$\DocEP\TRANSFIL\DE\AM_Com_NonLegReport.DE(17/08/2024 00:22:02)</vt:lpwstr>
  </property>
  <property fmtid="{D5CDD505-2E9C-101B-9397-08002B2CF9AE}" pid="9" name="&lt;Model&gt;">
    <vt:lpwstr>AM_Com_NonLegReport</vt:lpwstr>
  </property>
  <property fmtid="{D5CDD505-2E9C-101B-9397-08002B2CF9AE}" pid="10" name="FooterPath">
    <vt:lpwstr>AM\1309978DE.docx</vt:lpwstr>
  </property>
  <property fmtid="{D5CDD505-2E9C-101B-9397-08002B2CF9AE}" pid="11" name="PE number">
    <vt:lpwstr>765.314</vt:lpwstr>
  </property>
  <property fmtid="{D5CDD505-2E9C-101B-9397-08002B2CF9AE}" pid="12" name="SDLStudio">
    <vt:lpwstr/>
  </property>
</Properties>
</file>