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107C8">
        <w:trPr>
          <w:trHeight w:hRule="exact" w:val="1417"/>
          <w:jc w:val="center"/>
        </w:trPr>
        <w:tc>
          <w:tcPr>
            <w:tcW w:w="6804" w:type="dxa"/>
            <w:tcBorders>
              <w:top w:val="nil"/>
              <w:left w:val="nil"/>
              <w:bottom w:val="nil"/>
              <w:right w:val="nil"/>
            </w:tcBorders>
            <w:vAlign w:val="center"/>
          </w:tcPr>
          <w:p w:rsidR="00E813C2" w:rsidRPr="00080AF4" w:rsidRDefault="00A07524">
            <w:pPr>
              <w:pStyle w:val="EPName"/>
            </w:pPr>
            <w:r>
              <w:t>Europos Parlamentas</w:t>
            </w:r>
          </w:p>
          <w:p w:rsidR="00E813C2" w:rsidRPr="00080AF4" w:rsidRDefault="00A07524">
            <w:pPr>
              <w:pStyle w:val="EPTerm"/>
            </w:pPr>
            <w:r>
              <w:t>2024-2029</w:t>
            </w:r>
          </w:p>
        </w:tc>
        <w:tc>
          <w:tcPr>
            <w:tcW w:w="2268" w:type="dxa"/>
            <w:tcBorders>
              <w:top w:val="nil"/>
              <w:left w:val="nil"/>
              <w:bottom w:val="nil"/>
              <w:right w:val="nil"/>
            </w:tcBorders>
          </w:tcPr>
          <w:p w:rsidR="00E813C2" w:rsidRPr="00080AF4" w:rsidRDefault="00A47A16">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E813C2" w:rsidRPr="00080AF4" w:rsidRDefault="00A07524">
      <w:pPr>
        <w:pStyle w:val="LineTop"/>
      </w:pPr>
      <w:r>
        <w:t xml:space="preserve"> </w:t>
      </w:r>
    </w:p>
    <w:p w:rsidR="00E813C2" w:rsidRPr="00080AF4" w:rsidRDefault="00A07524">
      <w:pPr>
        <w:pStyle w:val="EPBody"/>
      </w:pPr>
      <w:r>
        <w:rPr>
          <w:rStyle w:val="HideTWBExt"/>
        </w:rPr>
        <w:t>&lt;Commission&gt;</w:t>
      </w:r>
      <w:r>
        <w:rPr>
          <w:rStyle w:val="HideTWBInt"/>
          <w:color w:val="auto"/>
        </w:rPr>
        <w:t>{AFET}</w:t>
      </w:r>
      <w:r>
        <w:t>Užsienio reikalų komitetas</w:t>
      </w:r>
      <w:r>
        <w:rPr>
          <w:rStyle w:val="HideTWBExt"/>
        </w:rPr>
        <w:t>&lt;/Commission&gt;</w:t>
      </w:r>
    </w:p>
    <w:p w:rsidR="00E813C2" w:rsidRPr="00080AF4" w:rsidRDefault="00A07524">
      <w:pPr>
        <w:pStyle w:val="LineBottom"/>
      </w:pPr>
      <w:r>
        <w:t xml:space="preserve"> </w:t>
      </w:r>
    </w:p>
    <w:p w:rsidR="00E813C2" w:rsidRPr="00080AF4" w:rsidRDefault="00A07524">
      <w:pPr>
        <w:pStyle w:val="CoverReference"/>
      </w:pPr>
      <w:r>
        <w:rPr>
          <w:rStyle w:val="HideTWBExt"/>
        </w:rPr>
        <w:t>&lt;RefProc&gt;</w:t>
      </w:r>
      <w:r>
        <w:t>2024/2080</w:t>
      </w:r>
      <w:r>
        <w:rPr>
          <w:rStyle w:val="HideTWBExt"/>
        </w:rPr>
        <w:t>&lt;/RefProc&gt;&lt;RefTypeProc&gt;</w:t>
      </w:r>
      <w:r>
        <w:t>(INI)</w:t>
      </w:r>
      <w:r>
        <w:rPr>
          <w:rStyle w:val="HideTWBExt"/>
        </w:rPr>
        <w:t>&lt;/RefTypeProc&gt;</w:t>
      </w:r>
    </w:p>
    <w:p w:rsidR="00E813C2" w:rsidRPr="00080AF4" w:rsidRDefault="00A07524">
      <w:pPr>
        <w:pStyle w:val="CoverDate"/>
      </w:pPr>
      <w:r>
        <w:rPr>
          <w:rStyle w:val="HideTWBExt"/>
        </w:rPr>
        <w:t>&lt;Date&gt;</w:t>
      </w:r>
      <w:r>
        <w:rPr>
          <w:rStyle w:val="HideTWBInt"/>
          <w:color w:val="auto"/>
        </w:rPr>
        <w:t>{08/11/2024}</w:t>
      </w:r>
      <w:r>
        <w:t>8.11.2024</w:t>
      </w:r>
      <w:r>
        <w:rPr>
          <w:rStyle w:val="HideTWBExt"/>
        </w:rPr>
        <w:t>&lt;/Date&gt;</w:t>
      </w:r>
    </w:p>
    <w:p w:rsidR="00E813C2" w:rsidRPr="00080AF4" w:rsidRDefault="00A07524">
      <w:pPr>
        <w:pStyle w:val="CoverDocType"/>
      </w:pPr>
      <w:r>
        <w:rPr>
          <w:rStyle w:val="HideTWBExt"/>
        </w:rPr>
        <w:t>&lt;TypeAM&gt;</w:t>
      </w:r>
      <w:r>
        <w:t>PAKEITIMAI</w:t>
      </w:r>
      <w:r>
        <w:rPr>
          <w:rStyle w:val="HideTWBExt"/>
        </w:rPr>
        <w:t>&lt;/TypeAM&gt;</w:t>
      </w:r>
    </w:p>
    <w:p w:rsidR="00E813C2" w:rsidRPr="00080AF4" w:rsidRDefault="00A07524">
      <w:pPr>
        <w:pStyle w:val="CoverDocType24a"/>
      </w:pPr>
      <w:r>
        <w:rPr>
          <w:rStyle w:val="HideTWBExt"/>
        </w:rPr>
        <w:t>&lt;RangeAM&gt;</w:t>
      </w:r>
      <w:r>
        <w:t>768 - 1019</w:t>
      </w:r>
      <w:r>
        <w:rPr>
          <w:rStyle w:val="HideTWBExt"/>
        </w:rPr>
        <w:t>&lt;/RangeAM&gt;</w:t>
      </w:r>
    </w:p>
    <w:p w:rsidR="00E813C2" w:rsidRPr="00080AF4" w:rsidRDefault="00A07524">
      <w:pPr>
        <w:pStyle w:val="CoverBold"/>
      </w:pPr>
      <w:r>
        <w:rPr>
          <w:rStyle w:val="HideTWBExt"/>
        </w:rPr>
        <w:t>&lt;TitreType&gt;</w:t>
      </w:r>
      <w:r>
        <w:t>Pranešimo projektas</w:t>
      </w:r>
      <w:r>
        <w:rPr>
          <w:rStyle w:val="HideTWBExt"/>
        </w:rPr>
        <w:t>&lt;/TitreType&gt;</w:t>
      </w:r>
    </w:p>
    <w:p w:rsidR="00E813C2" w:rsidRPr="00080AF4" w:rsidRDefault="00A07524">
      <w:pPr>
        <w:pStyle w:val="CoverBold"/>
      </w:pPr>
      <w:r>
        <w:rPr>
          <w:rStyle w:val="HideTWBExt"/>
        </w:rPr>
        <w:t>&lt;Rapporteur&gt;</w:t>
      </w:r>
      <w:r>
        <w:t>David McAllister</w:t>
      </w:r>
      <w:r>
        <w:rPr>
          <w:rStyle w:val="HideTWBExt"/>
        </w:rPr>
        <w:t>&lt;/Rapporteur&gt;</w:t>
      </w:r>
    </w:p>
    <w:p w:rsidR="00E813C2" w:rsidRPr="00080AF4" w:rsidRDefault="00A07524">
      <w:pPr>
        <w:pStyle w:val="CoverNormal24a"/>
      </w:pPr>
      <w:r>
        <w:rPr>
          <w:rStyle w:val="HideTWBExt"/>
        </w:rPr>
        <w:t>&lt;DocRefPE&gt;</w:t>
      </w:r>
      <w:r>
        <w:t>(PE765.084v01-00)</w:t>
      </w:r>
      <w:r>
        <w:rPr>
          <w:rStyle w:val="HideTWBExt"/>
        </w:rPr>
        <w:t>&lt;/DocRefPE&gt;</w:t>
      </w:r>
    </w:p>
    <w:p w:rsidR="00E813C2" w:rsidRPr="00080AF4" w:rsidRDefault="00A07524">
      <w:pPr>
        <w:pStyle w:val="CoverNormal"/>
      </w:pPr>
      <w:r>
        <w:rPr>
          <w:rStyle w:val="HideTWBExt"/>
        </w:rPr>
        <w:t>&lt;Titre&gt;</w:t>
      </w:r>
      <w:r>
        <w:t>2024 m. metinis pranešimas dėl bendros užsienio ir saugumo politikos įgyvendinimo</w:t>
      </w:r>
      <w:r>
        <w:rPr>
          <w:rStyle w:val="HideTWBExt"/>
        </w:rPr>
        <w:t>&lt;/Titre&gt;</w:t>
      </w:r>
    </w:p>
    <w:p w:rsidR="00E813C2" w:rsidRPr="00080AF4" w:rsidRDefault="00A07524">
      <w:pPr>
        <w:pStyle w:val="CoverNormal24a"/>
      </w:pPr>
      <w:r>
        <w:rPr>
          <w:rStyle w:val="HideTWBExt"/>
        </w:rPr>
        <w:t>&lt;DocRef&gt;</w:t>
      </w:r>
      <w:r>
        <w:t>(2024/2080(INI))</w:t>
      </w:r>
      <w:r>
        <w:rPr>
          <w:rStyle w:val="HideTWBExt"/>
        </w:rPr>
        <w:t>&lt;/DocRef&gt;</w:t>
      </w:r>
    </w:p>
    <w:p w:rsidR="00E813C2" w:rsidRPr="00080AF4" w:rsidRDefault="00A07524">
      <w:r>
        <w:br w:type="page"/>
      </w:r>
      <w:r>
        <w:lastRenderedPageBreak/>
        <w:t>AM_Com_NonLegReport</w:t>
      </w:r>
    </w:p>
    <w:p w:rsidR="00A47A16" w:rsidRPr="00080AF4" w:rsidRDefault="00A07524" w:rsidP="00A47A16">
      <w:pPr>
        <w:pStyle w:val="AmNumberTabs"/>
      </w:pPr>
      <w:r>
        <w:br w:type="page"/>
      </w:r>
      <w:r w:rsidR="00A47A16" w:rsidRPr="00A47A16">
        <w:rPr>
          <w:rStyle w:val="HideTWBExt"/>
          <w:b w:val="0"/>
        </w:rPr>
        <w:lastRenderedPageBreak/>
        <w:t>&lt;RepeatBlock-Amend&gt;</w:t>
      </w:r>
      <w:r w:rsidR="00A47A16">
        <w:rPr>
          <w:rStyle w:val="HideTWBExt"/>
        </w:rPr>
        <w:t>&lt;Amend&gt;</w:t>
      </w:r>
      <w:r w:rsidR="00A47A16">
        <w:t>Pakeitimas</w:t>
      </w:r>
      <w:r w:rsidR="00A47A16">
        <w:tab/>
      </w:r>
      <w:r w:rsidR="00A47A16">
        <w:tab/>
      </w:r>
      <w:r w:rsidR="00A47A16">
        <w:rPr>
          <w:rStyle w:val="HideTWBExt"/>
        </w:rPr>
        <w:t>&lt;NumAm&gt;</w:t>
      </w:r>
      <w:r w:rsidR="00A47A16">
        <w:t>768</w:t>
      </w:r>
      <w:r w:rsidR="00A47A16">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28 dalis</w:t>
      </w:r>
      <w:r>
        <w:rPr>
          <w:rStyle w:val="HideTWBExt"/>
        </w:rPr>
        <w:t>&lt;/Article&gt;</w:t>
      </w:r>
      <w:bookmarkStart w:id="0" w:name="_GoBack"/>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28.</w:t>
            </w:r>
            <w:r>
              <w:tab/>
            </w:r>
            <w:r>
              <w:rPr>
                <w:b/>
                <w:i/>
              </w:rPr>
              <w:t>atsižvelgdamas į tai, primena išsamią ir visapusišką ES ir Japonijos partnerystę, kuri turėtų tapti vaisingos dvišalės partnerystės, leidžiančios veiksmingai formuoti politiką daugiašaliuose kontekstuose, pavyzdžiu;</w:t>
            </w:r>
            <w:r>
              <w:t xml:space="preserve"> pažymi, kad 2024 m. ES ir Japonija mini 50-ąsias diplomatinių santykių metines, ir tvirtai pabrėžia ES interesą per ateinančius 50 metų stiprinti ir plėsti šią partnerystę dvišaliu pagrindu; </w:t>
            </w:r>
            <w:r>
              <w:rPr>
                <w:b/>
                <w:i/>
              </w:rPr>
              <w:t>pripažįsta esminį ES ir Japonijos ekonominės partnerystės susitarimo, taip pat ES ir Japonijos strateginės partnerystės susitarimo (SPS) vaidmenį palaikant jų santykius geopolitinių neramumų metu; ragina abi šalis parodyti reikiamą politinę valią siekiant ratifikuoti SPS, visų pirma ragina tai padaryti dar jo neratifikavusias ES valstybes nares;</w:t>
            </w:r>
          </w:p>
        </w:tc>
        <w:tc>
          <w:tcPr>
            <w:tcW w:w="4876" w:type="dxa"/>
            <w:tcBorders>
              <w:top w:val="nil"/>
              <w:left w:val="nil"/>
              <w:bottom w:val="nil"/>
              <w:right w:val="nil"/>
            </w:tcBorders>
          </w:tcPr>
          <w:p w:rsidR="00A47A16" w:rsidRPr="00080AF4" w:rsidRDefault="00A47A16" w:rsidP="00BA0C71">
            <w:pPr>
              <w:pStyle w:val="Normal6a"/>
            </w:pPr>
            <w:r>
              <w:t>28.</w:t>
            </w:r>
            <w:r>
              <w:tab/>
              <w:t>pažymi, kad 2024 m. ES ir Japonija mini 50-ąsias diplomatinių santykių metines, ir tvirtai pabrėžia ES interesą per ateinančius 50 metų stiprinti ir plėsti šią partnerystę dvišaliu pagrindu;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769</w:t>
      </w:r>
      <w:r>
        <w:rPr>
          <w:rStyle w:val="HideTWBExt"/>
        </w:rPr>
        <w:t>&lt;/NumAm&gt;</w:t>
      </w:r>
    </w:p>
    <w:p w:rsidR="00A47A16" w:rsidRPr="00080AF4" w:rsidRDefault="00A47A16" w:rsidP="00A47A16">
      <w:pPr>
        <w:pStyle w:val="NormalBold"/>
      </w:pPr>
      <w:r>
        <w:rPr>
          <w:rStyle w:val="HideTWBExt"/>
          <w:b w:val="0"/>
        </w:rPr>
        <w:t>&lt;RepeatBlock-By&gt;&lt;Members&gt;</w:t>
      </w:r>
      <w:r>
        <w:t>Hans Neuhoff</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28.</w:t>
            </w:r>
            <w:r>
              <w:tab/>
              <w:t>atsižvelgdamas į tai, primena išsamią ir visapusišką ES ir Japonijos partnerystę, kuri turėtų tapti vaisingos dvišalės partnerystės, leidžiančios veiksmingai formuoti politiką daugiašaliuose kontekstuose, pavyzdžiu; pažymi, kad 2024 m. ES ir Japonija mini 50-ąsias diplomatinių santykių metines, ir tvirtai pabrėžia ES interesą per ateinančius 50 metų stiprinti ir plėsti šią partnerystę dvišaliu pagrindu; pripažįsta esminį ES ir Japonijos ekonominės partnerystės susitarimo</w:t>
            </w:r>
            <w:r>
              <w:rPr>
                <w:b/>
                <w:i/>
              </w:rPr>
              <w:t>, taip pat ES ir Japonijos strateginės partnerystės susitarimo (SPS)</w:t>
            </w:r>
            <w:r>
              <w:t xml:space="preserve"> vaidmenį</w:t>
            </w:r>
            <w:r>
              <w:rPr>
                <w:b/>
                <w:i/>
              </w:rPr>
              <w:t xml:space="preserve"> palaikant jų santykius geopolitinių neramumų metu; ragina abi šalis parodyti reikiamą politinę valią siekiant ratifikuoti SPS, visų pirma ragina tai padaryti dar jo neratifikavusias ES valstybes nares;</w:t>
            </w:r>
          </w:p>
        </w:tc>
        <w:tc>
          <w:tcPr>
            <w:tcW w:w="4876" w:type="dxa"/>
            <w:tcBorders>
              <w:top w:val="nil"/>
              <w:left w:val="nil"/>
              <w:bottom w:val="nil"/>
              <w:right w:val="nil"/>
            </w:tcBorders>
          </w:tcPr>
          <w:p w:rsidR="00A47A16" w:rsidRPr="00080AF4" w:rsidRDefault="00A47A16" w:rsidP="00BA0C71">
            <w:pPr>
              <w:pStyle w:val="Normal6a"/>
            </w:pPr>
            <w:r>
              <w:t>28.</w:t>
            </w:r>
            <w:r>
              <w:tab/>
              <w:t>atsižvelgdamas į tai, primena išsamią ir visapusišką ES ir Japonijos partnerystę, kuri turėtų tapti vaisingos dvišalės partnerystės, leidžiančios veiksmingai formuoti politiką daugiašaliuose kontekstuose, pavyzdžiu; pažymi, kad 2024 m. ES ir Japonija mini 50-ąsias diplomatinių santykių metines, ir tvirtai pabrėžia ES interesą per ateinančius 50 metų stiprinti ir plėsti šią partnerystę dvišaliu pagrindu; pripažįsta esminį ES ir Japonijos ekonominės partnerystės susitarimo vaidmenį;</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{DE}</w:t>
      </w:r>
      <w:r w:rsidRPr="00080AF4">
        <w:t>de</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770</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28.</w:t>
            </w:r>
            <w:r>
              <w:tab/>
              <w:t xml:space="preserve">atsižvelgdamas į tai, primena </w:t>
            </w:r>
            <w:r>
              <w:rPr>
                <w:b/>
                <w:i/>
              </w:rPr>
              <w:t>išsamią ir visapusišką</w:t>
            </w:r>
            <w:r>
              <w:t xml:space="preserve"> ES ir Japonijos partnerystę, kuri turėtų tapti vaisingos dvišalės partnerystės, leidžiančios veiksmingai formuoti politiką daugiašaliuose kontekstuose, pavyzdžiu; pažymi, kad 2024 m. ES ir Japonija mini 50-ąsias diplomatinių </w:t>
            </w:r>
            <w:r>
              <w:rPr>
                <w:b/>
                <w:i/>
              </w:rPr>
              <w:t>santykių</w:t>
            </w:r>
            <w:r>
              <w:t xml:space="preserve"> metines, ir tvirtai pabrėžia ES interesą per ateinančius 50 metų stiprinti ir plėsti šią partnerystę dvišaliu pagrindu; pripažįsta esminį ES ir Japonijos ekonominės partnerystės susitarimo, taip pat ES ir Japonijos strateginės partnerystės susitarimo (SPS) vaidmenį palaikant jų santykius geopolitinių neramumų metu; </w:t>
            </w:r>
            <w:r>
              <w:rPr>
                <w:b/>
                <w:i/>
              </w:rPr>
              <w:t>ragina abi šalis parodyti reikiamą politinę valią siekiant ratifikuoti SPS, visų pirma ragina tai padaryti dar jo neratifikavusias ES valstybes nares;</w:t>
            </w:r>
          </w:p>
        </w:tc>
        <w:tc>
          <w:tcPr>
            <w:tcW w:w="4876" w:type="dxa"/>
            <w:tcBorders>
              <w:top w:val="nil"/>
              <w:left w:val="nil"/>
              <w:bottom w:val="nil"/>
              <w:right w:val="nil"/>
            </w:tcBorders>
          </w:tcPr>
          <w:p w:rsidR="00A47A16" w:rsidRPr="00080AF4" w:rsidRDefault="00A47A16" w:rsidP="00BA0C71">
            <w:pPr>
              <w:pStyle w:val="Normal6a"/>
            </w:pPr>
            <w:r>
              <w:t>28.</w:t>
            </w:r>
            <w:r>
              <w:tab/>
              <w:t xml:space="preserve">atsižvelgdamas į tai, primena </w:t>
            </w:r>
            <w:r>
              <w:rPr>
                <w:b/>
                <w:i/>
              </w:rPr>
              <w:t>strateginę</w:t>
            </w:r>
            <w:r>
              <w:t xml:space="preserve"> ES ir Japonijos partnerystę, kuri turėtų tapti vaisingos dvišalės partnerystės, leidžiančios veiksmingai formuoti politiką daugiašaliuose kontekstuose, pavyzdžiu; pažymi, kad 2024 m. ES ir Japonija mini 50-ąsias </w:t>
            </w:r>
            <w:r>
              <w:rPr>
                <w:b/>
                <w:i/>
              </w:rPr>
              <w:t xml:space="preserve">savo atitinkamų </w:t>
            </w:r>
            <w:r>
              <w:t xml:space="preserve">diplomatinių </w:t>
            </w:r>
            <w:r>
              <w:rPr>
                <w:b/>
                <w:i/>
              </w:rPr>
              <w:t>misijų sukūrimo</w:t>
            </w:r>
            <w:r>
              <w:t xml:space="preserve"> metines, ir tvirtai pabrėžia ES interesą per ateinančius 50 metų stiprinti ir plėsti šią partnerystę dvišaliu pagrindu; pripažįsta esminį ES ir Japonijos ekonominės partnerystės susitarimo, taip pat ES ir Japonijos strateginės partnerystės susitarimo (SPS) vaidmenį palaikant jų santykius geopolitinių neramumų metu;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771</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29.</w:t>
            </w:r>
            <w:r>
              <w:tab/>
            </w:r>
            <w:r>
              <w:rPr>
                <w:b/>
                <w:i/>
              </w:rPr>
              <w:t>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angažavimąsi,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772</w:t>
      </w:r>
      <w:r>
        <w:rPr>
          <w:rStyle w:val="HideTWBExt"/>
        </w:rPr>
        <w:t>&lt;/NumAm&gt;</w:t>
      </w:r>
    </w:p>
    <w:p w:rsidR="00A47A16" w:rsidRPr="00080AF4" w:rsidRDefault="00A47A16" w:rsidP="00A47A16">
      <w:pPr>
        <w:pStyle w:val="NormalBold"/>
      </w:pPr>
      <w:r>
        <w:rPr>
          <w:rStyle w:val="HideTWBExt"/>
          <w:b w:val="0"/>
        </w:rPr>
        <w:t>&lt;RepeatBlock-By&gt;&lt;Members&gt;</w:t>
      </w:r>
      <w:r>
        <w:t>Sebastian Tynkkynen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angažavimąsi,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angažavimąsi, sykiu didinant ES ryžtingumą Kinijos atžvilgiu, skatinant ją prisiimti savo, kaip nuolatinės JT Saugumo Tarybos narės, atsakomybę; </w:t>
            </w:r>
            <w:r>
              <w:rPr>
                <w:b/>
                <w:i/>
              </w:rPr>
              <w:t>pabrėžia, kad Kinija atlieka svarbų vaidmenį sudarant sąlygas Rusijos agresijos karui prieš Ukrainą; griežtai smerkia tai, kad Kinija tiekia Rusijai mikroelektroniką, puslaidininkius ir kitus produktus, kuriuos Rusijos ginkluotosios pajėgos gali panaudoti puolimui; griežtai smerkia Kinijos valdžios institucijų Sindziango provincijoje vykdomas uigūrų represijas; ragina ES ir jos valstybes nares visuose sektoriuose mažinti priklausomybę nuo Kinijos;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{FI}</w:t>
      </w:r>
      <w:r w:rsidRPr="00080AF4">
        <w:t>fi</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773</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w:t>
            </w:r>
            <w:r>
              <w:rPr>
                <w:b/>
                <w:i/>
              </w:rPr>
              <w:t>angažavimąsi</w:t>
            </w:r>
            <w:r>
              <w:t>,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w:t>
            </w:r>
            <w:r>
              <w:rPr>
                <w:b/>
                <w:i/>
              </w:rPr>
              <w:t xml:space="preserve">ir valstybes nares </w:t>
            </w:r>
            <w:r>
              <w:t xml:space="preserve">išlaikyti diplomatinį </w:t>
            </w:r>
            <w:r>
              <w:rPr>
                <w:b/>
                <w:i/>
              </w:rPr>
              <w:t>angažuotumą</w:t>
            </w:r>
            <w:r>
              <w:t xml:space="preserve">, sykiu didinant ES ryžtingumą Kinijos atžvilgiu, skatinant ją prisiimti savo, kaip nuolatinės JT Saugumo Tarybos narės, atsakomybę; </w:t>
            </w:r>
            <w:r>
              <w:rPr>
                <w:b/>
                <w:i/>
              </w:rPr>
              <w:t>atkreipia dėmesį į didėjančią Kinijos keliamą grėsmę ir destabilizuojančius veiksmus kaimyninių šalių atžvilgiu ir jos bandymus pakenkti ES demokratinėms visuomenėms, institucijoms ir ekonominiam saugumui; pabrėžia, kad reikia skubiai tęsti rizikos mažinimo ir ES priklausomybės nuo Kinijos pagrindiniuose sektoriuose mažinimo politiką;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774</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w:t>
            </w:r>
            <w:r>
              <w:rPr>
                <w:b/>
                <w:i/>
              </w:rPr>
              <w:t>vienas iš svarbiausių XXI a. geopolitinių iššūkių</w:t>
            </w:r>
            <w:r>
              <w:t xml:space="preserve"> ir </w:t>
            </w:r>
            <w:r>
              <w:rPr>
                <w:b/>
                <w:i/>
              </w:rPr>
              <w:t>reikalauja daugialypio</w:t>
            </w:r>
            <w:r>
              <w:t xml:space="preserve"> atsako, kuris leistų ES toliau bendradarbiauti su Kinija tam tikrais pagrindiniais klausimais; </w:t>
            </w:r>
            <w:r>
              <w:rPr>
                <w:b/>
                <w:i/>
              </w:rPr>
              <w:t>ragina Komisijos pirmininko pavaduotoją ir Sąjungos vyriausiąjį įgaliotinį išlaikyti diplomatinį angažavimąsi,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w:t>
            </w:r>
            <w:r>
              <w:rPr>
                <w:b/>
                <w:i/>
              </w:rPr>
              <w:t>faktas ir reikalauja apmąstyto</w:t>
            </w:r>
            <w:r>
              <w:t xml:space="preserve"> ir </w:t>
            </w:r>
            <w:r>
              <w:rPr>
                <w:b/>
                <w:i/>
              </w:rPr>
              <w:t>nuovokaus</w:t>
            </w:r>
            <w:r>
              <w:t xml:space="preserve"> atsako, kuris leistų ES toliau bendradarbiauti su Kinija tam tikrais pagrindiniais klausimais;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775</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 xml:space="preserve">mano, kad Kinijos </w:t>
            </w:r>
            <w:r>
              <w:rPr>
                <w:b/>
                <w:i/>
              </w:rPr>
              <w:t>galios didėjimas</w:t>
            </w:r>
            <w:r>
              <w:t xml:space="preserve">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w:t>
            </w:r>
            <w:r>
              <w:rPr>
                <w:b/>
                <w:i/>
              </w:rPr>
              <w:t>angažavimąsi</w:t>
            </w:r>
            <w:r>
              <w:t>,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Kinijos </w:t>
            </w:r>
            <w:r>
              <w:rPr>
                <w:b/>
                <w:i/>
              </w:rPr>
              <w:t>užsibrėžimas pakeisti pasaulio tvarką</w:t>
            </w:r>
            <w:r>
              <w:t xml:space="preserve"> tebėra vienas iš svarbiausių XXI a. geopolitinių iššūkių ir reikalauja daugialypio atsako, kuris leistų ES toliau bendradarbiauti su Kinija tam tikrais pagrindiniais klausimais; ragina Komisijos pirmininko pavaduotoją ir Sąjungos vyriausiąjį įgaliotinį </w:t>
            </w:r>
            <w:r>
              <w:rPr>
                <w:b/>
                <w:i/>
              </w:rPr>
              <w:t xml:space="preserve">ir valstybes nares </w:t>
            </w:r>
            <w:r>
              <w:t xml:space="preserve">išlaikyti diplomatinį </w:t>
            </w:r>
            <w:r>
              <w:rPr>
                <w:b/>
                <w:i/>
              </w:rPr>
              <w:t>angažuotumą</w:t>
            </w:r>
            <w:r>
              <w:t xml:space="preserve">, sykiu didinant ES ryžtingumą Kinijos atžvilgiu, skatinant ją prisiimti savo, kaip nuolatinės JT Saugumo Tarybos narės, atsakomybę; </w:t>
            </w:r>
            <w:r>
              <w:rPr>
                <w:b/>
                <w:i/>
              </w:rPr>
              <w:t>primena Kinijos, kaip bendradarbiavimo partnerės, ekonominės konkurentės ir sisteminės varžovės, poziciją, visų pirma skaitmeninės transformacijos ir su klimato kaita susijusios pertvarkos srityse;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776</w:t>
      </w:r>
      <w:r>
        <w:rPr>
          <w:rStyle w:val="HideTWBExt"/>
        </w:rPr>
        <w:t>&lt;/NumAm&gt;</w:t>
      </w:r>
    </w:p>
    <w:p w:rsidR="00A47A16" w:rsidRPr="00080AF4" w:rsidRDefault="00A47A16" w:rsidP="00A47A16">
      <w:pPr>
        <w:pStyle w:val="NormalBold"/>
      </w:pPr>
      <w:r>
        <w:rPr>
          <w:rStyle w:val="HideTWBExt"/>
          <w:b w:val="0"/>
        </w:rPr>
        <w:t>&lt;RepeatBlock-By&gt;&lt;Members&gt;</w:t>
      </w:r>
      <w:r>
        <w:t>Francisco José Millán Mon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angažavimąsi,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w:t>
            </w:r>
            <w:r>
              <w:rPr>
                <w:b/>
                <w:i/>
              </w:rPr>
              <w:t xml:space="preserve">nedarant poveikio tam, kad būtų toliau siekiama paskelbto Europos Sąjungos tikslo mažinti prekybos tam tikromis jautriomis medžiagomis riziką ir skatinti savo importo diversifikavimą, </w:t>
            </w:r>
            <w:r>
              <w:t>ragina Komisijos pirmininko pavaduotoją ir Sąjungos vyriausiąjį įgaliotinį išlaikyti diplomatinį angažavimąsi, sykiu didinant ES ryžtingumą Kinijos atžvilgiu, skatinant ją prisiimti savo, kaip nuolatinės JT Saugumo Tarybos narės, atsakomybę;</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{ES}</w:t>
      </w:r>
      <w:r w:rsidRPr="00080AF4">
        <w:t>es</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777</w:t>
      </w:r>
      <w:r>
        <w:rPr>
          <w:rStyle w:val="HideTWBExt"/>
        </w:rPr>
        <w:t>&lt;/NumAm&gt;</w:t>
      </w:r>
    </w:p>
    <w:p w:rsidR="00A47A16" w:rsidRPr="00080AF4" w:rsidRDefault="00A47A16" w:rsidP="00A47A16">
      <w:pPr>
        <w:pStyle w:val="NormalBold"/>
      </w:pPr>
      <w:r>
        <w:rPr>
          <w:rStyle w:val="HideTWBExt"/>
          <w:b w:val="0"/>
        </w:rPr>
        <w:t>&lt;RepeatBlock-By&gt;&lt;Members&gt;</w:t>
      </w:r>
      <w:r>
        <w:t>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w:t>
            </w:r>
            <w:r>
              <w:rPr>
                <w:b/>
                <w:i/>
              </w:rPr>
              <w:t>angažavimąsi</w:t>
            </w:r>
            <w:r>
              <w:t>,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w:t>
            </w:r>
            <w:r>
              <w:rPr>
                <w:b/>
                <w:i/>
              </w:rPr>
              <w:t>primygtinai ragina ES laikytis subalansuoto požiūrio į Kiniją, pabrėždamas, kad svarbu bendradarbiauti su Kinija kaip pagrindine pasaulinio masto veikėja, kartu apsaugant Europos vertybes ir ekonominį stabilumą;</w:t>
            </w:r>
            <w:r>
              <w:t xml:space="preserve"> ragina Komisijos pirmininko pavaduotoją ir Sąjungos vyriausiąjį įgaliotinį </w:t>
            </w:r>
            <w:r>
              <w:rPr>
                <w:b/>
                <w:i/>
              </w:rPr>
              <w:t xml:space="preserve">ir valstybes nares </w:t>
            </w:r>
            <w:r>
              <w:t xml:space="preserve">išlaikyti diplomatinį </w:t>
            </w:r>
            <w:r>
              <w:rPr>
                <w:b/>
                <w:i/>
              </w:rPr>
              <w:t>angažuotumą</w:t>
            </w:r>
            <w:r>
              <w:t>, sykiu didinant ES ryžtingumą Kinijos atžvilgiu, skatinant ją prisiimti savo, kaip nuolatinės JT Saugumo Tarybos narės, atsakomybę;</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778</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mano, kad Kinijos galios didėjimas tebėra vienas iš svarbiausių XXI a. geopolitinių iššūkių ir reikalauja</w:t>
            </w:r>
            <w:r>
              <w:rPr>
                <w:b/>
                <w:i/>
              </w:rPr>
              <w:t xml:space="preserve"> daugialypio atsako</w:t>
            </w:r>
            <w:r>
              <w:t xml:space="preserve">, </w:t>
            </w:r>
            <w:r>
              <w:rPr>
                <w:b/>
                <w:i/>
              </w:rPr>
              <w:t>kuris leistų</w:t>
            </w:r>
            <w:r>
              <w:t xml:space="preserve"> ES </w:t>
            </w:r>
            <w:r>
              <w:rPr>
                <w:b/>
                <w:i/>
              </w:rPr>
              <w:t>toliau bendradarbiauti su Kinija tam tikrais pagrindiniais klausimais</w:t>
            </w:r>
            <w:r>
              <w:t>; ragina Komisijos pirmininko pavaduotoją ir Sąjungos vyriausiąjį įgaliotinį išlaikyti diplomatinį angažavimąsi, sykiu didinant ES ryžtingumą Kinijos atžvilgiu</w:t>
            </w:r>
            <w:r>
              <w:rPr>
                <w:b/>
                <w:i/>
              </w:rPr>
              <w:t>, skatinant ją prisiimti savo, kaip nuolatinės JT Saugumo Tarybos narės, atsakomybę</w:t>
            </w:r>
            <w:r>
              <w:t>;</w:t>
            </w:r>
          </w:p>
        </w:tc>
        <w:tc>
          <w:tcPr>
            <w:tcW w:w="4876" w:type="dxa"/>
            <w:tcBorders>
              <w:top w:val="nil"/>
              <w:left w:val="nil"/>
              <w:bottom w:val="nil"/>
              <w:right w:val="nil"/>
            </w:tcBorders>
          </w:tcPr>
          <w:p w:rsidR="00A47A16" w:rsidRPr="00080AF4" w:rsidRDefault="00A47A16" w:rsidP="00BA0C71">
            <w:pPr>
              <w:pStyle w:val="Normal6a"/>
            </w:pPr>
            <w:r>
              <w:t>29.</w:t>
            </w:r>
            <w:r>
              <w:tab/>
              <w:t>mano, kad Kinijos galios didėjimas tebėra vienas iš svarbiausių XXI a. geopolitinių iššūkių ir reikalauja</w:t>
            </w:r>
            <w:r>
              <w:rPr>
                <w:b/>
                <w:i/>
              </w:rPr>
              <w:t>, kad valstybės narės vieningai tam priešintųsi; pripažįsta Kinijos tikslą iki 2049 m. atlikti pasaulio lyderės vaidmenį</w:t>
            </w:r>
            <w:r>
              <w:t xml:space="preserve">, </w:t>
            </w:r>
            <w:r>
              <w:rPr>
                <w:b/>
                <w:i/>
              </w:rPr>
              <w:t>kaip nurodė prezidentas Xi Jinping savo 2017 m. ataskaitoje 19-ajam Kinijos komunistų partijos (KKP) kongresui, kad</w:t>
            </w:r>
            <w:r>
              <w:t xml:space="preserve"> ES </w:t>
            </w:r>
            <w:r>
              <w:rPr>
                <w:b/>
                <w:i/>
              </w:rPr>
              <w:t>kiltų didelis politinis, ekonominis, saugumo ir technologinis pavojus, taip pat grėsmė Vakarų demokratinėms vertybėms pasaulyje</w:t>
            </w:r>
            <w:r>
              <w:t xml:space="preserve">; ragina Komisijos pirmininko pavaduotoją ir Sąjungos vyriausiąjį įgaliotinį </w:t>
            </w:r>
            <w:r>
              <w:rPr>
                <w:b/>
                <w:bCs/>
                <w:i/>
                <w:iCs/>
              </w:rPr>
              <w:t xml:space="preserve">ir valstybes nares </w:t>
            </w:r>
            <w:r>
              <w:t>išlaikyti diplomatinį</w:t>
            </w:r>
            <w:r>
              <w:rPr>
                <w:b/>
                <w:bCs/>
                <w:i/>
                <w:iCs/>
              </w:rPr>
              <w:t xml:space="preserve"> angažuotumą</w:t>
            </w:r>
            <w:r>
              <w:t>, sykiu didinant ES ryžtingumą Kinijos atžvilgiu;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779</w:t>
      </w:r>
      <w:r>
        <w:rPr>
          <w:rStyle w:val="HideTWBExt"/>
        </w:rPr>
        <w:t>&lt;/NumAm&gt;</w:t>
      </w:r>
    </w:p>
    <w:p w:rsidR="00A47A16" w:rsidRPr="00080AF4" w:rsidRDefault="00A47A16" w:rsidP="00A47A16">
      <w:pPr>
        <w:pStyle w:val="NormalBold"/>
      </w:pPr>
      <w:r>
        <w:rPr>
          <w:rStyle w:val="HideTWBExt"/>
          <w:b w:val="0"/>
        </w:rPr>
        <w:t>&lt;RepeatBlock-By&gt;&lt;Members&gt;</w:t>
      </w:r>
      <w:r>
        <w:t>Eszter Lakos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w:t>
            </w:r>
            <w:r>
              <w:rPr>
                <w:b/>
                <w:i/>
              </w:rPr>
              <w:t>angažavimąsi</w:t>
            </w:r>
            <w:r>
              <w:t>,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w:t>
            </w:r>
            <w:r>
              <w:rPr>
                <w:b/>
                <w:i/>
              </w:rPr>
              <w:t xml:space="preserve">ir valstybes nares </w:t>
            </w:r>
            <w:r>
              <w:t xml:space="preserve">išlaikyti diplomatinį </w:t>
            </w:r>
            <w:r>
              <w:rPr>
                <w:b/>
                <w:i/>
              </w:rPr>
              <w:t>angažuotumą</w:t>
            </w:r>
            <w:r>
              <w:t xml:space="preserve">, sykiu didinant ES ryžtingumą Kinijos atžvilgiu, skatinant ją prisiimti savo, kaip nuolatinės JT Saugumo Tarybos narės, atsakomybę; </w:t>
            </w:r>
            <w:r>
              <w:rPr>
                <w:b/>
                <w:i/>
              </w:rPr>
              <w:t>yra susirūpinęs dėl didėjančios Kinijos įmonių ekonominės skverbties, tokiuose strateginiuose sektoriuose kaip, be kita ko, baterijų gamyba;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780</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 xml:space="preserve">mano, kad </w:t>
            </w:r>
            <w:r>
              <w:rPr>
                <w:b/>
                <w:i/>
              </w:rPr>
              <w:t>Kinijos galios didėjimas tebėra vienas iš svarbiausių XXI a. geopolitinių iššūkių ir</w:t>
            </w:r>
            <w:r>
              <w:t xml:space="preserve"> reikalauja daugialypio atsako, kuris leistų ES toliau bendradarbiauti su Kinija tam tikrais pagrindiniais klausimais; ragina Komisijos pirmininko pavaduotoją ir Sąjungos vyriausiąjį įgaliotinį išlaikyti diplomatinį </w:t>
            </w:r>
            <w:r>
              <w:rPr>
                <w:b/>
                <w:i/>
              </w:rPr>
              <w:t>angažavimąsi</w:t>
            </w:r>
            <w:r>
              <w:t xml:space="preserve">, sykiu didinant ES ryžtingumą Kinijos atžvilgiu, </w:t>
            </w:r>
            <w:r>
              <w:rPr>
                <w:b/>
                <w:i/>
              </w:rPr>
              <w:t>skatinant ją prisiimti savo</w:t>
            </w:r>
            <w:r>
              <w:t xml:space="preserve">, kaip </w:t>
            </w:r>
            <w:r>
              <w:rPr>
                <w:b/>
                <w:i/>
              </w:rPr>
              <w:t>nuolatinės JT Saugumo Tarybos narės</w:t>
            </w:r>
            <w:r>
              <w:t xml:space="preserve">, </w:t>
            </w:r>
            <w:r>
              <w:rPr>
                <w:b/>
                <w:i/>
              </w:rPr>
              <w:t>atsakomybę</w:t>
            </w:r>
            <w:r>
              <w:t>;</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w:t>
            </w:r>
            <w:r>
              <w:rPr>
                <w:b/>
                <w:i/>
              </w:rPr>
              <w:t>iššūkiai, kylantys dėl Kinijos, kaip pasaulinio masto veikėjos, kilimu</w:t>
            </w:r>
            <w:r>
              <w:t xml:space="preserve"> reikalauja daugialypio atsako, kuris leistų ES toliau bendradarbiauti su Kinija tam tikrais pagrindiniais klausimais; ragina Komisijos pirmininko pavaduotoją ir Sąjungos vyriausiąjį įgaliotinį </w:t>
            </w:r>
            <w:r>
              <w:rPr>
                <w:b/>
                <w:i/>
              </w:rPr>
              <w:t xml:space="preserve">ir valstybes nares </w:t>
            </w:r>
            <w:r>
              <w:t xml:space="preserve">išlaikyti diplomatinį </w:t>
            </w:r>
            <w:r>
              <w:rPr>
                <w:b/>
                <w:i/>
              </w:rPr>
              <w:t>bendradarbiavimą su Kinija, kaip nuolatine JT Saugumo Tarybos nare</w:t>
            </w:r>
            <w:r>
              <w:t>, sykiu didinant ES ryžtingumą Kinijos atžvilgiu</w:t>
            </w:r>
            <w:r>
              <w:rPr>
                <w:b/>
                <w:i/>
              </w:rPr>
              <w:t xml:space="preserve"> taikant perkalibruotą strategiją</w:t>
            </w:r>
            <w:r>
              <w:t xml:space="preserve">, </w:t>
            </w:r>
            <w:r>
              <w:rPr>
                <w:b/>
                <w:i/>
              </w:rPr>
              <w:t>kurioje visų pirma sprendžiami klausimai, susiję su vis labiau represine vidaus politika, beatodairiška užsienio politika ir Kinijos ekonominės prievartos</w:t>
            </w:r>
            <w:r>
              <w:t xml:space="preserve">, kaip </w:t>
            </w:r>
            <w:r>
              <w:rPr>
                <w:b/>
                <w:i/>
              </w:rPr>
              <w:t>priemonės savo tikslams pasiekti</w:t>
            </w:r>
            <w:r>
              <w:t xml:space="preserve">, </w:t>
            </w:r>
            <w:r>
              <w:rPr>
                <w:b/>
                <w:i/>
              </w:rPr>
              <w:t>naudojimu</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781</w:t>
      </w:r>
      <w:r>
        <w:rPr>
          <w:rStyle w:val="HideTWBExt"/>
        </w:rPr>
        <w:t>&lt;/NumAm&gt;</w:t>
      </w:r>
    </w:p>
    <w:p w:rsidR="00A47A16" w:rsidRPr="00080AF4" w:rsidRDefault="00A47A16" w:rsidP="00A47A16">
      <w:pPr>
        <w:pStyle w:val="NormalBold"/>
      </w:pPr>
      <w:r>
        <w:rPr>
          <w:rStyle w:val="HideTWBExt"/>
          <w:b w:val="0"/>
        </w:rPr>
        <w:t>&lt;RepeatBlock-By&gt;&lt;Members&gt;</w:t>
      </w:r>
      <w:r>
        <w:t>Mariusz Kamiński, Michał Dworczyk</w:t>
      </w:r>
      <w:r>
        <w:rPr>
          <w:rStyle w:val="HideTWBExt"/>
          <w:b w:val="0"/>
        </w:rPr>
        <w:t>&lt;/Members&gt;</w:t>
      </w:r>
    </w:p>
    <w:p w:rsidR="00A47A16" w:rsidRPr="00080AF4" w:rsidRDefault="00A47A16" w:rsidP="00A47A16">
      <w:r>
        <w:rPr>
          <w:rStyle w:val="HideTWBExt"/>
        </w:rPr>
        <w:t>&lt;AuNomDe&gt;</w:t>
      </w:r>
      <w:r>
        <w:rPr>
          <w:rStyle w:val="HideTWBInt"/>
        </w:rPr>
        <w:t>{ECR}</w:t>
      </w:r>
      <w:r>
        <w:t>ECR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 xml:space="preserve">mano, kad Kinijos </w:t>
            </w:r>
            <w:r>
              <w:rPr>
                <w:b/>
                <w:i/>
              </w:rPr>
              <w:t>galios didėjimas</w:t>
            </w:r>
            <w:r>
              <w:t xml:space="preserve">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w:t>
            </w:r>
            <w:r>
              <w:rPr>
                <w:b/>
                <w:i/>
              </w:rPr>
              <w:t>angažavimąsi</w:t>
            </w:r>
            <w:r>
              <w:t>,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w:t>
            </w:r>
            <w:r>
              <w:rPr>
                <w:b/>
                <w:i/>
              </w:rPr>
              <w:t xml:space="preserve">nauja Xi Jinpingo vykdoma </w:t>
            </w:r>
            <w:r>
              <w:t xml:space="preserve">Kinijos </w:t>
            </w:r>
            <w:r>
              <w:rPr>
                <w:b/>
                <w:i/>
              </w:rPr>
              <w:t>politika, ypač jos beatodairiška užsienio politika, „beribė“ partnerystė su Rusiją bei karinės ir civilinės sintezės strategija,</w:t>
            </w:r>
            <w:r>
              <w:t xml:space="preserve"> tebėra vienas iš svarbiausių XXI a. geopolitinių iššūkių ir reikalauja daugialypio atsako, kuris leistų ES toliau bendradarbiauti su Kinija tam tikrais pagrindiniais klausimais; ragina Komisijos pirmininko pavaduotoją ir Sąjungos vyriausiąjį įgaliotinį </w:t>
            </w:r>
            <w:r>
              <w:rPr>
                <w:b/>
                <w:i/>
              </w:rPr>
              <w:t xml:space="preserve">ir valstybes nares </w:t>
            </w:r>
            <w:r>
              <w:t xml:space="preserve">išlaikyti diplomatinį </w:t>
            </w:r>
            <w:r>
              <w:rPr>
                <w:b/>
                <w:i/>
              </w:rPr>
              <w:t>angažuotumą</w:t>
            </w:r>
            <w:r>
              <w:t>, sykiu didinant ES ryžtingumą Kinijos atžvilgiu, skatinant ją prisiimti savo, kaip nuolatinės JT Saugumo Tarybos narės, atsakomybę;</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782</w:t>
      </w:r>
      <w:r>
        <w:rPr>
          <w:rStyle w:val="HideTWBExt"/>
        </w:rPr>
        <w:t>&lt;/NumAm&gt;</w:t>
      </w:r>
    </w:p>
    <w:p w:rsidR="00A47A16" w:rsidRPr="00080AF4" w:rsidRDefault="00A47A16" w:rsidP="00A47A16">
      <w:pPr>
        <w:pStyle w:val="NormalBold"/>
      </w:pPr>
      <w:r>
        <w:rPr>
          <w:rStyle w:val="HideTWBExt"/>
          <w:b w:val="0"/>
        </w:rPr>
        <w:t>&lt;RepeatBlock-By&gt;&lt;Members&gt;</w:t>
      </w:r>
      <w:r>
        <w:t>Hans Neuhoff</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angažavimąsi, sykiu didinant ES ryžtingumą Kinijos atžvilgiu</w:t>
            </w:r>
            <w:r>
              <w:rPr>
                <w:b/>
                <w:i/>
              </w:rPr>
              <w:t>, skatinant ją prisiimti savo, kaip nuolatinės JT Saugumo Tarybos narės, atsakomybę</w:t>
            </w:r>
            <w:r>
              <w:t>;</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w:t>
            </w:r>
            <w:r>
              <w:rPr>
                <w:b/>
                <w:i/>
              </w:rPr>
              <w:t xml:space="preserve">ir valstybes nares </w:t>
            </w:r>
            <w:r>
              <w:t>išlaikyti</w:t>
            </w:r>
            <w:r>
              <w:rPr>
                <w:b/>
                <w:i/>
              </w:rPr>
              <w:t xml:space="preserve"> gyvą</w:t>
            </w:r>
            <w:r>
              <w:t xml:space="preserve"> diplomatinį angažavimąsi, sykiu didinant ES ryžtingumą Kinijos atžvilgiu;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{DE}</w:t>
      </w:r>
      <w:r w:rsidRPr="00080AF4">
        <w:t>de</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783</w:t>
      </w:r>
      <w:r>
        <w:rPr>
          <w:rStyle w:val="HideTWBExt"/>
        </w:rPr>
        <w:t>&lt;/NumAm&gt;</w:t>
      </w:r>
    </w:p>
    <w:p w:rsidR="00A47A16" w:rsidRPr="00080AF4" w:rsidRDefault="00A47A16" w:rsidP="00A47A16">
      <w:pPr>
        <w:pStyle w:val="NormalBold"/>
      </w:pPr>
      <w:r>
        <w:rPr>
          <w:rStyle w:val="HideTWBExt"/>
          <w:b w:val="0"/>
        </w:rPr>
        <w:t>&lt;RepeatBlock-By&gt;&lt;Members&gt;</w:t>
      </w:r>
      <w:r>
        <w:t>Alberico Gambino, Carlo Fidanza, Adam Bielan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w:t>
            </w:r>
            <w:r>
              <w:rPr>
                <w:b/>
                <w:i/>
              </w:rPr>
              <w:t>angažavimąsi</w:t>
            </w:r>
            <w:r>
              <w:t>,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r>
            <w:r>
              <w:rPr>
                <w:b/>
                <w:i/>
              </w:rPr>
              <w:t>yra sunerimęs dėl naujų pavojų, kuriuos kelia šis naujas Kinijos ir Rusijos santykių etapas, ir</w:t>
            </w:r>
            <w:r>
              <w:t xml:space="preserve"> 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w:t>
            </w:r>
            <w:r>
              <w:rPr>
                <w:b/>
                <w:i/>
              </w:rPr>
              <w:t xml:space="preserve">ir valstybes nares </w:t>
            </w:r>
            <w:r>
              <w:t xml:space="preserve">išlaikyti diplomatinį </w:t>
            </w:r>
            <w:r>
              <w:rPr>
                <w:b/>
                <w:i/>
              </w:rPr>
              <w:t>angažuotumą</w:t>
            </w:r>
            <w:r>
              <w:t>, sykiu didinant ES ryžtingumą Kinijos atžvilgiu, skatinant ją prisiimti savo, kaip nuolatinės JT Saugumo Tarybos narės, atsakomybę;</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784</w:t>
      </w:r>
      <w:r>
        <w:rPr>
          <w:rStyle w:val="HideTWBExt"/>
        </w:rPr>
        <w:t>&lt;/NumAm&gt;</w:t>
      </w:r>
    </w:p>
    <w:p w:rsidR="00A47A16" w:rsidRPr="00080AF4" w:rsidRDefault="00A47A16" w:rsidP="00A47A16">
      <w:pPr>
        <w:pStyle w:val="NormalBold"/>
      </w:pPr>
      <w:r>
        <w:rPr>
          <w:rStyle w:val="HideTWBExt"/>
          <w:b w:val="0"/>
        </w:rPr>
        <w:t>&lt;RepeatBlock-By&gt;&lt;Members&gt;</w:t>
      </w:r>
      <w:r>
        <w:t>Urmas Paet, Hilde Vautmans, Petras Auštrevičius, Lucia Yar, Nathalie Loiseau, Ilhan Kyuchyuk</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išlaikyti diplomatinį angažavimąsi,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ir valstybes nares išlaikyti diplomatinį angažuotumą, sykiu didinant ES ryžtingumą Kinijos atžvilgiu, skatinant ją prisiimti savo, kaip nuolatinės JT Saugumo Tarybos narės, atsakomybę; </w:t>
            </w:r>
            <w:r>
              <w:rPr>
                <w:b/>
                <w:i/>
              </w:rPr>
              <w:t>pabrėžia, kad ES turi labiau suvienodinti savo požiūrį į Kiniją;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785</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w:t>
            </w:r>
            <w:r>
              <w:rPr>
                <w:b/>
                <w:i/>
              </w:rPr>
              <w:t>išlaikyti diplomatinį angažavimąsi</w:t>
            </w:r>
            <w:r>
              <w:t xml:space="preserve">, </w:t>
            </w:r>
            <w:r>
              <w:rPr>
                <w:b/>
                <w:i/>
              </w:rPr>
              <w:t>sykiu</w:t>
            </w:r>
            <w:r>
              <w:t xml:space="preserve">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Komisijos pirmininko pavaduotoją ir Sąjungos vyriausiąjį įgaliotinį </w:t>
            </w:r>
            <w:r>
              <w:rPr>
                <w:b/>
                <w:i/>
              </w:rPr>
              <w:t>ir valstybes nares persvarstyti savo strategiją Kinijos atžvilgiu</w:t>
            </w:r>
            <w:r>
              <w:t xml:space="preserve">, </w:t>
            </w:r>
            <w:r>
              <w:rPr>
                <w:b/>
                <w:i/>
              </w:rPr>
              <w:t>išlaikant diplomatinį angažuotumą ir</w:t>
            </w:r>
            <w:r>
              <w:t xml:space="preserve"> didinant ES ryžtingumą Kinijos atžvilgiu, skatinant ją prisiimti savo, kaip nuolatinės JT Saugumo Tarybos narės, atsakomybę;</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786</w:t>
      </w:r>
      <w:r>
        <w:rPr>
          <w:rStyle w:val="HideTWBExt"/>
        </w:rPr>
        <w:t>&lt;/NumAm&gt;</w:t>
      </w:r>
    </w:p>
    <w:p w:rsidR="00A47A16" w:rsidRPr="00080AF4" w:rsidRDefault="00A47A16" w:rsidP="00A47A16">
      <w:pPr>
        <w:pStyle w:val="NormalBold"/>
      </w:pPr>
      <w:r>
        <w:rPr>
          <w:rStyle w:val="HideTWBExt"/>
          <w:b w:val="0"/>
        </w:rPr>
        <w:t>&lt;RepeatBlock-By&gt;&lt;Members&gt;</w:t>
      </w:r>
      <w:r>
        <w:t>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w:t>
            </w:r>
            <w:r>
              <w:rPr>
                <w:b/>
                <w:i/>
              </w:rPr>
              <w:t>Komisijos pirmininko pavaduotoją ir Sąjungos vyriausiąjį įgaliotinį</w:t>
            </w:r>
            <w:r>
              <w:t xml:space="preserve"> išlaikyti diplomatinį </w:t>
            </w:r>
            <w:r>
              <w:rPr>
                <w:b/>
                <w:i/>
              </w:rPr>
              <w:t>angažavimąsi</w:t>
            </w:r>
            <w:r>
              <w:t>, sykiu didinant ES ryžtingumą Kinijos atžvilgiu, skatinant ją prisiimti savo, kaip nuolatinės JT Saugumo Tarybos narės, atsakomybę;</w:t>
            </w:r>
          </w:p>
        </w:tc>
        <w:tc>
          <w:tcPr>
            <w:tcW w:w="4876" w:type="dxa"/>
            <w:tcBorders>
              <w:top w:val="nil"/>
              <w:left w:val="nil"/>
              <w:bottom w:val="nil"/>
              <w:right w:val="nil"/>
            </w:tcBorders>
          </w:tcPr>
          <w:p w:rsidR="00A47A16" w:rsidRPr="00080AF4" w:rsidRDefault="00A47A16" w:rsidP="00BA0C71">
            <w:pPr>
              <w:pStyle w:val="Normal6a"/>
            </w:pPr>
            <w:r>
              <w:t>29.</w:t>
            </w:r>
            <w:r>
              <w:tab/>
              <w:t xml:space="preserve">mano, kad Kinijos galios didėjimas tebėra vienas iš svarbiausių XXI a. geopolitinių iššūkių ir reikalauja daugialypio atsako, kuris leistų ES toliau bendradarbiauti su Kinija tam tikrais pagrindiniais klausimais; ragina </w:t>
            </w:r>
            <w:r>
              <w:rPr>
                <w:b/>
                <w:i/>
              </w:rPr>
              <w:t>valstybes nares</w:t>
            </w:r>
            <w:r>
              <w:t xml:space="preserve"> išlaikyti diplomatinį </w:t>
            </w:r>
            <w:r>
              <w:rPr>
                <w:b/>
                <w:i/>
              </w:rPr>
              <w:t>angažuotumą</w:t>
            </w:r>
            <w:r>
              <w:t>, sykiu didinant ES ryžtingumą Kinijos atžvilgiu, skatinant ją prisiimti savo, kaip nuolatinės JT Saugumo Tarybos narės, atsakomybę;</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787</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 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29 a.</w:t>
            </w:r>
            <w:r>
              <w:tab/>
            </w:r>
            <w:r>
              <w:rPr>
                <w:b/>
                <w:i/>
              </w:rPr>
              <w:t>smerkia sisteminius žmogaus teisių pažeidimus Kinijoje, ypač prieš mažumas, pvz., krikščionis, „Falun Gong“ pasekėjus, uigūrus ir tibetiečius; smerkia Pekino susidorojimą su Honkongo politine autonomija ir principo „viena šalis – dvi sistemos“ pažeidimą; smerkia represijas prieš užsienyje gyvenančius Kinijos piliečius; ragina valstybes nares uždaryti visas neteisėtas „policijos nuovadas“, kurių, kaip žinoma, Kinija yra slapta atidariusi ES teritorijoje; atsižvelgdamas į tai, atkreipia dėmesį į nerimą keliantį Ispanijos atvejį, nes joje, kaip pranešama, atidaryta iki devynių tokių neoficialių neteisėtai jos teritorijoje operacijas vykdančių „policijos nuovadų“;</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788</w:t>
      </w:r>
      <w:r>
        <w:rPr>
          <w:rStyle w:val="HideTWBExt"/>
        </w:rPr>
        <w:t>&lt;/NumAm&gt;</w:t>
      </w:r>
    </w:p>
    <w:p w:rsidR="00A47A16" w:rsidRPr="00080AF4" w:rsidRDefault="00A47A16" w:rsidP="00A47A16">
      <w:pPr>
        <w:pStyle w:val="NormalBold"/>
      </w:pPr>
      <w:r>
        <w:rPr>
          <w:rStyle w:val="HideTWBExt"/>
          <w:b w:val="0"/>
        </w:rPr>
        <w:t>&lt;RepeatBlock-By&gt;&lt;Members&gt;</w:t>
      </w:r>
      <w:r>
        <w:t>Adam Bielan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29a.</w:t>
            </w:r>
            <w:r>
              <w:tab/>
            </w:r>
            <w:r>
              <w:rPr>
                <w:b/>
                <w:i/>
              </w:rPr>
              <w:t>pabrėžia, kad dėl vis agresyvesnės Kinijos Liaudies Respublikos pozicijos kyla grėsmė laivybos laisvei ir pavojus stabilumui, kuris yra itin svarbus pasaulinei prekybai; pabrėžia, kad šią padėtį susirūpinę stebi vis daugiau panašiai mąstančių partnerių, įsipareigojusių siekti taikos ir stabilumo šiame regione, taip pat visame Taivano sąsiauryje; pabrėžia, kad reikia stiprinti atgrasymo nuo destabilizuojančio elgesio priemones, be kita ko, vykdant reguliarias operacijas, kuriomis, Kinijos Liaudies Respublikai bandant įvesti tarptautinių vandenų ir oro erdvės kontrolę, būtų siekiama užtikrinti laivybos laisvę;</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789</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29a.</w:t>
            </w:r>
            <w:r>
              <w:tab/>
            </w:r>
            <w:r>
              <w:rPr>
                <w:b/>
                <w:i/>
              </w:rPr>
              <w:t>smerkia tai, kad Kinija besivystančiose šalyse naudoja iniciatyvą „Viena juosta, vienas kelias“ kaip ginklą ir pasitelkia ekonominę priklausomybę nuo jos investicijų ir paskolų kaip priemonę toliau plėsti savo geopolitinius užmojus;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790</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29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29b.</w:t>
            </w:r>
            <w:r>
              <w:tab/>
            </w:r>
            <w:r>
              <w:rPr>
                <w:b/>
                <w:i/>
              </w:rPr>
              <w:t xml:space="preserve">pažymi, kad visos Kinijos įmonės yra pavaldžios Kinijos kibernetinio saugumo įstatymui, dėl kurio jos </w:t>
            </w:r>
            <w:r>
              <w:rPr>
                <w:b/>
              </w:rPr>
              <w:t>de facto</w:t>
            </w:r>
            <w:r>
              <w:rPr>
                <w:b/>
                <w:i/>
              </w:rPr>
              <w:t xml:space="preserve"> tampa komunistinio režimo agentėmis; atsižvelgdamas į tai primena, kad įrodyta, jog Kinijos kilmės didelės technologijų bendrovės, visų pirma tarptautinė bendrovė „Huawei“, susitarė apeiti tarptautinį embargą Iranui ir perduoti savo vyriausybei uždraustas ryšių technologijas; ragina valstybes nares uždrausti savo operatoriams naudoti minėtų įmonių prietaisus ir komponentus; pažymi, kad kai kurios valstybės narės yra ypač pažeidžiamos dėl Kinijos piktybinės įtakos; atsižvelgdamas į tai, primena nerimą keliantį Ispanijos, kurios nacionalinės valdžios institucijos toliau rėmė „Huawei“ 5G technologiją ir suteikė šiai įmonei privilegijuotą prieigą prie pagrindinio savo ryšių tinklo, atvejį, nepaisant to, kad ES sąjungininkių, pvz., Jungtinių Amerikos Valstijų ir Jungtinės Karalystės, vyriausybės įtraukė „Huawei“ ir kitas tarptautines Kinijos technologijų įmones į subjektų, kuriems jos taiko apribojimus, sąrašą;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791</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30.</w:t>
            </w:r>
            <w:r>
              <w:tab/>
            </w:r>
            <w:r>
              <w:rPr>
                <w:b/>
                <w:i/>
              </w:rPr>
              <w:t>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status quo Taivano sąsiauryje, ypač naudojant jėgą ar prievartą, nebus priimtinas ir jo kaina bus didelė; pabrėžia, kad Kinijos teritorinės pretenzijos nėra pagrindžiamos tarptautine teise; be to, smerkia tai, kad Kinija blokuoja Taivano dalyvavimą daugiašalėse organizacijose; ragina Komisiją ir valstybes nares remti prasmingą Taivano dalyvavimą atitinkamose tarptautinėse organizacijose;</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792</w:t>
      </w:r>
      <w:r>
        <w:rPr>
          <w:rStyle w:val="HideTWBExt"/>
        </w:rPr>
        <w:t>&lt;/NumAm&gt;</w:t>
      </w:r>
    </w:p>
    <w:p w:rsidR="00A47A16" w:rsidRPr="00080AF4" w:rsidRDefault="00A47A16" w:rsidP="00A47A16">
      <w:pPr>
        <w:pStyle w:val="NormalBold"/>
      </w:pPr>
      <w:r>
        <w:rPr>
          <w:rStyle w:val="HideTWBExt"/>
          <w:b w:val="0"/>
        </w:rPr>
        <w:t>&lt;RepeatBlock-By&gt;&lt;Members&gt;</w:t>
      </w:r>
      <w:r>
        <w:t>Michael Gahler, Andrey Kovatchev</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w:t>
            </w:r>
            <w:r>
              <w:rPr>
                <w:i/>
                <w:iCs/>
              </w:rPr>
              <w:t>status quo</w:t>
            </w:r>
            <w:r>
              <w:t xml:space="preserve"> Taivano sąsiauryje, ypač naudojant jėgą ar prievartą, nebus priimtinas ir jo kaina bus didelė; pabrėžia, kad Kinijos teritorinės pretenzijos nėra pagrindžiamos tarptautine teise; be to, smerkia tai, kad Kinija blokuoja Taivano dalyvavimą daugiašalėse organizacijose; ragina Komisiją ir valstybes nares remti prasmingą Taivano dalyvavimą atitinkamose tarptautinėse organizacijose;</w:t>
            </w:r>
          </w:p>
        </w:tc>
        <w:tc>
          <w:tcPr>
            <w:tcW w:w="4876" w:type="dxa"/>
            <w:tcBorders>
              <w:top w:val="nil"/>
              <w:left w:val="nil"/>
              <w:bottom w:val="nil"/>
              <w:right w:val="nil"/>
            </w:tcBorders>
          </w:tcPr>
          <w:p w:rsidR="00A47A16" w:rsidRPr="00080AF4" w:rsidRDefault="00A47A16" w:rsidP="00BA0C71">
            <w:pPr>
              <w:pStyle w:val="Normal6a"/>
            </w:pPr>
            <w:r>
              <w:t>30.</w:t>
            </w:r>
            <w:r>
              <w:tab/>
              <w:t>pakartoja, kad Taivanas yra pagrindinis ES partneris ir demokratinis sąjungininkas Indijos ir Ramiojo vandenynų regione;</w:t>
            </w:r>
            <w:r>
              <w:rPr>
                <w:b/>
                <w:i/>
              </w:rPr>
              <w:t xml:space="preserve"> ragina ES ir Taivaną toliau keistis informacija visais bendravimo lygmenimis, įskaitant reguliarius dialogus, ir pabrėžia, kad bet kokie autoritarinių režimų bandymai apriboti pozityvią ES ir Taivano santykių raidą yra nepriimtini;</w:t>
            </w:r>
            <w:r>
              <w:t xml:space="preserv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w:t>
            </w:r>
            <w:r>
              <w:rPr>
                <w:i/>
                <w:iCs/>
              </w:rPr>
              <w:t>status quo</w:t>
            </w:r>
            <w:r>
              <w:t xml:space="preserve"> Taivano sąsiauryje, ypač naudojant jėgą ar prievartą, nebus priimtinas ir jo kaina bus didelė; pabrėžia, kad Kinijos teritorinės pretenzijos nėra pagrindžiamos tarptautine teise</w:t>
            </w:r>
            <w:r>
              <w:rPr>
                <w:b/>
                <w:i/>
              </w:rPr>
              <w:t xml:space="preserve"> ir kad tik demokratiškai išrinkta Taivano vyriausybė gali atstovauti Taivano žmonėms</w:t>
            </w:r>
            <w:r>
              <w:t xml:space="preserve">; be to, smerkia tai, kad Kinija blokuoja </w:t>
            </w:r>
            <w:r>
              <w:rPr>
                <w:b/>
                <w:i/>
              </w:rPr>
              <w:t xml:space="preserve">prasmingą </w:t>
            </w:r>
            <w:r>
              <w:t>Taivano dalyvavimą daugiašalėse organizacijose</w:t>
            </w:r>
            <w:r>
              <w:rPr>
                <w:b/>
                <w:i/>
              </w:rPr>
              <w:t>, nuolat iškraipydama Jungtinių Tautų Generalinės Asamblėjos rezoliuciją Nr. 2758</w:t>
            </w:r>
            <w:r>
              <w:t xml:space="preserve">; ragina Komisiją ir valstybes nares remti prasmingą Taivano dalyvavimą atitinkamose tarptautinėse organizacijose; </w:t>
            </w:r>
            <w:r>
              <w:rPr>
                <w:b/>
                <w:i/>
              </w:rPr>
              <w:t>ragina Komisiją stiprinti bendradarbiavimą siekiant toliau stiprinti ekonominius, prekybos ir investicinius ryšius su Taivanu ir, be to, nedelsiant pradėti taikyti derybų dėl ekonominės partnerystės susitarimo, kaip pagrindo bendradarbiavimui prioritetinėse ir abipusio intereso srityse užmegzti, parengiamąsias priemones;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793</w:t>
      </w:r>
      <w:r>
        <w:rPr>
          <w:rStyle w:val="HideTWBExt"/>
        </w:rPr>
        <w:t>&lt;/NumAm&gt;</w:t>
      </w:r>
    </w:p>
    <w:p w:rsidR="00A47A16" w:rsidRPr="00080AF4" w:rsidRDefault="00A47A16" w:rsidP="00A47A16">
      <w:pPr>
        <w:pStyle w:val="NormalBold"/>
      </w:pPr>
      <w:r>
        <w:rPr>
          <w:rStyle w:val="HideTWBExt"/>
          <w:b w:val="0"/>
        </w:rPr>
        <w:t>&lt;RepeatBlock-By&gt;&lt;Members&gt;</w:t>
      </w:r>
      <w:r>
        <w:t>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w:t>
            </w:r>
            <w:r>
              <w:rPr>
                <w:b/>
                <w:i/>
              </w:rPr>
              <w:t>ES</w:t>
            </w:r>
            <w:r>
              <w:t xml:space="preserve"> ir</w:t>
            </w:r>
            <w:r>
              <w:rPr>
                <w:b/>
                <w:i/>
              </w:rPr>
              <w:t xml:space="preserve"> jos</w:t>
            </w:r>
            <w:r>
              <w:t xml:space="preserve"> valstybes nares </w:t>
            </w:r>
            <w:r>
              <w:rPr>
                <w:b/>
                <w:i/>
              </w:rPr>
              <w:t xml:space="preserve">siunčiant aiškius ir nuoseklius įspėjimus užtikrinti, kad bet koks bandymas vienašališkai pakeisti </w:t>
            </w:r>
            <w:r>
              <w:rPr>
                <w:b/>
              </w:rPr>
              <w:t>status quo</w:t>
            </w:r>
            <w:r>
              <w:t xml:space="preserve"> Taivano </w:t>
            </w:r>
            <w:r>
              <w:rPr>
                <w:b/>
                <w:i/>
              </w:rPr>
              <w:t>sąsiauryje, ypač naudojant jėgą ar prievartą, nebus priimtinas ir jo kaina bus didelė</w:t>
            </w:r>
            <w:r>
              <w:t>;</w:t>
            </w:r>
            <w:r>
              <w:rPr>
                <w:b/>
                <w:i/>
              </w:rPr>
              <w:t xml:space="preserve"> pabrėžia, kad Kinijos teritorinės pretenzijos nėra pagrindžiamos tarptautine teise; be to, smerkia tai, kad Kinija blokuoja Taivano dalyvavimą daugiašalėse organizacijose; ragina Komisiją</w:t>
            </w:r>
            <w:r>
              <w:t xml:space="preserve"> ir </w:t>
            </w:r>
            <w:r>
              <w:rPr>
                <w:b/>
                <w:i/>
              </w:rPr>
              <w:t>valstybes nares remti prasmingą Taivano dalyvavimą atitinkamose tarptautinėse organizacijose</w:t>
            </w:r>
            <w:r>
              <w:t>;</w:t>
            </w:r>
          </w:p>
        </w:tc>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w:t>
            </w:r>
            <w:r>
              <w:rPr>
                <w:b/>
                <w:i/>
              </w:rPr>
              <w:t>Komisiją</w:t>
            </w:r>
            <w:r>
              <w:t xml:space="preserve"> ir valstybes nares </w:t>
            </w:r>
            <w:r>
              <w:rPr>
                <w:b/>
                <w:i/>
              </w:rPr>
              <w:t>remti prasmingą</w:t>
            </w:r>
            <w:r>
              <w:t xml:space="preserve"> Taivano </w:t>
            </w:r>
            <w:r>
              <w:rPr>
                <w:b/>
                <w:i/>
              </w:rPr>
              <w:t>dalyvavimą atitinkamose tarptautinėse organizacijose</w:t>
            </w:r>
            <w:r>
              <w:t xml:space="preserve">; </w:t>
            </w:r>
            <w:r>
              <w:rPr>
                <w:b/>
                <w:i/>
              </w:rPr>
              <w:t>pakartoja ES įsipareigojimą laikytis „Vienos Kinijos“ politikos, kuri yra ES ir Kinijos santykių politinis pagrindas;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794</w:t>
      </w:r>
      <w:r>
        <w:rPr>
          <w:rStyle w:val="HideTWBExt"/>
        </w:rPr>
        <w:t>&lt;/NumAm&gt;</w:t>
      </w:r>
    </w:p>
    <w:p w:rsidR="00A47A16" w:rsidRPr="00080AF4" w:rsidRDefault="00A47A16" w:rsidP="00A47A16">
      <w:pPr>
        <w:pStyle w:val="NormalBold"/>
      </w:pPr>
      <w:r>
        <w:rPr>
          <w:rStyle w:val="HideTWBExt"/>
          <w:b w:val="0"/>
        </w:rPr>
        <w:t>&lt;RepeatBlock-By&gt;&lt;Members&gt;</w:t>
      </w:r>
      <w:r>
        <w:t>Emmanouil Kefalogiannis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w:t>
            </w:r>
            <w:r>
              <w:rPr>
                <w:i/>
                <w:iCs/>
              </w:rPr>
              <w:t>status quo</w:t>
            </w:r>
            <w:r>
              <w:t xml:space="preserve"> Taivano sąsiauryje, ypač naudojant jėgą ar prievartą, nebus priimtinas ir jo kaina bus didelė; </w:t>
            </w:r>
            <w:r>
              <w:rPr>
                <w:b/>
                <w:i/>
              </w:rPr>
              <w:t>pabrėžia, kad Kinijos teritorinės pretenzijos nėra pagrindžiamos tarptautine teise; be to, smerkia tai, kad Kinija blokuoja Taivano dalyvavimą daugiašalėse organizacijose; ragina Komisiją ir valstybes nares remti prasmingą Taivano dalyvavimą atitinkamose tarptautinėse organizacijose;</w:t>
            </w:r>
          </w:p>
        </w:tc>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w:t>
            </w:r>
            <w:r>
              <w:rPr>
                <w:i/>
                <w:iCs/>
              </w:rPr>
              <w:t>status quo</w:t>
            </w:r>
            <w:r>
              <w:t xml:space="preserve"> Taivano sąsiauryje, ypač naudojant jėgą ar prievartą, nebus priimtinas ir jo kaina bus didelė;</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795</w:t>
      </w:r>
      <w:r>
        <w:rPr>
          <w:rStyle w:val="HideTWBExt"/>
        </w:rPr>
        <w:t>&lt;/NumAm&gt;</w:t>
      </w:r>
    </w:p>
    <w:p w:rsidR="00A47A16" w:rsidRPr="00080AF4" w:rsidRDefault="00A47A16" w:rsidP="00A47A16">
      <w:pPr>
        <w:pStyle w:val="NormalBold"/>
      </w:pPr>
      <w:r>
        <w:rPr>
          <w:rStyle w:val="HideTWBExt"/>
          <w:b w:val="0"/>
        </w:rPr>
        <w:t>&lt;RepeatBlock-By&gt;&lt;Members&gt;</w:t>
      </w:r>
      <w:r>
        <w:t>Adam Bielan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w:t>
            </w:r>
            <w:r>
              <w:rPr>
                <w:i/>
                <w:iCs/>
              </w:rPr>
              <w:t>status quo</w:t>
            </w:r>
            <w:r>
              <w:t xml:space="preserve"> Taivano sąsiauryje, ypač naudojant jėgą ar prievartą, nebus priimtinas ir jo kaina bus didelė; pabrėžia, kad Kinijos teritorinės pretenzijos nėra pagrindžiamos tarptautine teise; be to, smerkia tai, kad Kinija blokuoja Taivano dalyvavimą daugiašalėse organizacijose; ragina Komisiją ir valstybes nares remti prasmingą Taivano dalyvavimą atitinkamose tarptautinėse organizacijose;</w:t>
            </w:r>
          </w:p>
        </w:tc>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w:t>
            </w:r>
            <w:r>
              <w:rPr>
                <w:i/>
                <w:iCs/>
              </w:rPr>
              <w:t>status quo</w:t>
            </w:r>
            <w:r>
              <w:t xml:space="preserve"> Taivano sąsiauryje, ypač naudojant jėgą ar prievartą, nebus priimtinas ir jo kaina bus didelė; pabrėžia, kad Kinijos teritorinės pretenzijos nėra pagrindžiamos tarptautine teise; be to, smerkia tai, kad Kinija blokuoja Taivano dalyvavimą daugiašalėse organizacijose; ragina Komisiją ir valstybes nares remti prasmingą Taivano dalyvavimą atitinkamose tarptautinėse organizacijose; </w:t>
            </w:r>
            <w:r>
              <w:rPr>
                <w:b/>
                <w:i/>
              </w:rPr>
              <w:t>pakartoja savo ankstesnį raginimą Komisijai, rengiantis deryboms dėl dvišalių ekonominių ryšių stiprinimo, nedelsiant kartu su Taivano valdžios institucijomis pradėti dvišalio investicijų susitarimo poveikio vertinimą, viešas konsultacijas ir tyrimą jo taikymo sričiai apibrėžti;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796</w:t>
      </w:r>
      <w:r>
        <w:rPr>
          <w:rStyle w:val="HideTWBExt"/>
        </w:rPr>
        <w:t>&lt;/NumAm&gt;</w:t>
      </w:r>
    </w:p>
    <w:p w:rsidR="00A47A16" w:rsidRPr="00080AF4" w:rsidRDefault="00A47A16" w:rsidP="00A47A16">
      <w:pPr>
        <w:pStyle w:val="NormalBold"/>
      </w:pPr>
      <w:r>
        <w:rPr>
          <w:rStyle w:val="HideTWBExt"/>
          <w:b w:val="0"/>
        </w:rPr>
        <w:t>&lt;RepeatBlock-By&gt;&lt;Members&gt;</w:t>
      </w:r>
      <w:r>
        <w:t>Vangelis Meimarakis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status quo Taivano sąsiauryje, ypač naudojant jėgą ar prievartą, nebus priimtinas ir jo kaina bus didelė; </w:t>
            </w:r>
            <w:r>
              <w:rPr>
                <w:b/>
                <w:i/>
              </w:rPr>
              <w:t>pabrėžia, kad Kinijos teritorinės pretenzijos nėra pagrindžiamos tarptautine teise; be to, smerkia tai, kad Kinija blokuoja Taivano dalyvavimą daugiašalėse organizacijose; ragina Komisiją ir valstybes nares remti prasmingą Taivano dalyvavimą atitinkamose tarptautinėse organizacijose;</w:t>
            </w:r>
          </w:p>
        </w:tc>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w:t>
            </w:r>
            <w:r>
              <w:rPr>
                <w:i/>
                <w:iCs/>
              </w:rPr>
              <w:t>status quo</w:t>
            </w:r>
            <w:r>
              <w:t xml:space="preserve"> Taivano sąsiauryje, ypač naudojant jėgą ar prievartą, nebus priimtinas ir jo kaina bus didelė; </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797</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 Roberto Vannacci</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w:t>
            </w:r>
            <w:r>
              <w:rPr>
                <w:i/>
                <w:iCs/>
              </w:rPr>
              <w:t>status quo</w:t>
            </w:r>
            <w:r>
              <w:t xml:space="preserve"> Taivano sąsiauryje, ypač naudojant jėgą ar prievartą, nebus priimtinas ir jo kaina bus didelė; pabrėžia, kad Kinijos teritorinės pretenzijos nėra pagrindžiamos tarptautine teise; </w:t>
            </w:r>
            <w:r>
              <w:rPr>
                <w:b/>
                <w:i/>
              </w:rPr>
              <w:t>be to, smerkia tai, kad Kinija blokuoja Taivano dalyvavimą daugiašalėse organizacijose; ragina Komisiją ir valstybes nares remti prasmingą Taivano dalyvavimą atitinkamose tarptautinėse organizacijose;</w:t>
            </w:r>
          </w:p>
        </w:tc>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w:t>
            </w:r>
            <w:r>
              <w:rPr>
                <w:i/>
                <w:iCs/>
              </w:rPr>
              <w:t>status quo</w:t>
            </w:r>
            <w:r>
              <w:t xml:space="preserve"> Taivano sąsiauryje, ypač naudojant jėgą ar prievartą, nebus priimtinas ir jo kaina bus didelė; pabrėžia, kad Kinijos teritorinės pretenzijos nėra pagrindžiamos tarptautine teise;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798</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status quo Taivano sąsiauryje, ypač naudojant jėgą ar prievartą, nebus priimtinas ir jo kaina bus didelė; pabrėžia, kad Kinijos teritorinės pretenzijos nėra pagrindžiamos tarptautine teise; be to, smerkia tai, kad Kinija blokuoja Taivano dalyvavimą daugiašalėse organizacijose; ragina </w:t>
            </w:r>
            <w:r>
              <w:rPr>
                <w:b/>
                <w:i/>
              </w:rPr>
              <w:t>Komisiją</w:t>
            </w:r>
            <w:r>
              <w:t xml:space="preserve"> ir valstybes nares remti prasmingą Taivano dalyvavimą atitinkamose tarptautinėse organizacijose;</w:t>
            </w:r>
          </w:p>
        </w:tc>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w:t>
            </w:r>
            <w:r>
              <w:rPr>
                <w:i/>
                <w:iCs/>
              </w:rPr>
              <w:t>status quo</w:t>
            </w:r>
            <w:r>
              <w:t xml:space="preserve"> Taivano sąsiauryje, ypač naudojant jėgą ar prievartą, nebus priimtinas ir jo kaina bus didelė; pabrėžia, kad Kinijos teritorinės pretenzijos nėra pagrindžiamos tarptautine teise; be to, smerkia tai, kad Kinija blokuoja Taivano dalyvavimą daugiašalėse organizacijose; ragina </w:t>
            </w:r>
            <w:r>
              <w:rPr>
                <w:b/>
                <w:i/>
              </w:rPr>
              <w:t>ES</w:t>
            </w:r>
            <w:r>
              <w:t xml:space="preserve"> ir</w:t>
            </w:r>
            <w:r>
              <w:rPr>
                <w:b/>
                <w:i/>
              </w:rPr>
              <w:t xml:space="preserve"> jos</w:t>
            </w:r>
            <w:r>
              <w:t xml:space="preserve"> valstybes nares remti prasmingą Taivano dalyvavimą atitinkamose tarptautinėse organizacijose</w:t>
            </w:r>
            <w:r>
              <w:rPr>
                <w:b/>
                <w:i/>
              </w:rPr>
              <w:t>, pvz., PSO, ICAO, INTERPOL ir UNFCCC;</w:t>
            </w:r>
            <w:r>
              <w:t xml:space="preserve"> </w:t>
            </w:r>
            <w:r>
              <w:rPr>
                <w:b/>
                <w:i/>
              </w:rPr>
              <w:t>be to, ragina JT sekretoriatą suteikti Taivano piliečiams ir žurnalistams teisę patekti į JT patalpas vizitų, susitikimų ir naujienų rinkimo veiklos tikslais;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799</w:t>
      </w:r>
      <w:r>
        <w:rPr>
          <w:rStyle w:val="HideTWBExt"/>
        </w:rPr>
        <w:t>&lt;/NumAm&gt;</w:t>
      </w:r>
    </w:p>
    <w:p w:rsidR="00A47A16" w:rsidRPr="00080AF4" w:rsidRDefault="00A47A16" w:rsidP="00A47A16">
      <w:pPr>
        <w:pStyle w:val="NormalBold"/>
      </w:pPr>
      <w:r>
        <w:rPr>
          <w:rStyle w:val="HideTWBExt"/>
          <w:b w:val="0"/>
        </w:rPr>
        <w:t>&lt;RepeatBlock-By&gt;&lt;Members&gt;</w:t>
      </w:r>
      <w:r>
        <w:t>Hans Neuhoff</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w:t>
            </w:r>
            <w:r>
              <w:rPr>
                <w:b/>
                <w:i/>
              </w:rPr>
              <w:t>pagrindinis ES</w:t>
            </w:r>
            <w:r>
              <w:t xml:space="preserve"> partneris</w:t>
            </w:r>
            <w:r>
              <w:rPr>
                <w:b/>
                <w:i/>
              </w:rPr>
              <w:t xml:space="preserve"> ir demokratinis sąjungininkas</w:t>
            </w:r>
            <w:r>
              <w:t xml:space="preserve">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status quo Taivano sąsiauryje, ypač naudojant jėgą ar prievartą, nebus priimtinas ir jo kaina bus didelė</w:t>
            </w:r>
            <w:r>
              <w:rPr>
                <w:b/>
                <w:i/>
              </w:rPr>
              <w:t>;</w:t>
            </w:r>
            <w:r>
              <w:t xml:space="preserve"> </w:t>
            </w:r>
            <w:r>
              <w:rPr>
                <w:b/>
                <w:i/>
              </w:rPr>
              <w:t>pabrėžia, kad Kinijos teritorinės pretenzijos nėra pagrindžiamos tarptautine teise; be to, smerkia tai, kad Kinija blokuoja Taivano dalyvavimą daugiašalėse organizacijose;</w:t>
            </w:r>
            <w:r>
              <w:t xml:space="preserve"> ragina Komisiją ir valstybes nares remti prasmingą Taivano dalyvavimą atitinkamose tarptautinėse organizacijose;</w:t>
            </w:r>
          </w:p>
        </w:tc>
        <w:tc>
          <w:tcPr>
            <w:tcW w:w="4876" w:type="dxa"/>
            <w:tcBorders>
              <w:top w:val="nil"/>
              <w:left w:val="nil"/>
              <w:bottom w:val="nil"/>
              <w:right w:val="nil"/>
            </w:tcBorders>
          </w:tcPr>
          <w:p w:rsidR="00A47A16" w:rsidRPr="00080AF4" w:rsidRDefault="00A47A16" w:rsidP="00BA0C71">
            <w:pPr>
              <w:pStyle w:val="Normal6a"/>
            </w:pPr>
            <w:r>
              <w:t>30.</w:t>
            </w:r>
            <w:r>
              <w:tab/>
              <w:t xml:space="preserve">pakartoja, kad Taivanas yra </w:t>
            </w:r>
            <w:r>
              <w:rPr>
                <w:b/>
                <w:i/>
              </w:rPr>
              <w:t>svarbus</w:t>
            </w:r>
            <w:r>
              <w:t xml:space="preserve"> partneris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status quo Taivano sąsiauryje, ypač naudojant jėgą ar prievartą, nebus priimtinas ir jo kaina bus didelė; ragina Komisiją ir valstybes nares remti prasmingą Taivano dalyvavimą atitinkamose tarptautinėse organizacijose;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{DE}</w:t>
      </w:r>
      <w:r w:rsidRPr="00080AF4">
        <w:t>de</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800</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30.</w:t>
            </w:r>
            <w:r>
              <w:tab/>
              <w:t>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status quo Taivano sąsiauryje, ypač naudojant jėgą ar prievartą, nebus priimtinas ir jo kaina bus didelė; pabrėžia, kad Kinijos teritorinės pretenzijos nėra pagrindžiamos tarptautine teise; be to, smerkia tai, kad Kinija blokuoja Taivano dalyvavimą daugiašalėse organizacijose; ragina Komisiją ir valstybes nares remti prasmingą Taivano dalyvavimą atitinkamose tarptautinėse organizacijose;</w:t>
            </w:r>
          </w:p>
        </w:tc>
        <w:tc>
          <w:tcPr>
            <w:tcW w:w="4876" w:type="dxa"/>
            <w:tcBorders>
              <w:top w:val="nil"/>
              <w:left w:val="nil"/>
              <w:bottom w:val="nil"/>
              <w:right w:val="nil"/>
            </w:tcBorders>
          </w:tcPr>
          <w:p w:rsidR="00A47A16" w:rsidRPr="00080AF4" w:rsidRDefault="00A47A16" w:rsidP="00BA0C71">
            <w:pPr>
              <w:pStyle w:val="Normal6a"/>
            </w:pPr>
            <w:r>
              <w:t>30.</w:t>
            </w:r>
            <w:r>
              <w:tab/>
              <w:t>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w:t>
            </w:r>
            <w:r>
              <w:rPr>
                <w:b/>
                <w:i/>
              </w:rPr>
              <w:t xml:space="preserve"> pabrėžia, kad taikos, stabilumo ir laivybos laisvės išsaugojimas Indijos ir Ramiojo vandenynų regione išlieka nepaprastai svarbus ES ir jos valstybių narių interesas;</w:t>
            </w:r>
            <w:r>
              <w:t xml:space="preserve"> ragina ES ir jos valstybes nares siunčiant aiškius ir nuoseklius įspėjimus užtikrinti, kad bet koks bandymas vienašališkai pakeisti </w:t>
            </w:r>
            <w:r>
              <w:rPr>
                <w:i/>
                <w:iCs/>
              </w:rPr>
              <w:t>status quo</w:t>
            </w:r>
            <w:r>
              <w:t xml:space="preserve"> Taivano sąsiauryje, ypač naudojant jėgą ar prievartą, nebus priimtinas ir jo kaina bus didelė; pabrėžia, kad Kinijos teritorinės pretenzijos nėra pagrindžiamos tarptautine teise; be to, smerkia tai, kad Kinija blokuoja Taivano dalyvavimą daugiašalėse organizacijose; ragina Komisiją ir valstybes nares remti prasmingą Taivano dalyvavimą atitinkamose tarptautinėse organizacijose;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801</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30.</w:t>
            </w:r>
            <w:r>
              <w:tab/>
              <w:t>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status quo Taivano sąsiauryje, ypač naudojant jėgą ar prievartą, nebus priimtinas ir jo kaina bus didelė; pabrėžia, kad Kinijos teritorinės pretenzijos nėra pagrindžiamos tarptautine teise; be to, smerkia tai, kad Kinija blokuoja Taivano dalyvavimą daugiašalėse organizacijose; ragina Komisiją ir valstybes nares remti prasmingą Taivano dalyvavimą atitinkamose tarptautinėse organizacijose;</w:t>
            </w:r>
          </w:p>
        </w:tc>
        <w:tc>
          <w:tcPr>
            <w:tcW w:w="4876" w:type="dxa"/>
            <w:tcBorders>
              <w:top w:val="nil"/>
              <w:left w:val="nil"/>
              <w:bottom w:val="nil"/>
              <w:right w:val="nil"/>
            </w:tcBorders>
          </w:tcPr>
          <w:p w:rsidR="00A47A16" w:rsidRPr="00080AF4" w:rsidRDefault="00A47A16" w:rsidP="00BA0C71">
            <w:pPr>
              <w:pStyle w:val="Normal6a"/>
            </w:pPr>
            <w:r>
              <w:t>30.</w:t>
            </w:r>
            <w:r>
              <w:tab/>
              <w:t>pakartoja, kad Taivanas yra pagrindinis ES partneris ir demokratinis sąjungininkas Indijos ir Ramiojo vandenynų regione; pripažįsta Taivano svarbą užtikrinant pasaulines tiekimo grandines, ypač aukštųjų technologijų sektoriuje, ir primygtinai ragina ES ir jos valstybes nares glaudžiau bendradarbiauti su Taivanu; ragina ES ir jos valstybes nares siunčiant aiškius ir nuoseklius įspėjimus užtikrinti, kad bet koks bandymas vienašališkai pakeisti status quo Taivano sąsiauryje, ypač naudojant jėgą ar prievartą, nebus priimtinas ir jo kaina bus didelė; pabrėžia, kad Kinijos teritorinės pretenzijos nėra pagrindžiamos tarptautine teise</w:t>
            </w:r>
            <w:r>
              <w:rPr>
                <w:b/>
                <w:i/>
              </w:rPr>
              <w:t xml:space="preserve"> ir todėl smerkia tai, kad Kinija nuolat neteisingai aiškina JT rezoliuciją Nr. 2758</w:t>
            </w:r>
            <w:r>
              <w:t>; be to, smerkia tai, kad Kinija blokuoja Taivano dalyvavimą daugiašalėse organizacijose; ragina Komisiją ir valstybes nares remti prasmingą Taivano dalyvavimą atitinkamose tarptautinėse organizacijose;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802</w:t>
      </w:r>
      <w:r>
        <w:rPr>
          <w:rStyle w:val="HideTWBExt"/>
        </w:rPr>
        <w:t>&lt;/NumAm&gt;</w:t>
      </w:r>
    </w:p>
    <w:p w:rsidR="00A47A16" w:rsidRPr="00080AF4" w:rsidRDefault="00A47A16" w:rsidP="00A47A16">
      <w:pPr>
        <w:pStyle w:val="NormalBold"/>
      </w:pPr>
      <w:r>
        <w:rPr>
          <w:rStyle w:val="HideTWBExt"/>
          <w:b w:val="0"/>
        </w:rPr>
        <w:t>&lt;RepeatBlock-By&gt;&lt;Members&gt;</w:t>
      </w:r>
      <w:r>
        <w:t>Petras Auštrevičius, Dan Barna, Urmas Paet, Lucia Yar, Marie-Agnes Strack-Zimmermann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30a.</w:t>
            </w:r>
            <w:r>
              <w:tab/>
            </w:r>
            <w:r>
              <w:rPr>
                <w:b/>
                <w:i/>
              </w:rPr>
              <w:t xml:space="preserve">reiškia susirūpinimą dėl vis augančios BRICS grupės, kuriai šiuo metu priklauso 45 proc. pasaulio gyventojų ir kuri prisistato kaip Šiaurės Amerikos ir Europos šalims alternatyvus darinys; pabrėžia, kad toks bendradarbiavimas suteikia Rusijai priemonių įveikti sankcijas, nustatytas po jos invazijos į Ukrainą, ir suteikia Kinijai galimybę toliau plėsti savo įtaką pasitelkiant infrastruktūros projektų finansavimo </w:t>
            </w:r>
            <w:r>
              <w:rPr>
                <w:b/>
              </w:rPr>
              <w:t>modus operandi</w:t>
            </w:r>
            <w:r>
              <w:rPr>
                <w:b/>
                <w:i/>
              </w:rP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803</w:t>
      </w:r>
      <w:r>
        <w:rPr>
          <w:rStyle w:val="HideTWBExt"/>
        </w:rPr>
        <w:t>&lt;/NumAm&gt;</w:t>
      </w:r>
    </w:p>
    <w:p w:rsidR="00A47A16" w:rsidRPr="00080AF4" w:rsidRDefault="00A47A16" w:rsidP="00A47A16">
      <w:pPr>
        <w:pStyle w:val="NormalBold"/>
      </w:pPr>
      <w:r>
        <w:rPr>
          <w:rStyle w:val="HideTWBExt"/>
          <w:b w:val="0"/>
        </w:rPr>
        <w:t>&lt;RepeatBlock-By&gt;&lt;Members&gt;</w:t>
      </w:r>
      <w:r>
        <w:t>Adam Bielan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30a.</w:t>
            </w:r>
            <w:r>
              <w:tab/>
            </w:r>
            <w:r>
              <w:rPr>
                <w:b/>
                <w:i/>
              </w:rPr>
              <w:t>primena, kad taikos ir stabilumo palaikymas Indijos ir Ramiojo vandenynų regione yra vienas iš pagrindinių laisvojo pasaulio, įskaitant ES ir jos valstybes nares, interesų; pakartoja, kad svarbu laikytis tarptautinės teisės, visų pirma JT jūrų teisės konvencijos ir jos nuostatų dėl įsipareigojimo ginčus spręsti taikiomis priemonėmis ir dėl laivybos bei naudojimosi oro erdve laisvės išlaikymo;</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804</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30a.</w:t>
            </w:r>
            <w:r>
              <w:tab/>
            </w:r>
            <w:r>
              <w:rPr>
                <w:b/>
                <w:i/>
              </w:rPr>
              <w:t>ragina Komisiją nedelsiant pradėti įgyvendinti parengiamąsias priemones deryboms dėl dvišalio investicijų susitarimo ir kitų rūšių susitarimų su Taivanu; pabrėžia bendradarbiavimo galimybes tiesioginių užsienio investicijų tikrinimo politikos srityje ir kovojant su ekonomine prievarta ir atsakomaisiais veiksmais;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805</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31.</w:t>
            </w:r>
            <w:r>
              <w:tab/>
              <w:t xml:space="preserve">pabrėžia, kad Pietryčių Azijos valstybių asociacija (ASEAN) yra nepaprastai svarbi partnerė stiprinant taisyklėmis grindžiamą daugiašališkumą; remia ASEAN pastangas užbaigti derybas su Kinija dėl veiksmingo ir esminio Pietų Kinijos jūros elgesio kodekso; ragina ES </w:t>
            </w:r>
            <w:r>
              <w:rPr>
                <w:b/>
                <w:i/>
              </w:rPr>
              <w:t>aktyviau bendrauti</w:t>
            </w:r>
            <w:r>
              <w:t xml:space="preserve"> ir </w:t>
            </w:r>
            <w:r>
              <w:rPr>
                <w:b/>
                <w:i/>
              </w:rPr>
              <w:t>bendradarbiauti</w:t>
            </w:r>
            <w:r>
              <w:t xml:space="preserve"> su ASEAN </w:t>
            </w:r>
            <w:r>
              <w:rPr>
                <w:b/>
                <w:i/>
              </w:rPr>
              <w:t xml:space="preserve">bei dėti pastangas </w:t>
            </w:r>
            <w:r>
              <w:t>siekiant visapusiškos strateginės partnerystės;</w:t>
            </w:r>
          </w:p>
        </w:tc>
        <w:tc>
          <w:tcPr>
            <w:tcW w:w="4876" w:type="dxa"/>
            <w:tcBorders>
              <w:top w:val="nil"/>
              <w:left w:val="nil"/>
              <w:bottom w:val="nil"/>
              <w:right w:val="nil"/>
            </w:tcBorders>
          </w:tcPr>
          <w:p w:rsidR="00A47A16" w:rsidRPr="00080AF4" w:rsidRDefault="00A47A16" w:rsidP="00BA0C71">
            <w:pPr>
              <w:pStyle w:val="Normal6a"/>
            </w:pPr>
            <w:r>
              <w:t>31.</w:t>
            </w:r>
            <w:r>
              <w:tab/>
              <w:t xml:space="preserve">pabrėžia, kad Pietryčių Azijos valstybių asociacija (ASEAN) yra nepaprastai svarbi partnerė stiprinant taisyklėmis grindžiamą daugiašališkumą; remia ASEAN pastangas užbaigti derybas su Kinija dėl veiksmingo ir esminio Pietų Kinijos jūros elgesio kodekso; ragina </w:t>
            </w:r>
            <w:r>
              <w:rPr>
                <w:b/>
                <w:i/>
              </w:rPr>
              <w:t xml:space="preserve">stiprinti </w:t>
            </w:r>
            <w:r>
              <w:t xml:space="preserve">ES </w:t>
            </w:r>
            <w:r>
              <w:rPr>
                <w:b/>
                <w:i/>
              </w:rPr>
              <w:t>politinį įsipareigojimą</w:t>
            </w:r>
            <w:r>
              <w:t xml:space="preserve"> ir </w:t>
            </w:r>
            <w:r>
              <w:rPr>
                <w:b/>
                <w:i/>
              </w:rPr>
              <w:t>bendradarbiavimą</w:t>
            </w:r>
            <w:r>
              <w:t xml:space="preserve"> su ASEAN siekiant visapusiškos strateginės partnerystės</w:t>
            </w:r>
            <w:r>
              <w:rPr>
                <w:b/>
                <w:i/>
              </w:rPr>
              <w:t>, kuri apimtų ne tik ekonomiką, bet ir žmogaus teisių, demokratijos ir tvaraus augimo sritis;</w:t>
            </w:r>
            <w:r>
              <w:t xml:space="preserve"> </w:t>
            </w:r>
            <w:r>
              <w:rPr>
                <w:b/>
                <w:i/>
              </w:rPr>
              <w:t>ragina didinti paramą Mianmaro nacionalinės vienybės vyriausybei ir daryti spaudimą ASEAN šalims, kad jos prisidėtų prie tarptautinių sankcijų Mianmaro karinei chuntai;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806</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31.</w:t>
            </w:r>
            <w:r>
              <w:tab/>
            </w:r>
            <w:r>
              <w:rPr>
                <w:b/>
                <w:i/>
              </w:rPr>
              <w:t>pabrėžia, kad Pietryčių Azijos valstybių asociacija (ASEAN) yra nepaprastai svarbi partnerė stiprinant taisyklėmis grindžiamą daugiašališkumą;</w:t>
            </w:r>
            <w:r>
              <w:t xml:space="preserve"> </w:t>
            </w:r>
            <w:r>
              <w:rPr>
                <w:b/>
                <w:i/>
              </w:rPr>
              <w:t>remia ASEAN pastangas užbaigti derybas su Kinija dėl veiksmingo ir esminio</w:t>
            </w:r>
            <w:r>
              <w:t xml:space="preserve"> Pietų Kinijos </w:t>
            </w:r>
            <w:r>
              <w:rPr>
                <w:b/>
                <w:i/>
              </w:rPr>
              <w:t>jūros elgesio kodekso;</w:t>
            </w:r>
            <w:r>
              <w:t xml:space="preserve"> </w:t>
            </w:r>
            <w:r>
              <w:rPr>
                <w:b/>
                <w:i/>
              </w:rPr>
              <w:t>ragina ES aktyviau bendrauti ir bendradarbiauti su ASEAN bei dėti pastangas siekiant visapusiškos strateginės partnerystės;</w:t>
            </w:r>
          </w:p>
        </w:tc>
        <w:tc>
          <w:tcPr>
            <w:tcW w:w="4876" w:type="dxa"/>
            <w:tcBorders>
              <w:top w:val="nil"/>
              <w:left w:val="nil"/>
              <w:bottom w:val="nil"/>
              <w:right w:val="nil"/>
            </w:tcBorders>
          </w:tcPr>
          <w:p w:rsidR="00A47A16" w:rsidRPr="00080AF4" w:rsidRDefault="00A47A16" w:rsidP="00BA0C71">
            <w:pPr>
              <w:pStyle w:val="Normal6a"/>
            </w:pPr>
            <w:r>
              <w:t>31.</w:t>
            </w:r>
            <w:r>
              <w:tab/>
            </w:r>
            <w:r>
              <w:rPr>
                <w:b/>
                <w:i/>
              </w:rPr>
              <w:t>pritaria siekiui taikiai spręsti ginčus ir tęsti bendradarbiavimą jūrų srityje, kad būtų sudarytos palankesnės sąlygos regioniniam stabilumui</w:t>
            </w:r>
            <w:r>
              <w:t xml:space="preserve"> Pietų Kinijos </w:t>
            </w:r>
            <w:r>
              <w:rPr>
                <w:b/>
                <w:i/>
              </w:rPr>
              <w:t>jūroje</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807</w:t>
      </w:r>
      <w:r>
        <w:rPr>
          <w:rStyle w:val="HideTWBExt"/>
        </w:rPr>
        <w:t>&lt;/NumAm&gt;</w:t>
      </w:r>
    </w:p>
    <w:p w:rsidR="00A47A16" w:rsidRPr="00080AF4" w:rsidRDefault="00A47A16" w:rsidP="00A47A16">
      <w:pPr>
        <w:pStyle w:val="NormalBold"/>
      </w:pPr>
      <w:r>
        <w:rPr>
          <w:rStyle w:val="HideTWBExt"/>
          <w:b w:val="0"/>
        </w:rPr>
        <w:t>&lt;RepeatBlock-By&gt;&lt;Members&gt;</w:t>
      </w:r>
      <w:r>
        <w:t>Ana Miguel Pedro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31.</w:t>
            </w:r>
            <w:r>
              <w:tab/>
              <w:t>pabrėžia, kad Pietryčių Azijos valstybių asociacija (ASEAN) yra nepaprastai svarbi partnerė stiprinant taisyklėmis grindžiamą daugiašališkumą; remia ASEAN pastangas užbaigti derybas su Kinija dėl veiksmingo ir esminio Pietų Kinijos jūros elgesio kodekso; ragina ES aktyviau bendrauti ir bendradarbiauti su ASEAN bei dėti pastangas siekiant visapusiškos strateginės partnerystės;</w:t>
            </w:r>
          </w:p>
        </w:tc>
        <w:tc>
          <w:tcPr>
            <w:tcW w:w="4876" w:type="dxa"/>
            <w:tcBorders>
              <w:top w:val="nil"/>
              <w:left w:val="nil"/>
              <w:bottom w:val="nil"/>
              <w:right w:val="nil"/>
            </w:tcBorders>
          </w:tcPr>
          <w:p w:rsidR="00A47A16" w:rsidRPr="00080AF4" w:rsidRDefault="00A47A16" w:rsidP="00BA0C71">
            <w:pPr>
              <w:pStyle w:val="Normal6a"/>
            </w:pPr>
            <w:r>
              <w:t>31.</w:t>
            </w:r>
            <w:r>
              <w:tab/>
              <w:t xml:space="preserve">pabrėžia, kad Pietryčių Azijos valstybių asociacija (ASEAN) yra nepaprastai svarbi partnerė stiprinant taisyklėmis grindžiamą daugiašališkumą; remia ASEAN pastangas užbaigti derybas su Kinija dėl veiksmingo ir esminio Pietų Kinijos jūros elgesio kodekso; </w:t>
            </w:r>
            <w:r>
              <w:rPr>
                <w:b/>
                <w:i/>
              </w:rPr>
              <w:t>reiškia gilų susirūpinimą dėl nuolatinės ir neišprovokuotos Kinijos Liaudies Respublikos agresijos Pietų Kinijos jūroje siekiant užtikrinti savo neteisėtų teritorinių ir suverenumo reikalavimų vykdymą;</w:t>
            </w:r>
            <w:r>
              <w:t xml:space="preserve"> ragina ES aktyviau bendrauti ir bendradarbiauti su ASEAN bei dėti pastangas siekiant visapusiškos strateginės partnerystės;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808</w:t>
      </w:r>
      <w:r>
        <w:rPr>
          <w:rStyle w:val="HideTWBExt"/>
        </w:rPr>
        <w:t>&lt;/NumAm&gt;</w:t>
      </w:r>
    </w:p>
    <w:p w:rsidR="00A47A16" w:rsidRPr="00080AF4" w:rsidRDefault="00A47A16" w:rsidP="00A47A16">
      <w:pPr>
        <w:pStyle w:val="NormalBold"/>
      </w:pPr>
      <w:r>
        <w:rPr>
          <w:rStyle w:val="HideTWBExt"/>
          <w:b w:val="0"/>
        </w:rPr>
        <w:t>&lt;RepeatBlock-By&gt;&lt;Members&gt;</w:t>
      </w:r>
      <w:r>
        <w:t>Hans Neuhoff</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31.</w:t>
            </w:r>
            <w:r>
              <w:tab/>
              <w:t xml:space="preserve">pabrėžia, kad Pietryčių Azijos valstybių asociacija (ASEAN) yra nepaprastai svarbi partnerė stiprinant </w:t>
            </w:r>
            <w:r>
              <w:rPr>
                <w:b/>
                <w:i/>
              </w:rPr>
              <w:t xml:space="preserve">taisyklėmis grindžiamą </w:t>
            </w:r>
            <w:r>
              <w:t xml:space="preserve">daugiašališkumą; remia ASEAN pastangas užbaigti derybas su Kinija dėl veiksmingo ir esminio Pietų Kinijos </w:t>
            </w:r>
            <w:r>
              <w:rPr>
                <w:b/>
                <w:i/>
              </w:rPr>
              <w:t>jūros elgesio</w:t>
            </w:r>
            <w:r>
              <w:t xml:space="preserve"> kodekso; ragina ES aktyviau bendrauti ir bendradarbiauti su ASEAN bei dėti pastangas siekiant visapusiškos</w:t>
            </w:r>
            <w:r>
              <w:rPr>
                <w:b/>
                <w:i/>
              </w:rPr>
              <w:t xml:space="preserve"> strateginės</w:t>
            </w:r>
            <w:r>
              <w:t xml:space="preserve"> partnerystės;</w:t>
            </w:r>
          </w:p>
        </w:tc>
        <w:tc>
          <w:tcPr>
            <w:tcW w:w="4876" w:type="dxa"/>
            <w:tcBorders>
              <w:top w:val="nil"/>
              <w:left w:val="nil"/>
              <w:bottom w:val="nil"/>
              <w:right w:val="nil"/>
            </w:tcBorders>
          </w:tcPr>
          <w:p w:rsidR="00A47A16" w:rsidRPr="00080AF4" w:rsidRDefault="00A47A16" w:rsidP="00BA0C71">
            <w:pPr>
              <w:pStyle w:val="Normal6a"/>
            </w:pPr>
            <w:r>
              <w:t>31.</w:t>
            </w:r>
            <w:r>
              <w:tab/>
              <w:t>pabrėžia, kad Pietryčių Azijos valstybių asociacija (ASEAN) yra nepaprastai svarbi partnerė stiprinant daugiašališkumą; remia ASEAN pastangas užbaigti derybas su Kinija dėl veiksmingo ir esminio</w:t>
            </w:r>
            <w:r>
              <w:rPr>
                <w:b/>
                <w:i/>
              </w:rPr>
              <w:t xml:space="preserve"> elgesio</w:t>
            </w:r>
            <w:r>
              <w:t xml:space="preserve"> Pietų Kinijos </w:t>
            </w:r>
            <w:r>
              <w:rPr>
                <w:b/>
                <w:i/>
              </w:rPr>
              <w:t>jūroje</w:t>
            </w:r>
            <w:r>
              <w:t xml:space="preserve"> kodekso; ragina ES aktyviau bendrauti ir bendradarbiauti su ASEAN bei dėti pastangas siekiant visapusiškos partnerystės;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{DE}</w:t>
      </w:r>
      <w:r w:rsidRPr="00080AF4">
        <w:t>de</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809</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32.</w:t>
            </w:r>
            <w:r>
              <w:tab/>
              <w:t>pažymi, kad dėl geopolitinių iššūkių sustiprėjo bendras ES ir Indijos interesas užtikrinti saugumą, gerovę ir darnų vystymąsi; ragina Indijos ir ES aukščiausiojo lygio susitikime dvišalius santykius laikyti svarbiu darbotvarkės klausimu;</w:t>
            </w:r>
          </w:p>
        </w:tc>
        <w:tc>
          <w:tcPr>
            <w:tcW w:w="4876" w:type="dxa"/>
            <w:tcBorders>
              <w:top w:val="nil"/>
              <w:left w:val="nil"/>
              <w:bottom w:val="nil"/>
              <w:right w:val="nil"/>
            </w:tcBorders>
          </w:tcPr>
          <w:p w:rsidR="00A47A16" w:rsidRPr="00080AF4" w:rsidRDefault="00A47A16" w:rsidP="00BA0C71">
            <w:pPr>
              <w:pStyle w:val="Normal6a"/>
            </w:pPr>
            <w:r>
              <w:t>32.</w:t>
            </w:r>
            <w:r>
              <w:tab/>
              <w:t xml:space="preserve">pažymi, kad dėl geopolitinių iššūkių sustiprėjo bendras ES ir Indijos interesas užtikrinti saugumą, gerovę ir darnų vystymąsi; ragina Indijos ir ES aukščiausiojo lygio susitikime dvišalius santykius laikyti svarbiu darbotvarkės klausimu; </w:t>
            </w:r>
            <w:r>
              <w:rPr>
                <w:b/>
                <w:i/>
              </w:rPr>
              <w:t>mano, kad klimato kaita ir aplinkos atžvilgiu tvarus augimas, skaitmenizacija ir naujos technologijos, moksliniai tyrimai ir plėtra, junglumas, prekyba ir investicijos, užsienio, saugumo ir gynybos politika yra pagrindinės bendradarbiavimo sritys; ragina visapusiškai įgyvendinti 2018 m. ES strategiją dėl Indijos ir ES ir Indijos veiksmų gaires iki 2025 m., glaudžiai koordinuojant veiksmus su pačių valstybių narių bendradarbiavimo su Indija veiksmais; ypač pabrėžia, kad reikia skatinti didesnę sinergiją užsienio ir saugumo politikos srityje pasitelkiant esamus dialogo mechanizmus ir kitus mechanizmus, kurie bus sukurti pagal ES ir Indijos veiksmų planą iki 2025 m.; atsižvelgdamas į tai, ragina valstybes nares aktyviau prisidėti; taip pat ragina valstybes nares didinti ir plėsti Indijos ir ES bendradarbiavimą jūrų saugumo srityje reaguojant į kintančią Kinijos veiklą Indijos ir Ramiojo vandenynų regione; pabrėžia, kad reikia bendradarbiauti su Indija sprendžiant klausimus, susijusius su didele Indijos karine priklausomybe nuo Rusijos ir ES sankcijų Rusijai politika; primygtinai ragina Indiją pasmerkti Rusijos neteisėtą agresijos karą prieš Ukrainą; </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810</w:t>
      </w:r>
      <w:r>
        <w:rPr>
          <w:rStyle w:val="HideTWBExt"/>
        </w:rPr>
        <w:t>&lt;/NumAm&gt;</w:t>
      </w:r>
    </w:p>
    <w:p w:rsidR="00A47A16" w:rsidRPr="00080AF4" w:rsidRDefault="00A47A16" w:rsidP="00A47A16">
      <w:pPr>
        <w:pStyle w:val="NormalBold"/>
      </w:pPr>
      <w:r>
        <w:rPr>
          <w:rStyle w:val="HideTWBExt"/>
          <w:b w:val="0"/>
        </w:rPr>
        <w:t>&lt;RepeatBlock-By&gt;&lt;Members&gt;</w:t>
      </w:r>
      <w:r>
        <w:t>Sebastian Tynkkynen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32.</w:t>
            </w:r>
            <w:r>
              <w:tab/>
              <w:t>pažymi, kad dėl geopolitinių iššūkių sustiprėjo bendras ES ir Indijos interesas užtikrinti saugumą, gerovę ir darnų vystymąsi; ragina Indijos ir ES aukščiausiojo lygio susitikime dvišalius santykius laikyti svarbiu darbotvarkės klausimu;</w:t>
            </w:r>
          </w:p>
        </w:tc>
        <w:tc>
          <w:tcPr>
            <w:tcW w:w="4876" w:type="dxa"/>
            <w:tcBorders>
              <w:top w:val="nil"/>
              <w:left w:val="nil"/>
              <w:bottom w:val="nil"/>
              <w:right w:val="nil"/>
            </w:tcBorders>
          </w:tcPr>
          <w:p w:rsidR="00A47A16" w:rsidRPr="00080AF4" w:rsidRDefault="00A47A16" w:rsidP="00BA0C71">
            <w:pPr>
              <w:pStyle w:val="Normal6a"/>
            </w:pPr>
            <w:r>
              <w:t>32.</w:t>
            </w:r>
            <w:r>
              <w:tab/>
              <w:t xml:space="preserve">pažymi, kad dėl geopolitinių iššūkių sustiprėjo bendras ES ir Indijos interesas užtikrinti saugumą, gerovę ir darnų vystymąsi; ragina Indijos ir ES aukščiausiojo lygio susitikime dvišalius santykius laikyti svarbiu darbotvarkės klausimu; </w:t>
            </w:r>
            <w:r>
              <w:rPr>
                <w:b/>
                <w:i/>
              </w:rPr>
              <w:t>susirūpinęs pažymi, kad Indija tapo antra pagal svarbą Rusijos ypatingos svarbos technologijų tiekėja po Kinijos; griežtai smerkia Indijos vaidmenį rsudarant sąlygas Rusijos agresijos karui prieš Ukrainą;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{FI}</w:t>
      </w:r>
      <w:r w:rsidRPr="00080AF4">
        <w:t>fi</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811</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 Roberto Vannacci</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32.</w:t>
            </w:r>
            <w:r>
              <w:tab/>
              <w:t>pažymi, kad dėl geopolitinių iššūkių sustiprėjo bendras ES ir Indijos interesas užtikrinti saugumą, gerovę ir darnų vystymąsi; ragina Indijos ir ES aukščiausiojo lygio susitikime dvišalius santykius laikyti svarbiu darbotvarkės klausimu;</w:t>
            </w:r>
          </w:p>
        </w:tc>
        <w:tc>
          <w:tcPr>
            <w:tcW w:w="4876" w:type="dxa"/>
            <w:tcBorders>
              <w:top w:val="nil"/>
              <w:left w:val="nil"/>
              <w:bottom w:val="nil"/>
              <w:right w:val="nil"/>
            </w:tcBorders>
          </w:tcPr>
          <w:p w:rsidR="00A47A16" w:rsidRPr="00080AF4" w:rsidRDefault="00A47A16" w:rsidP="00BA0C71">
            <w:pPr>
              <w:pStyle w:val="Normal6a"/>
            </w:pPr>
            <w:r>
              <w:t>32.</w:t>
            </w:r>
            <w:r>
              <w:tab/>
              <w:t xml:space="preserve">pažymi, kad dėl geopolitinių iššūkių sustiprėjo bendras ES ir Indijos interesas užtikrinti saugumą, gerovę ir darnų vystymąsi; ragina Indijos ir ES aukščiausiojo lygio susitikime dvišalius santykius laikyti svarbiu darbotvarkės klausimu; </w:t>
            </w:r>
            <w:r>
              <w:rPr>
                <w:b/>
                <w:i/>
              </w:rPr>
              <w:t>ragina Sąjungą stiprinti bendradarbiavimą su Indija jūrų saugumo srityje, kartu užtikrinant, kad nebūtų prisidedama prie augančios įtampos Indijos ir Ramiojo vandenynų zonoje;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812</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32.</w:t>
            </w:r>
            <w:r>
              <w:tab/>
              <w:t>pažymi, kad dėl geopolitinių iššūkių sustiprėjo bendras ES ir Indijos interesas užtikrinti saugumą, gerovę ir darnų vystymąsi; ragina Indijos ir ES aukščiausiojo lygio susitikime dvišalius santykius laikyti svarbiu darbotvarkės klausimu;</w:t>
            </w:r>
          </w:p>
        </w:tc>
        <w:tc>
          <w:tcPr>
            <w:tcW w:w="4876" w:type="dxa"/>
            <w:tcBorders>
              <w:top w:val="nil"/>
              <w:left w:val="nil"/>
              <w:bottom w:val="nil"/>
              <w:right w:val="nil"/>
            </w:tcBorders>
          </w:tcPr>
          <w:p w:rsidR="00A47A16" w:rsidRPr="00080AF4" w:rsidRDefault="00A47A16" w:rsidP="00BA0C71">
            <w:pPr>
              <w:pStyle w:val="Normal6a"/>
            </w:pPr>
            <w:r>
              <w:t>32.</w:t>
            </w:r>
            <w:r>
              <w:tab/>
              <w:t xml:space="preserve">pažymi, kad dėl geopolitinių iššūkių sustiprėjo bendras ES ir Indijos interesas užtikrinti saugumą, gerovę ir darnų vystymąsi; </w:t>
            </w:r>
            <w:r>
              <w:rPr>
                <w:b/>
                <w:i/>
              </w:rPr>
              <w:t>mano, kad Indija yra svarbi demokratinė partnerė, ir ragina ES vesti griežtą sialogą su su Indijos vyriausybe dėl pagarbos žmogaus teisėms ir teisinei valstybei tiek viduje, tiek visame pasaulyje;</w:t>
            </w:r>
            <w:r>
              <w:t xml:space="preserve"> ragina Indijos ir ES aukščiausiojo lygio susitikime dvišalius santykius laikyti svarbiu darbotvarkės klausimu;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813</w:t>
      </w:r>
      <w:r>
        <w:rPr>
          <w:rStyle w:val="HideTWBExt"/>
        </w:rPr>
        <w:t>&lt;/NumAm&gt;</w:t>
      </w:r>
    </w:p>
    <w:p w:rsidR="00A47A16" w:rsidRPr="00080AF4" w:rsidRDefault="00A47A16" w:rsidP="00A47A16">
      <w:pPr>
        <w:pStyle w:val="NormalBold"/>
      </w:pPr>
      <w:r>
        <w:rPr>
          <w:rStyle w:val="HideTWBExt"/>
          <w:b w:val="0"/>
        </w:rPr>
        <w:t>&lt;RepeatBlock-By&gt;&lt;Members&gt;</w:t>
      </w:r>
      <w:r>
        <w:t>Emmanouil Fragkos, Galato Alexandraki, Geadis Geadi</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32.</w:t>
            </w:r>
            <w:r>
              <w:tab/>
              <w:t>pažymi, kad dėl geopolitinių iššūkių sustiprėjo bendras ES ir Indijos interesas užtikrinti saugumą, gerovę ir darnų vystymąsi; ragina Indijos ir ES aukščiausiojo lygio susitikime dvišalius santykius laikyti svarbiu darbotvarkės klausimu;</w:t>
            </w:r>
          </w:p>
        </w:tc>
        <w:tc>
          <w:tcPr>
            <w:tcW w:w="4876" w:type="dxa"/>
            <w:tcBorders>
              <w:top w:val="nil"/>
              <w:left w:val="nil"/>
              <w:bottom w:val="nil"/>
              <w:right w:val="nil"/>
            </w:tcBorders>
          </w:tcPr>
          <w:p w:rsidR="00A47A16" w:rsidRPr="00080AF4" w:rsidRDefault="00A47A16" w:rsidP="00BA0C71">
            <w:pPr>
              <w:pStyle w:val="Normal6a"/>
            </w:pPr>
            <w:r>
              <w:t>32.</w:t>
            </w:r>
            <w:r>
              <w:tab/>
              <w:t xml:space="preserve">pažymi, kad dėl geopolitinių iššūkių sustiprėjo bendras ES ir Indijos interesas užtikrinti saugumą, gerovę ir darnų vystymąsi; ragina Indijos ir ES aukščiausiojo lygio susitikime dvišalius santykius laikyti svarbiu darbotvarkės klausimu; </w:t>
            </w:r>
            <w:r>
              <w:rPr>
                <w:b/>
                <w:i/>
              </w:rPr>
              <w:t>mano, kad Indijos vaidmuo stabilizuojant Pietų Aziją ir kovojant su terorizmu yra svarbus;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{EL}</w:t>
      </w:r>
      <w:r w:rsidRPr="00080AF4">
        <w:t>el</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814</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32.</w:t>
            </w:r>
            <w:r>
              <w:tab/>
              <w:t xml:space="preserve">pažymi, kad </w:t>
            </w:r>
            <w:r>
              <w:rPr>
                <w:b/>
                <w:i/>
              </w:rPr>
              <w:t>dėl geopolitinių iššūkių sustiprėjo bendras ES ir Indijos interesas</w:t>
            </w:r>
            <w:r>
              <w:t xml:space="preserve"> užtikrinti </w:t>
            </w:r>
            <w:r>
              <w:rPr>
                <w:b/>
                <w:i/>
              </w:rPr>
              <w:t>saugumą</w:t>
            </w:r>
            <w:r>
              <w:t xml:space="preserve">, </w:t>
            </w:r>
            <w:r>
              <w:rPr>
                <w:b/>
                <w:i/>
              </w:rPr>
              <w:t>gerovę</w:t>
            </w:r>
            <w:r>
              <w:t xml:space="preserve"> ir darnų vystymąsi; </w:t>
            </w:r>
            <w:r>
              <w:rPr>
                <w:b/>
                <w:i/>
              </w:rPr>
              <w:t>ragina Indijos ir ES aukščiausiojo lygio susitikime dvišalius santykius laikyti svarbiu darbotvarkės klausimu;</w:t>
            </w:r>
          </w:p>
        </w:tc>
        <w:tc>
          <w:tcPr>
            <w:tcW w:w="4876" w:type="dxa"/>
            <w:tcBorders>
              <w:top w:val="nil"/>
              <w:left w:val="nil"/>
              <w:bottom w:val="nil"/>
              <w:right w:val="nil"/>
            </w:tcBorders>
          </w:tcPr>
          <w:p w:rsidR="00A47A16" w:rsidRPr="00080AF4" w:rsidRDefault="00A47A16" w:rsidP="00BA0C71">
            <w:pPr>
              <w:pStyle w:val="Normal6a"/>
            </w:pPr>
            <w:r>
              <w:t>32.</w:t>
            </w:r>
            <w:r>
              <w:tab/>
              <w:t xml:space="preserve">pažymi, kad </w:t>
            </w:r>
            <w:r>
              <w:rPr>
                <w:b/>
                <w:i/>
              </w:rPr>
              <w:t>ir ES, ir Indija yra bendrai suinteresuotos</w:t>
            </w:r>
            <w:r>
              <w:t xml:space="preserve"> užtikrinti </w:t>
            </w:r>
            <w:r>
              <w:rPr>
                <w:b/>
                <w:i/>
              </w:rPr>
              <w:t>taiką</w:t>
            </w:r>
            <w:r>
              <w:t xml:space="preserve">, </w:t>
            </w:r>
            <w:r>
              <w:rPr>
                <w:b/>
                <w:i/>
              </w:rPr>
              <w:t>klestėjimą</w:t>
            </w:r>
            <w:r>
              <w:t xml:space="preserve"> ir darnų vystymąsi;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815</w:t>
      </w:r>
      <w:r>
        <w:rPr>
          <w:rStyle w:val="HideTWBExt"/>
        </w:rPr>
        <w:t>&lt;/NumAm&gt;</w:t>
      </w:r>
    </w:p>
    <w:p w:rsidR="00A47A16" w:rsidRPr="00080AF4" w:rsidRDefault="00A47A16" w:rsidP="00A47A16">
      <w:pPr>
        <w:pStyle w:val="NormalBold"/>
      </w:pPr>
      <w:r>
        <w:rPr>
          <w:rStyle w:val="HideTWBExt"/>
          <w:b w:val="0"/>
        </w:rPr>
        <w:t>&lt;RepeatBlock-By&gt;&lt;Members&gt;</w:t>
      </w:r>
      <w:r>
        <w:t>Nathalie Loiseau, Urmas Paet, Hilde Vautmans, Lucia Yar, Petras Auštrevičius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32.</w:t>
            </w:r>
            <w:r>
              <w:tab/>
              <w:t>pažymi, kad dėl geopolitinių iššūkių sustiprėjo bendras ES ir Indijos interesas užtikrinti saugumą, gerovę ir darnų vystymąsi; ragina Indijos ir ES aukščiausiojo lygio susitikime dvišalius santykius laikyti svarbiu darbotvarkės klausimu;</w:t>
            </w:r>
          </w:p>
        </w:tc>
        <w:tc>
          <w:tcPr>
            <w:tcW w:w="4876" w:type="dxa"/>
            <w:tcBorders>
              <w:top w:val="nil"/>
              <w:left w:val="nil"/>
              <w:bottom w:val="nil"/>
              <w:right w:val="nil"/>
            </w:tcBorders>
          </w:tcPr>
          <w:p w:rsidR="00A47A16" w:rsidRPr="00080AF4" w:rsidRDefault="00A47A16" w:rsidP="00BA0C71">
            <w:pPr>
              <w:pStyle w:val="Normal6a"/>
            </w:pPr>
            <w:r>
              <w:t>32.</w:t>
            </w:r>
            <w:r>
              <w:tab/>
              <w:t xml:space="preserve">pažymi, kad dėl geopolitinių iššūkių sustiprėjo bendras ES ir Indijos interesas užtikrinti saugumą, gerovę ir darnų vystymąsi; ragina Indijos ir ES aukščiausiojo lygio susitikime dvišalius santykius laikyti svarbiu darbotvarkės klausimu; </w:t>
            </w:r>
            <w:r>
              <w:rPr>
                <w:b/>
                <w:i/>
              </w:rPr>
              <w:t>palankiai vertina tai, kad paskelbta apie būsimą strateginę ES ir Indijos darbotvarkę;</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816</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 xml:space="preserve">primygtinai ragina Komisijos pirmininko pavaduotoją ir Sąjungos vyriausiąjį įgaliotinį ir valstybes nares daugiausia dėmesio skirti dvišaliams santykiams su </w:t>
            </w:r>
            <w:r>
              <w:rPr>
                <w:b/>
                <w:i/>
              </w:rPr>
              <w:t xml:space="preserve">bendraminčiais </w:t>
            </w:r>
            <w:r>
              <w:t xml:space="preserve">partneriais Afrikoje, </w:t>
            </w:r>
            <w:r>
              <w:rPr>
                <w:b/>
                <w:i/>
              </w:rPr>
              <w:t>be kita ko, Gana, Kenija ir Senegalu, atsižvelgiant į abipusius poreikius ir interesus, kad būtų puoselėjamos tikros subalansuotos partnerystės;</w:t>
            </w:r>
            <w:r>
              <w:t xml:space="preserve"> </w:t>
            </w:r>
            <w:r>
              <w:rPr>
                <w:b/>
                <w:i/>
              </w:rPr>
              <w:t>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 xml:space="preserve">primygtinai ragina Komisijos pirmininko pavaduotoją ir Sąjungos vyriausiąjį įgaliotinį </w:t>
            </w:r>
            <w:r>
              <w:rPr>
                <w:b/>
                <w:i/>
              </w:rPr>
              <w:t xml:space="preserve">užsienio reikalams ir saugumo politikai </w:t>
            </w:r>
            <w:r>
              <w:t xml:space="preserve">ir valstybes nares daugiausia dėmesio skirti dvišaliams santykiams su partneriais Afrikoje, </w:t>
            </w:r>
            <w:r>
              <w:rPr>
                <w:b/>
                <w:i/>
              </w:rPr>
              <w:t>grindžiamiems abipuse pagarba</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817</w:t>
      </w:r>
      <w:r>
        <w:rPr>
          <w:rStyle w:val="HideTWBExt"/>
        </w:rPr>
        <w:t>&lt;/NumAm&gt;</w:t>
      </w:r>
    </w:p>
    <w:p w:rsidR="00A47A16" w:rsidRPr="00080AF4" w:rsidRDefault="00A47A16" w:rsidP="00A47A16">
      <w:pPr>
        <w:pStyle w:val="NormalBold"/>
      </w:pPr>
      <w:r>
        <w:rPr>
          <w:rStyle w:val="HideTWBExt"/>
          <w:b w:val="0"/>
        </w:rPr>
        <w:t>&lt;RepeatBlock-By&gt;&lt;Members&gt;</w:t>
      </w:r>
      <w:r>
        <w:t>Sebastian Tynkkynen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 xml:space="preserve">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w:t>
            </w:r>
            <w:r>
              <w:rPr>
                <w:b/>
                <w:i/>
              </w:rPr>
              <w:t>pabrėžia, kad ES parama vystymuisi turėtų būti teikiama su sąlyga, kad ją gaunančios valstybės turi remti Ukrainą šiai ginantis nuo Rusijos agresijos ir sudaryti susitarimas dėl jų piliečių grąžinimo iš Sąjungos teritorijos į savo (kilmės) šalis;</w:t>
            </w:r>
            <w:r>
              <w:t xml:space="preserve">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{FI}</w:t>
      </w:r>
      <w:r w:rsidRPr="00080AF4">
        <w:t>fi</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818</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 xml:space="preserve">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w:t>
            </w:r>
            <w:r>
              <w:rPr>
                <w:b/>
                <w:i/>
              </w:rPr>
              <w:t xml:space="preserve">ir ekonominį bendradarbiavimą </w:t>
            </w:r>
            <w:r>
              <w:t xml:space="preserve">su jomis, siekiant parodyti, kad ES yra pagrindinė bei strateginė partnerė ir kad tarptautinė taisyklėmis grindžiama sistema yra pajėgi įveikti šiuolaikinius iššūkius; </w:t>
            </w:r>
            <w:r>
              <w:rPr>
                <w:b/>
                <w:i/>
              </w:rPr>
              <w:t>atsižvelgdamas į tai, pakartoja strategijos „Global Gateway“ svarbą siekiant skatinti glaudžią partnerystę, grindžiamą abipuse nauda, ekonominiu vystymusi ir atspariomis tiekimo grandinėmis;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819</w:t>
      </w:r>
      <w:r>
        <w:rPr>
          <w:rStyle w:val="HideTWBExt"/>
        </w:rPr>
        <w:t>&lt;/NumAm&gt;</w:t>
      </w:r>
    </w:p>
    <w:p w:rsidR="00A47A16" w:rsidRPr="00080AF4" w:rsidRDefault="00A47A16" w:rsidP="00A47A16">
      <w:pPr>
        <w:pStyle w:val="NormalBold"/>
      </w:pPr>
      <w:r>
        <w:rPr>
          <w:rStyle w:val="HideTWBExt"/>
          <w:b w:val="0"/>
        </w:rPr>
        <w:t>&lt;RepeatBlock-By&gt;&lt;Members&gt;</w:t>
      </w:r>
      <w:r>
        <w:t>Alice Teodorescu Måwe</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 xml:space="preserve">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 </w:t>
            </w:r>
            <w:r>
              <w:rPr>
                <w:b/>
                <w:i/>
              </w:rPr>
              <w:t>mano, kad ES, kaip didžiausia paramos vystymuisi teikėja pasaulyje, turėtų labiau susieti paramą vystymuisi su bendradarbiavimu migracijos srityje;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{SV}</w:t>
      </w:r>
      <w:r w:rsidRPr="00080AF4">
        <w:t>sv</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820</w:t>
      </w:r>
      <w:r>
        <w:rPr>
          <w:rStyle w:val="HideTWBExt"/>
        </w:rPr>
        <w:t>&lt;/NumAm&gt;</w:t>
      </w:r>
    </w:p>
    <w:p w:rsidR="00A47A16" w:rsidRPr="00080AF4" w:rsidRDefault="00A47A16" w:rsidP="00A47A16">
      <w:pPr>
        <w:pStyle w:val="NormalBold"/>
      </w:pPr>
      <w:r>
        <w:rPr>
          <w:rStyle w:val="HideTWBExt"/>
          <w:b w:val="0"/>
        </w:rPr>
        <w:t>&lt;RepeatBlock-By&gt;&lt;Members&gt;</w:t>
      </w:r>
      <w:r>
        <w:t>Wouter Beke</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w:t>
            </w:r>
            <w:r>
              <w:rPr>
                <w:b/>
                <w:i/>
              </w:rPr>
              <w:t xml:space="preserve"> pabrėžia, kad svarbu ir toliau daug dėmesio skirti Afrikai, kuri jau yra strateginis žemynas ir ateityje taps vis svarbesne veikėja;</w:t>
            </w:r>
            <w:r>
              <w:t xml:space="preserve">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821</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 xml:space="preserve">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 </w:t>
            </w:r>
            <w:r>
              <w:rPr>
                <w:b/>
                <w:i/>
              </w:rPr>
              <w:t>pabrėžia, kad svarbu sudaryti šiuos politinius susitarimus su trečiosiomis šalimis, grindžiamus bendromis Europos vertybėmis ir pagrindinėmis teisėmis;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822</w:t>
      </w:r>
      <w:r>
        <w:rPr>
          <w:rStyle w:val="HideTWBExt"/>
        </w:rPr>
        <w:t>&lt;/NumAm&gt;</w:t>
      </w:r>
    </w:p>
    <w:p w:rsidR="00A47A16" w:rsidRPr="00080AF4" w:rsidRDefault="00A47A16" w:rsidP="00A47A16">
      <w:pPr>
        <w:pStyle w:val="NormalBold"/>
      </w:pPr>
      <w:r>
        <w:rPr>
          <w:rStyle w:val="HideTWBExt"/>
          <w:b w:val="0"/>
        </w:rPr>
        <w:t>&lt;RepeatBlock-By&gt;&lt;Members&gt;</w:t>
      </w:r>
      <w:r>
        <w:t>António Tânger Corrêa, Jordan Bardella, Hermann Tertsch, Matthieu Valet, Pierre-Romain Thionnet,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 xml:space="preserve">primygtinai ragina Komisijos pirmininko pavaduotoją ir Sąjungos vyriausiąjį įgaliotinį ir valstybes nares daugiausia dėmesio skirti dvišaliams santykiams su bendraminčiais partneriais Afrikoje, be kita ko, Gana, Kenija ir </w:t>
            </w:r>
            <w:r>
              <w:rPr>
                <w:b/>
                <w:i/>
              </w:rPr>
              <w:t>Senegalu</w:t>
            </w:r>
            <w:r>
              <w:t xml:space="preserve">,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w:t>
            </w:r>
            <w:r>
              <w:rPr>
                <w:b/>
                <w:i/>
              </w:rPr>
              <w:t xml:space="preserve">BUSP ir bendros saugumo ir gynybos politikos (BSGP) principų bei </w:t>
            </w:r>
            <w:r>
              <w:t>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w:t>
            </w:r>
            <w:r>
              <w:rPr>
                <w:b/>
                <w:i/>
              </w:rPr>
              <w:t>, Senegalu</w:t>
            </w:r>
            <w:r>
              <w:t xml:space="preserve"> ir </w:t>
            </w:r>
            <w:r>
              <w:rPr>
                <w:b/>
                <w:i/>
              </w:rPr>
              <w:t>Žaliuoju Kyšuliu</w:t>
            </w:r>
            <w:r>
              <w:t xml:space="preserve">,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 </w:t>
            </w:r>
            <w:r>
              <w:rPr>
                <w:b/>
                <w:i/>
              </w:rPr>
              <w:t>įspėja dėl didėjančio Rusijos ir Kinijos svorio Afrikos teritorijoje, taip pat dėl didėjančio teroristinių ir radikalių islamo grupuočių skaičiaus;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823</w:t>
      </w:r>
      <w:r>
        <w:rPr>
          <w:rStyle w:val="HideTWBExt"/>
        </w:rPr>
        <w:t>&lt;/NumAm&gt;</w:t>
      </w:r>
    </w:p>
    <w:p w:rsidR="00A47A16" w:rsidRPr="00080AF4" w:rsidRDefault="00A47A16" w:rsidP="00A47A16">
      <w:pPr>
        <w:pStyle w:val="NormalBold"/>
      </w:pPr>
      <w:r>
        <w:rPr>
          <w:rStyle w:val="HideTWBExt"/>
          <w:b w:val="0"/>
        </w:rPr>
        <w:t>&lt;RepeatBlock-By&gt;&lt;Members&gt;</w:t>
      </w:r>
      <w:r>
        <w:t>Marc Botenga, Rima Hassan</w:t>
      </w:r>
      <w:r>
        <w:rPr>
          <w:rStyle w:val="HideTWBExt"/>
          <w:b w:val="0"/>
        </w:rPr>
        <w:t>&lt;/Members&gt;</w:t>
      </w:r>
    </w:p>
    <w:p w:rsidR="00A47A16" w:rsidRPr="00080AF4" w:rsidRDefault="00A47A16" w:rsidP="00A47A16">
      <w:r>
        <w:rPr>
          <w:rStyle w:val="HideTWBExt"/>
        </w:rPr>
        <w:t>&lt;AuNomDe&gt;</w:t>
      </w:r>
      <w:r>
        <w:rPr>
          <w:rStyle w:val="HideTWBInt"/>
        </w:rPr>
        <w:t>{The Left}</w:t>
      </w:r>
      <w:r>
        <w:t>The Left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 xml:space="preserve">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w:t>
            </w:r>
            <w:r>
              <w:rPr>
                <w:b/>
                <w:i/>
              </w:rPr>
              <w:t xml:space="preserve">BUSP ir bendros saugumo ir gynybos politikos (BSGP) principų bei </w:t>
            </w:r>
            <w:r>
              <w:t>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pagrindinių ES vertybių; ragina ES reaguoti į šalių partnerių lūkesčius ir greitai įgyvendinti susitarimus su jomis, siekiant parodyti, kad ES yra pagrindinė bei strateginė partnerė ir kad tarptautinė taisyklėmis grindžiama sistema yra pajėgi įveikti šiuolaikinius iššūkius;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824</w:t>
      </w:r>
      <w:r>
        <w:rPr>
          <w:rStyle w:val="HideTWBExt"/>
        </w:rPr>
        <w:t>&lt;/NumAm&gt;</w:t>
      </w:r>
    </w:p>
    <w:p w:rsidR="00A47A16" w:rsidRPr="00080AF4" w:rsidRDefault="00A47A16" w:rsidP="00A47A16">
      <w:pPr>
        <w:pStyle w:val="NormalBold"/>
      </w:pPr>
      <w:r>
        <w:rPr>
          <w:rStyle w:val="HideTWBExt"/>
          <w:b w:val="0"/>
        </w:rPr>
        <w:t>&lt;RepeatBlock-By&gt;&lt;Members&gt;</w:t>
      </w:r>
      <w:r>
        <w:t>Francisco José Millán Mon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w:t>
            </w:r>
            <w:r>
              <w:rPr>
                <w:b/>
                <w:i/>
              </w:rPr>
              <w:t xml:space="preserve"> ir</w:t>
            </w:r>
            <w:r>
              <w:t xml:space="preserve">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w:t>
            </w:r>
            <w:r>
              <w:rPr>
                <w:b/>
                <w:i/>
              </w:rPr>
              <w:t>,</w:t>
            </w:r>
            <w:r>
              <w:t xml:space="preserve"> Senegalu</w:t>
            </w:r>
            <w:r>
              <w:rPr>
                <w:b/>
                <w:i/>
              </w:rPr>
              <w:t xml:space="preserve"> ir Mauritanija</w:t>
            </w:r>
            <w:r>
              <w:t>,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{ES}</w:t>
      </w:r>
      <w:r w:rsidRPr="00080AF4">
        <w:t>es</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825</w:t>
      </w:r>
      <w:r>
        <w:rPr>
          <w:rStyle w:val="HideTWBExt"/>
        </w:rPr>
        <w:t>&lt;/NumAm&gt;</w:t>
      </w:r>
    </w:p>
    <w:p w:rsidR="00A47A16" w:rsidRPr="00080AF4" w:rsidRDefault="00A47A16" w:rsidP="00A47A16">
      <w:pPr>
        <w:pStyle w:val="NormalBold"/>
      </w:pPr>
      <w:r>
        <w:rPr>
          <w:rStyle w:val="HideTWBExt"/>
          <w:b w:val="0"/>
        </w:rPr>
        <w:t>&lt;RepeatBlock-By&gt;&lt;Members&gt;</w:t>
      </w:r>
      <w:r>
        <w:t>Željana Zovko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w:t>
            </w:r>
            <w:r>
              <w:rPr>
                <w:b/>
                <w:i/>
              </w:rPr>
              <w:t>, patikima</w:t>
            </w:r>
            <w:r>
              <w:t xml:space="preserve"> bei strateginė partnerė ir kad tarptautinė taisyklėmis grindžiama sistema yra pajėgi įveikti šiuolaikinius iššūkius;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826</w:t>
      </w:r>
      <w:r>
        <w:rPr>
          <w:rStyle w:val="HideTWBExt"/>
        </w:rPr>
        <w:t>&lt;/NumAm&gt;</w:t>
      </w:r>
    </w:p>
    <w:p w:rsidR="00A47A16" w:rsidRPr="00080AF4" w:rsidRDefault="00A47A16" w:rsidP="00A47A16">
      <w:pPr>
        <w:pStyle w:val="NormalBold"/>
      </w:pPr>
      <w:r>
        <w:rPr>
          <w:rStyle w:val="HideTWBExt"/>
          <w:b w:val="0"/>
        </w:rPr>
        <w:t>&lt;RepeatBlock-By&gt;&lt;Members&gt;</w:t>
      </w:r>
      <w:r>
        <w:t>Nathalie Loiseau, Urmas Paet, Hilde Vautmans, Lucia Yar, Petras Auštrevičius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 xml:space="preserve">primygtinai ragina Komisijos pirmininko pavaduotoją ir Sąjungos vyriausiąjį įgaliotinį ir valstybes nares daugiausia dėmesio skirti dvišaliams santykiams su bendraminčiais partneriais Afrikoje, be kita ko, Gana, </w:t>
            </w:r>
            <w:r>
              <w:rPr>
                <w:b/>
                <w:i/>
              </w:rPr>
              <w:t xml:space="preserve">Maroku, </w:t>
            </w:r>
            <w:r>
              <w:t>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taisyklėmis grindžiama sistema yra pajėgi įveikti šiuolaikinius iššūkius;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827</w:t>
      </w:r>
      <w:r>
        <w:rPr>
          <w:rStyle w:val="HideTWBExt"/>
        </w:rPr>
        <w:t>&lt;/NumAm&gt;</w:t>
      </w:r>
    </w:p>
    <w:p w:rsidR="00A47A16" w:rsidRPr="00080AF4" w:rsidRDefault="00A47A16" w:rsidP="00A47A16">
      <w:pPr>
        <w:pStyle w:val="NormalBold"/>
      </w:pPr>
      <w:r>
        <w:rPr>
          <w:rStyle w:val="HideTWBExt"/>
          <w:b w:val="0"/>
        </w:rPr>
        <w:t>&lt;RepeatBlock-By&gt;&lt;Members&gt;</w:t>
      </w:r>
      <w:r>
        <w:t>Hans Neuhoff</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33.</w:t>
            </w:r>
            <w:r>
              <w:tab/>
              <w:t xml:space="preserve">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w:t>
            </w:r>
            <w:r>
              <w:rPr>
                <w:b/>
                <w:i/>
              </w:rPr>
              <w:t xml:space="preserve">taisyklėmis grindžiama </w:t>
            </w:r>
            <w:r>
              <w:t>sistema yra pajėgi įveikti šiuolaikinius iššūkius;</w:t>
            </w:r>
          </w:p>
        </w:tc>
        <w:tc>
          <w:tcPr>
            <w:tcW w:w="4876" w:type="dxa"/>
            <w:tcBorders>
              <w:top w:val="nil"/>
              <w:left w:val="nil"/>
              <w:bottom w:val="nil"/>
              <w:right w:val="nil"/>
            </w:tcBorders>
          </w:tcPr>
          <w:p w:rsidR="00A47A16" w:rsidRPr="00080AF4" w:rsidRDefault="00A47A16" w:rsidP="00BA0C71">
            <w:pPr>
              <w:pStyle w:val="Normal6a"/>
            </w:pPr>
            <w:r>
              <w:t>33.</w:t>
            </w:r>
            <w:r>
              <w:tab/>
              <w:t>primygtinai ragina Komisijos pirmininko pavaduotoją ir Sąjungos vyriausiąjį įgaliotinį ir valstybes nares daugiausia dėmesio skirti dvišaliams santykiams su bendraminčiais partneriais Afrikoje, be kita ko, Gana, Kenija ir Senegalu,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ragina ES reaguoti į šalių partnerių lūkesčius ir greitai įgyvendinti politinius susitarimus su jomis, siekiant parodyti, kad ES yra pagrindinė bei strateginė partnerė ir kad tarptautinė sistema yra pajėgi įveikti šiuolaikinius iššūkius;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{DE}</w:t>
      </w:r>
      <w:r w:rsidRPr="00080AF4">
        <w:t>de</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828</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33a.</w:t>
            </w:r>
            <w:r>
              <w:tab/>
            </w:r>
            <w:r>
              <w:rPr>
                <w:b/>
                <w:i/>
              </w:rPr>
              <w:t>primena, kad Rusijos Vagnerio nereguliariųjų karinių pajėgų sukarintų dalinių buvimas Afrikos šalyse destabilizuoja tas šalis ir kenkia ES interesams regione; pažymi, kad šie veiksmai pasižymi ES valstybių narių, įskaitant Prancūziją, politinių, diplomatinių, ekonominių ir karinių interesų destabilizavimo šiame regione dėsningumu; primena Prancūzijos karių Sahelyje įsipareigojimą Afrikos šalių prašymu dešimt metų kovoti su islamistų terorizmu;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829</w:t>
      </w:r>
      <w:r>
        <w:rPr>
          <w:rStyle w:val="HideTWBExt"/>
        </w:rPr>
        <w:t>&lt;/NumAm&gt;</w:t>
      </w:r>
    </w:p>
    <w:p w:rsidR="00A47A16" w:rsidRPr="00080AF4" w:rsidRDefault="00A47A16" w:rsidP="00A47A16">
      <w:pPr>
        <w:pStyle w:val="NormalBold"/>
      </w:pPr>
      <w:r>
        <w:rPr>
          <w:rStyle w:val="HideTWBExt"/>
          <w:b w:val="0"/>
        </w:rPr>
        <w:t>&lt;RepeatBlock-By&gt;&lt;Members&gt;</w:t>
      </w:r>
      <w:r>
        <w:t>Francisco José Millán Mon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33a.</w:t>
            </w:r>
            <w:r>
              <w:tab/>
            </w:r>
            <w:r>
              <w:rPr>
                <w:b/>
                <w:i/>
              </w:rPr>
              <w:t>yra susirūpinęs dėl sunkios ir rimtos padėties, su kuria susiduria Sahelis, ypač po daugybės valstybės perversmų, kuriuos pastaraisiais metais patyrė įvairios regiono šalys; primena, kad Sahelio stabilumas daro tiesioginį poveikį Europos saugumui ir klestėjimui, taip pat migracijos iš Afrikos žemyno srautų valdymui;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{ES}</w:t>
      </w:r>
      <w:r w:rsidRPr="00080AF4">
        <w:t>es</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830</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 Jorge Martín Frías, Hermann Tertsch</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33b.</w:t>
            </w:r>
            <w:r>
              <w:tab/>
            </w:r>
            <w:r>
              <w:rPr>
                <w:b/>
                <w:i/>
              </w:rPr>
              <w:t>remia ES ir tokių Afrikos pakrančių šalių kaip Senegalas derybas dėl FRONTEX bei imigracijos srityje kompetentingų vietos valdžios institucijų bendradarbiavimo užmezgimo siekiant apriboti nekontroliuojamus migracijos srautus;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831</w:t>
      </w:r>
      <w:r>
        <w:rPr>
          <w:rStyle w:val="HideTWBExt"/>
        </w:rPr>
        <w:t>&lt;/NumAm&gt;</w:t>
      </w:r>
    </w:p>
    <w:p w:rsidR="00A47A16" w:rsidRPr="00080AF4" w:rsidRDefault="00A47A16" w:rsidP="00A47A16">
      <w:pPr>
        <w:pStyle w:val="NormalBold"/>
      </w:pPr>
      <w:r>
        <w:rPr>
          <w:rStyle w:val="HideTWBExt"/>
          <w:b w:val="0"/>
        </w:rPr>
        <w:t>&lt;RepeatBlock-By&gt;&lt;Members&gt;</w:t>
      </w:r>
      <w:r>
        <w:t>Francisco José Millán Mon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33b.</w:t>
            </w:r>
            <w:r>
              <w:tab/>
            </w:r>
            <w:r>
              <w:rPr>
                <w:b/>
                <w:i/>
              </w:rPr>
              <w:t>apgailestauja dėl to, kad, praėjus beveik 30 metų nuo Barselonos proceso pradžios, nėra pavykę sukurti bendros gerovės, stabilumo ir laisvės erdvės su Viduržemio jūros regiono pietinėmis kaimyninėmis šalimis;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{ES}</w:t>
      </w:r>
      <w:r w:rsidRPr="00080AF4">
        <w:t>es</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832</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 Jorge Martín Frías, Hermann Tertsch</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33c.</w:t>
            </w:r>
            <w:r>
              <w:tab/>
            </w:r>
            <w:r>
              <w:rPr>
                <w:b/>
                <w:i/>
              </w:rPr>
              <w:t>palankiai vertina operaciją ATALANTA kovojant su piratavimu Adeno įlankoje; pabrėžia esminį operacijos ASPIDES vaidmenį apsaugant laivybos maršrutus Jemeno pakrantėje; pabrėžia operacijos IRINI prie Libijos pakrantės svarbą;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833</w:t>
      </w:r>
      <w:r>
        <w:rPr>
          <w:rStyle w:val="HideTWBExt"/>
        </w:rPr>
        <w:t>&lt;/NumAm&gt;</w:t>
      </w:r>
    </w:p>
    <w:p w:rsidR="00A47A16" w:rsidRPr="00080AF4" w:rsidRDefault="00A47A16" w:rsidP="00A47A16">
      <w:pPr>
        <w:pStyle w:val="NormalBold"/>
      </w:pPr>
      <w:r>
        <w:rPr>
          <w:rStyle w:val="HideTWBExt"/>
          <w:b w:val="0"/>
        </w:rPr>
        <w:t>&lt;RepeatBlock-By&gt;&lt;Members&gt;</w:t>
      </w:r>
      <w:r>
        <w:t>Francisco José Millán Mon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33c.</w:t>
            </w:r>
            <w:r>
              <w:tab/>
            </w:r>
            <w:r>
              <w:rPr>
                <w:b/>
                <w:i/>
              </w:rPr>
              <w:t>palankiai vertina tai, kad paskirtas už Viduržemio jūros regioną atsakingas Komisijos narys;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{ES}</w:t>
      </w:r>
      <w:r w:rsidRPr="00080AF4">
        <w:t>es</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834</w:t>
      </w:r>
      <w:r>
        <w:rPr>
          <w:rStyle w:val="HideTWBExt"/>
        </w:rPr>
        <w:t>&lt;/NumAm&gt;</w:t>
      </w:r>
    </w:p>
    <w:p w:rsidR="00A47A16" w:rsidRPr="00080AF4" w:rsidRDefault="00A47A16" w:rsidP="00A47A16">
      <w:pPr>
        <w:pStyle w:val="NormalBold"/>
      </w:pPr>
      <w:r>
        <w:rPr>
          <w:rStyle w:val="HideTWBExt"/>
          <w:b w:val="0"/>
        </w:rPr>
        <w:t>&lt;RepeatBlock-By&gt;&lt;Members&gt;</w:t>
      </w:r>
      <w:r>
        <w:t>Francisco José Millán Mon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33d.</w:t>
            </w:r>
            <w:r>
              <w:tab/>
            </w:r>
            <w:r>
              <w:rPr>
                <w:b/>
                <w:i/>
              </w:rPr>
              <w:t>pabrėžia, kad svarbu sudaryti susitarimo memorandumus su pietinėmis kaimyninėmis šalimis siekiant abipusių interesų ir siekiant stiprinti stabilumą, klestėjimą bei žmogaus teisių gynimą; pabrėžia, kad pietinės kaimyninės šalys vaidina svarbų vaidmenį siekiant, kad migracijos srautai būtų valdomi vadovaujantis solidarumo, pusiausvyros ir atsakomybės pasidalijimo tarp šalių principais;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{ES}</w:t>
      </w:r>
      <w:r w:rsidRPr="00080AF4">
        <w:t>es</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835</w:t>
      </w:r>
      <w:r>
        <w:rPr>
          <w:rStyle w:val="HideTWBExt"/>
        </w:rPr>
        <w:t>&lt;/NumAm&gt;</w:t>
      </w:r>
    </w:p>
    <w:p w:rsidR="00A47A16" w:rsidRPr="00080AF4" w:rsidRDefault="00A47A16" w:rsidP="00A47A16">
      <w:pPr>
        <w:pStyle w:val="NormalBold"/>
      </w:pPr>
      <w:r>
        <w:rPr>
          <w:rStyle w:val="HideTWBExt"/>
          <w:b w:val="0"/>
        </w:rPr>
        <w:t>&lt;RepeatBlock-By&gt;&lt;Members&gt;</w:t>
      </w:r>
      <w:r>
        <w:t>Francisco José Millán Mon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33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33e.</w:t>
            </w:r>
            <w:r>
              <w:tab/>
            </w:r>
            <w:r>
              <w:rPr>
                <w:b/>
                <w:i/>
              </w:rPr>
              <w:t>pabrėžia vaidmenį, kurį Viduržemio jūros šalių sąjunga gali atlikti kaip Europos šalių ir Viduržemio jūros pietuose esančių šalių bendradarbiavimo stiprinimo forumas;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{ES}</w:t>
      </w:r>
      <w:r w:rsidRPr="00080AF4">
        <w:t>es</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836</w:t>
      </w:r>
      <w:r>
        <w:rPr>
          <w:rStyle w:val="HideTWBExt"/>
        </w:rPr>
        <w:t>&lt;/NumAm&gt;</w:t>
      </w:r>
    </w:p>
    <w:p w:rsidR="00A47A16" w:rsidRPr="00080AF4" w:rsidRDefault="00A47A16" w:rsidP="00A47A16">
      <w:pPr>
        <w:pStyle w:val="NormalBold"/>
      </w:pPr>
      <w:r>
        <w:rPr>
          <w:rStyle w:val="HideTWBExt"/>
          <w:b w:val="0"/>
        </w:rPr>
        <w:t>&lt;RepeatBlock-By&gt;&lt;Members&gt;</w:t>
      </w:r>
      <w:r>
        <w:t>Željana Zovko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34.</w:t>
            </w:r>
            <w:r>
              <w:tab/>
              <w:t>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demokratijai bei žmogaus teisėms gynimui;</w:t>
            </w:r>
          </w:p>
        </w:tc>
        <w:tc>
          <w:tcPr>
            <w:tcW w:w="4876" w:type="dxa"/>
            <w:tcBorders>
              <w:top w:val="nil"/>
              <w:left w:val="nil"/>
              <w:bottom w:val="nil"/>
              <w:right w:val="nil"/>
            </w:tcBorders>
          </w:tcPr>
          <w:p w:rsidR="00A47A16" w:rsidRPr="00080AF4" w:rsidRDefault="00A47A16" w:rsidP="00BA0C71">
            <w:pPr>
              <w:pStyle w:val="Normal6a"/>
            </w:pPr>
            <w:r>
              <w:t>34.</w:t>
            </w:r>
            <w:r>
              <w:tab/>
              <w:t>pabrėžia, kad reikia toliau stiprinti ES bendradarbiavimą su bendramintėmis Lotynų Amerikos šalimis, ypač atsižvelgiant į didėjančią Kinijos bei Rusijos įtaką Lotynų Amerikoje ir Karibuose;</w:t>
            </w:r>
            <w:r>
              <w:rPr>
                <w:b/>
                <w:i/>
              </w:rPr>
              <w:t> pažymi, kad pastaraisiais dešimtmečiais Europos dalyvavimas regione susilpnėjo ir dėl to atsirado vakuumas piktavališkiems užsienio subjektams;</w:t>
            </w:r>
            <w:r>
              <w:t xml:space="preserve"> ragina valstybes nares ir Europos išorės veiksmų tarnybą (EIVT) regione vykdyti proaktyvią diplomatiją, ypač daug dėmesio skiriant daugiašalės pasaulinės tvarkos, tarptautinės teisės ir pagarbos demokratijai bei žmogaus teisėms gynimui;</w:t>
            </w:r>
            <w:r>
              <w:rPr>
                <w:b/>
                <w:i/>
              </w:rPr>
              <w:t> primena, kad Europos Sąjunga ir regiono šalys turi bendrą kultūrą, istoriją, kalbą, religiją ir vertybes, dėl kurių šiandienos geopolitiniame kontekste jos tampa tradicinėmis ir panašiai mąstančiomis partnerėmis;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837</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Vasile Dîncu, Marco Tarquinio,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34.</w:t>
            </w:r>
            <w:r>
              <w:tab/>
              <w:t>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demokratijai bei žmogaus teisėms gynimui;</w:t>
            </w:r>
          </w:p>
        </w:tc>
        <w:tc>
          <w:tcPr>
            <w:tcW w:w="4876" w:type="dxa"/>
            <w:tcBorders>
              <w:top w:val="nil"/>
              <w:left w:val="nil"/>
              <w:bottom w:val="nil"/>
              <w:right w:val="nil"/>
            </w:tcBorders>
          </w:tcPr>
          <w:p w:rsidR="00A47A16" w:rsidRPr="00080AF4" w:rsidRDefault="00A47A16" w:rsidP="00BA0C71">
            <w:pPr>
              <w:pStyle w:val="Normal6a"/>
            </w:pPr>
            <w:r>
              <w:t>34.</w:t>
            </w:r>
            <w:r>
              <w:tab/>
              <w:t xml:space="preserve">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demokratijai bei žmogaus teisėms gynimui; </w:t>
            </w:r>
            <w:r>
              <w:rPr>
                <w:b/>
                <w:i/>
              </w:rPr>
              <w:t>palankiai vertina neformalų ES ir CELAC susitikimą ir iniciatyvų pagal 2023–2025 m. ES ir CELAC veiksmų gaires įgyvendinimą ir, atsižvelgdamas į tai, pabrėžia, kad 2025 m. aukščiausiojo lygio susitikime reikia priimti naujas plataus užmojo veiksmų gaires, kuriomis būtų toliau stiprinama mūsų partnerystė ir atsižvelgiama į iki šiol įgytą geriausią praktiką;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838</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34.</w:t>
            </w:r>
            <w:r>
              <w:tab/>
              <w:t>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demokratijai bei žmogaus teisėms gynimui;</w:t>
            </w:r>
          </w:p>
        </w:tc>
        <w:tc>
          <w:tcPr>
            <w:tcW w:w="4876" w:type="dxa"/>
            <w:tcBorders>
              <w:top w:val="nil"/>
              <w:left w:val="nil"/>
              <w:bottom w:val="nil"/>
              <w:right w:val="nil"/>
            </w:tcBorders>
          </w:tcPr>
          <w:p w:rsidR="00A47A16" w:rsidRPr="00080AF4" w:rsidRDefault="00A47A16" w:rsidP="00BA0C71">
            <w:pPr>
              <w:pStyle w:val="Normal6a"/>
            </w:pPr>
            <w:r>
              <w:t>34.</w:t>
            </w:r>
            <w:r>
              <w:tab/>
              <w:t>pabrėžia, kad reikia toliau stiprinti ES bendradarbiavimą su bendramintėmis Lotynų Amerikos šalimis, ypač atsižvelgiant į didėjančią Kinijos</w:t>
            </w:r>
            <w:r>
              <w:rPr>
                <w:b/>
                <w:i/>
              </w:rPr>
              <w:t>, Irano</w:t>
            </w:r>
            <w:r>
              <w:t xml:space="preserve"> bei Rusijos įtaką Lotynų Amerikoje ir Karibuose</w:t>
            </w:r>
            <w:r>
              <w:rPr>
                <w:b/>
                <w:i/>
              </w:rPr>
              <w:t>; atsižvelgiant į tai, ragina ES valstybes nares pripažinti grėsmę, kurią kelia piktybiškos organizacijos, pvz., „Sao Paulo Forum“ ir „Puebla Group“, kurios dirba siekdamos remti Havanos, Pekino, Maskvos ir Teherano totalitarinės ašies interesus Vakarų įtakos regione sąskaita</w:t>
            </w:r>
            <w:r>
              <w:t>; ragina valstybes nares ir Europos išorės veiksmų tarnybą (EIVT) regione vykdyti proaktyvią diplomatiją, ypač daug dėmesio skiriant daugiašalės pasaulinės tvarkos, tarptautinės teisės ir pagarbos demokratijai bei žmogaus teisėms gynimui;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839</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34.</w:t>
            </w:r>
            <w:r>
              <w:tab/>
            </w:r>
            <w:r>
              <w:rPr>
                <w:b/>
                <w:i/>
              </w:rPr>
              <w:t xml:space="preserve">pabrėžia, kad reikia toliau stiprinti ES bendradarbiavimą su bendramintėmis Lotynų Amerikos šalimis, ypač atsižvelgiant į didėjančią Kinijos bei Rusijos įtaką Lotynų Amerikoje ir Karibuose; ragina </w:t>
            </w:r>
            <w:r>
              <w:t xml:space="preserve">valstybes nares </w:t>
            </w:r>
            <w:r>
              <w:rPr>
                <w:b/>
                <w:i/>
              </w:rPr>
              <w:t>ir Europos išorės veiksmų tarnybą (EIVT) regione vykdyti proaktyvią diplomatiją</w:t>
            </w:r>
            <w:r>
              <w:t xml:space="preserve">, </w:t>
            </w:r>
            <w:r>
              <w:rPr>
                <w:b/>
                <w:i/>
              </w:rPr>
              <w:t>ypač daug dėmesio skiriant daugiašalės pasaulinės tvarkos, tarptautinės teisės ir pagarbos demokratijai bei žmogaus teisėms gynimui</w:t>
            </w:r>
            <w:r>
              <w:t>;</w:t>
            </w:r>
          </w:p>
        </w:tc>
        <w:tc>
          <w:tcPr>
            <w:tcW w:w="4876" w:type="dxa"/>
            <w:tcBorders>
              <w:top w:val="nil"/>
              <w:left w:val="nil"/>
              <w:bottom w:val="nil"/>
              <w:right w:val="nil"/>
            </w:tcBorders>
          </w:tcPr>
          <w:p w:rsidR="00A47A16" w:rsidRPr="00080AF4" w:rsidRDefault="00A47A16" w:rsidP="00BA0C71">
            <w:pPr>
              <w:pStyle w:val="Normal6a"/>
            </w:pPr>
            <w:r>
              <w:t>34.</w:t>
            </w:r>
            <w:r>
              <w:tab/>
            </w:r>
            <w:r>
              <w:rPr>
                <w:b/>
                <w:i/>
              </w:rPr>
              <w:t>primygtinai ragina Komisijos pirmininko pavaduotoją ir Sąjungos vyriausiąjį įgaliotinį užsienio reikalams ir saugumo politikai</w:t>
            </w:r>
            <w:r>
              <w:t xml:space="preserve"> ir valstybes nares </w:t>
            </w:r>
            <w:r>
              <w:rPr>
                <w:b/>
                <w:i/>
              </w:rPr>
              <w:t>susitelkti į dvišalius santykius su partneriais Afrikoje</w:t>
            </w:r>
            <w:r>
              <w:t xml:space="preserve">, </w:t>
            </w:r>
            <w:r>
              <w:rPr>
                <w:b/>
                <w:i/>
              </w:rPr>
              <w:t>grindžiamiems abipuse pagarba</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840</w:t>
      </w:r>
      <w:r>
        <w:rPr>
          <w:rStyle w:val="HideTWBExt"/>
        </w:rPr>
        <w:t>&lt;/NumAm&gt;</w:t>
      </w:r>
    </w:p>
    <w:p w:rsidR="00A47A16" w:rsidRPr="00080AF4" w:rsidRDefault="00A47A16" w:rsidP="00A47A16">
      <w:pPr>
        <w:pStyle w:val="NormalBold"/>
      </w:pPr>
      <w:r>
        <w:rPr>
          <w:rStyle w:val="HideTWBExt"/>
          <w:b w:val="0"/>
        </w:rPr>
        <w:t>&lt;RepeatBlock-By&gt;&lt;Members&gt;</w:t>
      </w:r>
      <w:r>
        <w:t>Robert Biedroń, Sven Mikser, Marco Tarquinio, Vasile Dîncu</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34.</w:t>
            </w:r>
            <w:r>
              <w:tab/>
              <w:t>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demokratijai bei žmogaus teisėms gynimui;</w:t>
            </w:r>
          </w:p>
        </w:tc>
        <w:tc>
          <w:tcPr>
            <w:tcW w:w="4876" w:type="dxa"/>
            <w:tcBorders>
              <w:top w:val="nil"/>
              <w:left w:val="nil"/>
              <w:bottom w:val="nil"/>
              <w:right w:val="nil"/>
            </w:tcBorders>
          </w:tcPr>
          <w:p w:rsidR="00A47A16" w:rsidRPr="00080AF4" w:rsidRDefault="00A47A16" w:rsidP="00BA0C71">
            <w:pPr>
              <w:pStyle w:val="Normal6a"/>
            </w:pPr>
            <w:r>
              <w:t>34.</w:t>
            </w:r>
            <w:r>
              <w:tab/>
              <w:t xml:space="preserve">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demokratijai bei žmogaus teisėms gynimui; </w:t>
            </w:r>
            <w:r>
              <w:rPr>
                <w:b/>
                <w:i/>
              </w:rPr>
              <w:t>pabrėžia, kad reikia taikyti griežtesnį požiūrį į smurto prieš aplinkos gynėjus problemą ir stiprinti ES pastangas padėti išsaugoti biologinę įvairovę ir prisitaikyti prie kritiškos klimato padėties; siūlo toliau stiprinti bendradarbiavimą kovojant su prekyba narkotikais;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841</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34.</w:t>
            </w:r>
            <w:r>
              <w:tab/>
              <w:t>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demokratijai bei žmogaus teisėms gynimui;</w:t>
            </w:r>
          </w:p>
        </w:tc>
        <w:tc>
          <w:tcPr>
            <w:tcW w:w="4876" w:type="dxa"/>
            <w:tcBorders>
              <w:top w:val="nil"/>
              <w:left w:val="nil"/>
              <w:bottom w:val="nil"/>
              <w:right w:val="nil"/>
            </w:tcBorders>
          </w:tcPr>
          <w:p w:rsidR="00A47A16" w:rsidRPr="00080AF4" w:rsidRDefault="00A47A16" w:rsidP="00BA0C71">
            <w:pPr>
              <w:pStyle w:val="Normal6a"/>
            </w:pPr>
            <w:r>
              <w:t>34.</w:t>
            </w:r>
            <w:r>
              <w:tab/>
              <w:t xml:space="preserve">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demokratijai bei žmogaus teisėms gynimui; </w:t>
            </w:r>
            <w:r>
              <w:rPr>
                <w:b/>
                <w:i/>
              </w:rPr>
              <w:t>ragina daryti pažangą pasirašant ir ratifikuojant ES ir Meksikos visuotinį susitarimą; ragina Komisiją</w:t>
            </w:r>
            <w:r>
              <w:rPr>
                <w:b/>
                <w:i/>
              </w:rPr>
              <w:t xml:space="preserve"> </w:t>
            </w:r>
            <w:r>
              <w:rPr>
                <w:b/>
                <w:i/>
              </w:rPr>
              <w:t>ryžtingai daryti pažangą ir sudaryti susitarimą su MERCOSUR, sykiu išlaikant didžiausius užmojus, susijusius su jo tvarumo nuostatų vykdymo užtikrinimu;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842</w:t>
      </w:r>
      <w:r>
        <w:rPr>
          <w:rStyle w:val="HideTWBExt"/>
        </w:rPr>
        <w:t>&lt;/NumAm&gt;</w:t>
      </w:r>
    </w:p>
    <w:p w:rsidR="00A47A16" w:rsidRPr="00080AF4" w:rsidRDefault="00A47A16" w:rsidP="00A47A16">
      <w:pPr>
        <w:pStyle w:val="NormalBold"/>
      </w:pPr>
      <w:r>
        <w:rPr>
          <w:rStyle w:val="HideTWBExt"/>
          <w:b w:val="0"/>
        </w:rPr>
        <w:t>&lt;RepeatBlock-By&gt;&lt;Members&gt;</w:t>
      </w:r>
      <w:r>
        <w:t>António Tânger Corrêa, 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34.</w:t>
            </w:r>
            <w:r>
              <w:tab/>
              <w:t xml:space="preserve">pabrėžia, kad reikia toliau stiprinti ES bendradarbiavimą su bendramintėmis Lotynų Amerikos šalimis, ypač atsižvelgiant į didėjančią Kinijos bei Rusijos įtaką Lotynų Amerikoje ir Karibuose; ragina valstybes nares </w:t>
            </w:r>
            <w:r>
              <w:rPr>
                <w:b/>
                <w:i/>
              </w:rPr>
              <w:t xml:space="preserve">ir Europos išorės veiksmų tarnybą (EIVT) </w:t>
            </w:r>
            <w:r>
              <w:t>regione vykdyti proaktyvią diplomatiją, ypač daug dėmesio skiriant daugiašalės pasaulinės tvarkos, tarptautinės teisės ir pagarbos demokratijai bei žmogaus teisėms gynimui;</w:t>
            </w:r>
          </w:p>
        </w:tc>
        <w:tc>
          <w:tcPr>
            <w:tcW w:w="4876" w:type="dxa"/>
            <w:tcBorders>
              <w:top w:val="nil"/>
              <w:left w:val="nil"/>
              <w:bottom w:val="nil"/>
              <w:right w:val="nil"/>
            </w:tcBorders>
          </w:tcPr>
          <w:p w:rsidR="00A47A16" w:rsidRPr="00080AF4" w:rsidRDefault="00A47A16" w:rsidP="00BA0C71">
            <w:pPr>
              <w:pStyle w:val="Normal6a"/>
            </w:pPr>
            <w:r>
              <w:t>34.</w:t>
            </w:r>
            <w:r>
              <w:tab/>
              <w:t xml:space="preserve">pabrėžia, kad reikia toliau stiprinti ES bendradarbiavimą su bendramintėmis Lotynų Amerikos šalimis, ypač atsižvelgiant į didėjančią Kinijos bei Rusijos įtaką Lotynų Amerikoje ir Karibuose; ragina valstybes nares regione vykdyti proaktyvią diplomatiją, ypač daug dėmesio skiriant daugiašalės pasaulinės tvarkos, tarptautinės teisės ir pagarbos demokratijai bei žmogaus teisėms gynimui; </w:t>
            </w:r>
            <w:r>
              <w:rPr>
                <w:b/>
                <w:i/>
              </w:rPr>
              <w:t>pabrėžia, kad regione ypač dramatiškas autoritarizmas – totalitariniuose režimuose, pvz., Venesueloje, Kuboje ir Nikaragvoje; ragina tvirtai remti demokratinę opoziciją minėtuose režimuose ir sustabdyti bet kokius jiems taikomus susitarimus ir finansinę paramą;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843</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34.</w:t>
            </w:r>
            <w:r>
              <w:tab/>
              <w:t>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demokratijai bei žmogaus teisėms gynimui;</w:t>
            </w:r>
          </w:p>
        </w:tc>
        <w:tc>
          <w:tcPr>
            <w:tcW w:w="4876" w:type="dxa"/>
            <w:tcBorders>
              <w:top w:val="nil"/>
              <w:left w:val="nil"/>
              <w:bottom w:val="nil"/>
              <w:right w:val="nil"/>
            </w:tcBorders>
          </w:tcPr>
          <w:p w:rsidR="00A47A16" w:rsidRPr="00080AF4" w:rsidRDefault="00A47A16" w:rsidP="00BA0C71">
            <w:pPr>
              <w:pStyle w:val="Normal6a"/>
            </w:pPr>
            <w:r>
              <w:t>34.</w:t>
            </w:r>
            <w:r>
              <w:tab/>
              <w:t xml:space="preserve">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demokratijai bei žmogaus teisėms gynimui; </w:t>
            </w:r>
            <w:r>
              <w:rPr>
                <w:b/>
                <w:i/>
              </w:rPr>
              <w:t>primygtinai ragina skatinti daugiašalę iniciatyvą siekiant spręsti politinio nestabilumo Haityje ir nekontroliuojamo smurto prieš vietos gyventojus problemą;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844</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 Roberto Vannacci</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34.</w:t>
            </w:r>
            <w:r>
              <w:tab/>
              <w:t xml:space="preserve">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w:t>
            </w:r>
            <w:r>
              <w:rPr>
                <w:b/>
                <w:i/>
              </w:rPr>
              <w:t>proaktyvią</w:t>
            </w:r>
            <w:r>
              <w:t xml:space="preserve"> diplomatiją, </w:t>
            </w:r>
            <w:r>
              <w:rPr>
                <w:b/>
                <w:i/>
              </w:rPr>
              <w:t>ypač daug dėmesio skiriant daugiašalės pasaulinės tvarkos, tarptautinės teisės ir pagarbos demokratijai bei žmogaus teisėms gynimui</w:t>
            </w:r>
            <w:r>
              <w:t>;</w:t>
            </w:r>
          </w:p>
        </w:tc>
        <w:tc>
          <w:tcPr>
            <w:tcW w:w="4876" w:type="dxa"/>
            <w:tcBorders>
              <w:top w:val="nil"/>
              <w:left w:val="nil"/>
              <w:bottom w:val="nil"/>
              <w:right w:val="nil"/>
            </w:tcBorders>
          </w:tcPr>
          <w:p w:rsidR="00A47A16" w:rsidRPr="00080AF4" w:rsidRDefault="00A47A16" w:rsidP="00BA0C71">
            <w:pPr>
              <w:pStyle w:val="Normal6a"/>
            </w:pPr>
            <w:r>
              <w:t>34.</w:t>
            </w:r>
            <w:r>
              <w:tab/>
              <w:t xml:space="preserve">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w:t>
            </w:r>
            <w:r>
              <w:rPr>
                <w:b/>
                <w:i/>
              </w:rPr>
              <w:t>realistišką</w:t>
            </w:r>
            <w:r>
              <w:t xml:space="preserve"> diplomatiją, </w:t>
            </w:r>
            <w:r>
              <w:rPr>
                <w:b/>
                <w:i/>
              </w:rPr>
              <w:t>pirmiausia atsižvelgiant į Europos interesus</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845</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34.</w:t>
            </w:r>
            <w:r>
              <w:tab/>
              <w:t>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w:t>
            </w:r>
            <w:r>
              <w:rPr>
                <w:b/>
                <w:i/>
              </w:rPr>
              <w:t xml:space="preserve"> ir</w:t>
            </w:r>
            <w:r>
              <w:t xml:space="preserve"> pagarbos demokratijai bei žmogaus teisėms gynimui;</w:t>
            </w:r>
          </w:p>
        </w:tc>
        <w:tc>
          <w:tcPr>
            <w:tcW w:w="4876" w:type="dxa"/>
            <w:tcBorders>
              <w:top w:val="nil"/>
              <w:left w:val="nil"/>
              <w:bottom w:val="nil"/>
              <w:right w:val="nil"/>
            </w:tcBorders>
          </w:tcPr>
          <w:p w:rsidR="00A47A16" w:rsidRPr="00080AF4" w:rsidRDefault="00A47A16" w:rsidP="00BA0C71">
            <w:pPr>
              <w:pStyle w:val="Normal6a"/>
            </w:pPr>
            <w:r>
              <w:t>34.</w:t>
            </w:r>
            <w:r>
              <w:tab/>
              <w:t>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w:t>
            </w:r>
            <w:r>
              <w:rPr>
                <w:b/>
                <w:i/>
              </w:rPr>
              <w:t>,</w:t>
            </w:r>
            <w:r>
              <w:t xml:space="preserve"> pagarbos demokratijai bei žmogaus teisėms gynimui</w:t>
            </w:r>
            <w:r>
              <w:rPr>
                <w:b/>
                <w:i/>
              </w:rPr>
              <w:t xml:space="preserve"> ir ekonominiam bendradarbiavimui, įskaitant prieigą prie ypatingos svarbos žaliavų</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846</w:t>
      </w:r>
      <w:r>
        <w:rPr>
          <w:rStyle w:val="HideTWBExt"/>
        </w:rPr>
        <w:t>&lt;/NumAm&gt;</w:t>
      </w:r>
    </w:p>
    <w:p w:rsidR="00A47A16" w:rsidRPr="00080AF4" w:rsidRDefault="00A47A16" w:rsidP="00A47A16">
      <w:pPr>
        <w:pStyle w:val="NormalBold"/>
      </w:pPr>
      <w:r>
        <w:rPr>
          <w:rStyle w:val="HideTWBExt"/>
          <w:b w:val="0"/>
        </w:rPr>
        <w:t>&lt;RepeatBlock-By&gt;&lt;Members&gt;</w:t>
      </w:r>
      <w:r>
        <w:t>Hans Neuhoff</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34.</w:t>
            </w:r>
            <w:r>
              <w:tab/>
              <w:t xml:space="preserve">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w:t>
            </w:r>
            <w:r>
              <w:rPr>
                <w:b/>
                <w:i/>
              </w:rPr>
              <w:t xml:space="preserve">demokratijai bei </w:t>
            </w:r>
            <w:r>
              <w:t>žmogaus teisėms gynimui;</w:t>
            </w:r>
          </w:p>
        </w:tc>
        <w:tc>
          <w:tcPr>
            <w:tcW w:w="4876" w:type="dxa"/>
            <w:tcBorders>
              <w:top w:val="nil"/>
              <w:left w:val="nil"/>
              <w:bottom w:val="nil"/>
              <w:right w:val="nil"/>
            </w:tcBorders>
          </w:tcPr>
          <w:p w:rsidR="00A47A16" w:rsidRPr="00080AF4" w:rsidRDefault="00A47A16" w:rsidP="00BA0C71">
            <w:pPr>
              <w:pStyle w:val="Normal6a"/>
            </w:pPr>
            <w:r>
              <w:t>34.</w:t>
            </w:r>
            <w:r>
              <w:tab/>
              <w:t>pabrėžia, kad reikia toliau stiprinti ES bendradarbiavimą su bendramintėmis Lotynų Amerikos šalimis, ypač atsižvelgiant į didėjančią Kinijos bei Rusijos įtaką Lotynų Amerikoje ir Karibuose; ragina valstybes nares ir Europos išorės veiksmų tarnybą (EIVT) regione vykdyti proaktyvią diplomatiją, ypač daug dėmesio skiriant daugiašalės pasaulinės tvarkos, tarptautinės teisės ir pagarbos žmogaus teisėms gynimui;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{DE}</w:t>
      </w:r>
      <w:r w:rsidRPr="00080AF4">
        <w:t>de</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847</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34 a.</w:t>
            </w:r>
            <w:r>
              <w:tab/>
            </w:r>
            <w:r>
              <w:rPr>
                <w:b/>
                <w:i/>
              </w:rPr>
              <w:t>reiškia stiprią paramą Europos Sąjungos misijos Armėnijoje (EUMA) veiklai ir pabrėžia svarbų jos vaidmenį; ragina EUMA toliau atidžiai stebėti besikeičiančią saugumo padėtį vietoje, teikti skaidrias ataskaitas Parlamentui ir aktyviai prisidėti prie pastangų išspręsti konfliktą; ragina ES ir jos valstybes nares stiprinti EUMA įgaliojimus, didinti jos personalo skaičių ir ilginti jos trukmę; ragina Azerbaidžano valdžios institucijas susitarti, kad tokia civilinė misija būtų vykdoma ir jų sienos pusėje;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848</w:t>
      </w:r>
      <w:r>
        <w:rPr>
          <w:rStyle w:val="HideTWBExt"/>
        </w:rPr>
        <w:t>&lt;/NumAm&gt;</w:t>
      </w:r>
    </w:p>
    <w:p w:rsidR="00A47A16" w:rsidRPr="00080AF4" w:rsidRDefault="00A47A16" w:rsidP="00A47A16">
      <w:pPr>
        <w:pStyle w:val="NormalBold"/>
      </w:pPr>
      <w:r>
        <w:rPr>
          <w:rStyle w:val="HideTWBExt"/>
          <w:b w:val="0"/>
        </w:rPr>
        <w:t>&lt;RepeatBlock-By&gt;&lt;Members&gt;</w:t>
      </w:r>
      <w:r>
        <w:t>Petras Auštrevičius, Dan Barna, Urmas Paet, Ilhan Kyuchyuk, Lucia Yar, Nathalie Loiseau</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34 a.</w:t>
            </w:r>
            <w:r>
              <w:tab/>
            </w:r>
            <w:r>
              <w:rPr>
                <w:b/>
                <w:i/>
              </w:rPr>
              <w:t>ragina vyriausiąjį įgaliotinį ir Komisijos pirmininko pavaduotoją į BUSP priešakį iškelti demokratijos propagavimą ir užtikrinti aktyvų ES vaidmenį šioje srityje, remiantis patirtimi, įgyta vykdant ankstesnius paramos demokratijai veiksmus, visų pirma remti pilietinę visuomenę, žmogaus teisių gynėjus, kritiškus balsus, demokratinę opoziciją ir žiniasklaidą;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849</w:t>
      </w:r>
      <w:r>
        <w:rPr>
          <w:rStyle w:val="HideTWBExt"/>
        </w:rPr>
        <w:t>&lt;/NumAm&gt;</w:t>
      </w:r>
    </w:p>
    <w:p w:rsidR="00A47A16" w:rsidRPr="00080AF4" w:rsidRDefault="00A47A16" w:rsidP="00A47A16">
      <w:pPr>
        <w:pStyle w:val="NormalBold"/>
      </w:pPr>
      <w:r>
        <w:rPr>
          <w:rStyle w:val="HideTWBExt"/>
          <w:b w:val="0"/>
        </w:rPr>
        <w:t>&lt;RepeatBlock-By&gt;&lt;Members&gt;</w:t>
      </w:r>
      <w:r>
        <w:t>Francisco José Millán Mon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34a.</w:t>
            </w:r>
            <w:r>
              <w:tab/>
            </w:r>
            <w:r>
              <w:rPr>
                <w:b/>
                <w:i/>
              </w:rPr>
              <w:t>palankiai vertina tai, kad pasirašytas ES ir Čilės pažangusis pagrindų susitarimas, ir ragina jį skubiai iki galo ratifikuoti; ragina daryti pažangą pasirašant ir ratifikuojant ES ir Meksikos asociacijos susitarimą; primygtinai ragina Komisiją ryžtingai siekti susitarimo su MERCOSUR;</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{ES}</w:t>
      </w:r>
      <w:r w:rsidRPr="00080AF4">
        <w:t>es</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850</w:t>
      </w:r>
      <w:r>
        <w:rPr>
          <w:rStyle w:val="HideTWBExt"/>
        </w:rPr>
        <w:t>&lt;/NumAm&gt;</w:t>
      </w:r>
    </w:p>
    <w:p w:rsidR="00A47A16" w:rsidRPr="00080AF4" w:rsidRDefault="00A47A16" w:rsidP="00A47A16">
      <w:pPr>
        <w:pStyle w:val="NormalBold"/>
      </w:pPr>
      <w:r>
        <w:rPr>
          <w:rStyle w:val="HideTWBExt"/>
          <w:b w:val="0"/>
        </w:rPr>
        <w:t>&lt;RepeatBlock-By&gt;&lt;Members&gt;</w:t>
      </w:r>
      <w:r>
        <w:t>Seán Kelly</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34a.</w:t>
            </w:r>
            <w:r>
              <w:tab/>
            </w:r>
            <w:r>
              <w:rPr>
                <w:b/>
                <w:i/>
              </w:rPr>
              <w:t>palankiai vertina pažangą siekiant ES ir Australijos prekybos susitarimo, kuriuo bus stiprinami santykiai su panašiai mąstančia partnere Ramiojo vandenyno regione;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851</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34b.</w:t>
            </w:r>
            <w:r>
              <w:tab/>
            </w:r>
            <w:r>
              <w:rPr>
                <w:b/>
                <w:i/>
              </w:rPr>
              <w:t>smerkia Azerbaidžaną dėl nuolatinių pastangų pakenkti galimybei regione pasiekti taiką ir tebesitęsiančių grasinimų Armėnijai; ragina ES ir jos valstybes nares neteikti jokios saugumo, techninės ar finansinės paramos Azerbaidžanui, be kita ko, taikant įvairias ES priemones, kuria galėtų būti prisidedama prie Azerbaidžano puolimo pajėgumų didinimo arba keliamas pavojus Armėnijos saugumui, teritoriniam vientisumui ir suverenitetui;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852</w:t>
      </w:r>
      <w:r>
        <w:rPr>
          <w:rStyle w:val="HideTWBExt"/>
        </w:rPr>
        <w:t>&lt;/NumAm&gt;</w:t>
      </w:r>
    </w:p>
    <w:p w:rsidR="00A47A16" w:rsidRPr="00080AF4" w:rsidRDefault="00A47A16" w:rsidP="00A47A16">
      <w:pPr>
        <w:pStyle w:val="NormalBold"/>
      </w:pPr>
      <w:r>
        <w:rPr>
          <w:rStyle w:val="HideTWBExt"/>
          <w:b w:val="0"/>
        </w:rPr>
        <w:t>&lt;RepeatBlock-By&gt;&lt;Members&gt;</w:t>
      </w:r>
      <w:r>
        <w:t>Francisco José Millán Mon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34b.</w:t>
            </w:r>
            <w:r>
              <w:tab/>
            </w:r>
            <w:r>
              <w:rPr>
                <w:b/>
                <w:i/>
              </w:rPr>
              <w:t>yra susirūpinęs dėl to, kad Lotynų Amerikoje auga organizuotas nusikalstamumas ir prekyba narkotikais, o tai taip pat jaučiama Europos Sąjungoje; ragina reikšmingai padidinti šių dviejų regionų bendradarbiavimą kovojant su šiomis problemomis ir tam skirti tinkamą finansavimą;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{ES}</w:t>
      </w:r>
      <w:r w:rsidRPr="00080AF4">
        <w:t>es</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853</w:t>
      </w:r>
      <w:r>
        <w:rPr>
          <w:rStyle w:val="HideTWBExt"/>
        </w:rPr>
        <w:t>&lt;/NumAm&gt;</w:t>
      </w:r>
    </w:p>
    <w:p w:rsidR="00A47A16" w:rsidRPr="00080AF4" w:rsidRDefault="00A47A16" w:rsidP="00A47A16">
      <w:pPr>
        <w:pStyle w:val="NormalBold"/>
      </w:pPr>
      <w:r>
        <w:rPr>
          <w:rStyle w:val="HideTWBExt"/>
          <w:b w:val="0"/>
        </w:rPr>
        <w:t>&lt;RepeatBlock-By&gt;&lt;Members&gt;</w:t>
      </w:r>
      <w:r>
        <w:t>Francisco José Millán Mon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34c.</w:t>
            </w:r>
            <w:r>
              <w:tab/>
            </w:r>
            <w:r>
              <w:rPr>
                <w:b/>
                <w:i/>
              </w:rPr>
              <w:t>pripažįsta Edmundo Gonzálezą Urrutią teisėtu ir demokratiškai išrinktu Venesuelos prezidentu; taip pat pripažįsta Maríą Coriną Machado Venesuelos demokratinių jėgų lydere; primena, kad jiems abiem buvo skirta 2024 m. Sacharovo premija už minties laisvę; pakartoja savo raginimą Sąjungai ir jos valstybėms narėms dėti visas pastangas užtikrinant, kad teisėtas ir demokratiškai išrinktas prezidentas galėtų pradėti eiti pareigas 2025 m. sausio 10 d., kaip numatyta Venesuelos konstitucijoje;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{ES}</w:t>
      </w:r>
      <w:r w:rsidRPr="00080AF4">
        <w:t>es</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854</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34c.</w:t>
            </w:r>
            <w:r>
              <w:tab/>
            </w:r>
            <w:r>
              <w:rPr>
                <w:b/>
                <w:i/>
              </w:rPr>
              <w:t>pakartoja savo raginimą ES atsisakyti priklausomybės nuo dujų importo iš Azerbaidžano; ragina Komisiją sustabdyti 2022 m. susitarimo memorandumo dėl strateginės partnerystės energetikos srityje galiojimą ir imtis atitinkamų veiksmų, taip pat pagaliau atlikti išsamų tyrimą dėl prekybos Rusijos dujomis Europoje kaip Azerbaidžano dujomis;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855</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34d.</w:t>
            </w:r>
            <w:r>
              <w:tab/>
            </w:r>
            <w:r>
              <w:rPr>
                <w:b/>
                <w:i/>
              </w:rPr>
              <w:t>ragina visapusiškai įgyvendinti visas Tarptautinio Teisingumo Teismo nutartis, įskaitant 2023 m. lapkričio 17 d. nutartį, kurioje nurodomos laikinosios priemonės dėl saugaus, netrukdomo ir greito iš Kalnų Karabacho pabėgusių asmenų grąžinimo; pakartoja savo raginimą atlikti nepriklausomą Azerbaidžano pajėgų Kalnų Karabache įvykdytų pažeidimų tyrimą; pakartoja savo raginimą Azerbaidžano valdžios institucijoms leisti armėnams saugiai sugrįžti į Kalnų Karabachą, nuoširdžiai vesti išsamų ir skaidrų dialogą su jais, suteikti jiems tvirtas garantijas dėl jų teisių apsaugos (įskaitant naudojimosi žeme teisę, nuosavybės teisę, teisę į savo individualų tapatumą ir pilietines, kultūrines, socialines bei religines teises), taip pat susilaikyti nuo bet kokios nesantaiką kurstančios retorikos, kuria galėtų būti skatinama armėnų diskriminacija; primygtinai ragina Azerbaidžano valdžios institucijas paleisti visus 23 karo belaisvius armėnus, sulaikytus po to, kai Azerbaidžanas užpuolė Kalnų Karabacho regioną; pakartoja savo raginimą ES institucijoms ir valstybėms narėms toliau teikti pagalbą Armėnijai siekiant spręsti pabėgėlių iš Kalnų Karabacho klausimą; atsižvelgdamas į tai, ragina ES suteikti Armėnijai naują paramos priemonių rinkinį, siekiant padėti jos vyriausybei patenkinti humanitarinius pabėgėlių poreikius; </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856</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34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34e.</w:t>
            </w:r>
            <w:r>
              <w:tab/>
            </w:r>
            <w:r>
              <w:rPr>
                <w:b/>
                <w:i/>
              </w:rPr>
              <w:t>palankiai vertina reguliarius susitikimus, rengiamus laikantis Armėnijos ir ES dialogo politikos ir saugumo klausimais formato, kurie yra dar vienas svarbus šalių bendradarbiavimo gynybos ir saugumo srityse etapas; be to, pritaria sprendimui patvirtinti pirmąją paramos priemonę pagal Europos taikos priemonę Armėnijos ginkluotosioms pajėgoms remti ir ragina toliau stiprinti Armėnijos ir ES bendradarbiavimą saugumo ir gynybos srityse; palankiai vertina veiksmus, kurių ėmėsi kelios valstybės narės, siekdamos suteikti Armėnijai gynybinę karinę paramą, ir ragina valstybes nares apsvarstyti panašias iniciatyvas; džiaugiasi dėl to, kad ES ir Armėnijos santykiai įgavo naują pagreitį ir tai tvirtai remia Jerevano valdžios institucijos; ragina Komisiją ir Tarybą aktyviai remti Armėnijos norą stiprinti bendradarbiavimą su ES;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857</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35.</w:t>
            </w:r>
            <w:r>
              <w:tab/>
            </w:r>
            <w:r>
              <w:rPr>
                <w:b/>
                <w:i/>
              </w:rPr>
              <w:t>ragina Komisijos pirmininko pavaduotoją ir Sąjungos vyriausiąjį įgaliotinį užtikrinti, kad jo kadencijos prioritetas būtų bendradarbiavimas su bendramintėmis demokratinėmis valstybėmis, ir sisteminti bendradarbiavimą bei konsultacijas su bendraminčiais demokratiniais partneriais, siekiant pagerinti bendrą pasirengimą ir prieigą prie reagavimo į krizes išteklių;</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858</w:t>
      </w:r>
      <w:r>
        <w:rPr>
          <w:rStyle w:val="HideTWBExt"/>
        </w:rPr>
        <w:t>&lt;/NumAm&gt;</w:t>
      </w:r>
    </w:p>
    <w:p w:rsidR="00A47A16" w:rsidRPr="00080AF4" w:rsidRDefault="00A47A16" w:rsidP="00A47A16">
      <w:pPr>
        <w:pStyle w:val="NormalBold"/>
      </w:pPr>
      <w:r>
        <w:rPr>
          <w:rStyle w:val="HideTWBExt"/>
          <w:b w:val="0"/>
        </w:rPr>
        <w:t>&lt;RepeatBlock-By&gt;&lt;Members&gt;</w:t>
      </w:r>
      <w:r>
        <w:t>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35.</w:t>
            </w:r>
            <w:r>
              <w:tab/>
            </w:r>
            <w:r>
              <w:rPr>
                <w:b/>
                <w:i/>
              </w:rPr>
              <w:t>ragina Komisijos pirmininko pavaduotoją ir Sąjungos vyriausiąjį įgaliotinį užtikrinti, kad jo kadencijos prioritetas būtų bendradarbiavimas su bendramintėmis demokratinėmis valstybėmis, ir sisteminti bendradarbiavimą bei konsultacijas su bendraminčiais demokratiniais partneriais, siekiant pagerinti bendrą pasirengimą ir prieigą prie reagavimo į krizes išteklių;</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859</w:t>
      </w:r>
      <w:r>
        <w:rPr>
          <w:rStyle w:val="HideTWBExt"/>
        </w:rPr>
        <w:t>&lt;/NumAm&gt;</w:t>
      </w:r>
    </w:p>
    <w:p w:rsidR="00A47A16" w:rsidRPr="00080AF4" w:rsidRDefault="00A47A16" w:rsidP="00A47A16">
      <w:pPr>
        <w:pStyle w:val="NormalBold"/>
      </w:pPr>
      <w:r>
        <w:rPr>
          <w:rStyle w:val="HideTWBExt"/>
          <w:b w:val="0"/>
        </w:rPr>
        <w:t>&lt;RepeatBlock-By&gt;&lt;Members&gt;</w:t>
      </w:r>
      <w:r>
        <w:t>Merja Kyllönen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35.</w:t>
            </w:r>
            <w:r>
              <w:tab/>
              <w:t>ragina Komisijos pirmininko pavaduotoją ir Sąjungos vyriausiąjį įgaliotinį užtikrinti, kad jo kadencijos prioritetas būtų bendradarbiavimas su bendramintėmis demokratinėmis valstybėmis, ir sisteminti bendradarbiavimą bei konsultacijas su bendraminčiais demokratiniais partneriais, siekiant pagerinti bendrą pasirengimą ir prieigą prie reagavimo į krizes išteklių;</w:t>
            </w:r>
          </w:p>
        </w:tc>
        <w:tc>
          <w:tcPr>
            <w:tcW w:w="4876" w:type="dxa"/>
            <w:tcBorders>
              <w:top w:val="nil"/>
              <w:left w:val="nil"/>
              <w:bottom w:val="nil"/>
              <w:right w:val="nil"/>
            </w:tcBorders>
          </w:tcPr>
          <w:p w:rsidR="00A47A16" w:rsidRPr="00080AF4" w:rsidRDefault="00A47A16" w:rsidP="00BA0C71">
            <w:pPr>
              <w:pStyle w:val="Normal6a"/>
            </w:pPr>
            <w:r>
              <w:t>35.</w:t>
            </w:r>
            <w:r>
              <w:tab/>
              <w:t xml:space="preserve">ragina Komisijos pirmininko pavaduotoją ir Sąjungos vyriausiąjį įgaliotinį užtikrinti, kad jo kadencijos prioritetas būtų bendradarbiavimas su bendramintėmis demokratinėmis valstybėmis, ir sisteminti bendradarbiavimą bei konsultacijas su bendraminčiais demokratiniais partneriais, siekiant pagerinti bendrą pasirengimą ir prieigą prie reagavimo į krizes išteklių; </w:t>
            </w:r>
            <w:r>
              <w:rPr>
                <w:b/>
                <w:i/>
              </w:rPr>
              <w:t>todėl ragina ES išlaikyti atvirus komunikacijos kanalus su įvairiais suinteresuotaisiais subjektais, ieškoti naujų komunikacijos formų ir toliau rengti visapusišką priemonių rinkinį, skirtą žmogaus teisėms ir demokratijai visame pasaulyje stiprinti;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860</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35.</w:t>
            </w:r>
            <w:r>
              <w:tab/>
              <w:t>ragina Komisijos pirmininko pavaduotoją ir Sąjungos vyriausiąjį įgaliotinį užtikrinti, kad jo kadencijos prioritetas būtų bendradarbiavimas su bendramintėmis demokratinėmis valstybėmis, ir sisteminti bendradarbiavimą bei konsultacijas su bendraminčiais demokratiniais partneriais, siekiant pagerinti bendrą pasirengimą ir prieigą prie reagavimo į krizes išteklių;</w:t>
            </w:r>
          </w:p>
        </w:tc>
        <w:tc>
          <w:tcPr>
            <w:tcW w:w="4876" w:type="dxa"/>
            <w:tcBorders>
              <w:top w:val="nil"/>
              <w:left w:val="nil"/>
              <w:bottom w:val="nil"/>
              <w:right w:val="nil"/>
            </w:tcBorders>
          </w:tcPr>
          <w:p w:rsidR="00A47A16" w:rsidRPr="00080AF4" w:rsidRDefault="00A47A16" w:rsidP="00BA0C71">
            <w:pPr>
              <w:pStyle w:val="Normal6a"/>
            </w:pPr>
            <w:r>
              <w:t>35.</w:t>
            </w:r>
            <w:r>
              <w:tab/>
              <w:t xml:space="preserve">ragina Komisijos pirmininko pavaduotoją ir Sąjungos vyriausiąjį įgaliotinį užtikrinti, kad jo kadencijos prioritetas būtų bendradarbiavimas su bendramintėmis demokratinėmis valstybėmis, ir sisteminti bendradarbiavimą bei konsultacijas su bendraminčiais demokratiniais partneriais, siekiant pagerinti bendrą pasirengimą ir prieigą prie reagavimo į krizes išteklių; </w:t>
            </w:r>
            <w:r>
              <w:rPr>
                <w:b/>
                <w:i/>
              </w:rPr>
              <w:t>atsižvelgdamas į tai, pakartoja rekomendaciją stiprinti ryšius su regioninėmis organizacijomis, pvz., ASEAN ar Afrikos Sąjunga, siekiant stiprinti bendradarbiavimu grindžiamas saugumo sistemas;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861</w:t>
      </w:r>
      <w:r>
        <w:rPr>
          <w:rStyle w:val="HideTWBExt"/>
        </w:rPr>
        <w:t>&lt;/NumAm&gt;</w:t>
      </w:r>
    </w:p>
    <w:p w:rsidR="00A47A16" w:rsidRPr="00080AF4" w:rsidRDefault="00A47A16" w:rsidP="00A47A16">
      <w:pPr>
        <w:pStyle w:val="NormalBold"/>
      </w:pPr>
      <w:r>
        <w:rPr>
          <w:rStyle w:val="HideTWBExt"/>
          <w:b w:val="0"/>
        </w:rPr>
        <w:t>&lt;RepeatBlock-By&gt;&lt;Members&gt;</w:t>
      </w:r>
      <w:r>
        <w:t>Petras Auštrevičius, Dan Barna, Urmas Paet, Ilhan Kyuchyuk, Lucia Yar, Marie-Agnes Strack-Zimmermann, Nathalie Loiseau</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35.</w:t>
            </w:r>
            <w:r>
              <w:tab/>
              <w:t>ragina Komisijos pirmininko pavaduotoją ir Sąjungos vyriausiąjį įgaliotinį užtikrinti, kad jo kadencijos prioritetas būtų bendradarbiavimas su bendramintėmis demokratinėmis valstybėmis, ir sisteminti bendradarbiavimą bei konsultacijas su bendraminčiais demokratiniais partneriais, siekiant pagerinti bendrą pasirengimą ir prieigą prie reagavimo į krizes išteklių;</w:t>
            </w:r>
          </w:p>
        </w:tc>
        <w:tc>
          <w:tcPr>
            <w:tcW w:w="4876" w:type="dxa"/>
            <w:tcBorders>
              <w:top w:val="nil"/>
              <w:left w:val="nil"/>
              <w:bottom w:val="nil"/>
              <w:right w:val="nil"/>
            </w:tcBorders>
          </w:tcPr>
          <w:p w:rsidR="00A47A16" w:rsidRPr="00080AF4" w:rsidRDefault="00A47A16" w:rsidP="00BA0C71">
            <w:pPr>
              <w:pStyle w:val="Normal6a"/>
            </w:pPr>
            <w:r>
              <w:t>35.</w:t>
            </w:r>
            <w:r>
              <w:tab/>
              <w:t xml:space="preserve">ragina Komisijos pirmininko pavaduotoją ir Sąjungos vyriausiąjį įgaliotinį užtikrinti, kad jo kadencijos prioritetas būtų bendradarbiavimas su bendramintėmis demokratinėmis valstybėmis, ir sisteminti bendradarbiavimą bei konsultacijas su bendraminčiais demokratiniais partneriais, siekiant </w:t>
            </w:r>
            <w:r>
              <w:rPr>
                <w:b/>
                <w:i/>
              </w:rPr>
              <w:t xml:space="preserve">skatinti demokratiją, </w:t>
            </w:r>
            <w:r>
              <w:t>pagerinti bendrą pasirengimą ir prieigą prie reagavimo į krizes išteklių;</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862</w:t>
      </w:r>
      <w:r>
        <w:rPr>
          <w:rStyle w:val="HideTWBExt"/>
        </w:rPr>
        <w:t>&lt;/NumAm&gt;</w:t>
      </w:r>
    </w:p>
    <w:p w:rsidR="00A47A16" w:rsidRPr="00080AF4" w:rsidRDefault="00A47A16" w:rsidP="00A47A16">
      <w:pPr>
        <w:pStyle w:val="NormalBold"/>
      </w:pPr>
      <w:r>
        <w:rPr>
          <w:rStyle w:val="HideTWBExt"/>
          <w:b w:val="0"/>
        </w:rPr>
        <w:t>&lt;RepeatBlock-By&gt;&lt;Members&gt;</w:t>
      </w:r>
      <w:r>
        <w:t>Hans Neuhoff</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35.</w:t>
            </w:r>
            <w:r>
              <w:tab/>
              <w:t xml:space="preserve">ragina Komisijos pirmininko pavaduotoją ir Sąjungos vyriausiąjį įgaliotinį užtikrinti, kad jo kadencijos prioritetas būtų bendradarbiavimas su </w:t>
            </w:r>
            <w:r>
              <w:rPr>
                <w:b/>
                <w:i/>
              </w:rPr>
              <w:t>bendramintėmis demokratinėmis valstybėmis</w:t>
            </w:r>
            <w:r>
              <w:t>, ir sisteminti bendradarbiavimą bei konsultacijas su bendraminčiais</w:t>
            </w:r>
            <w:r>
              <w:rPr>
                <w:b/>
                <w:i/>
              </w:rPr>
              <w:t xml:space="preserve"> demokratiniais</w:t>
            </w:r>
            <w:r>
              <w:t xml:space="preserve"> partneriais, siekiant pagerinti bendrą pasirengimą ir prieigą prie reagavimo į krizes išteklių;</w:t>
            </w:r>
          </w:p>
        </w:tc>
        <w:tc>
          <w:tcPr>
            <w:tcW w:w="4876" w:type="dxa"/>
            <w:tcBorders>
              <w:top w:val="nil"/>
              <w:left w:val="nil"/>
              <w:bottom w:val="nil"/>
              <w:right w:val="nil"/>
            </w:tcBorders>
          </w:tcPr>
          <w:p w:rsidR="00A47A16" w:rsidRPr="00080AF4" w:rsidRDefault="00A47A16" w:rsidP="00BA0C71">
            <w:pPr>
              <w:pStyle w:val="Normal6a"/>
            </w:pPr>
            <w:r>
              <w:t>35.</w:t>
            </w:r>
            <w:r>
              <w:tab/>
              <w:t xml:space="preserve">ragina Komisijos pirmininko pavaduotoją ir Sąjungos vyriausiąjį įgaliotinį užtikrinti, kad jo kadencijos prioritetas būtų bendradarbiavimas su </w:t>
            </w:r>
            <w:r>
              <w:rPr>
                <w:b/>
                <w:i/>
              </w:rPr>
              <w:t>bendraminčiais partneriais</w:t>
            </w:r>
            <w:r>
              <w:t>, ir sisteminti bendradarbiavimą bei konsultacijas su bendraminčiais partneriais, siekiant pagerinti bendrą pasirengimą ir prieigą prie reagavimo į krizes išteklių;</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{DE}</w:t>
      </w:r>
      <w:r w:rsidRPr="00080AF4">
        <w:t>de</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863</w:t>
      </w:r>
      <w:r>
        <w:rPr>
          <w:rStyle w:val="HideTWBExt"/>
        </w:rPr>
        <w:t>&lt;/NumAm&gt;</w:t>
      </w:r>
    </w:p>
    <w:p w:rsidR="00A47A16" w:rsidRPr="00080AF4" w:rsidRDefault="00A47A16" w:rsidP="00A47A16">
      <w:pPr>
        <w:pStyle w:val="NormalBold"/>
      </w:pPr>
      <w:r>
        <w:rPr>
          <w:rStyle w:val="HideTWBExt"/>
          <w:b w:val="0"/>
        </w:rPr>
        <w:t>&lt;RepeatBlock-By&gt;&lt;Members&gt;</w:t>
      </w:r>
      <w:r>
        <w:t>Željana Zovko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36.</w:t>
            </w:r>
            <w:r>
              <w:tab/>
              <w:t>tuo pačiu metu mano, kad svarbu kurti naujus aljansus, be kita ko, su mūsų kaimyninėmis šalimis, taip pat globaliųjų Pietų valstybėmis, atsižvelgiant į abipusius poreikius ir interesus, siekiant skatinti tikrą ir subalansuotą partnerystę;</w:t>
            </w:r>
          </w:p>
        </w:tc>
        <w:tc>
          <w:tcPr>
            <w:tcW w:w="4876" w:type="dxa"/>
            <w:tcBorders>
              <w:top w:val="nil"/>
              <w:left w:val="nil"/>
              <w:bottom w:val="nil"/>
              <w:right w:val="nil"/>
            </w:tcBorders>
          </w:tcPr>
          <w:p w:rsidR="00A47A16" w:rsidRPr="00080AF4" w:rsidRDefault="00A47A16" w:rsidP="00BA0C71">
            <w:pPr>
              <w:pStyle w:val="Normal6a"/>
            </w:pPr>
            <w:r>
              <w:t>36.</w:t>
            </w:r>
            <w:r>
              <w:tab/>
              <w:t xml:space="preserve">tuo pačiu metu mano, kad svarbu kurti naujus aljansus, be kita ko, su mūsų kaimyninėmis šalimis, taip pat globaliųjų Pietų valstybėmis, atsižvelgiant į abipusius poreikius ir interesus, siekiant skatinti tikrą ir subalansuotą partnerystę; </w:t>
            </w:r>
            <w:r>
              <w:rPr>
                <w:b/>
                <w:i/>
              </w:rPr>
              <w:t>pažymi, kad Europos Sąjunga turėtų, visų pirma, domėtis partnerystės su Lotynų Amerikos ir Karibų jūros regiono šalimis atnaujinimu;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864</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Marco Tarquinio,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36.</w:t>
            </w:r>
            <w:r>
              <w:tab/>
              <w:t>tuo pačiu metu mano, kad svarbu kurti naujus aljansus, be kita ko, su mūsų kaimyninėmis šalimis</w:t>
            </w:r>
            <w:r>
              <w:rPr>
                <w:b/>
                <w:i/>
              </w:rPr>
              <w:t>, taip pat globaliųjų Pietų valstybėmis, atsižvelgiant į abipusius poreikius ir interesus, siekiant skatinti tikrą ir subalansuotą partnerystę</w:t>
            </w:r>
            <w:r>
              <w:t>;</w:t>
            </w:r>
          </w:p>
        </w:tc>
        <w:tc>
          <w:tcPr>
            <w:tcW w:w="4876" w:type="dxa"/>
            <w:tcBorders>
              <w:top w:val="nil"/>
              <w:left w:val="nil"/>
              <w:bottom w:val="nil"/>
              <w:right w:val="nil"/>
            </w:tcBorders>
          </w:tcPr>
          <w:p w:rsidR="00A47A16" w:rsidRPr="00080AF4" w:rsidRDefault="00A47A16" w:rsidP="00BA0C71">
            <w:pPr>
              <w:pStyle w:val="Normal6a"/>
            </w:pPr>
            <w:r>
              <w:t>36.</w:t>
            </w:r>
            <w:r>
              <w:tab/>
              <w:t>tuo pačiu metu mano, kad svarbu kurti naujus aljansus, be kita ko, su mūsų kaimyninėmis šalimis;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865</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36.</w:t>
            </w:r>
            <w:r>
              <w:tab/>
              <w:t>tuo pačiu metu mano, kad svarbu kurti naujus aljansus, be kita ko, su mūsų kaimyninėmis šalimis, taip pat globaliųjų Pietų valstybėmis, atsižvelgiant į abipusius poreikius ir interesus, siekiant skatinti tikrą ir subalansuotą partnerystę;</w:t>
            </w:r>
          </w:p>
        </w:tc>
        <w:tc>
          <w:tcPr>
            <w:tcW w:w="4876" w:type="dxa"/>
            <w:tcBorders>
              <w:top w:val="nil"/>
              <w:left w:val="nil"/>
              <w:bottom w:val="nil"/>
              <w:right w:val="nil"/>
            </w:tcBorders>
          </w:tcPr>
          <w:p w:rsidR="00A47A16" w:rsidRPr="00080AF4" w:rsidRDefault="00A47A16" w:rsidP="00BA0C71">
            <w:pPr>
              <w:pStyle w:val="Normal6a"/>
            </w:pPr>
            <w:r>
              <w:t>36.</w:t>
            </w:r>
            <w:r>
              <w:tab/>
              <w:t xml:space="preserve">tuo pačiu metu mano, kad svarbu </w:t>
            </w:r>
            <w:r>
              <w:rPr>
                <w:b/>
                <w:i/>
              </w:rPr>
              <w:t xml:space="preserve">remiantis pagarbą žmogaus teisėms </w:t>
            </w:r>
            <w:r>
              <w:t>kurti naujus aljansus, be kita ko, su mūsų kaimyninėmis šalimis, taip pat globaliųjų Pietų valstybėmis, atsižvelgiant į abipusius poreikius ir interesus, siekiant skatinti tikrą ir subalansuotą partnerystę;</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866</w:t>
      </w:r>
      <w:r>
        <w:rPr>
          <w:rStyle w:val="HideTWBExt"/>
        </w:rPr>
        <w:t>&lt;/NumAm&gt;</w:t>
      </w:r>
    </w:p>
    <w:p w:rsidR="00A47A16" w:rsidRPr="00080AF4" w:rsidRDefault="00A47A16" w:rsidP="00A47A16">
      <w:pPr>
        <w:pStyle w:val="NormalBold"/>
      </w:pPr>
      <w:r>
        <w:rPr>
          <w:rStyle w:val="HideTWBExt"/>
          <w:b w:val="0"/>
        </w:rPr>
        <w:t>&lt;RepeatBlock-By&gt;&lt;Members&gt;</w:t>
      </w:r>
      <w:r>
        <w:t>Rihards Kols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36.</w:t>
            </w:r>
            <w:r>
              <w:tab/>
            </w:r>
            <w:r>
              <w:rPr>
                <w:b/>
                <w:i/>
              </w:rPr>
              <w:t>tuo pačiu metu mano, kad svarbu</w:t>
            </w:r>
            <w:r>
              <w:t xml:space="preserve"> kurti </w:t>
            </w:r>
            <w:r>
              <w:rPr>
                <w:b/>
                <w:i/>
              </w:rPr>
              <w:t>naujus aljansus</w:t>
            </w:r>
            <w:r>
              <w:t xml:space="preserve">, </w:t>
            </w:r>
            <w:r>
              <w:rPr>
                <w:b/>
                <w:i/>
              </w:rPr>
              <w:t>be kita ko,</w:t>
            </w:r>
            <w:r>
              <w:t xml:space="preserve"> su </w:t>
            </w:r>
            <w:r>
              <w:rPr>
                <w:b/>
                <w:i/>
              </w:rPr>
              <w:t>mūsų</w:t>
            </w:r>
            <w:r>
              <w:t xml:space="preserve"> kaimyninėmis šalimis, </w:t>
            </w:r>
            <w:r>
              <w:rPr>
                <w:b/>
                <w:i/>
              </w:rPr>
              <w:t>taip pat globaliųjų Pietų valstybėmis</w:t>
            </w:r>
            <w:r>
              <w:t xml:space="preserve">, </w:t>
            </w:r>
            <w:r>
              <w:rPr>
                <w:b/>
                <w:i/>
              </w:rPr>
              <w:t>atsižvelgiant į abipusius poreikius</w:t>
            </w:r>
            <w:r>
              <w:t xml:space="preserve"> ir </w:t>
            </w:r>
            <w:r>
              <w:rPr>
                <w:b/>
                <w:i/>
              </w:rPr>
              <w:t>interesus</w:t>
            </w:r>
            <w:r>
              <w:t xml:space="preserve">, </w:t>
            </w:r>
            <w:r>
              <w:rPr>
                <w:b/>
                <w:i/>
              </w:rPr>
              <w:t>siekiant skatinti tikrą</w:t>
            </w:r>
            <w:r>
              <w:t xml:space="preserve"> ir </w:t>
            </w:r>
            <w:r>
              <w:rPr>
                <w:b/>
                <w:i/>
              </w:rPr>
              <w:t>subalansuotą partnerystę</w:t>
            </w:r>
            <w:r>
              <w:t>;</w:t>
            </w:r>
          </w:p>
        </w:tc>
        <w:tc>
          <w:tcPr>
            <w:tcW w:w="4876" w:type="dxa"/>
            <w:tcBorders>
              <w:top w:val="nil"/>
              <w:left w:val="nil"/>
              <w:bottom w:val="nil"/>
              <w:right w:val="nil"/>
            </w:tcBorders>
          </w:tcPr>
          <w:p w:rsidR="00A47A16" w:rsidRPr="00080AF4" w:rsidRDefault="00A47A16" w:rsidP="00BA0C71">
            <w:pPr>
              <w:pStyle w:val="Normal6a"/>
            </w:pPr>
            <w:r>
              <w:t>36.</w:t>
            </w:r>
            <w:r>
              <w:tab/>
            </w:r>
            <w:r>
              <w:rPr>
                <w:b/>
                <w:i/>
              </w:rPr>
              <w:t>ragina ES</w:t>
            </w:r>
            <w:r>
              <w:t xml:space="preserve"> kurti </w:t>
            </w:r>
            <w:r>
              <w:rPr>
                <w:b/>
                <w:i/>
              </w:rPr>
              <w:t>naujas</w:t>
            </w:r>
            <w:r>
              <w:t xml:space="preserve">, </w:t>
            </w:r>
            <w:r>
              <w:rPr>
                <w:b/>
                <w:i/>
              </w:rPr>
              <w:t>subalansuotas partnerystes</w:t>
            </w:r>
            <w:r>
              <w:t xml:space="preserve"> su </w:t>
            </w:r>
            <w:r>
              <w:rPr>
                <w:b/>
                <w:i/>
              </w:rPr>
              <w:t>globaliųjų Pietų ir</w:t>
            </w:r>
            <w:r>
              <w:t xml:space="preserve"> kaimyninėmis šalimis, </w:t>
            </w:r>
            <w:r>
              <w:rPr>
                <w:b/>
                <w:i/>
              </w:rPr>
              <w:t>grindžiamas abipusiais ekonominiais ir saugumo poreikiais</w:t>
            </w:r>
            <w:r>
              <w:t xml:space="preserve">, </w:t>
            </w:r>
            <w:r>
              <w:rPr>
                <w:b/>
                <w:i/>
              </w:rPr>
              <w:t>pirmenybę teikiant partnerystėms su demokratinėmis vyriausybėmis</w:t>
            </w:r>
            <w:r>
              <w:t xml:space="preserve"> ir </w:t>
            </w:r>
            <w:r>
              <w:rPr>
                <w:b/>
                <w:i/>
              </w:rPr>
              <w:t>tautomis</w:t>
            </w:r>
            <w:r>
              <w:t xml:space="preserve">, </w:t>
            </w:r>
            <w:r>
              <w:rPr>
                <w:b/>
                <w:i/>
              </w:rPr>
              <w:t>įsipareigojusiomis puoselėti žmogaus teises</w:t>
            </w:r>
            <w:r>
              <w:t xml:space="preserve"> ir </w:t>
            </w:r>
            <w:r>
              <w:rPr>
                <w:b/>
                <w:i/>
              </w:rPr>
              <w:t>laikytis tarptautinės teisės nuostatų</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867</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36.</w:t>
            </w:r>
            <w:r>
              <w:tab/>
              <w:t xml:space="preserve">tuo pačiu metu mano, kad svarbu kurti naujus aljansus, be kita ko, su </w:t>
            </w:r>
            <w:r>
              <w:rPr>
                <w:b/>
                <w:i/>
              </w:rPr>
              <w:t>mūsų</w:t>
            </w:r>
            <w:r>
              <w:t xml:space="preserve"> kaimyninėmis šalimis, taip pat globaliųjų Pietų valstybėmis, atsižvelgiant į abipusius poreikius ir interesus, siekiant skatinti tikrą ir subalansuotą partnerystę;</w:t>
            </w:r>
          </w:p>
        </w:tc>
        <w:tc>
          <w:tcPr>
            <w:tcW w:w="4876" w:type="dxa"/>
            <w:tcBorders>
              <w:top w:val="nil"/>
              <w:left w:val="nil"/>
              <w:bottom w:val="nil"/>
              <w:right w:val="nil"/>
            </w:tcBorders>
          </w:tcPr>
          <w:p w:rsidR="00A47A16" w:rsidRPr="00080AF4" w:rsidRDefault="00A47A16" w:rsidP="00BA0C71">
            <w:pPr>
              <w:pStyle w:val="Normal6a"/>
            </w:pPr>
            <w:r>
              <w:t>36.</w:t>
            </w:r>
            <w:r>
              <w:tab/>
              <w:t xml:space="preserve">tuo pačiu metu mano, kad svarbu </w:t>
            </w:r>
            <w:r>
              <w:rPr>
                <w:b/>
                <w:i/>
              </w:rPr>
              <w:t xml:space="preserve">gera valia </w:t>
            </w:r>
            <w:r>
              <w:t xml:space="preserve">kurti naujus aljansus, be kita ko, su </w:t>
            </w:r>
            <w:r>
              <w:rPr>
                <w:b/>
                <w:i/>
              </w:rPr>
              <w:t>Europos</w:t>
            </w:r>
            <w:r>
              <w:t xml:space="preserve"> kaimyninėmis šalimis, taip pat globaliųjų Pietų valstybėmis, atsižvelgiant į abipusius poreikius ir interesus, siekiant skatinti tikrą ir subalansuotą partnerystę;</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868</w:t>
      </w:r>
      <w:r>
        <w:rPr>
          <w:rStyle w:val="HideTWBExt"/>
        </w:rPr>
        <w:t>&lt;/NumAm&gt;</w:t>
      </w:r>
    </w:p>
    <w:p w:rsidR="00A47A16" w:rsidRPr="00080AF4" w:rsidRDefault="00A47A16" w:rsidP="00A47A16">
      <w:pPr>
        <w:pStyle w:val="NormalBold"/>
      </w:pPr>
      <w:r>
        <w:rPr>
          <w:rStyle w:val="HideTWBExt"/>
          <w:b w:val="0"/>
        </w:rPr>
        <w:t>&lt;RepeatBlock-By&gt;&lt;Members&gt;</w:t>
      </w:r>
      <w:r>
        <w:t>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36a.</w:t>
            </w:r>
            <w:r>
              <w:tab/>
            </w:r>
            <w:r>
              <w:rPr>
                <w:b/>
                <w:i/>
              </w:rPr>
              <w:t>pabrėžia, kad reikia gerinti ES prekybos, investicijų, vystymosi bei užsienio ir saugumo sričių politikos koordinavimą, užtikrinant, kad visų šių sričių politika būtų visiškai suderinta su ES įsipareigojimais žmogaus teisių ir tvarumo srityje; pažymi, kad susitarimai su globaliaisiais Pietumis, ypač dėl žaliavų, turėtų prisidėti prie vietos ekonomikos vystymosi, o ne prie priklausomybės didinimo ir išteklių pereikvojimo; pabrėžia, kad reikia stiprinti išsamius patikrinimus ir užtikrinti tiekimo grandinių skaidrumą, ypač didelės rizikos sektoriuose, pvz., kasybos, siekiant užtikrinti pagarbą žmogaus teisėms ir aplinkai visais gamybos ir tiekimo lygmenimis;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869</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Marco Tarquinio,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36a.</w:t>
            </w:r>
            <w:r>
              <w:tab/>
            </w:r>
            <w:r>
              <w:rPr>
                <w:b/>
                <w:i/>
              </w:rPr>
              <w:t>ragina toliau stiprinti mūsų santykius su globaliaisiais Pietumis, atsižvelgiant į abipusius poreikius ir interesus, kad būtų skatinamos tikros ir subalansuotos partnerystės; pabrėžia, kad ES turėtų stiprinti šiuos santykius skatindama aktyvų ir įtraukų bendradarbiavimą su šiomis šalimis, kaip lygiavertėmis partnerėmis įvairiose srityse; pabrėžia, kad reikia analizuoti susirūpinimą keliančius geopolitinius ir geoekonominius klausimus globaliuosiuose Pietuose ir kartu juos spręsti;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870</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36a.</w:t>
            </w:r>
            <w:r>
              <w:tab/>
            </w:r>
            <w:r>
              <w:rPr>
                <w:b/>
                <w:i/>
              </w:rPr>
              <w:t>ragina KLDR visiškai, patikrinamai ir negrįžtamai atsisakyti savo masinio naikinimo ginklų bei balistinių raketų programų; primygtinai ragina KLDR valdžios institucijas nutraukti vykdomus nusikaltimus žmoniškumui ir pradėti reformų procesą, pagal kurį būtų gerbiamos ir saugomos visos žmogaus teisės;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871</w:t>
      </w:r>
      <w:r>
        <w:rPr>
          <w:rStyle w:val="HideTWBExt"/>
        </w:rPr>
        <w:t>&lt;/NumAm&gt;</w:t>
      </w:r>
    </w:p>
    <w:p w:rsidR="00A47A16" w:rsidRPr="00080AF4" w:rsidRDefault="00A47A16" w:rsidP="00A47A16">
      <w:pPr>
        <w:pStyle w:val="NormalBold"/>
      </w:pPr>
      <w:r>
        <w:rPr>
          <w:rStyle w:val="HideTWBExt"/>
          <w:b w:val="0"/>
        </w:rPr>
        <w:t>&lt;RepeatBlock-By&gt;&lt;Members&gt;</w:t>
      </w:r>
      <w:r>
        <w:t>Marc Botenga, Rima Hassan</w:t>
      </w:r>
      <w:r>
        <w:rPr>
          <w:rStyle w:val="HideTWBExt"/>
          <w:b w:val="0"/>
        </w:rPr>
        <w:t>&lt;/Members&gt;</w:t>
      </w:r>
    </w:p>
    <w:p w:rsidR="00A47A16" w:rsidRPr="00080AF4" w:rsidRDefault="00A47A16" w:rsidP="00A47A16">
      <w:r>
        <w:rPr>
          <w:rStyle w:val="HideTWBExt"/>
        </w:rPr>
        <w:t>&lt;AuNomDe&gt;</w:t>
      </w:r>
      <w:r>
        <w:rPr>
          <w:rStyle w:val="HideTWBInt"/>
        </w:rPr>
        <w:t>{The Left}</w:t>
      </w:r>
      <w:r>
        <w:t>The Left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36a.</w:t>
            </w:r>
            <w:r>
              <w:tab/>
            </w:r>
            <w:r>
              <w:rPr>
                <w:b/>
                <w:i/>
              </w:rPr>
              <w:t>teigiamai vertina didėjančią pasaulinę neprisijungimo tendenciją; ragina ES ir jos valstybes nares parengti aktyvią neprisijungimo užsienio politiką; ragina pasimokyti iš 1955 m. Bandungo proceso ir Neprisijungusiųjų judėjimo sukūrimo;</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872</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 Roberto Vannacci</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36a.</w:t>
            </w:r>
            <w:r>
              <w:tab/>
            </w:r>
            <w:r>
              <w:rPr>
                <w:b/>
                <w:i/>
              </w:rPr>
              <w:t>primena, kad Egiptas, Tunisas ir Marokas yra pagrindiniai partneriai kovojant su islamizmu ir nelegalia imigracija; ragina su šiomis šalimis užmegzti partnerystę ir ją stiprinti;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873</w:t>
      </w:r>
      <w:r>
        <w:rPr>
          <w:rStyle w:val="HideTWBExt"/>
        </w:rPr>
        <w:t>&lt;/NumAm&gt;</w:t>
      </w:r>
    </w:p>
    <w:p w:rsidR="00A47A16" w:rsidRPr="00080AF4" w:rsidRDefault="00A47A16" w:rsidP="00A47A16">
      <w:pPr>
        <w:pStyle w:val="NormalBold"/>
      </w:pPr>
      <w:r>
        <w:rPr>
          <w:rStyle w:val="HideTWBExt"/>
          <w:b w:val="0"/>
        </w:rPr>
        <w:t>&lt;RepeatBlock-By&gt;&lt;Members&gt;</w:t>
      </w:r>
      <w:r>
        <w:t>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36b.</w:t>
            </w:r>
            <w:r>
              <w:tab/>
            </w:r>
            <w:r>
              <w:rPr>
                <w:b/>
                <w:i/>
              </w:rPr>
              <w:t>pabrėžia, kad reikia išnagrinėti alternatyvius tarptautinių sankcijų metodus, kuriais būtų geriau šalinamos pagrindinės konfliktų priežastys ir skatinamas bendradarbiavimas su globaliųjų Pietų šalimis; ragina ES remti iniciatyvas, kuriomis mažinama priklausomybė nuo baudžiamųjų priemonių, ir pirmenybę teikti diplomatiniam angažuotumui, darniam vystymuisi ir abipusei ekonominei partnerystei, kaip regioninio stabilumo palaikymo priemonėms;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874</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36b.</w:t>
            </w:r>
            <w:r>
              <w:tab/>
            </w:r>
            <w:r>
              <w:rPr>
                <w:b/>
                <w:i/>
              </w:rPr>
              <w:t>smerkia Alžyro režimo remiamo Polisario fronto destabilizuojančią veiklą Magribe, kuri kelia grėsmę taikai ir saugumui Šiaurės Afrikos regione ir už jo ribų; primena, kad Marokas turi visišką suverenitetą Vakarų Sacharos atžvilgiu;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875</w:t>
      </w:r>
      <w:r>
        <w:rPr>
          <w:rStyle w:val="HideTWBExt"/>
        </w:rPr>
        <w:t>&lt;/NumAm&gt;</w:t>
      </w:r>
    </w:p>
    <w:p w:rsidR="00A47A16" w:rsidRPr="00080AF4" w:rsidRDefault="00A47A16" w:rsidP="00A47A16">
      <w:pPr>
        <w:pStyle w:val="NormalBold"/>
      </w:pPr>
      <w:r>
        <w:rPr>
          <w:rStyle w:val="HideTWBExt"/>
          <w:b w:val="0"/>
        </w:rPr>
        <w:t>&lt;RepeatBlock-By&gt;&lt;Members&gt;</w:t>
      </w:r>
      <w:r>
        <w:t>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36c.</w:t>
            </w:r>
            <w:r>
              <w:tab/>
            </w:r>
            <w:r>
              <w:rPr>
                <w:b/>
                <w:i/>
              </w:rPr>
              <w:t>pabrėžia, kad itin svarbu spręsti skolų krizę globaliuosiuose Pietuose siekiant skatinti pasaulio ekonomikos stabilumą, kuris daro didelį poveikį tiek ES, tiek nukentėjusioms šalims; pabrėžia, kad ES yra strategiškai suinteresuota skatinti darnų vystymąsi, skurdo mažinimą ir lygybę globaliuosiuose Pietuose, nes šiomis pastangomis prisidedama prie ilgalaikės taikos ir saugumo pasaulyje; ragina ES ir globaliųjų Pietų šalis imtis bendradarbiavimo iniciatyvų siekiant įvertinti ir įveikti skolų krizę, nes tokiomis partnerystėmis stiprinamas pasaulinis bendradarbiavimas siekiant teisingesnės finansų sistemos, kartu stiprinant Europos įtaką ir skatinant abipusį atsparumą regione;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876</w:t>
      </w:r>
      <w:r>
        <w:rPr>
          <w:rStyle w:val="HideTWBExt"/>
        </w:rPr>
        <w:t>&lt;/NumAm&gt;</w:t>
      </w:r>
    </w:p>
    <w:p w:rsidR="00A47A16" w:rsidRPr="00080AF4" w:rsidRDefault="00A47A16" w:rsidP="00A47A16">
      <w:pPr>
        <w:pStyle w:val="NormalBold"/>
      </w:pPr>
      <w:r>
        <w:rPr>
          <w:rStyle w:val="HideTWBExt"/>
          <w:b w:val="0"/>
        </w:rPr>
        <w:t>&lt;RepeatBlock-By&gt;&lt;Members&gt;</w:t>
      </w:r>
      <w:r>
        <w:t>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36d.</w:t>
            </w:r>
            <w:r>
              <w:tab/>
            </w:r>
            <w:r>
              <w:rPr>
                <w:b/>
                <w:i/>
              </w:rPr>
              <w:t>pabrėžia, kad Europos Sąjunga, reaguodama į neatidėliotinus geopolitinius, socialinius ir ekonominius iššūkius, su kuriais susiduria regionas, turi stiprinti ir gilinti bendradarbiavimą su arabų šalimis; pabrėžia, kad vykdant tvirtesnį bendradarbiavimą turėtų būti teikiama pirmenybė pagrindinėms sritims, pvz., migracijai, skaitmeninei transformacijai, saugumui, žaliajai pertvarkai ir kultūriniams mainams, siekiant sukurti atsparią partnerystę, kuria būtų galima spręsti tiek dabartinius, tiek būsimus regioninius iššūkius; ragina laikytis strateginio požiūrio, pagal kurį bendradarbiavimas su kiekviena šalimi būtų pritaikomas siekiant skatinti darnų vystymąsi ir tarpusavio supratimą;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877</w:t>
      </w:r>
      <w:r>
        <w:rPr>
          <w:rStyle w:val="HideTWBExt"/>
        </w:rPr>
        <w:t>&lt;/NumAm&gt;</w:t>
      </w:r>
    </w:p>
    <w:p w:rsidR="00A47A16" w:rsidRPr="00080AF4" w:rsidRDefault="00A47A16" w:rsidP="00A47A16">
      <w:pPr>
        <w:pStyle w:val="NormalBold"/>
      </w:pPr>
      <w:r>
        <w:rPr>
          <w:rStyle w:val="HideTWBExt"/>
          <w:b w:val="0"/>
        </w:rPr>
        <w:t>&lt;RepeatBlock-By&gt;&lt;Members&gt;</w:t>
      </w:r>
      <w:r>
        <w:t>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36e.</w:t>
            </w:r>
            <w:r>
              <w:tab/>
            </w:r>
            <w:r>
              <w:rPr>
                <w:b/>
                <w:i/>
              </w:rPr>
              <w:t>pabrėžia Saudo Arabijos, JAE ir Persijos įlankos šalių, kaip strateginių ES partnerių pagal ES ir Persijos įlankos strateginę partnerystę, svarbą, pripažindamas jų itin svarbų vaidmenį skatinant regiono stabilumą ir vystymąsi; pabrėžia, kad bendradarbiavimo su šiomis šalimis stiprinimas pagal šią strateginę partnerystę sudarytų sąlygas ES siekti bendrų tikslų ir suderinti bendras pozicijas sudėtingoje geopolitinėje aplinkoje;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878</w:t>
      </w:r>
      <w:r>
        <w:rPr>
          <w:rStyle w:val="HideTWBExt"/>
        </w:rPr>
        <w:t>&lt;/NumAm&gt;</w:t>
      </w:r>
    </w:p>
    <w:p w:rsidR="00A47A16" w:rsidRPr="00080AF4" w:rsidRDefault="00A47A16" w:rsidP="00A47A16">
      <w:pPr>
        <w:pStyle w:val="NormalBold"/>
      </w:pPr>
      <w:r>
        <w:rPr>
          <w:rStyle w:val="HideTWBExt"/>
          <w:b w:val="0"/>
        </w:rPr>
        <w:t>&lt;RepeatBlock-By&gt;&lt;Members&gt;</w:t>
      </w:r>
      <w:r>
        <w:t>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36f.</w:t>
            </w:r>
            <w:r>
              <w:tab/>
            </w:r>
            <w:r>
              <w:rPr>
                <w:b/>
                <w:i/>
              </w:rPr>
              <w:t>pripažįsta, kad svarbu išsaugoti ir puoselėti demokratines vertybes; smerkia tai, kad daugėja neapykantą kurstančių kalbų ir išpuolių prieš asmens laisves ir tarptautinę tvarką tiek Europos institucijose, tiek užsienyje, įskaitant valstybes nares;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879</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6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ES veiksmų užsienyje skatinimas</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880</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6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 xml:space="preserve">ES </w:t>
            </w:r>
            <w:r>
              <w:rPr>
                <w:b/>
                <w:i/>
              </w:rPr>
              <w:t>veiksmų</w:t>
            </w:r>
            <w:r>
              <w:t xml:space="preserve"> užsienyje</w:t>
            </w:r>
            <w:r>
              <w:rPr>
                <w:b/>
                <w:i/>
              </w:rPr>
              <w:t xml:space="preserve"> skatinimas</w:t>
            </w:r>
          </w:p>
        </w:tc>
        <w:tc>
          <w:tcPr>
            <w:tcW w:w="4876" w:type="dxa"/>
            <w:tcBorders>
              <w:top w:val="nil"/>
              <w:left w:val="nil"/>
              <w:bottom w:val="nil"/>
              <w:right w:val="nil"/>
            </w:tcBorders>
          </w:tcPr>
          <w:p w:rsidR="00A47A16" w:rsidRPr="00080AF4" w:rsidRDefault="00A47A16" w:rsidP="00BA0C71">
            <w:pPr>
              <w:pStyle w:val="Normal6a"/>
            </w:pPr>
            <w:r>
              <w:t xml:space="preserve">ES </w:t>
            </w:r>
            <w:r>
              <w:rPr>
                <w:b/>
                <w:i/>
              </w:rPr>
              <w:t>veiksmai</w:t>
            </w:r>
            <w:r>
              <w:t xml:space="preserve"> užsienyje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881</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 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36a.</w:t>
            </w:r>
            <w:r>
              <w:tab/>
            </w:r>
            <w:r>
              <w:rPr>
                <w:b/>
                <w:i/>
              </w:rPr>
              <w:t>primena, kad išimtinė kompetencija tarptautinių santykių srityje priklauso valstybėms narėms;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882</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36a.</w:t>
            </w:r>
            <w:r>
              <w:tab/>
            </w:r>
            <w:r>
              <w:rPr>
                <w:b/>
                <w:i/>
              </w:rPr>
              <w:t>pripažįsta, jog vienbalsiškumo reikalavimas verčia valstybes nares nepaliaujamai stengtis, kad būtų pasiektas kompromisas ir vienybė, kurie yra ES politinio sverto pasaulinėje arenoje šaltinis; vis dėlto pažymi, kad reikėtų kritiškai įvertinti kompromisą tarp vienybės idealo ir didelės vienbalsiškumo kainos patikimumo pasaulinėje arenoje požiūriu, ypač atsižvelgiant į veiksmingą išsiplėtusios ES veikimą; atsižvelgdamas į tai apgailestauja, kad atskiros valstybės narės pasinaudojo savo veto teise, siekdamos sušvelninti susitarimus, atidėti sprendimų priėmimą arba apskritai užkirsti kelią bendrai politikai; apgailestauja dėl to, kad galimybės imtis greitų, efektyvių ir veiksmingų užsienio, saugumo ir gynybos veiksmų, kaip numatyta, be kita ko, ES sutarties nuostatose dėl pereigos, buvo panaudotos labai ribotai; pakartoja savo raginimą Tarybai laipsniškai pereiti prie balsavimo kvalifikuota balsų dauguma priimant sprendimus BUSP srityse, kurie nėra karinio ar gynybinio pobūdžio; pripažįsta kai kurių valstybių narių susirūpinimą, nes jos baiminasi, kad sumažės gebėjimas daryti įtaką užsienio ir saugumo politikai ES lygmeniu; supranta, kad pažanga kvalifikuotos balsų daugumos taikymo srityje gali būti tik laipsniška, remiantis Europos strateginės kultūros formavimu;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883</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37.</w:t>
            </w:r>
            <w:r>
              <w:tab/>
            </w:r>
            <w:r>
              <w:rPr>
                <w:b/>
                <w:i/>
              </w:rPr>
              <w:t>atkreipia dėmesį į Komisijos pirmininko pavaduotojo ir Sąjungos vyriausiojo įgaliotinio, kaip sąsajų tarp BUSP ir ES išorės santykių garanto, vaidmenį siekiant užtikrinti aukščiausią ES išorės veiksmų koordinavimo ir nuoseklumo lygį; vis dėlto apgailestauja, kad kai kuriais atvejais trūksta aiškumo, susijusio su atstovavimu ES išorės lygmeniu; pabrėžia, kad reikia aiškiai apibrėžti Komisijos pirmininko pavaduotojo ir Sąjungos vyriausiojo įgaliotinio, Komisijos pirmininko ir Europos Vadovų Tarybos pirmininko kompetencijas, kiek tai susiję su ES išorės veiksmais ir atstovavimu;</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884</w:t>
      </w:r>
      <w:r>
        <w:rPr>
          <w:rStyle w:val="HideTWBExt"/>
        </w:rPr>
        <w:t>&lt;/NumAm&gt;</w:t>
      </w:r>
    </w:p>
    <w:p w:rsidR="00A47A16" w:rsidRPr="00080AF4" w:rsidRDefault="00A47A16" w:rsidP="00A47A16">
      <w:pPr>
        <w:pStyle w:val="NormalBold"/>
      </w:pPr>
      <w:r>
        <w:rPr>
          <w:rStyle w:val="HideTWBExt"/>
          <w:b w:val="0"/>
        </w:rPr>
        <w:t>&lt;RepeatBlock-By&gt;&lt;Members&gt;</w:t>
      </w:r>
      <w:r>
        <w:t>Marion Maréchal</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37.</w:t>
            </w:r>
            <w:r>
              <w:tab/>
              <w:t>atkreipia dėmesį į Komisijos pirmininko pavaduotojo ir Sąjungos vyriausiojo įgaliotinio, kaip sąsajų tarp BUSP ir ES išorės santykių garanto, vaidmenį siekiant užtikrinti aukščiausią ES išorės veiksmų koordinavimo ir nuoseklumo lygį; vis dėlto apgailestauja, kad kai kuriais atvejais trūksta aiškumo, susijusio su atstovavimu ES išorės lygmeniu; pabrėžia, kad reikia aiškiai apibrėžti Komisijos pirmininko pavaduotojo ir Sąjungos vyriausiojo įgaliotinio, Komisijos pirmininko ir Europos Vadovų Tarybos pirmininko kompetencijas, kiek tai susiję su ES išorės veiksmais ir atstovavimu;</w:t>
            </w:r>
          </w:p>
        </w:tc>
        <w:tc>
          <w:tcPr>
            <w:tcW w:w="4876" w:type="dxa"/>
            <w:tcBorders>
              <w:top w:val="nil"/>
              <w:left w:val="nil"/>
              <w:bottom w:val="nil"/>
              <w:right w:val="nil"/>
            </w:tcBorders>
          </w:tcPr>
          <w:p w:rsidR="00A47A16" w:rsidRPr="00080AF4" w:rsidRDefault="00A47A16" w:rsidP="00BA0C71">
            <w:pPr>
              <w:pStyle w:val="Normal6a"/>
            </w:pPr>
            <w:r>
              <w:t>37.</w:t>
            </w:r>
            <w:r>
              <w:tab/>
              <w:t xml:space="preserve">atkreipia dėmesį į Komisijos pirmininko pavaduotojo ir Sąjungos vyriausiojo įgaliotinio, kaip sąsajų tarp BUSP ir ES išorės santykių garanto, vaidmenį siekiant užtikrinti aukščiausią ES išorės veiksmų koordinavimo ir nuoseklumo lygį; vis dėlto apgailestauja, kad kai kuriais atvejais trūksta aiškumo, susijusio su atstovavimu ES išorės lygmeniu; pabrėžia, kad reikia aiškiai apibrėžti Komisijos pirmininko pavaduotojo ir Sąjungos vyriausiojo įgaliotinio, Komisijos pirmininko ir Europos Vadovų Tarybos pirmininko kompetencijas, kiek tai susiję su ES išorės veiksmais ir atstovavimu; </w:t>
            </w:r>
            <w:r>
              <w:rPr>
                <w:b/>
                <w:i/>
              </w:rPr>
              <w:t>primena, kad užsienio politika tebėra valstybių narių suvereni prerogatyva, kad pagal Sutartis jos išlaiko didžiąją dalį savo galių šioje srityje ir kad dauguma BUSP srities sprendimų priimama vieningai;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885</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37.</w:t>
            </w:r>
            <w:r>
              <w:tab/>
              <w:t>atkreipia dėmesį į Komisijos pirmininko pavaduotojo ir Sąjungos vyriausiojo įgaliotinio, kaip sąsajų tarp BUSP ir ES išorės santykių garanto, vaidmenį siekiant užtikrinti aukščiausią ES išorės veiksmų koordinavimo ir nuoseklumo lygį; vis dėlto apgailestauja, kad kai kuriais atvejais trūksta aiškumo, susijusio su atstovavimu ES išorės lygmeniu; pabrėžia, kad reikia aiškiai apibrėžti Komisijos pirmininko pavaduotojo ir Sąjungos vyriausiojo įgaliotinio, Komisijos pirmininko ir Europos Vadovų Tarybos pirmininko kompetencijas, kiek tai susiję su ES išorės veiksmais ir atstovavimu;</w:t>
            </w:r>
          </w:p>
        </w:tc>
        <w:tc>
          <w:tcPr>
            <w:tcW w:w="4876" w:type="dxa"/>
            <w:tcBorders>
              <w:top w:val="nil"/>
              <w:left w:val="nil"/>
              <w:bottom w:val="nil"/>
              <w:right w:val="nil"/>
            </w:tcBorders>
          </w:tcPr>
          <w:p w:rsidR="00A47A16" w:rsidRPr="00080AF4" w:rsidRDefault="00A47A16" w:rsidP="00BA0C71">
            <w:pPr>
              <w:pStyle w:val="Normal6a"/>
            </w:pPr>
            <w:r>
              <w:t>37.</w:t>
            </w:r>
            <w:r>
              <w:tab/>
              <w:t>atkreipia dėmesį į Komisijos pirmininko pavaduotojo ir Sąjungos vyriausiojo įgaliotinio, kaip sąsajų tarp BUSP ir ES išorės santykių garanto, vaidmenį siekiant užtikrinti aukščiausią ES išorės veiksmų koordinavimo ir nuoseklumo lygį;</w:t>
            </w:r>
            <w:r>
              <w:rPr>
                <w:b/>
                <w:i/>
              </w:rPr>
              <w:t xml:space="preserve"> ragina Komisiją stiprinti savo koordinavimą su EIVT šioje srityje, be kita ko, užtikrinant visapusišką EIVT sprendimo 3 straipsnio 2 dalies ir 9 straipsnio, kurį gali reikėti atnaujinti, laikymąsi;</w:t>
            </w:r>
            <w:r>
              <w:t xml:space="preserve"> vis dėlto apgailestauja, kad kai kuriais atvejais trūksta aiškumo, susijusio su atstovavimu ES išorės lygmeniu; pabrėžia, kad reikia aiškiai apibrėžti Komisijos pirmininko pavaduotojo ir Sąjungos vyriausiojo įgaliotinio, Komisijos pirmininko ir Europos Vadovų Tarybos pirmininko kompetencijas, kiek tai susiję su ES išorės veiksmais ir atstovavimu;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886</w:t>
      </w:r>
      <w:r>
        <w:rPr>
          <w:rStyle w:val="HideTWBExt"/>
        </w:rPr>
        <w:t>&lt;/NumAm&gt;</w:t>
      </w:r>
    </w:p>
    <w:p w:rsidR="00A47A16" w:rsidRPr="00080AF4" w:rsidRDefault="00A47A16" w:rsidP="00A47A16">
      <w:pPr>
        <w:pStyle w:val="NormalBold"/>
      </w:pPr>
      <w:r>
        <w:rPr>
          <w:rStyle w:val="HideTWBExt"/>
          <w:b w:val="0"/>
        </w:rPr>
        <w:t>&lt;RepeatBlock-By&gt;&lt;Members&gt;</w:t>
      </w:r>
      <w:r>
        <w:t>António Tânger Corrêa, Jordan Bardella, Hermann Tertsch, Matthieu Valet, Pierre-Romain Thionnet,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37.</w:t>
            </w:r>
            <w:r>
              <w:tab/>
            </w:r>
            <w:r>
              <w:rPr>
                <w:b/>
                <w:i/>
              </w:rPr>
              <w:t>atkreipia dėmesį į Komisijos pirmininko pavaduotojo ir Sąjungos vyriausiojo įgaliotinio, kaip sąsajų tarp BUSP ir ES išorės santykių garanto, vaidmenį siekiant užtikrinti aukščiausią ES išorės veiksmų koordinavimo ir nuoseklumo lygį; vis dėlto apgailestauja</w:t>
            </w:r>
            <w:r>
              <w:t xml:space="preserve">, kad </w:t>
            </w:r>
            <w:r>
              <w:rPr>
                <w:b/>
                <w:i/>
              </w:rPr>
              <w:t>kai kuriais atvejais trūksta aiškumo, susijusio su atstovavimu ES</w:t>
            </w:r>
            <w:r>
              <w:t xml:space="preserve"> išorės </w:t>
            </w:r>
            <w:r>
              <w:rPr>
                <w:b/>
                <w:i/>
              </w:rPr>
              <w:t>lygmeniu; pabrėžia, kad reikia aiškiai apibrėžti Komisijos pirmininko pavaduotojo ir Sąjungos vyriausiojo įgaliotinio, Komisijos pirmininko</w:t>
            </w:r>
            <w:r>
              <w:t xml:space="preserve"> ir </w:t>
            </w:r>
            <w:r>
              <w:rPr>
                <w:b/>
                <w:i/>
              </w:rPr>
              <w:t>Europos Vadovų Tarybos pirmininko kompetencijas, kiek tai susiję su ES išorės veiksmais ir atstovavimu</w:t>
            </w:r>
            <w:r>
              <w:t>;</w:t>
            </w:r>
          </w:p>
        </w:tc>
        <w:tc>
          <w:tcPr>
            <w:tcW w:w="4876" w:type="dxa"/>
            <w:tcBorders>
              <w:top w:val="nil"/>
              <w:left w:val="nil"/>
              <w:bottom w:val="nil"/>
              <w:right w:val="nil"/>
            </w:tcBorders>
          </w:tcPr>
          <w:p w:rsidR="00A47A16" w:rsidRPr="00080AF4" w:rsidRDefault="00A47A16" w:rsidP="00BA0C71">
            <w:pPr>
              <w:pStyle w:val="Normal6a"/>
            </w:pPr>
            <w:r>
              <w:t>37.</w:t>
            </w:r>
            <w:r>
              <w:tab/>
            </w:r>
            <w:r>
              <w:rPr>
                <w:b/>
                <w:i/>
              </w:rPr>
              <w:t>teikia pirmenybę valstybių narių</w:t>
            </w:r>
            <w:r>
              <w:t xml:space="preserve">, </w:t>
            </w:r>
            <w:r>
              <w:rPr>
                <w:b/>
                <w:i/>
              </w:rPr>
              <w:t>o ne pačios</w:t>
            </w:r>
            <w:r>
              <w:t xml:space="preserve"> ES, </w:t>
            </w:r>
            <w:r>
              <w:rPr>
                <w:b/>
                <w:i/>
              </w:rPr>
              <w:t>diplomatijai</w:t>
            </w:r>
            <w:r>
              <w:t>;</w:t>
            </w:r>
            <w:r>
              <w:rPr>
                <w:b/>
                <w:i/>
              </w:rPr>
              <w:t xml:space="preserve"> pabrėžia</w:t>
            </w:r>
            <w:r>
              <w:t xml:space="preserve">, kad </w:t>
            </w:r>
            <w:r>
              <w:rPr>
                <w:b/>
                <w:i/>
              </w:rPr>
              <w:t>ES vaidmuo</w:t>
            </w:r>
            <w:r>
              <w:t xml:space="preserve"> išorės </w:t>
            </w:r>
            <w:r>
              <w:rPr>
                <w:b/>
                <w:i/>
              </w:rPr>
              <w:t>veiksmų srityje yra pavaldus valstybių narių vaidmeniui bei vienbalsiškumo taisyklei</w:t>
            </w:r>
            <w:r>
              <w:t xml:space="preserve"> ir </w:t>
            </w:r>
            <w:r>
              <w:rPr>
                <w:b/>
                <w:i/>
              </w:rPr>
              <w:t>šie veiksmai negali būti vykdomi nepriklausomai</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887</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 Roberto Vannacci</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37.</w:t>
            </w:r>
            <w:r>
              <w:tab/>
              <w:t>atkreipia dėmesį į Komisijos pirmininko pavaduotojo ir Sąjungos vyriausiojo įgaliotinio, kaip sąsajų tarp BUSP ir ES išorės santykių garanto, vaidmenį siekiant užtikrinti aukščiausią ES išorės veiksmų koordinavimo ir nuoseklumo lygį; vis dėlto apgailestauja, kad kai kuriais atvejais trūksta aiškumo, susijusio su atstovavimu ES išorės lygmeniu; pabrėžia, kad reikia aiškiai apibrėžti Komisijos pirmininko pavaduotojo ir Sąjungos vyriausiojo įgaliotinio, Komisijos pirmininko ir Europos Vadovų Tarybos pirmininko kompetencijas, kiek tai susiję su ES išorės veiksmais ir atstovavimu;</w:t>
            </w:r>
          </w:p>
        </w:tc>
        <w:tc>
          <w:tcPr>
            <w:tcW w:w="4876" w:type="dxa"/>
            <w:tcBorders>
              <w:top w:val="nil"/>
              <w:left w:val="nil"/>
              <w:bottom w:val="nil"/>
              <w:right w:val="nil"/>
            </w:tcBorders>
          </w:tcPr>
          <w:p w:rsidR="00A47A16" w:rsidRPr="00080AF4" w:rsidRDefault="00A47A16" w:rsidP="00BA0C71">
            <w:pPr>
              <w:pStyle w:val="Normal6a"/>
            </w:pPr>
            <w:r>
              <w:t>37.</w:t>
            </w:r>
            <w:r>
              <w:tab/>
              <w:t xml:space="preserve">atkreipia dėmesį į Komisijos pirmininko pavaduotojo ir Sąjungos vyriausiojo įgaliotinio, kaip sąsajų tarp BUSP ir ES išorės santykių garanto, vaidmenį siekiant užtikrinti aukščiausią ES išorės veiksmų koordinavimo ir nuoseklumo lygį; vis dėlto apgailestauja, kad kai kuriais atvejais trūksta aiškumo, susijusio su atstovavimu ES išorės lygmeniu; pabrėžia, kad reikia aiškiai apibrėžti Komisijos pirmininko pavaduotojo ir Sąjungos vyriausiojo įgaliotinio, Komisijos pirmininko ir Europos Vadovų Tarybos pirmininko kompetencijas, kiek tai susiję su ES išorės veiksmais ir atstovavimu; </w:t>
            </w:r>
            <w:r>
              <w:rPr>
                <w:b/>
                <w:i/>
              </w:rPr>
              <w:t>pabrėžia, kad diplomatiniai ir gynybos klausimai visų pirma yra Europos Sąjungos valstybių narių prerogatyva;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888</w:t>
      </w:r>
      <w:r>
        <w:rPr>
          <w:rStyle w:val="HideTWBExt"/>
        </w:rPr>
        <w:t>&lt;/NumAm&gt;</w:t>
      </w:r>
    </w:p>
    <w:p w:rsidR="00A47A16" w:rsidRPr="00080AF4" w:rsidRDefault="00A47A16" w:rsidP="00A47A16">
      <w:pPr>
        <w:pStyle w:val="NormalBold"/>
      </w:pPr>
      <w:r>
        <w:rPr>
          <w:rStyle w:val="HideTWBExt"/>
          <w:b w:val="0"/>
        </w:rPr>
        <w:t>&lt;RepeatBlock-By&gt;&lt;Members&gt;</w:t>
      </w:r>
      <w:r>
        <w:t>Nathalie Loiseau, Urmas Paet, Hilde Vautmans, Lucia Yar, Petras Auštrevičius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37.</w:t>
            </w:r>
            <w:r>
              <w:tab/>
              <w:t>atkreipia dėmesį į Komisijos pirmininko pavaduotojo ir Sąjungos vyriausiojo įgaliotinio, kaip sąsajų tarp BUSP ir ES išorės santykių garanto, vaidmenį siekiant užtikrinti aukščiausią ES išorės veiksmų koordinavimo ir nuoseklumo lygį; vis dėlto apgailestauja, kad kai kuriais atvejais trūksta aiškumo, susijusio su atstovavimu ES išorės lygmeniu; pabrėžia, kad reikia aiškiai apibrėžti Komisijos pirmininko pavaduotojo ir Sąjungos vyriausiojo įgaliotinio, Komisijos pirmininko ir Europos Vadovų Tarybos pirmininko kompetencijas, kiek tai susiję su ES išorės veiksmais ir atstovavimu;</w:t>
            </w:r>
          </w:p>
        </w:tc>
        <w:tc>
          <w:tcPr>
            <w:tcW w:w="4876" w:type="dxa"/>
            <w:tcBorders>
              <w:top w:val="nil"/>
              <w:left w:val="nil"/>
              <w:bottom w:val="nil"/>
              <w:right w:val="nil"/>
            </w:tcBorders>
          </w:tcPr>
          <w:p w:rsidR="00A47A16" w:rsidRPr="00080AF4" w:rsidRDefault="00A47A16" w:rsidP="00BA0C71">
            <w:pPr>
              <w:pStyle w:val="Normal6a"/>
            </w:pPr>
            <w:r>
              <w:t>37.</w:t>
            </w:r>
            <w:r>
              <w:tab/>
              <w:t xml:space="preserve">atkreipia dėmesį į Komisijos pirmininko pavaduotojo ir Sąjungos vyriausiojo įgaliotinio, kaip sąsajų tarp BUSP ir ES išorės santykių garanto, vaidmenį siekiant užtikrinti aukščiausią ES išorės veiksmų koordinavimo ir nuoseklumo lygį; vis dėlto apgailestauja, kad kai kuriais atvejais trūksta aiškumo, susijusio su atstovavimu ES išorės lygmeniu; </w:t>
            </w:r>
            <w:r>
              <w:rPr>
                <w:b/>
                <w:i/>
              </w:rPr>
              <w:t>taip pat apgailestauja, kad šis aiškumo trūkumas trukdo ES strateginei komunikacijai užsienyje;</w:t>
            </w:r>
            <w:r>
              <w:t xml:space="preserve"> pabrėžia, kad reikia aiškiai apibrėžti Komisijos pirmininko pavaduotojo ir Sąjungos vyriausiojo įgaliotinio, Komisijos pirmininko ir Europos Vadovų Tarybos pirmininko kompetencijas, kiek tai susiję su ES išorės veiksmais ir atstovavimu;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889</w:t>
      </w:r>
      <w:r>
        <w:rPr>
          <w:rStyle w:val="HideTWBExt"/>
        </w:rPr>
        <w:t>&lt;/NumAm&gt;</w:t>
      </w:r>
    </w:p>
    <w:p w:rsidR="00A47A16" w:rsidRPr="00080AF4" w:rsidRDefault="00A47A16" w:rsidP="00A47A16">
      <w:pPr>
        <w:pStyle w:val="NormalBold"/>
      </w:pPr>
      <w:r>
        <w:rPr>
          <w:rStyle w:val="HideTWBExt"/>
          <w:b w:val="0"/>
        </w:rPr>
        <w:t>&lt;RepeatBlock-By&gt;&lt;Members&gt;</w:t>
      </w:r>
      <w:r>
        <w:t>Željana Zovko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37.</w:t>
            </w:r>
            <w:r>
              <w:tab/>
              <w:t>atkreipia dėmesį į Komisijos pirmininko pavaduotojo ir Sąjungos vyriausiojo įgaliotinio, kaip sąsajų tarp BUSP ir ES išorės santykių garanto, vaidmenį siekiant užtikrinti aukščiausią ES išorės veiksmų koordinavimo ir nuoseklumo lygį; vis dėlto apgailestauja, kad kai kuriais atvejais trūksta aiškumo, susijusio su atstovavimu ES išorės lygmeniu; pabrėžia, kad reikia aiškiai apibrėžti Komisijos pirmininko pavaduotojo ir Sąjungos vyriausiojo įgaliotinio, Komisijos pirmininko ir Europos Vadovų Tarybos pirmininko kompetencijas, kiek tai susiję su ES išorės veiksmais ir atstovavimu;</w:t>
            </w:r>
          </w:p>
        </w:tc>
        <w:tc>
          <w:tcPr>
            <w:tcW w:w="4876" w:type="dxa"/>
            <w:tcBorders>
              <w:top w:val="nil"/>
              <w:left w:val="nil"/>
              <w:bottom w:val="nil"/>
              <w:right w:val="nil"/>
            </w:tcBorders>
          </w:tcPr>
          <w:p w:rsidR="00A47A16" w:rsidRPr="00080AF4" w:rsidRDefault="00A47A16" w:rsidP="00BA0C71">
            <w:pPr>
              <w:pStyle w:val="Normal6a"/>
            </w:pPr>
            <w:r>
              <w:t>37.</w:t>
            </w:r>
            <w:r>
              <w:tab/>
              <w:t>atkreipia dėmesį į Komisijos pirmininko pavaduotojo ir Sąjungos vyriausiojo įgaliotinio, kaip sąsajų tarp BUSP ir ES išorės santykių garanto, vaidmenį siekiant užtikrinti aukščiausią ES išorės veiksmų koordinavimo ir nuoseklumo lygį; vis dėlto apgailestauja, kad kai kuriais atvejais trūksta aiškumo, susijusio su atstovavimu ES išorės lygmeniu; pabrėžia, kad reikia aiškiai apibrėžti Komisijos pirmininko pavaduotojo ir Sąjungos vyriausiojo įgaliotinio, Komisijos pirmininko ir Europos Vadovų Tarybos pirmininko kompetencijas, kiek tai susiję su ES išorės veiksmais ir atstovavimu</w:t>
            </w:r>
            <w:r>
              <w:rPr>
                <w:b/>
                <w:i/>
              </w:rPr>
              <w:t>, kad ES laikytųsi nuoseklios nuomonės ir kad mūsų partneriai ją matytų kaip nuoseklią</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890</w:t>
      </w:r>
      <w:r>
        <w:rPr>
          <w:rStyle w:val="HideTWBExt"/>
        </w:rPr>
        <w:t>&lt;/NumAm&gt;</w:t>
      </w:r>
    </w:p>
    <w:p w:rsidR="00A47A16" w:rsidRPr="00080AF4" w:rsidRDefault="00A47A16" w:rsidP="00A47A16">
      <w:pPr>
        <w:pStyle w:val="NormalBold"/>
      </w:pPr>
      <w:r>
        <w:rPr>
          <w:rStyle w:val="HideTWBExt"/>
          <w:b w:val="0"/>
        </w:rPr>
        <w:t>&lt;RepeatBlock-By&gt;&lt;Members&gt;</w:t>
      </w:r>
      <w:r>
        <w:t>Rihards Kols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37.</w:t>
            </w:r>
            <w:r>
              <w:tab/>
            </w:r>
            <w:r>
              <w:rPr>
                <w:b/>
                <w:i/>
              </w:rPr>
              <w:t>atkreipia dėmesį į</w:t>
            </w:r>
            <w:r>
              <w:t xml:space="preserve"> Komisijos pirmininko pavaduotojo ir Sąjungos vyriausiojo įgaliotinio, kaip </w:t>
            </w:r>
            <w:r>
              <w:rPr>
                <w:b/>
                <w:i/>
              </w:rPr>
              <w:t>sąsajų tarp BUSP ir</w:t>
            </w:r>
            <w:r>
              <w:t xml:space="preserve"> ES </w:t>
            </w:r>
            <w:r>
              <w:rPr>
                <w:b/>
                <w:i/>
              </w:rPr>
              <w:t>išorės santykių garanto</w:t>
            </w:r>
            <w:r>
              <w:t xml:space="preserve">, vaidmenį siekiant užtikrinti </w:t>
            </w:r>
            <w:r>
              <w:rPr>
                <w:b/>
                <w:i/>
              </w:rPr>
              <w:t>aukščiausią</w:t>
            </w:r>
            <w:r>
              <w:t xml:space="preserve"> ES </w:t>
            </w:r>
            <w:r>
              <w:rPr>
                <w:b/>
                <w:i/>
              </w:rPr>
              <w:t>išorės veiksmų koordinavimo ir nuoseklumo lygį; vis dėlto apgailestauja</w:t>
            </w:r>
            <w:r>
              <w:t xml:space="preserve">, </w:t>
            </w:r>
            <w:r>
              <w:rPr>
                <w:b/>
                <w:i/>
              </w:rPr>
              <w:t>kad kai kuriais atvejais trūksta aiškumo</w:t>
            </w:r>
            <w:r>
              <w:t xml:space="preserve">, </w:t>
            </w:r>
            <w:r>
              <w:rPr>
                <w:b/>
                <w:i/>
              </w:rPr>
              <w:t>susijusio</w:t>
            </w:r>
            <w:r>
              <w:t xml:space="preserve"> su atstovavimu ES išorės lygmeniu;</w:t>
            </w:r>
            <w:r>
              <w:rPr>
                <w:b/>
                <w:i/>
              </w:rPr>
              <w:t xml:space="preserve"> pabrėžia, kad reikia aiškiai apibrėžti Komisijos pirmininko pavaduotojo ir Sąjungos vyriausiojo įgaliotinio</w:t>
            </w:r>
            <w:r>
              <w:t xml:space="preserve">, </w:t>
            </w:r>
            <w:r>
              <w:rPr>
                <w:b/>
                <w:i/>
              </w:rPr>
              <w:t>Komisijos pirmininko ir Europos Vadovų Tarybos pirmininko kompetencijas, kiek tai susiję su ES išorės veiksmais ir atstovavimu</w:t>
            </w:r>
            <w:r>
              <w:t>;</w:t>
            </w:r>
          </w:p>
        </w:tc>
        <w:tc>
          <w:tcPr>
            <w:tcW w:w="4876" w:type="dxa"/>
            <w:tcBorders>
              <w:top w:val="nil"/>
              <w:left w:val="nil"/>
              <w:bottom w:val="nil"/>
              <w:right w:val="nil"/>
            </w:tcBorders>
          </w:tcPr>
          <w:p w:rsidR="00A47A16" w:rsidRPr="00080AF4" w:rsidRDefault="00A47A16" w:rsidP="00BA0C71">
            <w:pPr>
              <w:pStyle w:val="Normal6a"/>
            </w:pPr>
            <w:r>
              <w:t>37.</w:t>
            </w:r>
            <w:r>
              <w:tab/>
            </w:r>
            <w:r>
              <w:rPr>
                <w:b/>
                <w:i/>
              </w:rPr>
              <w:t>pabrėžia, kad reikia stiprinti</w:t>
            </w:r>
            <w:r>
              <w:t xml:space="preserve"> Komisijos pirmininko pavaduotojo ir Sąjungos vyriausiojo įgaliotinio, kaip </w:t>
            </w:r>
            <w:r>
              <w:rPr>
                <w:b/>
                <w:i/>
              </w:rPr>
              <w:t>pagrindinio</w:t>
            </w:r>
            <w:r>
              <w:t xml:space="preserve"> ES </w:t>
            </w:r>
            <w:r>
              <w:rPr>
                <w:b/>
                <w:i/>
              </w:rPr>
              <w:t>atstovo BUSP klausimais</w:t>
            </w:r>
            <w:r>
              <w:t xml:space="preserve">, vaidmenį </w:t>
            </w:r>
            <w:r>
              <w:rPr>
                <w:b/>
                <w:i/>
              </w:rPr>
              <w:t xml:space="preserve">ir, </w:t>
            </w:r>
            <w:r>
              <w:t xml:space="preserve">siekiant užtikrinti </w:t>
            </w:r>
            <w:r>
              <w:rPr>
                <w:b/>
                <w:i/>
              </w:rPr>
              <w:t>vieningus</w:t>
            </w:r>
            <w:r>
              <w:t xml:space="preserve"> ES </w:t>
            </w:r>
            <w:r>
              <w:rPr>
                <w:b/>
                <w:i/>
              </w:rPr>
              <w:t>veiksmus užsienyje, aiškiai apibrėžti Komisijos pirmininko pavaduotojo ir Sąjungos vyriausiojo įgaliotinio</w:t>
            </w:r>
            <w:r>
              <w:t xml:space="preserve">, </w:t>
            </w:r>
            <w:r>
              <w:rPr>
                <w:b/>
                <w:i/>
              </w:rPr>
              <w:t>Komisijos pirmininko ir Europos Vadovų Tarybos pirmininko vaidmenis</w:t>
            </w:r>
            <w:r>
              <w:t xml:space="preserve">, </w:t>
            </w:r>
            <w:r>
              <w:rPr>
                <w:b/>
                <w:i/>
              </w:rPr>
              <w:t>susijusius</w:t>
            </w:r>
            <w:r>
              <w:t xml:space="preserve"> su atstovavimu ES išorės lygmeniu;</w:t>
            </w:r>
            <w:r>
              <w:rPr>
                <w:b/>
                <w:i/>
              </w:rPr>
              <w:t xml:space="preserve"> ragina vyriausiąjį įgaliotinį prasmingai bendradarbiauti su nacionaliniais parlamentais</w:t>
            </w:r>
            <w:r>
              <w:t xml:space="preserve">, </w:t>
            </w:r>
            <w:r>
              <w:rPr>
                <w:b/>
                <w:i/>
              </w:rPr>
              <w:t>kad būtų sudarytos palankesnės sąlygos labiau suderinti užsienio politikos prioritetus ir stiprinti demokratinį teisėtumą visose valstybėse narėse</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891</w:t>
      </w:r>
      <w:r>
        <w:rPr>
          <w:rStyle w:val="HideTWBExt"/>
        </w:rPr>
        <w:t>&lt;/NumAm&gt;</w:t>
      </w:r>
    </w:p>
    <w:p w:rsidR="00A47A16" w:rsidRPr="00080AF4" w:rsidRDefault="00A47A16" w:rsidP="00A47A16">
      <w:pPr>
        <w:pStyle w:val="NormalBold"/>
      </w:pPr>
      <w:r>
        <w:rPr>
          <w:rStyle w:val="HideTWBExt"/>
          <w:b w:val="0"/>
        </w:rPr>
        <w:t>&lt;RepeatBlock-By&gt;&lt;Members&gt;</w:t>
      </w:r>
      <w:r>
        <w:t>Adam Bielan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37a.</w:t>
            </w:r>
            <w:r>
              <w:tab/>
            </w:r>
            <w:r>
              <w:rPr>
                <w:b/>
                <w:i/>
              </w:rPr>
              <w:t>primena, kad saugumas ir gynyba tebėra pagrindinė valstybių narių kompetencija ir kad vieningumo taisyklė yra svarbi priemonė ieškant kompromisų ir didinant jų solidarumą svarbiausiose srityse, taip stiprinant Sąjungą ir jos vienybę ir suteikiant ES didesnius įgaliojimus imtis veiksmų pasauliniu mastu; primena, kad net ir daug didesnėje ir nevienalytėje organizacijoje, pvz., NATO, sprendimai priimami bendru sutarimu; ragina užtikrinti didesnį pasiryžimą, kad būtų bendrai suvokiamos grėsmės, stiprinant solidarumą ir atkuriant pagarbą visoms valstybėms narėms, nepaisant jų dydžio ar politinių pažiūrų;</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892</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37a.</w:t>
            </w:r>
            <w:r>
              <w:tab/>
            </w:r>
            <w:r>
              <w:rPr>
                <w:b/>
                <w:i/>
              </w:rPr>
              <w:t>pabrėžia, kad ES turi skatinti savo išorės veiksmų ir vystomojo bendradarbiavimo pastangų matomumą ir veiksmingumą, taip pat kovoti su Šiaurės ir Pietų atskirties pokolonijiniu naratyvu; vis dėlto pabrėžia, kad viena iš pagrindinių ES patikimumo ir įtakos užsienyje problemų yra vienybės ir nuoseklumo stoka ES išorės politikoje, o tai veda į tai, kas suvokiama kaip dvigubi standartai; ragina ES ir jos valstybes nares skatinti didesnį savo tarptautinių veiksmų nuoseklumą ir suderinimą, kad visame pasaulyje būtų matoma patikimesnė ir principingesnė pozicija;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893</w:t>
      </w:r>
      <w:r>
        <w:rPr>
          <w:rStyle w:val="HideTWBExt"/>
        </w:rPr>
        <w:t>&lt;/NumAm&gt;</w:t>
      </w:r>
    </w:p>
    <w:p w:rsidR="00A47A16" w:rsidRPr="00080AF4" w:rsidRDefault="00A47A16" w:rsidP="00A47A16">
      <w:pPr>
        <w:pStyle w:val="NormalBold"/>
      </w:pPr>
      <w:r>
        <w:rPr>
          <w:rStyle w:val="HideTWBExt"/>
          <w:b w:val="0"/>
        </w:rPr>
        <w:t>&lt;RepeatBlock-By&gt;&lt;Members&gt;</w:t>
      </w:r>
      <w:r>
        <w:t>Eszter Lakos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37a.</w:t>
            </w:r>
            <w:r>
              <w:tab/>
            </w:r>
            <w:r>
              <w:rPr>
                <w:b/>
                <w:i/>
              </w:rPr>
              <w:t>dar kartą patvirtina, kad itin svarbios tinkamos strateginės komunikacijos pastangos siekiant pagerinti ES veiksmų už jos ribų matomumą; yra įsitikinęs, kad ypatingas dėmesys turėtų būti skiriamas Vakarų Balkanams, siekiant kovoti su užsienio įtaka, daroma vykdant klaidingos informacijos ir dezinformacijos kampanijas, kuriomis siekiama pristatyti Sąjungą kaip nepatikimą partnerę, kartu klaidingai parodant ir šlovinant autoritarinių režimų veiksmus ir įsipareigojimus;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894</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37a.</w:t>
            </w:r>
            <w:r>
              <w:tab/>
            </w:r>
            <w:r>
              <w:rPr>
                <w:b/>
                <w:i/>
              </w:rPr>
              <w:t>ragina EIVT, Komisiją ir valstybes nares visapusiškai naudotis savo diplomatinių priemonių rinkiniu ir finansinėmis priemonėmis siekiant remti ir apsaugoti žmogaus teisių gynėjus nuo vyriausybinių ir nevyriausybinių subjektų, įskaitant įmones ar jų vardu veikiančias grupuotes, nusikalstamų grupuočių ir ginkluotų grupuočių grasinimų ir išpuolių, taip pat nuo grėsmių vykstant konfliktams ir gyvenant pereinamojo laikotarpio sąlygomis;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895</w:t>
      </w:r>
      <w:r>
        <w:rPr>
          <w:rStyle w:val="HideTWBExt"/>
        </w:rPr>
        <w:t>&lt;/NumAm&gt;</w:t>
      </w:r>
    </w:p>
    <w:p w:rsidR="00A47A16" w:rsidRPr="00080AF4" w:rsidRDefault="00A47A16" w:rsidP="00A47A16">
      <w:pPr>
        <w:pStyle w:val="NormalBold"/>
      </w:pPr>
      <w:r>
        <w:rPr>
          <w:rStyle w:val="HideTWBExt"/>
          <w:b w:val="0"/>
        </w:rPr>
        <w:t>&lt;RepeatBlock-By&gt;&lt;Members&gt;</w:t>
      </w:r>
      <w:r>
        <w:t>Francisco José Millán Mon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37a.</w:t>
            </w:r>
            <w:r>
              <w:tab/>
            </w:r>
            <w:r>
              <w:rPr>
                <w:b/>
                <w:i/>
              </w:rPr>
              <w:t>primena, kad Sąjungos vyriausiasis įgaliotinis užsienio reikalams ir saugumo politikai ir Europos Vadovų Taryba užtikrina Sąjungos veiksmų vienybę, nuoseklumą ir veiksmingumą; pabrėžia, jog svarbu, kad valstybės narės suderintų savo sprendimus pagal bendrą požiūrį ir kad jų veiksmai būtų solidarūs tarpusavyje;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{ES}</w:t>
      </w:r>
      <w:r w:rsidRPr="00080AF4">
        <w:t>es</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896</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 Jorge Martín Frías, Hermann Tertsch, Roberto Vannacci</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37a.</w:t>
            </w:r>
            <w:r>
              <w:tab/>
            </w:r>
            <w:r>
              <w:rPr>
                <w:b/>
                <w:i/>
              </w:rPr>
              <w:t>pabrėžia, kad Taryboje turi būti išlaikytas vieningas visų sprendimų užsienio, saugumo ir gynybos politikos klausimais priėmimas;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897</w:t>
      </w:r>
      <w:r>
        <w:rPr>
          <w:rStyle w:val="HideTWBExt"/>
        </w:rPr>
        <w:t>&lt;/NumAm&gt;</w:t>
      </w:r>
    </w:p>
    <w:p w:rsidR="00A47A16" w:rsidRPr="00080AF4" w:rsidRDefault="00A47A16" w:rsidP="00A47A16">
      <w:pPr>
        <w:pStyle w:val="NormalBold"/>
      </w:pPr>
      <w:r>
        <w:rPr>
          <w:rStyle w:val="HideTWBExt"/>
          <w:b w:val="0"/>
        </w:rPr>
        <w:t>&lt;RepeatBlock-By&gt;&lt;Members&gt;</w:t>
      </w:r>
      <w:r>
        <w:t>Marc Botenga, Rima Hassan, Özlem Demirel</w:t>
      </w:r>
      <w:r>
        <w:rPr>
          <w:rStyle w:val="HideTWBExt"/>
          <w:b w:val="0"/>
        </w:rPr>
        <w:t>&lt;/Members&gt;</w:t>
      </w:r>
    </w:p>
    <w:p w:rsidR="00A47A16" w:rsidRPr="00080AF4" w:rsidRDefault="00A47A16" w:rsidP="00A47A16">
      <w:r>
        <w:rPr>
          <w:rStyle w:val="HideTWBExt"/>
        </w:rPr>
        <w:t>&lt;AuNomDe&gt;</w:t>
      </w:r>
      <w:r>
        <w:rPr>
          <w:rStyle w:val="HideTWBInt"/>
        </w:rPr>
        <w:t>{The Left}</w:t>
      </w:r>
      <w:r>
        <w:t>The Left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37a.</w:t>
            </w:r>
            <w:r>
              <w:tab/>
            </w:r>
            <w:r>
              <w:rPr>
                <w:b/>
                <w:i/>
              </w:rPr>
              <w:t>yra tvirtai įsitikinęs, kad diplomatija užkerta kelią karams ir juos nutraukia ir turėtų būti pagrindinė ES veiksmų dalis;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898</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37b.</w:t>
            </w:r>
            <w:r>
              <w:tab/>
            </w:r>
            <w:r>
              <w:rPr>
                <w:b/>
                <w:i/>
              </w:rPr>
              <w:t>ragina imtis vadovaujamojo vaidmens stiprinant daugiašales partnerystes, susijusias su pasauliniais prioritetais, visų pirma demokratijos, žmogaus teisių, lyčių lygybės ir klimato kaitos srityse, pabrėžia būtinybę toliau plėtoti regionines strategijas, be kita ko, dėl klimato srities veiksmų, žmogaus teisių ir bendradarbiavimo saugumo srityje,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899</w:t>
      </w:r>
      <w:r>
        <w:rPr>
          <w:rStyle w:val="HideTWBExt"/>
        </w:rPr>
        <w:t>&lt;/NumAm&gt;</w:t>
      </w:r>
    </w:p>
    <w:p w:rsidR="00A47A16" w:rsidRPr="00080AF4" w:rsidRDefault="00A47A16" w:rsidP="00A47A16">
      <w:pPr>
        <w:pStyle w:val="NormalBold"/>
      </w:pPr>
      <w:r>
        <w:rPr>
          <w:rStyle w:val="HideTWBExt"/>
          <w:b w:val="0"/>
        </w:rPr>
        <w:t>&lt;RepeatBlock-By&gt;&lt;Members&gt;</w:t>
      </w:r>
      <w:r>
        <w:t>Marc Botenga, Rima Hassan</w:t>
      </w:r>
      <w:r>
        <w:rPr>
          <w:rStyle w:val="HideTWBExt"/>
          <w:b w:val="0"/>
        </w:rPr>
        <w:t>&lt;/Members&gt;</w:t>
      </w:r>
    </w:p>
    <w:p w:rsidR="00A47A16" w:rsidRPr="00080AF4" w:rsidRDefault="00A47A16" w:rsidP="00A47A16">
      <w:r>
        <w:rPr>
          <w:rStyle w:val="HideTWBExt"/>
        </w:rPr>
        <w:t>&lt;AuNomDe&gt;</w:t>
      </w:r>
      <w:r>
        <w:rPr>
          <w:rStyle w:val="HideTWBInt"/>
        </w:rPr>
        <w:t>{The Left}</w:t>
      </w:r>
      <w:r>
        <w:t>The Left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37b.</w:t>
            </w:r>
            <w:r>
              <w:tab/>
            </w:r>
            <w:r>
              <w:rPr>
                <w:b/>
                <w:i/>
              </w:rPr>
              <w:t>ragina valstybes nares refinansuoti savo diplomatines įstaigas, kurioms pastaraisiais metais buvo drastiškai sumažintas finansavimas; apgailestauja dėl Prancūzijos ir Belgijos diplomatinio korpuso silpnėjimo;</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900</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37c.</w:t>
            </w:r>
            <w:r>
              <w:tab/>
            </w:r>
            <w:r>
              <w:rPr>
                <w:b/>
                <w:i/>
              </w:rPr>
              <w:t xml:space="preserve">ragina ES ir jos valstybes nares geriau kovoti su sankcijų apėjimu, daugiausia dėmesio skiriant, </w:t>
            </w:r>
            <w:r>
              <w:rPr>
                <w:b/>
              </w:rPr>
              <w:t>inter alia</w:t>
            </w:r>
            <w:r>
              <w:rPr>
                <w:b/>
                <w:i/>
              </w:rPr>
              <w:t>, tarptautinio bendradarbiavimo šioje srityje stiprinimui;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901</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38.</w:t>
            </w:r>
            <w:r>
              <w:tab/>
            </w:r>
            <w:r>
              <w:rPr>
                <w:b/>
                <w:i/>
              </w:rPr>
              <w:t>ragina stiprinti EIVT – tiek jos būstinę, tiek ES delegacijas – suteikiant tinkamus finansinius ir žmogiškuosius išteklius, kad ES galėtų geriau pasirengti dabartiniams ir kylantiems pasauliniams iššūkiams; ragina Komisijos pirmininko pavaduotoją ir Sąjungos vyriausiąjį įgaliotinį skubiai pateikti pasiūlymų dėl būsimos ES išorės veiksmų veiklos struktūros;</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902</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38.</w:t>
            </w:r>
            <w:r>
              <w:tab/>
              <w:t>ragina stiprinti EIVT – tiek jos būstinę, tiek ES delegacijas – suteikiant tinkamus finansinius ir žmogiškuosius išteklius, kad ES galėtų geriau pasirengti dabartiniams ir kylantiems pasauliniams iššūkiams; ragina Komisijos pirmininko pavaduotoją ir Sąjungos vyriausiąjį įgaliotinį skubiai pateikti pasiūlymų dėl būsimos ES išorės veiksmų veiklos struktūros;</w:t>
            </w:r>
          </w:p>
        </w:tc>
        <w:tc>
          <w:tcPr>
            <w:tcW w:w="4876" w:type="dxa"/>
            <w:tcBorders>
              <w:top w:val="nil"/>
              <w:left w:val="nil"/>
              <w:bottom w:val="nil"/>
              <w:right w:val="nil"/>
            </w:tcBorders>
          </w:tcPr>
          <w:p w:rsidR="00A47A16" w:rsidRPr="00080AF4" w:rsidRDefault="00A47A16" w:rsidP="00BA0C71">
            <w:pPr>
              <w:pStyle w:val="Normal6a"/>
            </w:pPr>
            <w:r>
              <w:t>38.</w:t>
            </w:r>
            <w:r>
              <w:tab/>
              <w:t xml:space="preserve">ragina stiprinti EIVT – tiek jos būstinę, tiek ES delegacijas – suteikiant tinkamus finansinius ir žmogiškuosius išteklius, kad ES galėtų geriau pasirengti dabartiniams ir kylantiems pasauliniams iššūkiams; ragina </w:t>
            </w:r>
            <w:r>
              <w:rPr>
                <w:b/>
                <w:i/>
              </w:rPr>
              <w:t xml:space="preserve">EIVT turėti galimybę atrinkti ir įdarbinti savo nuolatinius ES diplomatinius darbuotojus ir užtikrinti teisingesnę lyčių ir geografinę pusiausvyrą tarp valstybių narių visais EIVT lygmenimis; ragina </w:t>
            </w:r>
            <w:r>
              <w:t>Komisijos pirmininko pavaduotoją ir Sąjungos vyriausiąjį įgaliotinį skubiai pateikti pasiūlymų dėl būsimos ES išorės veiksmų veiklos struktūros</w:t>
            </w:r>
            <w:r>
              <w:rPr>
                <w:b/>
                <w:i/>
              </w:rPr>
              <w:t xml:space="preserve"> ir visapusiškai atsižvelgti į EP rezoliuciją dėl EIVT veikimo apžvalgos ir stipresnio ES vaidmens pasaulyje</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903</w:t>
      </w:r>
      <w:r>
        <w:rPr>
          <w:rStyle w:val="HideTWBExt"/>
        </w:rPr>
        <w:t>&lt;/NumAm&gt;</w:t>
      </w:r>
    </w:p>
    <w:p w:rsidR="00A47A16" w:rsidRPr="00080AF4" w:rsidRDefault="00A47A16" w:rsidP="00A47A16">
      <w:pPr>
        <w:pStyle w:val="NormalBold"/>
      </w:pPr>
      <w:r>
        <w:rPr>
          <w:rStyle w:val="HideTWBExt"/>
          <w:b w:val="0"/>
        </w:rPr>
        <w:t>&lt;RepeatBlock-By&gt;&lt;Members&gt;</w:t>
      </w:r>
      <w:r>
        <w:t>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38.</w:t>
            </w:r>
            <w:r>
              <w:tab/>
              <w:t xml:space="preserve">ragina </w:t>
            </w:r>
            <w:r>
              <w:rPr>
                <w:b/>
                <w:i/>
              </w:rPr>
              <w:t>stiprinti</w:t>
            </w:r>
            <w:r>
              <w:t xml:space="preserve"> EIVT</w:t>
            </w:r>
            <w:r>
              <w:rPr>
                <w:b/>
                <w:i/>
              </w:rPr>
              <w:t> </w:t>
            </w:r>
            <w:r>
              <w:t xml:space="preserve">– tiek jos </w:t>
            </w:r>
            <w:r>
              <w:rPr>
                <w:b/>
                <w:i/>
              </w:rPr>
              <w:t>būstinę</w:t>
            </w:r>
            <w:r>
              <w:t xml:space="preserve">, tiek ES </w:t>
            </w:r>
            <w:r>
              <w:rPr>
                <w:b/>
                <w:i/>
              </w:rPr>
              <w:t>delegacijas – suteikiant tinkamus finansinius ir žmogiškuosius išteklius, kad ES galėtų geriau pasirengti dabartiniams ir kylantiems pasauliniams iššūkiams;</w:t>
            </w:r>
            <w:r>
              <w:t xml:space="preserve"> </w:t>
            </w:r>
            <w:r>
              <w:rPr>
                <w:b/>
                <w:i/>
              </w:rPr>
              <w:t>ragina Komisijos pirmininko pavaduotoją ir Sąjungos vyriausiąjį įgaliotinį skubiai pateikti pasiūlymų dėl būsimos ES išorės veiksmų veiklos struktūros;</w:t>
            </w:r>
          </w:p>
        </w:tc>
        <w:tc>
          <w:tcPr>
            <w:tcW w:w="4876" w:type="dxa"/>
            <w:tcBorders>
              <w:top w:val="nil"/>
              <w:left w:val="nil"/>
              <w:bottom w:val="nil"/>
              <w:right w:val="nil"/>
            </w:tcBorders>
          </w:tcPr>
          <w:p w:rsidR="00A47A16" w:rsidRPr="00080AF4" w:rsidRDefault="00A47A16" w:rsidP="00BA0C71">
            <w:pPr>
              <w:pStyle w:val="Normal6a"/>
            </w:pPr>
            <w:r>
              <w:t>38.</w:t>
            </w:r>
            <w:r>
              <w:tab/>
              <w:t xml:space="preserve">ragina </w:t>
            </w:r>
            <w:r>
              <w:rPr>
                <w:b/>
                <w:i/>
              </w:rPr>
              <w:t>nutraukti</w:t>
            </w:r>
            <w:r>
              <w:t xml:space="preserve"> EIVT – tiek jos </w:t>
            </w:r>
            <w:r>
              <w:rPr>
                <w:b/>
                <w:i/>
              </w:rPr>
              <w:t>būstinės</w:t>
            </w:r>
            <w:r>
              <w:t xml:space="preserve">, tiek ES </w:t>
            </w:r>
            <w:r>
              <w:rPr>
                <w:b/>
                <w:i/>
              </w:rPr>
              <w:t>delegacijų – veiklą</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904</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38.</w:t>
            </w:r>
            <w:r>
              <w:tab/>
            </w:r>
            <w:r>
              <w:rPr>
                <w:b/>
                <w:i/>
              </w:rPr>
              <w:t>ragina stiprinti EIVT – tiek jos būstinę, tiek ES delegacijas – suteikiant tinkamus finansinius ir žmogiškuosius išteklius, kad ES galėtų geriau pasirengti dabartiniams ir kylantiems pasauliniams iššūkiams;</w:t>
            </w:r>
            <w:r>
              <w:t xml:space="preserve"> ragina Komisijos pirmininko pavaduotoją ir Sąjungos vyriausiąjį įgaliotinį skubiai pateikti pasiūlymų dėl būsimos ES išorės veiksmų veiklos struktūros;</w:t>
            </w:r>
          </w:p>
        </w:tc>
        <w:tc>
          <w:tcPr>
            <w:tcW w:w="4876" w:type="dxa"/>
            <w:tcBorders>
              <w:top w:val="nil"/>
              <w:left w:val="nil"/>
              <w:bottom w:val="nil"/>
              <w:right w:val="nil"/>
            </w:tcBorders>
          </w:tcPr>
          <w:p w:rsidR="00A47A16" w:rsidRPr="00080AF4" w:rsidRDefault="00A47A16" w:rsidP="00BA0C71">
            <w:pPr>
              <w:pStyle w:val="Normal6a"/>
            </w:pPr>
            <w:r>
              <w:t>38.</w:t>
            </w:r>
            <w:r>
              <w:tab/>
              <w:t>ragina Komisijos pirmininko pavaduotoją ir Sąjungos vyriausiąjį įgaliotinį skubiai pateikti pasiūlymų dėl būsimos ES išorės veiksmų veiklos struktūros;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905</w:t>
      </w:r>
      <w:r>
        <w:rPr>
          <w:rStyle w:val="HideTWBExt"/>
        </w:rPr>
        <w:t>&lt;/NumAm&gt;</w:t>
      </w:r>
    </w:p>
    <w:p w:rsidR="00A47A16" w:rsidRPr="00080AF4" w:rsidRDefault="00A47A16" w:rsidP="00A47A16">
      <w:pPr>
        <w:pStyle w:val="NormalBold"/>
      </w:pPr>
      <w:r>
        <w:rPr>
          <w:rStyle w:val="HideTWBExt"/>
          <w:b w:val="0"/>
        </w:rPr>
        <w:t>&lt;RepeatBlock-By&gt;&lt;Members&gt;</w:t>
      </w:r>
      <w:r>
        <w:t>Adam Bielan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38.</w:t>
            </w:r>
            <w:r>
              <w:tab/>
              <w:t>ragina stiprinti EIVT – tiek jos būstinę, tiek ES delegacijas – suteikiant tinkamus finansinius ir žmogiškuosius išteklius, kad ES galėtų geriau pasirengti dabartiniams ir kylantiems pasauliniams iššūkiams; ragina Komisijos pirmininko pavaduotoją ir Sąjungos vyriausiąjį įgaliotinį skubiai pateikti pasiūlymų dėl būsimos ES išorės veiksmų veiklos struktūros;</w:t>
            </w:r>
          </w:p>
        </w:tc>
        <w:tc>
          <w:tcPr>
            <w:tcW w:w="4876" w:type="dxa"/>
            <w:tcBorders>
              <w:top w:val="nil"/>
              <w:left w:val="nil"/>
              <w:bottom w:val="nil"/>
              <w:right w:val="nil"/>
            </w:tcBorders>
          </w:tcPr>
          <w:p w:rsidR="00A47A16" w:rsidRPr="00080AF4" w:rsidRDefault="00A47A16" w:rsidP="00BA0C71">
            <w:pPr>
              <w:pStyle w:val="Normal6a"/>
            </w:pPr>
            <w:r>
              <w:t>38.</w:t>
            </w:r>
            <w:r>
              <w:tab/>
              <w:t xml:space="preserve">ragina stiprinti EIVT – tiek jos būstinę, tiek ES delegacijas – suteikiant tinkamus finansinius ir žmogiškuosius išteklius, kad ES galėtų geriau pasirengti dabartiniams ir kylantiems pasauliniams iššūkiams; ragina </w:t>
            </w:r>
            <w:r>
              <w:rPr>
                <w:b/>
                <w:i/>
              </w:rPr>
              <w:t xml:space="preserve">užtikrinti geresnį geografinį atstovavimą valstybėms narėms, kartu skiriant asmenis į ES delegacijų vadovų pareigas; ragina </w:t>
            </w:r>
            <w:r>
              <w:t>Komisijos pirmininko pavaduotoją ir Sąjungos vyriausiąjį įgaliotinį skubiai pateikti pasiūlymų dėl būsimos ES išorės veiksmų veiklos struktūros;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906</w:t>
      </w:r>
      <w:r>
        <w:rPr>
          <w:rStyle w:val="HideTWBExt"/>
        </w:rPr>
        <w:t>&lt;/NumAm&gt;</w:t>
      </w:r>
    </w:p>
    <w:p w:rsidR="00A47A16" w:rsidRPr="00080AF4" w:rsidRDefault="00A47A16" w:rsidP="00A47A16">
      <w:pPr>
        <w:pStyle w:val="NormalBold"/>
      </w:pPr>
      <w:r>
        <w:rPr>
          <w:rStyle w:val="HideTWBExt"/>
          <w:b w:val="0"/>
        </w:rPr>
        <w:t>&lt;RepeatBlock-By&gt;&lt;Members&gt;</w:t>
      </w:r>
      <w:r>
        <w:t>Sebastiaan Stöteler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38.</w:t>
            </w:r>
            <w:r>
              <w:tab/>
            </w:r>
            <w:r>
              <w:rPr>
                <w:b/>
                <w:i/>
              </w:rPr>
              <w:t>ragina stiprinti EIVT – tiek jos būstinę, tiek ES delegacijas – suteikiant tinkamus finansinius ir žmogiškuosius išteklius, kad ES galėtų geriau pasirengti dabartiniams ir kylantiems pasauliniams iššūkiams;</w:t>
            </w:r>
            <w:r>
              <w:t xml:space="preserve"> ragina Komisijos pirmininko pavaduotoją ir Sąjungos vyriausiąjį įgaliotinį skubiai pateikti pasiūlymų dėl būsimos ES išorės veiksmų veiklos struktūros;</w:t>
            </w:r>
          </w:p>
        </w:tc>
        <w:tc>
          <w:tcPr>
            <w:tcW w:w="4876" w:type="dxa"/>
            <w:tcBorders>
              <w:top w:val="nil"/>
              <w:left w:val="nil"/>
              <w:bottom w:val="nil"/>
              <w:right w:val="nil"/>
            </w:tcBorders>
          </w:tcPr>
          <w:p w:rsidR="00A47A16" w:rsidRPr="00080AF4" w:rsidRDefault="00A47A16" w:rsidP="00BA0C71">
            <w:pPr>
              <w:pStyle w:val="Normal6a"/>
            </w:pPr>
            <w:r>
              <w:t>38.</w:t>
            </w:r>
            <w:r>
              <w:tab/>
              <w:t xml:space="preserve">ragina Komisijos pirmininko pavaduotoją ir Sąjungos vyriausiąjį įgaliotinį skubiai pateikti pasiūlymų dėl būsimos ES išorės veiksmų veiklos struktūros; </w:t>
            </w:r>
            <w:r>
              <w:rPr>
                <w:b/>
                <w:i/>
              </w:rPr>
              <w:t>pabrėžia, kad ES diplomatija negali pakeisti valstybių narių užsienio politikos;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907</w:t>
      </w:r>
      <w:r>
        <w:rPr>
          <w:rStyle w:val="HideTWBExt"/>
        </w:rPr>
        <w:t>&lt;/NumAm&gt;</w:t>
      </w:r>
    </w:p>
    <w:p w:rsidR="00A47A16" w:rsidRPr="00080AF4" w:rsidRDefault="00A47A16" w:rsidP="00A47A16">
      <w:pPr>
        <w:pStyle w:val="NormalBold"/>
      </w:pPr>
      <w:r>
        <w:rPr>
          <w:rStyle w:val="HideTWBExt"/>
          <w:b w:val="0"/>
        </w:rPr>
        <w:t>&lt;RepeatBlock-By&gt;&lt;Members&gt;</w:t>
      </w:r>
      <w:r>
        <w:t>Mariusz Kamiński, Michał Dworczyk</w:t>
      </w:r>
      <w:r>
        <w:rPr>
          <w:rStyle w:val="HideTWBExt"/>
          <w:b w:val="0"/>
        </w:rPr>
        <w:t>&lt;/Members&gt;</w:t>
      </w:r>
    </w:p>
    <w:p w:rsidR="00A47A16" w:rsidRPr="00080AF4" w:rsidRDefault="00A47A16" w:rsidP="00A47A16">
      <w:r>
        <w:rPr>
          <w:rStyle w:val="HideTWBExt"/>
        </w:rPr>
        <w:t>&lt;AuNomDe&gt;</w:t>
      </w:r>
      <w:r>
        <w:rPr>
          <w:rStyle w:val="HideTWBInt"/>
        </w:rPr>
        <w:t>{ECR}</w:t>
      </w:r>
      <w:r>
        <w:t>ECR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38.</w:t>
            </w:r>
            <w:r>
              <w:tab/>
              <w:t>ragina stiprinti EIVT – tiek jos būstinę, tiek ES delegacijas – suteikiant tinkamus finansinius ir žmogiškuosius išteklius, kad ES galėtų geriau pasirengti dabartiniams ir kylantiems pasauliniams iššūkiams; ragina Komisijos pirmininko pavaduotoją ir Sąjungos vyriausiąjį įgaliotinį skubiai pateikti pasiūlymų dėl būsimos ES išorės veiksmų veiklos struktūros;</w:t>
            </w:r>
          </w:p>
        </w:tc>
        <w:tc>
          <w:tcPr>
            <w:tcW w:w="4876" w:type="dxa"/>
            <w:tcBorders>
              <w:top w:val="nil"/>
              <w:left w:val="nil"/>
              <w:bottom w:val="nil"/>
              <w:right w:val="nil"/>
            </w:tcBorders>
          </w:tcPr>
          <w:p w:rsidR="00A47A16" w:rsidRPr="00080AF4" w:rsidRDefault="00A47A16" w:rsidP="00BA0C71">
            <w:pPr>
              <w:pStyle w:val="Normal6a"/>
            </w:pPr>
            <w:r>
              <w:t>38.</w:t>
            </w:r>
            <w:r>
              <w:tab/>
              <w:t xml:space="preserve">ragina stiprinti EIVT – tiek jos būstinę, tiek ES delegacijas – suteikiant tinkamus finansinius ir žmogiškuosius išteklius, kad ES galėtų geriau pasirengti dabartiniams ir kylantiems pasauliniams iššūkiams; ragina Komisijos pirmininko pavaduotoją ir Sąjungos vyriausiąjį įgaliotinį skubiai pateikti pasiūlymų dėl būsimos ES išorės veiksmų veiklos struktūros; </w:t>
            </w:r>
            <w:r>
              <w:rPr>
                <w:b/>
                <w:i/>
              </w:rPr>
              <w:t>ragina vyriausiąjį įgaliotinį ir Komisijos pirmininko pavaduotoją pasiekti geografinę pusiausvyrą EIVT, ypač aukštesniu lygmeniu;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908</w:t>
      </w:r>
      <w:r>
        <w:rPr>
          <w:rStyle w:val="HideTWBExt"/>
        </w:rPr>
        <w:t>&lt;/NumAm&gt;</w:t>
      </w:r>
    </w:p>
    <w:p w:rsidR="00A47A16" w:rsidRPr="00080AF4" w:rsidRDefault="00A47A16" w:rsidP="00A47A16">
      <w:pPr>
        <w:pStyle w:val="NormalBold"/>
      </w:pPr>
      <w:r>
        <w:rPr>
          <w:rStyle w:val="HideTWBExt"/>
          <w:b w:val="0"/>
        </w:rPr>
        <w:t>&lt;RepeatBlock-By&gt;&lt;Members&gt;</w:t>
      </w:r>
      <w:r>
        <w:t>Alexander Sell</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38.</w:t>
            </w:r>
            <w:r>
              <w:tab/>
            </w:r>
            <w:r>
              <w:rPr>
                <w:b/>
                <w:i/>
              </w:rPr>
              <w:t>ragina stiprinti EIVT – tiek jos būstinę, tiek ES delegacijas – suteikiant tinkamus finansinius</w:t>
            </w:r>
            <w:r>
              <w:t xml:space="preserve"> ir </w:t>
            </w:r>
            <w:r>
              <w:rPr>
                <w:b/>
                <w:i/>
              </w:rPr>
              <w:t>žmogiškuosius išteklius, kad ES galėtų geriau pasirengti dabartiniams ir kylantiems pasauliniams iššūkiams</w:t>
            </w:r>
            <w:r>
              <w:t>; ragina Komisijos pirmininko pavaduotoją ir Sąjungos vyriausiąjį įgaliotinį skubiai pateikti pasiūlymų dėl būsimos ES išorės veiksmų veiklos struktūros;</w:t>
            </w:r>
          </w:p>
        </w:tc>
        <w:tc>
          <w:tcPr>
            <w:tcW w:w="4876" w:type="dxa"/>
            <w:tcBorders>
              <w:top w:val="nil"/>
              <w:left w:val="nil"/>
              <w:bottom w:val="nil"/>
              <w:right w:val="nil"/>
            </w:tcBorders>
          </w:tcPr>
          <w:p w:rsidR="00A47A16" w:rsidRPr="00080AF4" w:rsidRDefault="00A47A16" w:rsidP="00BA0C71">
            <w:pPr>
              <w:pStyle w:val="Normal6a"/>
            </w:pPr>
            <w:r>
              <w:t>38.</w:t>
            </w:r>
            <w:r>
              <w:tab/>
            </w:r>
            <w:r>
              <w:rPr>
                <w:b/>
                <w:i/>
              </w:rPr>
              <w:t>rekomenduoja taikyti supaprastintą požiūrį į EIVT finansavimą, daugiausia dėmesio skiriant esminėms misijoms</w:t>
            </w:r>
            <w:r>
              <w:t xml:space="preserve"> ir </w:t>
            </w:r>
            <w:r>
              <w:rPr>
                <w:b/>
                <w:i/>
              </w:rPr>
              <w:t>vengiant pernelyg didelių asignavimų, kurie gali apsunkinti ES biudžetą</w:t>
            </w:r>
            <w:r>
              <w:t>; ragina Komisijos pirmininko pavaduotoją ir Sąjungos vyriausiąjį įgaliotinį skubiai pateikti pasiūlymų dėl būsimos ES išorės veiksmų veiklos struktūros;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909</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 Roberto Vannacci</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38.</w:t>
            </w:r>
            <w:r>
              <w:tab/>
              <w:t>ragina stiprinti EIVT – tiek jos būstinę, tiek ES delegacijas</w:t>
            </w:r>
            <w:r>
              <w:rPr>
                <w:b/>
                <w:i/>
              </w:rPr>
              <w:t> – suteikiant tinkamus finansinius ir žmogiškuosius išteklius</w:t>
            </w:r>
            <w:r>
              <w:t>, kad ES galėtų geriau pasirengti dabartiniams ir kylantiems pasauliniams iššūkiams; ragina Komisijos pirmininko pavaduotoją ir Sąjungos vyriausiąjį įgaliotinį skubiai pateikti pasiūlymų dėl būsimos ES išorės veiksmų veiklos struktūros;</w:t>
            </w:r>
          </w:p>
        </w:tc>
        <w:tc>
          <w:tcPr>
            <w:tcW w:w="4876" w:type="dxa"/>
            <w:tcBorders>
              <w:top w:val="nil"/>
              <w:left w:val="nil"/>
              <w:bottom w:val="nil"/>
              <w:right w:val="nil"/>
            </w:tcBorders>
          </w:tcPr>
          <w:p w:rsidR="00A47A16" w:rsidRPr="00080AF4" w:rsidRDefault="00A47A16" w:rsidP="00BA0C71">
            <w:pPr>
              <w:pStyle w:val="Normal6a"/>
            </w:pPr>
            <w:r>
              <w:t>38.</w:t>
            </w:r>
            <w:r>
              <w:tab/>
              <w:t>ragina stiprinti EIVT – tiek jos būstinę, tiek ES delegacijas, kad ES galėtų geriau pasirengti dabartiniams ir kylantiems pasauliniams iššūkiams; ragina Komisijos pirmininko pavaduotoją ir Sąjungos vyriausiąjį įgaliotinį skubiai pateikti pasiūlymų dėl būsimos ES išorės veiksmų veiklos struktūros;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910</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38a.</w:t>
            </w:r>
            <w:r>
              <w:tab/>
            </w:r>
            <w:r>
              <w:rPr>
                <w:b/>
                <w:i/>
              </w:rPr>
              <w:t>ragina Sąjungos vyriausiąjį įgaliotinį užsienio reikalams ir saugumo politikai ir Komisijos pirmininko pavaduotoją skatinti įtikinamą, ilgalaikį ir tikslingą demokratinį naratyvą, kuriuo parodoma, kad demokratija teikia naudą asmenims ir visuomenei visame pasaulyje ir gali atlaikyti autokratinį spaudimą bei įtaką; apgailestauja dėl to, kad Kinijos Liaudies Respublika, Rusija, Iranas ir kiti totalitariniai ar autoritariniai režimai naudoja manipuliavimą informacija ir piktavališką kišimąsi kaip neatsiejamas priemones, kuriomis siekiama daryti spaudimą daugiašalėms institucijoms ir demokratinėms vertybėms bei normoms, panaikinti piktnaudžiavimo valdžia kontrolę, dažniau vykdyti vis sunkesnius žmogaus teisių pažeidimus, apriboti pilietinės visuomenės, nepriklausomos žiniasklaidos ir demokratinių opozicijos judėjimų erdvę bei skleisti prieš Vakarus nukreiptą dezinformaciją;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911</w:t>
      </w:r>
      <w:r>
        <w:rPr>
          <w:rStyle w:val="HideTWBExt"/>
        </w:rPr>
        <w:t>&lt;/NumAm&gt;</w:t>
      </w:r>
    </w:p>
    <w:p w:rsidR="00A47A16" w:rsidRPr="00080AF4" w:rsidRDefault="00A47A16" w:rsidP="00A47A16">
      <w:pPr>
        <w:pStyle w:val="NormalBold"/>
      </w:pPr>
      <w:r>
        <w:rPr>
          <w:rStyle w:val="HideTWBExt"/>
          <w:b w:val="0"/>
        </w:rPr>
        <w:t>&lt;RepeatBlock-By&gt;&lt;Members&gt;</w:t>
      </w:r>
      <w:r>
        <w:t>Andrey Kovatchev</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38a.</w:t>
            </w:r>
            <w:r>
              <w:tab/>
            </w:r>
            <w:r>
              <w:rPr>
                <w:b/>
                <w:i/>
              </w:rPr>
              <w:t>primygtinai ragina Komisiją ir EIVT dėti daugiau pastangų kovojant su užsienio vykdomu manipuliavimu informacija ir kišimusi (FIMI); remia žadėtą sukurti Europos demokratijos skydą, skirtą apgaulingam internetiniam turiniui aptikti, sekti ir ištrinti, taip stiprinant ES gebėjimą kovoti su užsienio vykdomu manipuliavimu informacija ir kišimusi ir didinant paramą demokratijos apsaugai trečiosiose šalyse, ypač ES kaimyninėse šalyse; ragina EIVT ir ES delegacijas trečiosiose šalyse toliau stiprinti savo atitinkamus pajėgumus kovojant su dezinformacija ir propaganda, susijusia su ES BUSP;</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912</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38a.</w:t>
            </w:r>
            <w:r>
              <w:tab/>
            </w:r>
            <w:r>
              <w:rPr>
                <w:b/>
                <w:i/>
              </w:rPr>
              <w:t>pabrėžia būtinybę nustatyti būdus, kaip Europos diplomatijos akademijos absolventai gali gauti darbą EIVT ir tapti nuolatiniais jos darbuotojais; ragina, kad ši akademija į savo atrankos, įdarbinimo ir mokymo sistemą įtrauktų Europos gyventojus, kurie nėra valstybių narių diplomatai ir yra baigę aukštąjį mokslą; pabrėžia, jog svarbu užtikrinti, kad akademijai būtų skirta pakankamai išteklių, įskaitant žmogiškuosius išteklius;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913</w:t>
      </w:r>
      <w:r>
        <w:rPr>
          <w:rStyle w:val="HideTWBExt"/>
        </w:rPr>
        <w:t>&lt;/NumAm&gt;</w:t>
      </w:r>
    </w:p>
    <w:p w:rsidR="00A47A16" w:rsidRPr="00080AF4" w:rsidRDefault="00A47A16" w:rsidP="00A47A16">
      <w:pPr>
        <w:pStyle w:val="NormalBold"/>
      </w:pPr>
      <w:r>
        <w:rPr>
          <w:rStyle w:val="HideTWBExt"/>
          <w:b w:val="0"/>
        </w:rPr>
        <w:t>&lt;RepeatBlock-By&gt;&lt;Members&gt;</w:t>
      </w:r>
      <w:r>
        <w:t>Nathalie Loiseau, Urmas Paet, Hilde Vautmans, Lucia Yar, Petras Auštrevičius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38a.</w:t>
            </w:r>
            <w:r>
              <w:tab/>
            </w:r>
            <w:r>
              <w:rPr>
                <w:b/>
                <w:i/>
              </w:rPr>
              <w:t>primena, kad apie bet kokią Sąjungos veiklą, vykdomą jos rytinėse ir pietinėse kaimyninėse šalyse, visų pirma Ukrainoje ir Moldovoje, turėtų būti tinkamai informuojama, kad būtų užtikrintas ES veiksmų matomumas ir užkirstas kelias piktavališkai užsienio subjektų retorikai, kuria siekiama skleisti neteisėtą prieš ES nukreiptą naratyvą;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914</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38a.</w:t>
            </w:r>
            <w:r>
              <w:tab/>
            </w:r>
            <w:r>
              <w:rPr>
                <w:b/>
                <w:i/>
              </w:rPr>
              <w:t>apgailestauja dėl to, kad EIVT savo komunikacijoje pernelyg dažnai vartoja anglų kalbą; prašo, kad EIVT komunikacijoje prancūzų kalba būtų vartojama tuo pačiu lygmeniu kaip anglų kalba;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915</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38b.</w:t>
            </w:r>
            <w:r>
              <w:tab/>
            </w:r>
            <w:r>
              <w:rPr>
                <w:b/>
                <w:i/>
              </w:rPr>
              <w:t>pakartoja, kad ES ir jos valstybės narės turi toliau integruoti paramą demokratijai programuodamos ES finansines priemones, ir atsižvelgdamas į tai pabrėžia, kad reikia atitinkamas ES delegacijas aprūpinti tinkamomis priemonėmis, kad būtų plečiama viešosios diplomatijos veikla ir plėtojami jų strateginės komunikacijos pajėgumai siekiant kovoti su dezinformacija bei propaganda;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916</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38b.</w:t>
            </w:r>
            <w:r>
              <w:tab/>
            </w:r>
            <w:r>
              <w:rPr>
                <w:b/>
                <w:i/>
              </w:rPr>
              <w:t>pakartoja savo raginimą skatinti sukurti automatinio ir nuolatinio žvalgybos duomenų srauto iš valstybių narių į EIVT užsienio reikalų ir saugumo klausimais, kylančiais už Sąjungos ribų, sistemą; primygtinai ragina pagerinti tarnybų, dirbančių su žvalgyboje ir (arba) su neskelbtina informacija, saugumo protokolus;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917</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38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38c.</w:t>
            </w:r>
            <w:r>
              <w:tab/>
            </w:r>
            <w:r>
              <w:rPr>
                <w:b/>
                <w:i/>
              </w:rPr>
              <w:t>palankiai vertina tai, kad įgyvendinamas bandomasis projektas „Pastangos įsteigti Europos diplomatijos akademiją“; ragina sukurti nuolatinę struktūrą, kuri būtų remiama reikiamais ištekliais; ragina išnagrinėti ir priimti sprendimą dėl būdų, kaip šios akademijos studijas baigusiems asmenims patekti į EIVT, nes taip būtų galima prisidėti prie visapusiško savarankiškos ES diplomatijos, grindžiamos ES perspektyva paremta bendra diplomatine kultūra, sukūrimo; pakartoja savo raginimą Komisijai sukurti nuolatinę stacionariąją mokymo ES išorės veiksmų ir BUSP klausimais programą jaunesniesiems diplomatams iš ES šalių kandidačių;</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918</w:t>
      </w:r>
      <w:r>
        <w:rPr>
          <w:rStyle w:val="HideTWBExt"/>
        </w:rPr>
        <w:t>&lt;/NumAm&gt;</w:t>
      </w:r>
    </w:p>
    <w:p w:rsidR="00A47A16" w:rsidRPr="00080AF4" w:rsidRDefault="00A47A16" w:rsidP="00A47A16">
      <w:pPr>
        <w:pStyle w:val="NormalBold"/>
      </w:pPr>
      <w:r>
        <w:rPr>
          <w:rStyle w:val="HideTWBExt"/>
          <w:b w:val="0"/>
        </w:rPr>
        <w:t>&lt;RepeatBlock-By&gt;&lt;Members&gt;</w:t>
      </w:r>
      <w:r>
        <w:t>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39.</w:t>
            </w:r>
            <w:r>
              <w:tab/>
            </w:r>
            <w:r>
              <w:rPr>
                <w:b/>
                <w:i/>
              </w:rPr>
              <w:t>ragina Komisiją veiksmingai ir greitai pasinaudoti strategija „Global Gateway“, nes ji yra tvari Kinijos iniciatyvos „Viena juosta, vienas kelias“ alternatyva ir priemonė ES dalyvavimui ir matomumui visame pasaulyje padidinti;</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919</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39.</w:t>
            </w:r>
            <w:r>
              <w:tab/>
            </w:r>
            <w:r>
              <w:rPr>
                <w:b/>
                <w:i/>
              </w:rPr>
              <w:t>ragina Komisiją veiksmingai ir greitai pasinaudoti strategija „Global Gateway“, nes ji yra tvari Kinijos iniciatyvos „Viena juosta, vienas kelias“ alternatyva ir priemonė ES dalyvavimui ir matomumui visame pasaulyje padidinti;</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920</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39.</w:t>
            </w:r>
            <w:r>
              <w:tab/>
              <w:t>ragina Komisiją veiksmingai ir greitai pasinaudoti strategija „Global Gateway“, nes ji yra tvari Kinijos iniciatyvos „Viena juosta, vienas kelias“ alternatyva ir priemonė ES dalyvavimui ir matomumui visame pasaulyje padidinti;</w:t>
            </w:r>
          </w:p>
        </w:tc>
        <w:tc>
          <w:tcPr>
            <w:tcW w:w="4876" w:type="dxa"/>
            <w:tcBorders>
              <w:top w:val="nil"/>
              <w:left w:val="nil"/>
              <w:bottom w:val="nil"/>
              <w:right w:val="nil"/>
            </w:tcBorders>
          </w:tcPr>
          <w:p w:rsidR="00A47A16" w:rsidRPr="00080AF4" w:rsidRDefault="00A47A16" w:rsidP="00BA0C71">
            <w:pPr>
              <w:pStyle w:val="Normal6a"/>
            </w:pPr>
            <w:r>
              <w:t>39.</w:t>
            </w:r>
            <w:r>
              <w:tab/>
              <w:t xml:space="preserve">ragina Komisiją veiksmingai ir greitai pasinaudoti strategija „Global Gateway“, nes ji yra tvari Kinijos iniciatyvos „Viena juosta, vienas kelias“ alternatyva ir priemonė ES dalyvavimui ir matomumui visame pasaulyje padidinti; </w:t>
            </w:r>
            <w:r>
              <w:rPr>
                <w:b/>
                <w:i/>
              </w:rPr>
              <w:t>yra susirūpinęs dėl pranešimų, kad Kinijos įmonės įgyvendina keletą strategijos „Global Gateway“ projektų, tiesiogiai pažeisdamos iniciatyvos tikslus ir uždavinius, kurie apima, be kita ko, ES ekonominio saugumo stiprinimą ir ekonominio vystymosi rėmimą bei abipusiškai naudingas partnerystes su trečiosiomis šalimis; todėl ragina nedelsiant atlikti tyrimą ir pašalinti visas Kinijos įmones, dalyvaujančias įgyvendinant strategiją „Global Gateway“;</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921</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39.</w:t>
            </w:r>
            <w:r>
              <w:tab/>
              <w:t>ragina Komisiją veiksmingai ir greitai pasinaudoti strategija „Global Gateway“, nes ji yra tvari Kinijos iniciatyvos „Viena juosta, vienas kelias“ alternatyva ir priemonė ES dalyvavimui ir matomumui visame pasaulyje padidinti;</w:t>
            </w:r>
          </w:p>
        </w:tc>
        <w:tc>
          <w:tcPr>
            <w:tcW w:w="4876" w:type="dxa"/>
            <w:tcBorders>
              <w:top w:val="nil"/>
              <w:left w:val="nil"/>
              <w:bottom w:val="nil"/>
              <w:right w:val="nil"/>
            </w:tcBorders>
          </w:tcPr>
          <w:p w:rsidR="00A47A16" w:rsidRPr="00080AF4" w:rsidRDefault="00A47A16" w:rsidP="00BA0C71">
            <w:pPr>
              <w:pStyle w:val="Normal6a"/>
            </w:pPr>
            <w:r>
              <w:t>39.</w:t>
            </w:r>
            <w:r>
              <w:tab/>
              <w:t xml:space="preserve">ragina Komisiją veiksmingai ir greitai pasinaudoti strategija „Global Gateway“, nes ji yra tvari Kinijos iniciatyvos „Viena juosta, vienas kelias“ alternatyva ir priemonė ES dalyvavimui ir matomumui visame pasaulyje padidinti; </w:t>
            </w:r>
            <w:r>
              <w:rPr>
                <w:b/>
                <w:i/>
              </w:rPr>
              <w:t>primena, kad strategija „Global Gateway“ turi būti suprantama kaip strateginė koncepcija, integruojanti užsienio, ekonomikos ir vystymosi politiką; atsižvelgdamas į tai pabrėžia, jog, siekiant, kad priemonė būtų taikoma norimu mastu, būtina užtikrinti koordinavimą su tarptautinėmis finansų įstaigomis, aiškiai apibrėžtą privačiojo sektoriaus dalyvavimą ir specialiai pritaikytą strateginę komunikaciją;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922</w:t>
      </w:r>
      <w:r>
        <w:rPr>
          <w:rStyle w:val="HideTWBExt"/>
        </w:rPr>
        <w:t>&lt;/NumAm&gt;</w:t>
      </w:r>
    </w:p>
    <w:p w:rsidR="00A47A16" w:rsidRPr="00080AF4" w:rsidRDefault="00A47A16" w:rsidP="00A47A16">
      <w:pPr>
        <w:pStyle w:val="NormalBold"/>
      </w:pPr>
      <w:r>
        <w:rPr>
          <w:rStyle w:val="HideTWBExt"/>
          <w:b w:val="0"/>
        </w:rPr>
        <w:t>&lt;RepeatBlock-By&gt;&lt;Members&gt;</w:t>
      </w:r>
      <w:r>
        <w:t>Robert Biedroń, Sven Mikser, Marco Tarquinio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39.</w:t>
            </w:r>
            <w:r>
              <w:tab/>
              <w:t>ragina Komisiją veiksmingai ir greitai pasinaudoti strategija „Global Gateway“, nes ji yra tvari Kinijos iniciatyvos „Viena juosta, vienas kelias“ alternatyva ir priemonė ES dalyvavimui ir matomumui visame pasaulyje padidinti;</w:t>
            </w:r>
          </w:p>
        </w:tc>
        <w:tc>
          <w:tcPr>
            <w:tcW w:w="4876" w:type="dxa"/>
            <w:tcBorders>
              <w:top w:val="nil"/>
              <w:left w:val="nil"/>
              <w:bottom w:val="nil"/>
              <w:right w:val="nil"/>
            </w:tcBorders>
          </w:tcPr>
          <w:p w:rsidR="00A47A16" w:rsidRPr="00080AF4" w:rsidRDefault="00A47A16" w:rsidP="00BA0C71">
            <w:pPr>
              <w:pStyle w:val="Normal6a"/>
            </w:pPr>
            <w:r>
              <w:t>39.</w:t>
            </w:r>
            <w:r>
              <w:tab/>
              <w:t>ragina Komisiją veiksmingai ir greitai pasinaudoti strategija „Global Gateway“, nes ji yra tvari Kinijos iniciatyvos „Viena juosta, vienas kelias“ alternatyva ir priemonė ES dalyvavimui ir matomumui visame pasaulyje padidinti</w:t>
            </w:r>
            <w:r>
              <w:rPr>
                <w:b/>
                <w:i/>
              </w:rPr>
              <w:t>, nedarant poveikio pagrindiniam ES vystymosi politikos tikslui, t. y. panaikinti skurdą, kaip įtvirtinta SESV 208 straipsnyje, ir užtikrinti, kad visi KVTBP „Globali Europa“ pinigai būtų naudojami pagal reglamente nustatytas taisykles ir siekiant skatinti DVT įgyvendinimą;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923</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39.</w:t>
            </w:r>
            <w:r>
              <w:tab/>
              <w:t>ragina Komisiją veiksmingai ir greitai pasinaudoti strategija „Global Gateway“, nes ji yra tvari Kinijos iniciatyvos „Viena juosta, vienas kelias“ alternatyva ir priemonė ES dalyvavimui ir matomumui visame pasaulyje padidinti;</w:t>
            </w:r>
          </w:p>
        </w:tc>
        <w:tc>
          <w:tcPr>
            <w:tcW w:w="4876" w:type="dxa"/>
            <w:tcBorders>
              <w:top w:val="nil"/>
              <w:left w:val="nil"/>
              <w:bottom w:val="nil"/>
              <w:right w:val="nil"/>
            </w:tcBorders>
          </w:tcPr>
          <w:p w:rsidR="00A47A16" w:rsidRPr="00080AF4" w:rsidRDefault="00A47A16" w:rsidP="00BA0C71">
            <w:pPr>
              <w:pStyle w:val="Normal6a"/>
            </w:pPr>
            <w:r>
              <w:t>39.</w:t>
            </w:r>
            <w:r>
              <w:tab/>
              <w:t xml:space="preserve">ragina Komisiją veiksmingai ir greitai pasinaudoti strategija „Global Gateway“, nes ji yra tvari Kinijos iniciatyvos „Viena juosta, vienas kelias“ alternatyva ir priemonė ES dalyvavimui ir matomumui visame pasaulyje padidinti; </w:t>
            </w:r>
            <w:r>
              <w:rPr>
                <w:b/>
                <w:i/>
              </w:rPr>
              <w:t>pabrėžia, kad ES turi teikti paramą kitoms alternatyvoms, pvz., partnerystei pasaulinės infrastruktūros ir investicijų srityje, Indijos, Artimųjų Rytų ir Europos ekonominiam koridoriui arba Lobito koridoriui;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924</w:t>
      </w:r>
      <w:r>
        <w:rPr>
          <w:rStyle w:val="HideTWBExt"/>
        </w:rPr>
        <w:t>&lt;/NumAm&gt;</w:t>
      </w:r>
    </w:p>
    <w:p w:rsidR="00A47A16" w:rsidRPr="00080AF4" w:rsidRDefault="00A47A16" w:rsidP="00A47A16">
      <w:pPr>
        <w:pStyle w:val="NormalBold"/>
      </w:pPr>
      <w:r>
        <w:rPr>
          <w:rStyle w:val="HideTWBExt"/>
          <w:b w:val="0"/>
        </w:rPr>
        <w:t>&lt;RepeatBlock-By&gt;&lt;Members&gt;</w:t>
      </w:r>
      <w:r>
        <w:t>Željana Zovko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39.</w:t>
            </w:r>
            <w:r>
              <w:tab/>
              <w:t>ragina Komisiją veiksmingai ir greitai pasinaudoti strategija „Global Gateway“, nes ji yra tvari Kinijos iniciatyvos „Viena juosta, vienas kelias“ alternatyva ir priemonė ES dalyvavimui ir matomumui visame pasaulyje padidinti;</w:t>
            </w:r>
          </w:p>
        </w:tc>
        <w:tc>
          <w:tcPr>
            <w:tcW w:w="4876" w:type="dxa"/>
            <w:tcBorders>
              <w:top w:val="nil"/>
              <w:left w:val="nil"/>
              <w:bottom w:val="nil"/>
              <w:right w:val="nil"/>
            </w:tcBorders>
          </w:tcPr>
          <w:p w:rsidR="00A47A16" w:rsidRPr="00080AF4" w:rsidRDefault="00A47A16" w:rsidP="00BA0C71">
            <w:pPr>
              <w:pStyle w:val="Normal6a"/>
            </w:pPr>
            <w:r>
              <w:t>39.</w:t>
            </w:r>
            <w:r>
              <w:tab/>
              <w:t xml:space="preserve">ragina Komisiją veiksmingai ir greitai pasinaudoti strategija „Global Gateway“, nes ji yra tvari Kinijos iniciatyvos „Viena juosta, vienas kelias“ alternatyva ir priemonė ES dalyvavimui ir matomumui visame pasaulyje padidinti; </w:t>
            </w:r>
            <w:r>
              <w:rPr>
                <w:b/>
                <w:i/>
              </w:rPr>
              <w:t>pažymi, kad Europos investicijos ir parama turėtų būti sutelktos į bendrus tikslus tinkamiausiu veiksmų lygmeniu ir turėtų būti aiškiai matomos jomis besinaudojančiose šalyse;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925</w:t>
      </w:r>
      <w:r>
        <w:rPr>
          <w:rStyle w:val="HideTWBExt"/>
        </w:rPr>
        <w:t>&lt;/NumAm&gt;</w:t>
      </w:r>
    </w:p>
    <w:p w:rsidR="00A47A16" w:rsidRPr="00080AF4" w:rsidRDefault="00A47A16" w:rsidP="00A47A16">
      <w:pPr>
        <w:pStyle w:val="NormalBold"/>
      </w:pPr>
      <w:r>
        <w:rPr>
          <w:rStyle w:val="HideTWBExt"/>
          <w:b w:val="0"/>
        </w:rPr>
        <w:t>&lt;RepeatBlock-By&gt;&lt;Members&gt;</w:t>
      </w:r>
      <w:r>
        <w:t>Mariusz Kamiński, Adam Bielan, Michał Dworczyk</w:t>
      </w:r>
      <w:r>
        <w:rPr>
          <w:rStyle w:val="HideTWBExt"/>
          <w:b w:val="0"/>
        </w:rPr>
        <w:t>&lt;/Members&gt;</w:t>
      </w:r>
    </w:p>
    <w:p w:rsidR="00A47A16" w:rsidRPr="00080AF4" w:rsidRDefault="00A47A16" w:rsidP="00A47A16">
      <w:r>
        <w:rPr>
          <w:rStyle w:val="HideTWBExt"/>
        </w:rPr>
        <w:t>&lt;AuNomDe&gt;</w:t>
      </w:r>
      <w:r>
        <w:rPr>
          <w:rStyle w:val="HideTWBInt"/>
        </w:rPr>
        <w:t>{ECR}</w:t>
      </w:r>
      <w:r>
        <w:t>ECR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39.</w:t>
            </w:r>
            <w:r>
              <w:tab/>
              <w:t xml:space="preserve">ragina Komisiją veiksmingai ir greitai pasinaudoti strategija „Global Gateway“, nes ji yra tvari Kinijos iniciatyvos „Viena juosta, vienas kelias“ alternatyva ir priemonė ES </w:t>
            </w:r>
            <w:r>
              <w:rPr>
                <w:b/>
                <w:i/>
              </w:rPr>
              <w:t>dalyvavimui</w:t>
            </w:r>
            <w:r>
              <w:t xml:space="preserve"> ir </w:t>
            </w:r>
            <w:r>
              <w:rPr>
                <w:b/>
                <w:i/>
              </w:rPr>
              <w:t>matomumui visame pasaulyje padidinti</w:t>
            </w:r>
            <w:r>
              <w:t>;</w:t>
            </w:r>
          </w:p>
        </w:tc>
        <w:tc>
          <w:tcPr>
            <w:tcW w:w="4876" w:type="dxa"/>
            <w:tcBorders>
              <w:top w:val="nil"/>
              <w:left w:val="nil"/>
              <w:bottom w:val="nil"/>
              <w:right w:val="nil"/>
            </w:tcBorders>
          </w:tcPr>
          <w:p w:rsidR="00A47A16" w:rsidRPr="00080AF4" w:rsidRDefault="00A47A16" w:rsidP="00BA0C71">
            <w:pPr>
              <w:pStyle w:val="Normal6a"/>
            </w:pPr>
            <w:r>
              <w:t>39.</w:t>
            </w:r>
            <w:r>
              <w:tab/>
              <w:t xml:space="preserve">ragina Komisiją veiksmingai ir greitai pasinaudoti strategija „Global Gateway“, nes ji yra tvari Kinijos iniciatyvos „Viena juosta, vienas kelias“ alternatyva ir priemonė </w:t>
            </w:r>
            <w:r>
              <w:rPr>
                <w:b/>
                <w:i/>
              </w:rPr>
              <w:t xml:space="preserve">remti besivystančias šalis, stiprinti jų ryšius su Europa ir didinti </w:t>
            </w:r>
            <w:r>
              <w:t xml:space="preserve">ES </w:t>
            </w:r>
            <w:r>
              <w:rPr>
                <w:b/>
                <w:i/>
              </w:rPr>
              <w:t>dalyvavimą ir matomumą pasaulinėje arenoje, tarnaujanti</w:t>
            </w:r>
            <w:r>
              <w:t xml:space="preserve"> ir </w:t>
            </w:r>
            <w:r>
              <w:rPr>
                <w:b/>
                <w:i/>
              </w:rPr>
              <w:t>ES, ir platesniems tarptautiniams interesams</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926</w:t>
      </w:r>
      <w:r>
        <w:rPr>
          <w:rStyle w:val="HideTWBExt"/>
        </w:rPr>
        <w:t>&lt;/NumAm&gt;</w:t>
      </w:r>
    </w:p>
    <w:p w:rsidR="00A47A16" w:rsidRPr="00080AF4" w:rsidRDefault="00A47A16" w:rsidP="00A47A16">
      <w:pPr>
        <w:pStyle w:val="NormalBold"/>
      </w:pPr>
      <w:r>
        <w:rPr>
          <w:rStyle w:val="HideTWBExt"/>
          <w:b w:val="0"/>
        </w:rPr>
        <w:t>&lt;RepeatBlock-By&gt;&lt;Members&gt;</w:t>
      </w:r>
      <w:r>
        <w:t>Rihards Kols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39.</w:t>
            </w:r>
            <w:r>
              <w:tab/>
              <w:t xml:space="preserve">ragina Komisiją </w:t>
            </w:r>
            <w:r>
              <w:rPr>
                <w:b/>
                <w:i/>
              </w:rPr>
              <w:t>veiksmingai ir greitai pasinaudoti strategija</w:t>
            </w:r>
            <w:r>
              <w:t xml:space="preserve"> „Global Gateway“, </w:t>
            </w:r>
            <w:r>
              <w:rPr>
                <w:b/>
                <w:i/>
              </w:rPr>
              <w:t>nes ji yra tvari</w:t>
            </w:r>
            <w:r>
              <w:t xml:space="preserve"> Kinijos iniciatyvos „Viena juosta, vienas kelias“ </w:t>
            </w:r>
            <w:r>
              <w:rPr>
                <w:b/>
                <w:i/>
              </w:rPr>
              <w:t>alternatyva ir priemonė</w:t>
            </w:r>
            <w:r>
              <w:t xml:space="preserve"> ES </w:t>
            </w:r>
            <w:r>
              <w:rPr>
                <w:b/>
                <w:i/>
              </w:rPr>
              <w:t>dalyvavimui</w:t>
            </w:r>
            <w:r>
              <w:t xml:space="preserve"> ir </w:t>
            </w:r>
            <w:r>
              <w:rPr>
                <w:b/>
                <w:i/>
              </w:rPr>
              <w:t>matomumui visame pasaulyje padidinti</w:t>
            </w:r>
            <w:r>
              <w:t>;</w:t>
            </w:r>
          </w:p>
        </w:tc>
        <w:tc>
          <w:tcPr>
            <w:tcW w:w="4876" w:type="dxa"/>
            <w:tcBorders>
              <w:top w:val="nil"/>
              <w:left w:val="nil"/>
              <w:bottom w:val="nil"/>
              <w:right w:val="nil"/>
            </w:tcBorders>
          </w:tcPr>
          <w:p w:rsidR="00A47A16" w:rsidRPr="00080AF4" w:rsidRDefault="00A47A16" w:rsidP="00BA0C71">
            <w:pPr>
              <w:pStyle w:val="Normal6a"/>
            </w:pPr>
            <w:r>
              <w:t>39.</w:t>
            </w:r>
            <w:r>
              <w:tab/>
              <w:t xml:space="preserve">ragina Komisiją </w:t>
            </w:r>
            <w:r>
              <w:rPr>
                <w:b/>
                <w:i/>
              </w:rPr>
              <w:t>teikti pirmenybę strategijos</w:t>
            </w:r>
            <w:r>
              <w:t xml:space="preserve"> „Global Gateway“, </w:t>
            </w:r>
            <w:r>
              <w:rPr>
                <w:b/>
                <w:i/>
              </w:rPr>
              <w:t>kaip patikimos ir tvarios</w:t>
            </w:r>
            <w:r>
              <w:t xml:space="preserve"> Kinijos iniciatyvos „Viena juosta, vienas kelias“ </w:t>
            </w:r>
            <w:r>
              <w:rPr>
                <w:b/>
                <w:i/>
              </w:rPr>
              <w:t>alternatyvos, diegimui, didinant</w:t>
            </w:r>
            <w:r>
              <w:t xml:space="preserve"> ES </w:t>
            </w:r>
            <w:r>
              <w:rPr>
                <w:b/>
                <w:i/>
              </w:rPr>
              <w:t>dalyvavimą, investicijas į infrastruktūrą</w:t>
            </w:r>
            <w:r>
              <w:t xml:space="preserve"> ir </w:t>
            </w:r>
            <w:r>
              <w:rPr>
                <w:b/>
                <w:i/>
              </w:rPr>
              <w:t>matomumą strateginiuose regionuose, ypač Vidurinėje Azijoje, Afrikoje ir Lotynų Amerikoje</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927</w:t>
      </w:r>
      <w:r>
        <w:rPr>
          <w:rStyle w:val="HideTWBExt"/>
        </w:rPr>
        <w:t>&lt;/NumAm&gt;</w:t>
      </w:r>
    </w:p>
    <w:p w:rsidR="00A47A16" w:rsidRPr="00080AF4" w:rsidRDefault="00A47A16" w:rsidP="00A47A16">
      <w:pPr>
        <w:pStyle w:val="NormalBold"/>
      </w:pPr>
      <w:r>
        <w:rPr>
          <w:rStyle w:val="HideTWBExt"/>
          <w:b w:val="0"/>
        </w:rPr>
        <w:t>&lt;RepeatBlock-By&gt;&lt;Members&gt;</w:t>
      </w:r>
      <w:r>
        <w:t>Marc Botenga, Rima Hassan</w:t>
      </w:r>
      <w:r>
        <w:rPr>
          <w:rStyle w:val="HideTWBExt"/>
          <w:b w:val="0"/>
        </w:rPr>
        <w:t>&lt;/Members&gt;</w:t>
      </w:r>
    </w:p>
    <w:p w:rsidR="00A47A16" w:rsidRPr="00080AF4" w:rsidRDefault="00A47A16" w:rsidP="00A47A16">
      <w:r>
        <w:rPr>
          <w:rStyle w:val="HideTWBExt"/>
        </w:rPr>
        <w:t>&lt;AuNomDe&gt;</w:t>
      </w:r>
      <w:r>
        <w:rPr>
          <w:rStyle w:val="HideTWBInt"/>
        </w:rPr>
        <w:t>{The Left}</w:t>
      </w:r>
      <w:r>
        <w:t>The Left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39.</w:t>
            </w:r>
            <w:r>
              <w:tab/>
              <w:t xml:space="preserve">ragina Komisiją veiksmingai ir greitai pasinaudoti strategija „Global Gateway“, </w:t>
            </w:r>
            <w:r>
              <w:rPr>
                <w:b/>
                <w:i/>
              </w:rPr>
              <w:t>nes ji yra tvari Kinijos iniciatyvos „Viena juosta, vienas kelias“ alternatyva ir priemonė ES dalyvavimui ir matomumui visame pasaulyje padidinti</w:t>
            </w:r>
            <w:r>
              <w:t>;</w:t>
            </w:r>
          </w:p>
        </w:tc>
        <w:tc>
          <w:tcPr>
            <w:tcW w:w="4876" w:type="dxa"/>
            <w:tcBorders>
              <w:top w:val="nil"/>
              <w:left w:val="nil"/>
              <w:bottom w:val="nil"/>
              <w:right w:val="nil"/>
            </w:tcBorders>
          </w:tcPr>
          <w:p w:rsidR="00A47A16" w:rsidRPr="00080AF4" w:rsidRDefault="00A47A16" w:rsidP="00BA0C71">
            <w:pPr>
              <w:pStyle w:val="Normal6a"/>
            </w:pPr>
            <w:r>
              <w:t>39.</w:t>
            </w:r>
            <w:r>
              <w:tab/>
              <w:t xml:space="preserve">ragina Komisiją veiksmingai ir greitai pasinaudoti strategija „Global Gateway“, </w:t>
            </w:r>
            <w:r>
              <w:rPr>
                <w:b/>
                <w:i/>
              </w:rPr>
              <w:t>kaip priemone prisidėti prie suverenaus globaliųjų Pietų šalių vystymosi</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928</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39a.</w:t>
            </w:r>
            <w:r>
              <w:tab/>
            </w:r>
            <w:r>
              <w:rPr>
                <w:b/>
                <w:i/>
              </w:rPr>
              <w:t>įspėja, kad dėl blogėjančios saugumo aplinkos Europoje ir visame pasaulyje reikia skubiai apsvarstyti, kaip sumažinti ES priklausomybę nuo priešininkų, pvz., Kinijos; pabrėžia, kad reikia užkirsti kelią tam, kad jautrios besiformuojančios technologijos ir pagrindinės dvejopo naudojimo prekės, ypač tos, kurios yra itin svarbios ES saugumui ir gynybai, nebūtų perduodamos į susirūpinimą keliančias paskirties vietas, kurios įgyvendina karinės ir civilinės sintezės strategijas arba bendradarbiauja jas įgyvendinant; be to, ragina ES institucijas ir valstybes nares stiprinti bendradarbiavimą su transatlantiniais ir kitais panašiai mąstančiais partneriais tiek ypatingos svarbos technologijų, tiek ypatingos svarbos infrastruktūros apsaugos srityje;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929</w:t>
      </w:r>
      <w:r>
        <w:rPr>
          <w:rStyle w:val="HideTWBExt"/>
        </w:rPr>
        <w:t>&lt;/NumAm&gt;</w:t>
      </w:r>
    </w:p>
    <w:p w:rsidR="00A47A16" w:rsidRPr="00080AF4" w:rsidRDefault="00A47A16" w:rsidP="00A47A16">
      <w:pPr>
        <w:pStyle w:val="NormalBold"/>
      </w:pPr>
      <w:r>
        <w:rPr>
          <w:rStyle w:val="HideTWBExt"/>
          <w:b w:val="0"/>
        </w:rPr>
        <w:t>&lt;RepeatBlock-By&gt;&lt;Members&gt;</w:t>
      </w:r>
      <w:r>
        <w:t>Carlo Fidanza, Alberico Gambino, Adam Bielan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39a.</w:t>
            </w:r>
            <w:r>
              <w:tab/>
            </w:r>
            <w:r>
              <w:rPr>
                <w:b/>
                <w:i/>
              </w:rPr>
              <w:t>ragina Komisiją įgyvendinti specialias partnerystes su pagrindinėmis trečiosiomis kilmės ir tranzito šalimis, naudojantis visomis ES turimomis politikos kryptimis ir priemonėmis, kad būtų pasiekta konkrečių rezultatų, kuriant ir remiant ekonomines paskatas jų kilmės šalių potencialui ir remiant trečiųjų šalių vystymąsi, kad būtų šalinamos pagrindinės neteisėtos migracijos priežastys; norint pasiekti rezultatų, bus labai svarbus valstybių narių indėlis į šias – diplomatines, technines ir finansines –partnerystes;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930</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39a.</w:t>
            </w:r>
            <w:r>
              <w:tab/>
            </w:r>
            <w:r>
              <w:rPr>
                <w:b/>
                <w:i/>
              </w:rPr>
              <w:t>ragina labiau paaiškinti Europos komandos požiūrio veikimą, atstovavimo formatą ir atskaitomybę siekiant užtikrinti veiksmingą išteklių paskirstymą bei išvengti ES užsienio ir saugumo politikos dubliavimosi; primygtinai tvirtina, kad Parlamentas yra Europos komandos dalis ir turėtų būti traktuojamas atitinkamai;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931</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39b.</w:t>
            </w:r>
            <w:r>
              <w:tab/>
            </w:r>
            <w:r>
              <w:rPr>
                <w:b/>
                <w:i/>
              </w:rPr>
              <w:t>pabrėžia, kad svarbu apsaugoti ypatingos svarbos technologijas ir ypatingos svarbos infrastruktūrą, nes tai yra pagrindinis Europos saugumo ramstis; pakartoja savo raginimą Komisijai pasidalyti su Parlamentu išsamia rizikos, susijusios su mūsų priešininkų netinkamai naudojamomis technologijomis, pvz., puslaidininkiais, kvantine kompiuterija, blokų grandinėmis, kosmoso technologijomis, dirbtiniu intelektu ir biotechnologijomis (įskaitant genomiką), analize, taip pat siūlomu ES veiksmų šiose srityse pagal ES ekonominio saugumo strategiją sąrašu ;</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932</w:t>
      </w:r>
      <w:r>
        <w:rPr>
          <w:rStyle w:val="HideTWBExt"/>
        </w:rPr>
        <w:t>&lt;/NumAm&gt;</w:t>
      </w:r>
    </w:p>
    <w:p w:rsidR="00A47A16" w:rsidRPr="00080AF4" w:rsidRDefault="00A47A16" w:rsidP="00A47A16">
      <w:pPr>
        <w:pStyle w:val="NormalBold"/>
      </w:pPr>
      <w:r>
        <w:rPr>
          <w:rStyle w:val="HideTWBExt"/>
          <w:b w:val="0"/>
        </w:rPr>
        <w:t>&lt;RepeatBlock-By&gt;&lt;Members&gt;</w:t>
      </w:r>
      <w:r>
        <w:t>Miriam Lexmann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39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39c.</w:t>
            </w:r>
            <w:r>
              <w:tab/>
            </w:r>
            <w:r>
              <w:rPr>
                <w:b/>
                <w:i/>
              </w:rPr>
              <w:t>palankiai vertina ES ekonominio saugumo strategiją, kurioje pabrėžiama vidaus ir išorės saugumo ir technologijų sąsaja ir kuri turi būti susieta su BUSP; yra susirūpinęs dėl Kinijos karinių bendrovių, pvz., BGI, vaidmens renkant ES piliečių genetinius duomenis; pažymi, kad prisidengiant moksliniais tyrimais ir plėtra tokiais duomenimis gali piktnaudžiauti mūsų priešininkai; ragina ES ir jos valstybes nares pašalinti didelės rizikos pardavėjus, pvz., BGI, iš savo ypatingos svarbos infrastruktūros objektų, įskaitant sveikatos ir genomikos sektorių, taip pat iš mokslinių tyrimų programų;</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933</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40.</w:t>
            </w:r>
            <w:r>
              <w:tab/>
            </w:r>
            <w:r>
              <w:rPr>
                <w:b/>
                <w:i/>
              </w:rPr>
              <w:t>pakartoja, kad Parlamentas atlieka neatsiejamą vaidmenį BUSP srityje ir konkrečiai prie jos prisideda naudodamas savo parlamentinę diplomatiją, atskiras priemones, kanalus ir ryšius;</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934</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40.</w:t>
            </w:r>
            <w:r>
              <w:tab/>
              <w:t>pakartoja, kad Parlamentas atlieka neatsiejamą vaidmenį BUSP srityje ir konkrečiai prie jos prisideda naudodamas savo parlamentinę diplomatiją, atskiras priemones, kanalus ir ryšius;</w:t>
            </w:r>
          </w:p>
        </w:tc>
        <w:tc>
          <w:tcPr>
            <w:tcW w:w="4876" w:type="dxa"/>
            <w:tcBorders>
              <w:top w:val="nil"/>
              <w:left w:val="nil"/>
              <w:bottom w:val="nil"/>
              <w:right w:val="nil"/>
            </w:tcBorders>
          </w:tcPr>
          <w:p w:rsidR="00A47A16" w:rsidRPr="00080AF4" w:rsidRDefault="00A47A16" w:rsidP="00BA0C71">
            <w:pPr>
              <w:pStyle w:val="Normal6a"/>
            </w:pPr>
            <w:r>
              <w:t>40.</w:t>
            </w:r>
            <w:r>
              <w:tab/>
              <w:t>pakartoja, kad Parlamentas atlieka neatsiejamą vaidmenį BUSP srityje ir konkrečiai prie jos prisideda naudodamas savo parlamentinę diplomatiją, atskiras priemones, kanalus ir ryšius</w:t>
            </w:r>
            <w:r>
              <w:rPr>
                <w:b/>
                <w:i/>
              </w:rPr>
              <w:t>,</w:t>
            </w:r>
            <w:r>
              <w:t xml:space="preserve"> </w:t>
            </w:r>
            <w:r>
              <w:rPr>
                <w:b/>
                <w:i/>
              </w:rPr>
              <w:t>įskaitant paramos demokratijai programas, Užsienio reikalų komitetą, reguliarius parlamentinius dialogus ar oficialias delegacijas; pabrėžia, kad parlamentinė diplomatija turi didelį potencialą įtraukti pagrindinius politinius suinteresuotuosius subjektus ir palengvinti demokratinį valdymą; ypač pabrėžia parlamentinės diplomatijos pridėtinę vertę Rusijos agresijos karo prieš Ukrainą metu ir atsižvelgdamas į tai akcentuoja vertingą Aukščiausiosios Rados ir Europos Parlamento bendradarbiavimą politiniu ir techniniu lygmenimis;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935</w:t>
      </w:r>
      <w:r>
        <w:rPr>
          <w:rStyle w:val="HideTWBExt"/>
        </w:rPr>
        <w:t>&lt;/NumAm&gt;</w:t>
      </w:r>
    </w:p>
    <w:p w:rsidR="00A47A16" w:rsidRPr="00080AF4" w:rsidRDefault="00A47A16" w:rsidP="00A47A16">
      <w:pPr>
        <w:pStyle w:val="NormalBold"/>
      </w:pPr>
      <w:r>
        <w:rPr>
          <w:rStyle w:val="HideTWBExt"/>
          <w:b w:val="0"/>
        </w:rPr>
        <w:t>&lt;RepeatBlock-By&gt;&lt;Members&gt;</w:t>
      </w:r>
      <w:r>
        <w:t>Sebastiaan Stöteler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40.</w:t>
            </w:r>
            <w:r>
              <w:tab/>
              <w:t xml:space="preserve">pakartoja, kad Parlamentas atlieka </w:t>
            </w:r>
            <w:r>
              <w:rPr>
                <w:b/>
                <w:i/>
              </w:rPr>
              <w:t>neatsiejamą</w:t>
            </w:r>
            <w:r>
              <w:t xml:space="preserve"> vaidmenį BUSP srityje ir konkrečiai prie jos prisideda naudodamas savo parlamentinę diplomatiją, atskiras priemones, kanalus ir ryšius;</w:t>
            </w:r>
          </w:p>
        </w:tc>
        <w:tc>
          <w:tcPr>
            <w:tcW w:w="4876" w:type="dxa"/>
            <w:tcBorders>
              <w:top w:val="nil"/>
              <w:left w:val="nil"/>
              <w:bottom w:val="nil"/>
              <w:right w:val="nil"/>
            </w:tcBorders>
          </w:tcPr>
          <w:p w:rsidR="00A47A16" w:rsidRPr="00080AF4" w:rsidRDefault="00A47A16" w:rsidP="00BA0C71">
            <w:pPr>
              <w:pStyle w:val="Normal6a"/>
            </w:pPr>
            <w:r>
              <w:t>40.</w:t>
            </w:r>
            <w:r>
              <w:tab/>
              <w:t xml:space="preserve">pakartoja, kad Parlamentas atlieka </w:t>
            </w:r>
            <w:r>
              <w:rPr>
                <w:b/>
                <w:i/>
              </w:rPr>
              <w:t>konsultacinį</w:t>
            </w:r>
            <w:r>
              <w:t xml:space="preserve"> vaidmenį BUSP srityje ir konkrečiai prie jos prisideda naudodamas savo parlamentinę diplomatiją, atskiras priemones, kanalus ir ryšius;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936</w:t>
      </w:r>
      <w:r>
        <w:rPr>
          <w:rStyle w:val="HideTWBExt"/>
        </w:rPr>
        <w:t>&lt;/NumAm&gt;</w:t>
      </w:r>
    </w:p>
    <w:p w:rsidR="00A47A16" w:rsidRPr="00080AF4" w:rsidRDefault="00A47A16" w:rsidP="00A47A16">
      <w:pPr>
        <w:pStyle w:val="NormalBold"/>
      </w:pPr>
      <w:r>
        <w:rPr>
          <w:rStyle w:val="HideTWBExt"/>
          <w:b w:val="0"/>
        </w:rPr>
        <w:t>&lt;RepeatBlock-By&gt;&lt;Members&gt;</w:t>
      </w:r>
      <w:r>
        <w:t>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40.</w:t>
            </w:r>
            <w:r>
              <w:tab/>
              <w:t xml:space="preserve">pakartoja, kad Parlamentas atlieka neatsiejamą vaidmenį </w:t>
            </w:r>
            <w:r>
              <w:rPr>
                <w:b/>
                <w:i/>
              </w:rPr>
              <w:t>BUSP srityje ir konkrečiai prie jos prisideda naudodamas savo parlamentinę diplomatiją</w:t>
            </w:r>
            <w:r>
              <w:t xml:space="preserve">, </w:t>
            </w:r>
            <w:r>
              <w:rPr>
                <w:b/>
                <w:i/>
              </w:rPr>
              <w:t>atskiras priemones, kanalus ir ryšius</w:t>
            </w:r>
            <w:r>
              <w:t>;</w:t>
            </w:r>
          </w:p>
        </w:tc>
        <w:tc>
          <w:tcPr>
            <w:tcW w:w="4876" w:type="dxa"/>
            <w:tcBorders>
              <w:top w:val="nil"/>
              <w:left w:val="nil"/>
              <w:bottom w:val="nil"/>
              <w:right w:val="nil"/>
            </w:tcBorders>
          </w:tcPr>
          <w:p w:rsidR="00A47A16" w:rsidRPr="00080AF4" w:rsidRDefault="00A47A16" w:rsidP="00BA0C71">
            <w:pPr>
              <w:pStyle w:val="Normal6a"/>
            </w:pPr>
            <w:r>
              <w:t>40.</w:t>
            </w:r>
            <w:r>
              <w:tab/>
              <w:t xml:space="preserve">pakartoja, kad Parlamentas atlieka neatsiejamą vaidmenį </w:t>
            </w:r>
            <w:r>
              <w:rPr>
                <w:b/>
                <w:i/>
              </w:rPr>
              <w:t>prižiūrint ES įstaigas, įskaitant tas, kurios atlieka pagalbines funkcijas išorės reikalų srityje</w:t>
            </w:r>
            <w:r>
              <w:t xml:space="preserve">, </w:t>
            </w:r>
            <w:r>
              <w:rPr>
                <w:b/>
                <w:i/>
              </w:rPr>
              <w:t>taip pat faktiškai vykdant išorės veiksmus</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937</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41.</w:t>
            </w:r>
            <w:r>
              <w:tab/>
            </w:r>
            <w:r>
              <w:rPr>
                <w:b/>
                <w:i/>
              </w:rPr>
              <w:t>ragina toliau plėtoti ES prevencinę diplomatiją, įskaitant tarpininkavimą siekiant taikos ir dialogą, kaip proaktyvią užsienio politikos priemonę; primygtinai ragina EIVT vykdyti įgytos patirties pratybas;</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938</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Marco Tarquinio,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41.</w:t>
            </w:r>
            <w:r>
              <w:tab/>
              <w:t>ragina toliau plėtoti ES prevencinę diplomatiją, įskaitant tarpininkavimą siekiant taikos ir dialogą, kaip proaktyvią užsienio politikos priemonę; primygtinai ragina EIVT vykdyti įgytos patirties pratybas;</w:t>
            </w:r>
          </w:p>
        </w:tc>
        <w:tc>
          <w:tcPr>
            <w:tcW w:w="4876" w:type="dxa"/>
            <w:tcBorders>
              <w:top w:val="nil"/>
              <w:left w:val="nil"/>
              <w:bottom w:val="nil"/>
              <w:right w:val="nil"/>
            </w:tcBorders>
          </w:tcPr>
          <w:p w:rsidR="00A47A16" w:rsidRPr="00080AF4" w:rsidRDefault="00A47A16" w:rsidP="00BA0C71">
            <w:pPr>
              <w:pStyle w:val="Normal6a"/>
            </w:pPr>
            <w:r>
              <w:t>41.</w:t>
            </w:r>
            <w:r>
              <w:tab/>
              <w:t>ragina toliau plėtoti ES prevencinę diplomatiją, įskaitant tarpininkavimą siekiant taikos ir dialogą, kaip proaktyvią užsienio politikos priemonę</w:t>
            </w:r>
            <w:r>
              <w:rPr>
                <w:b/>
                <w:i/>
              </w:rPr>
              <w:t>, taip pat stiprinti savo priemones ir didinti EIVT išteklius šioje srityje, visų pirma BSGP ir reagavimo į krizes padalinį; ragina integruoti ES prevencinės diplomatijos priemones į struktūrinius prevencijos mechanizmus ir veiksmus, pavyzdžiui, įvairių konfliktų dalyvių politinius susitarimus, nacionalinius dialogus susitaikymo, taikos kūrimo ir pereinamojo laikotarpio teisingumo klausimais, taip pat tiesos ir susitaikymo komisijas</w:t>
            </w:r>
            <w:r>
              <w:t>; primygtinai ragina EIVT vykdyti įgytos patirties pratybas</w:t>
            </w:r>
            <w:r>
              <w:rPr>
                <w:b/>
                <w:i/>
              </w:rPr>
              <w:t>, ypač susijusias su konfliktu Gazoje ir Libane;</w:t>
            </w:r>
            <w:r>
              <w:t xml:space="preserve"> </w:t>
            </w:r>
            <w:r>
              <w:rPr>
                <w:b/>
                <w:i/>
              </w:rPr>
              <w:t>pabrėžia, kad bylinėjimasis per tarptautinį teismą, pvz., TBT arba TJTT, naudojamas kaip prevencinės diplomatijos metodas;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939</w:t>
      </w:r>
      <w:r>
        <w:rPr>
          <w:rStyle w:val="HideTWBExt"/>
        </w:rPr>
        <w:t>&lt;/NumAm&gt;</w:t>
      </w:r>
    </w:p>
    <w:p w:rsidR="00A47A16" w:rsidRPr="00080AF4" w:rsidRDefault="00A47A16" w:rsidP="00A47A16">
      <w:pPr>
        <w:pStyle w:val="NormalBold"/>
      </w:pPr>
      <w:r>
        <w:rPr>
          <w:rStyle w:val="HideTWBExt"/>
          <w:b w:val="0"/>
        </w:rPr>
        <w:t>&lt;RepeatBlock-By&gt;&lt;Members&gt;</w:t>
      </w:r>
      <w:r>
        <w:t>Merja Kyllönen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41.</w:t>
            </w:r>
            <w:r>
              <w:tab/>
              <w:t>ragina toliau plėtoti ES prevencinę diplomatiją, įskaitant tarpininkavimą siekiant taikos ir dialogą, kaip proaktyvią užsienio politikos priemonę; primygtinai ragina EIVT vykdyti įgytos patirties pratybas;</w:t>
            </w:r>
          </w:p>
        </w:tc>
        <w:tc>
          <w:tcPr>
            <w:tcW w:w="4876" w:type="dxa"/>
            <w:tcBorders>
              <w:top w:val="nil"/>
              <w:left w:val="nil"/>
              <w:bottom w:val="nil"/>
              <w:right w:val="nil"/>
            </w:tcBorders>
          </w:tcPr>
          <w:p w:rsidR="00A47A16" w:rsidRPr="00080AF4" w:rsidRDefault="00A47A16" w:rsidP="00BA0C71">
            <w:pPr>
              <w:pStyle w:val="Normal6a"/>
            </w:pPr>
            <w:r>
              <w:t>41.</w:t>
            </w:r>
            <w:r>
              <w:tab/>
              <w:t>ragina toliau plėtoti ES prevencinę diplomatiją, įskaitant tarpininkavimą siekiant taikos ir dialogą, kaip proaktyvią užsienio politikos priemonę; primygtinai ragina EIVT vykdyti įgytos patirties pratybas;</w:t>
            </w:r>
            <w:r>
              <w:rPr>
                <w:b/>
                <w:i/>
              </w:rPr>
              <w:t> visapusiškai remia ES specialiojo įgaliotinio žmogaus teisių klausimais veiklą prisidedant prie ES veiksmų žmogaus teisių srityje matomumo ir nuoseklumo ES išorės santykiuose; palaiko pagrindinį ES specialiojo įgaliotinio vaidmenį ES žmogaus teisių ir taikos propagavimo ir apsaugos srityje bendradarbiaujant su ES nepriklausančiomis šalimis ir bendraminčiais partneriais; pabrėžia, kad, siekiant dar labiau padidinti šį nuoseklumą, ES specialusis įgaliotinis žmogaus teisių klausimais ir kiti ES specialieji įgaliotiniai bei specialieji pasiuntiniai turi glaudžiai bendradarbiauti tarpusavyje, ir ragina didinti ES specialiojo įgaliotinio žmogaus teisių klausimais vaidmens matomumą; ragina remti ES specialiojo įgaliotinio darbą skiriant daugiau išteklių;</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940</w:t>
      </w:r>
      <w:r>
        <w:rPr>
          <w:rStyle w:val="HideTWBExt"/>
        </w:rPr>
        <w:t>&lt;/NumAm&gt;</w:t>
      </w:r>
    </w:p>
    <w:p w:rsidR="00A47A16" w:rsidRPr="00080AF4" w:rsidRDefault="00A47A16" w:rsidP="00A47A16">
      <w:pPr>
        <w:pStyle w:val="NormalBold"/>
      </w:pPr>
      <w:r>
        <w:rPr>
          <w:rStyle w:val="HideTWBExt"/>
          <w:b w:val="0"/>
        </w:rPr>
        <w:t>&lt;RepeatBlock-By&gt;&lt;Members&gt;</w:t>
      </w:r>
      <w:r>
        <w:t>Željana Zovko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41.</w:t>
            </w:r>
            <w:r>
              <w:tab/>
              <w:t xml:space="preserve">ragina toliau plėtoti ES prevencinę diplomatiją, įskaitant tarpininkavimą siekiant taikos ir dialogą, </w:t>
            </w:r>
            <w:r>
              <w:rPr>
                <w:b/>
                <w:i/>
              </w:rPr>
              <w:t>kaip proaktyvią užsienio politikos priemonę</w:t>
            </w:r>
            <w:r>
              <w:t xml:space="preserve">; </w:t>
            </w:r>
            <w:r>
              <w:rPr>
                <w:b/>
                <w:i/>
              </w:rPr>
              <w:t>primygtinai</w:t>
            </w:r>
            <w:r>
              <w:t xml:space="preserve"> ragina EIVT vykdyti įgytos patirties pratybas;</w:t>
            </w:r>
          </w:p>
        </w:tc>
        <w:tc>
          <w:tcPr>
            <w:tcW w:w="4876" w:type="dxa"/>
            <w:tcBorders>
              <w:top w:val="nil"/>
              <w:left w:val="nil"/>
              <w:bottom w:val="nil"/>
              <w:right w:val="nil"/>
            </w:tcBorders>
          </w:tcPr>
          <w:p w:rsidR="00A47A16" w:rsidRPr="00080AF4" w:rsidRDefault="00A47A16" w:rsidP="00BA0C71">
            <w:pPr>
              <w:pStyle w:val="Normal6a"/>
            </w:pPr>
            <w:r>
              <w:t>41.</w:t>
            </w:r>
            <w:r>
              <w:tab/>
              <w:t>ragina toliau plėtoti ES prevencinę diplomatiją</w:t>
            </w:r>
            <w:r>
              <w:rPr>
                <w:b/>
                <w:i/>
              </w:rPr>
              <w:t xml:space="preserve"> kaip proaktyvią išorės politikos priemonę siekiant išvengti trečiųjų šalių konfliktų ir tarpininkauti bei remti jas ieškant taikių sprendimų</w:t>
            </w:r>
            <w:r>
              <w:t>, įskaitant tarpininkavimą siekiant taikos ir dialogą</w:t>
            </w:r>
            <w:r>
              <w:rPr>
                <w:b/>
                <w:i/>
              </w:rPr>
              <w:t>; pažymi</w:t>
            </w:r>
            <w:r>
              <w:t xml:space="preserve">, </w:t>
            </w:r>
            <w:r>
              <w:rPr>
                <w:b/>
                <w:i/>
              </w:rPr>
              <w:t>kad dėl ankstesnių diplomatinių pastangų atsirado piktavališkų trečiųjų subjektų, kurie sumažino ES įtaką visame pasaulyje</w:t>
            </w:r>
            <w:r>
              <w:t>; ragina EIVT vykdyti įgytos patirties pratybas</w:t>
            </w:r>
            <w:r>
              <w:rPr>
                <w:b/>
                <w:i/>
              </w:rPr>
              <w:t xml:space="preserve"> ir analizuoti ankstesnes Europos diplomatines pastangas bei jų rezultatus, taip pat specialiųjų įgaliotinių ir specialiųjų pasiuntinių darbą;</w:t>
            </w:r>
            <w:r>
              <w:t xml:space="preserve"> </w:t>
            </w:r>
            <w:r>
              <w:rPr>
                <w:b/>
                <w:i/>
              </w:rPr>
              <w:t>pagal atnaujintą požiūrį į prevencinę diplomatiją ragina geriau suprasti vietos, istorines, kultūrines ir religines aplinkybes, kad ES žinia būtų pritaikyta prie vietos aplinkybių ir kad ES būtų suvokiama kaip patikima partnerė;</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941</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41.</w:t>
            </w:r>
            <w:r>
              <w:tab/>
              <w:t>ragina toliau plėtoti ES prevencinę diplomatiją, įskaitant tarpininkavimą siekiant taikos ir dialogą, kaip proaktyvią užsienio politikos priemonę; primygtinai ragina EIVT vykdyti įgytos patirties pratybas;</w:t>
            </w:r>
          </w:p>
        </w:tc>
        <w:tc>
          <w:tcPr>
            <w:tcW w:w="4876" w:type="dxa"/>
            <w:tcBorders>
              <w:top w:val="nil"/>
              <w:left w:val="nil"/>
              <w:bottom w:val="nil"/>
              <w:right w:val="nil"/>
            </w:tcBorders>
          </w:tcPr>
          <w:p w:rsidR="00A47A16" w:rsidRPr="00080AF4" w:rsidRDefault="00A47A16" w:rsidP="00BA0C71">
            <w:pPr>
              <w:pStyle w:val="Normal6a"/>
            </w:pPr>
            <w:r>
              <w:t>41.</w:t>
            </w:r>
            <w:r>
              <w:tab/>
              <w:t xml:space="preserve">ragina toliau plėtoti ES prevencinę diplomatiją, įskaitant tarpininkavimą siekiant taikos ir dialogą, kaip proaktyvią užsienio politikos priemonę; primygtinai ragina EIVT vykdyti įgytos patirties pratybas; </w:t>
            </w:r>
            <w:r>
              <w:rPr>
                <w:b/>
                <w:i/>
              </w:rPr>
              <w:t>pabrėžia, kad reikia skubiai padidinti ir padvigubinti atitinkamą ES KVTBP „Globali Europa“ skiriamą biudžetą ir gerokai padidinti ES veiksmus tarpininkavimo, dialogo ir susitaikymo srityse, siekiant atsižvelgti į didelį tokių priemonių ir požiūrių poreikį įvairiuose regionuose ir šalyse, ypač Artimuosiuose Rytuose, Sahelio regione, Rytų Afrikoje, Kaukaze ir kt.;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942</w:t>
      </w:r>
      <w:r>
        <w:rPr>
          <w:rStyle w:val="HideTWBExt"/>
        </w:rPr>
        <w:t>&lt;/NumAm&gt;</w:t>
      </w:r>
    </w:p>
    <w:p w:rsidR="00A47A16" w:rsidRPr="00080AF4" w:rsidRDefault="00A47A16" w:rsidP="00A47A16">
      <w:pPr>
        <w:pStyle w:val="NormalBold"/>
      </w:pPr>
      <w:r>
        <w:rPr>
          <w:rStyle w:val="HideTWBExt"/>
          <w:b w:val="0"/>
        </w:rPr>
        <w:t>&lt;RepeatBlock-By&gt;&lt;Members&gt;</w:t>
      </w:r>
      <w:r>
        <w:t>Ioan-Rareş Bogdan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41.</w:t>
            </w:r>
            <w:r>
              <w:tab/>
              <w:t xml:space="preserve">ragina toliau plėtoti ES prevencinę diplomatiją, įskaitant tarpininkavimą siekiant taikos </w:t>
            </w:r>
            <w:r>
              <w:rPr>
                <w:b/>
                <w:bCs/>
                <w:i/>
                <w:iCs/>
              </w:rPr>
              <w:t>ir</w:t>
            </w:r>
            <w:r>
              <w:t xml:space="preserve"> dialogą, kaip proaktyvią užsienio politikos priemonę; primygtinai ragina EIVT vykdyti įgytos patirties pratybas;</w:t>
            </w:r>
          </w:p>
        </w:tc>
        <w:tc>
          <w:tcPr>
            <w:tcW w:w="4876" w:type="dxa"/>
            <w:tcBorders>
              <w:top w:val="nil"/>
              <w:left w:val="nil"/>
              <w:bottom w:val="nil"/>
              <w:right w:val="nil"/>
            </w:tcBorders>
          </w:tcPr>
          <w:p w:rsidR="00A47A16" w:rsidRPr="00080AF4" w:rsidRDefault="00A47A16" w:rsidP="00BA0C71">
            <w:pPr>
              <w:pStyle w:val="Normal6a"/>
            </w:pPr>
            <w:r>
              <w:t>41.</w:t>
            </w:r>
            <w:r>
              <w:tab/>
              <w:t xml:space="preserve">ragina toliau plėtoti </w:t>
            </w:r>
            <w:r>
              <w:rPr>
                <w:b/>
                <w:i/>
              </w:rPr>
              <w:t xml:space="preserve">ir stiprinti </w:t>
            </w:r>
            <w:r>
              <w:t>ES prevencinę diplomatiją, įskaitant tarpininkavimą siekiant taikos</w:t>
            </w:r>
            <w:r>
              <w:rPr>
                <w:b/>
                <w:i/>
              </w:rPr>
              <w:t xml:space="preserve">, </w:t>
            </w:r>
            <w:r>
              <w:t xml:space="preserve">dialogą </w:t>
            </w:r>
            <w:r>
              <w:rPr>
                <w:b/>
                <w:bCs/>
                <w:i/>
                <w:iCs/>
              </w:rPr>
              <w:t>ir</w:t>
            </w:r>
            <w:r>
              <w:t xml:space="preserve"> </w:t>
            </w:r>
            <w:r>
              <w:rPr>
                <w:b/>
                <w:i/>
              </w:rPr>
              <w:t>konfliktų prevenciją</w:t>
            </w:r>
            <w:r>
              <w:t>, kaip proaktyvią užsienio politikos priemonę; primygtinai ragina EIVT vykdyti</w:t>
            </w:r>
            <w:r>
              <w:rPr>
                <w:b/>
                <w:i/>
              </w:rPr>
              <w:t xml:space="preserve"> išsamias</w:t>
            </w:r>
            <w:r>
              <w:t xml:space="preserve"> įgytos patirties pratybas</w:t>
            </w:r>
            <w:r>
              <w:rPr>
                <w:b/>
                <w:i/>
              </w:rPr>
              <w:t>, siekiant įvertinti diplomatines pastangas, nustatyti tobulintinas sritis ir integruoti geriausią patirtį į būsimas iniciatyvas</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943</w:t>
      </w:r>
      <w:r>
        <w:rPr>
          <w:rStyle w:val="HideTWBExt"/>
        </w:rPr>
        <w:t>&lt;/NumAm&gt;</w:t>
      </w:r>
    </w:p>
    <w:p w:rsidR="00A47A16" w:rsidRPr="00080AF4" w:rsidRDefault="00A47A16" w:rsidP="00A47A16">
      <w:pPr>
        <w:pStyle w:val="NormalBold"/>
      </w:pPr>
      <w:r>
        <w:rPr>
          <w:rStyle w:val="HideTWBExt"/>
          <w:b w:val="0"/>
        </w:rPr>
        <w:t>&lt;RepeatBlock-By&gt;&lt;Members&gt;</w:t>
      </w:r>
      <w:r>
        <w:t>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41.</w:t>
            </w:r>
            <w:r>
              <w:tab/>
              <w:t xml:space="preserve">ragina toliau plėtoti ES prevencinę diplomatiją, įskaitant tarpininkavimą siekiant taikos ir dialogą, kaip proaktyvią užsienio politikos priemonę; </w:t>
            </w:r>
            <w:r>
              <w:rPr>
                <w:b/>
                <w:i/>
              </w:rPr>
              <w:t>primygtinai ragina EIVT vykdyti įgytos patirties pratybas;</w:t>
            </w:r>
          </w:p>
        </w:tc>
        <w:tc>
          <w:tcPr>
            <w:tcW w:w="4876" w:type="dxa"/>
            <w:tcBorders>
              <w:top w:val="nil"/>
              <w:left w:val="nil"/>
              <w:bottom w:val="nil"/>
              <w:right w:val="nil"/>
            </w:tcBorders>
          </w:tcPr>
          <w:p w:rsidR="00A47A16" w:rsidRPr="00080AF4" w:rsidRDefault="00A47A16" w:rsidP="00BA0C71">
            <w:pPr>
              <w:pStyle w:val="Normal6a"/>
            </w:pPr>
            <w:r>
              <w:t>41.</w:t>
            </w:r>
            <w:r>
              <w:tab/>
              <w:t>ragina toliau plėtoti ES prevencinę diplomatiją, įskaitant tarpininkavimą siekiant taikos ir dialogą, kaip proaktyvią užsienio politikos priemonę;</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944</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Vasile Dîncu, Marco Tarquinio,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41a.</w:t>
            </w:r>
            <w:r>
              <w:tab/>
            </w:r>
            <w:r>
              <w:rPr>
                <w:b/>
                <w:i/>
              </w:rPr>
              <w:t>ragina, kad ateinančiais metais ES skaitmeninis suverenumas būtų vienas iš jos išorės veiksmų prioritetų; primygtinai ragina parengti aiškią ir plataus užmojo ES skaitmeninę strategiją, kuri padėtų įtvirtinti jos savarankiškumą ir apsaugoti savo strateginius interesus šioje srityje ir kuri apimtų ne tik strateginių medžiagų ir prekių užtikrinimą, bet ir tarptautinių normų priėmimą; pabrėžia, kad šioje strategijoje turėtų būti atsižvelgiama į skaitmeninės transformacijos ir žaliosios pertvarkos iššūkius ES; palankiai vertina Skaitmeninės diplomatijos tinklą ir mano, kad reikia institucionalizuoti jo darbą įsteigiant ES specialiojo įgaliotinio skaitmeninės diplomatijos klausimais pareigybę; ragina sukurti centrus „ES už dirbtinį intelektą“, kurie plėtotų iniciatyvas ir skatintų bendrą kūrybą šioje srityje;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945</w:t>
      </w:r>
      <w:r>
        <w:rPr>
          <w:rStyle w:val="HideTWBExt"/>
        </w:rPr>
        <w:t>&lt;/NumAm&gt;</w:t>
      </w:r>
    </w:p>
    <w:p w:rsidR="00A47A16" w:rsidRPr="00080AF4" w:rsidRDefault="00A47A16" w:rsidP="00A47A16">
      <w:pPr>
        <w:pStyle w:val="NormalBold"/>
      </w:pPr>
      <w:r>
        <w:rPr>
          <w:rStyle w:val="HideTWBExt"/>
          <w:b w:val="0"/>
        </w:rPr>
        <w:t>&lt;RepeatBlock-By&gt;&lt;Members&gt;</w:t>
      </w:r>
      <w:r>
        <w:t>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41a.</w:t>
            </w:r>
            <w:r>
              <w:tab/>
            </w:r>
            <w:r>
              <w:rPr>
                <w:b/>
                <w:i/>
              </w:rPr>
              <w:t>pabrėžia, kad itin svarbu skatinti lyčių pusiausvyrą ES užsienio politikoje, nes tai yra pagrindinis veiksnys skatinant įtraukią ir veiksmingą diplomatiją; pripažįsta ES įsipareigojimą užtikrinti lyčių lygybę ir Moterų, taikos ir saugumo (MTS) darbotvarkės įgyvendinimą, kurį dar labiau sustiprina ES veiksmų plano dėl lyčių lygybės ir moterų įgalėjimo išorės veiksmuose pratęsimas iki 2027 m.; atkreipia dėmesį į ES pastangas pasitelkiant EIVT ir Europos Komisiją įtvirtinti lyčių aspektu grindžiamą lyderystę vykdant diplomatinius veiksmus, didinti atskaitomybę ir užtikrinti, kad lyčių aspektai būtų nuosekliai integruojami į politinius dialogus, saugumo politiką ir diskusijas žmogaus teisių klausimais su šalimis partnerėmis ir regioninėmis organizacijomis;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946</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Vasile Dîncu, Marco Tarquinio,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41b.</w:t>
            </w:r>
            <w:r>
              <w:tab/>
            </w:r>
            <w:r>
              <w:rPr>
                <w:b/>
                <w:i/>
              </w:rPr>
              <w:t>ragina stiprinti ES kultūros diplomatiją ir tarptautinius kultūrinius ryšius, kaip svarbią taikos ir pasaulinių problemų sprendimo priemonę; primygtinai ragina didinti ES paramą trečiųjų šalių kūrybos ir meno sektoriams, įskaitant paramą gebėjimų stiprinimui; ragina skatinti bendrą kultūrinę kūrybą tarp trečiųjų šalių, be kita ko, remiant kultūrinius mainus ir rezidencijas; atsižvelgdamas į tai, pabrėžia, kad reikia stiprinti EIVT strateginę komunikaciją; palankiai vertina būsimą ES dalyvavimą Osakoje vyksiančioje pasaulinėje parodoje „EXPO“ ir pritaria tam, kad tai būtų paversta nuolatine praktika, taip pat jos dalyvavimą tarptautinėse knygų mugėse;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947</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Vasile Dîncu,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41c.</w:t>
            </w:r>
            <w:r>
              <w:tab/>
            </w:r>
            <w:r>
              <w:rPr>
                <w:b/>
                <w:i/>
              </w:rPr>
              <w:t>pabrėžia, kad, atsižvelgiant į visame pasaulyje didėjančius geopolitinius iššūkius ir krizes, ES turi remtis būtina tiesiogine informacija globaliais klausimais, peržengiančiais jos sienų ribas; atsižvelgdamas į tai, ragina stiprinti ES INTCEN ir EIVT Reagavimo į krizes centrą ir Europos Sąjungos palydovų centrą (SATCEN) didinant jų personalą ir finansinius išteklius, taip pat pajėgumus;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948</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42.</w:t>
            </w:r>
            <w:r>
              <w:tab/>
            </w:r>
            <w:r>
              <w:rPr>
                <w:b/>
                <w:i/>
              </w:rPr>
              <w:t>dar kartą patvirtina, kokie svarbūs yra ES specialieji įgaliotiniai, propaguojantys ES politiką ir interesus konkrečiuose regionuose bei šalyse ir atliekantys svarbų vaidmenį kuriant tvirtesnę ir veiksmingesnę BUSP, nes jie užtikrina aktyvų politinį ES dalyvavimą svarbiausiose šalyse ir regionuose, veikdami kaip ES bei jos politikos „balsas“ ir „veidas“;</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949</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42.</w:t>
            </w:r>
            <w:r>
              <w:tab/>
            </w:r>
            <w:r>
              <w:rPr>
                <w:b/>
                <w:i/>
              </w:rPr>
              <w:t>dar kartą patvirtina, kokie svarbūs yra ES specialieji įgaliotiniai, propaguojantys ES politiką ir interesus konkrečiuose regionuose bei šalyse ir atliekantys svarbų vaidmenį kuriant tvirtesnę ir veiksmingesnę BUSP, nes jie užtikrina aktyvų politinį ES dalyvavimą svarbiausiose šalyse ir regionuose, veikdami kaip ES bei jos politikos „balsas“ ir „veidas“;</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950</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Vasile Dîncu, Marco Tarquinio,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42.</w:t>
            </w:r>
            <w:r>
              <w:tab/>
              <w:t>dar kartą patvirtina, kokie svarbūs yra ES specialieji įgaliotiniai, propaguojantys ES politiką ir interesus konkrečiuose regionuose bei šalyse ir atliekantys svarbų vaidmenį kuriant tvirtesnę ir veiksmingesnę BUSP, nes jie užtikrina aktyvų politinį ES dalyvavimą svarbiausiose šalyse ir regionuose, veikdami kaip ES bei jos politikos „balsas“ ir „veidas“;</w:t>
            </w:r>
          </w:p>
        </w:tc>
        <w:tc>
          <w:tcPr>
            <w:tcW w:w="4876" w:type="dxa"/>
            <w:tcBorders>
              <w:top w:val="nil"/>
              <w:left w:val="nil"/>
              <w:bottom w:val="nil"/>
              <w:right w:val="nil"/>
            </w:tcBorders>
          </w:tcPr>
          <w:p w:rsidR="00A47A16" w:rsidRPr="00080AF4" w:rsidRDefault="00A47A16" w:rsidP="00BA0C71">
            <w:pPr>
              <w:pStyle w:val="Normal6a"/>
            </w:pPr>
            <w:r>
              <w:t>42.</w:t>
            </w:r>
            <w:r>
              <w:tab/>
              <w:t xml:space="preserve">dar kartą patvirtina, kokie svarbūs yra ES specialieji įgaliotiniai, propaguojantys ES politiką ir interesus konkrečiuose regionuose bei šalyse ir atliekantys svarbų vaidmenį kuriant tvirtesnę ir veiksmingesnę BUSP, nes jie užtikrina aktyvų politinį ES dalyvavimą svarbiausiose šalyse ir regionuose, veikdami kaip ES bei jos politikos „balsas“ ir „veidas“; </w:t>
            </w:r>
            <w:r>
              <w:rPr>
                <w:b/>
                <w:i/>
              </w:rPr>
              <w:t>pabrėžia, jog svarbu, kad ES specialieji įgaliotiniai turėtų plačius ir lanksčius įgaliojimus, kuriuos būtų galima pritaikyti prie kintančių geopolitinių aplinkybių, būtų skatinama ES politika ir interesai konkrečiuose regionuose be šalyse ir jie aktyviai dalyvautų vykdant prevencinę diplomatiją;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951</w:t>
      </w:r>
      <w:r>
        <w:rPr>
          <w:rStyle w:val="HideTWBExt"/>
        </w:rPr>
        <w:t>&lt;/NumAm&gt;</w:t>
      </w:r>
    </w:p>
    <w:p w:rsidR="00A47A16" w:rsidRPr="00080AF4" w:rsidRDefault="00A47A16" w:rsidP="00A47A16">
      <w:pPr>
        <w:pStyle w:val="NormalBold"/>
      </w:pPr>
      <w:r>
        <w:rPr>
          <w:rStyle w:val="HideTWBExt"/>
          <w:b w:val="0"/>
        </w:rPr>
        <w:t>&lt;RepeatBlock-By&gt;&lt;Members&gt;</w:t>
      </w:r>
      <w:r>
        <w:t>Ioan-Rareş Bogdan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42.</w:t>
            </w:r>
            <w:r>
              <w:tab/>
              <w:t>dar kartą patvirtina, kokie svarbūs yra ES specialieji įgaliotiniai, propaguojantys ES politiką ir interesus konkrečiuose regionuose bei šalyse ir atliekantys svarbų vaidmenį kuriant tvirtesnę ir veiksmingesnę BUSP, nes jie užtikrina aktyvų politinį ES dalyvavimą svarbiausiose šalyse ir regionuose, veikdami kaip ES bei jos politikos „balsas“ ir „veidas“;</w:t>
            </w:r>
          </w:p>
        </w:tc>
        <w:tc>
          <w:tcPr>
            <w:tcW w:w="4876" w:type="dxa"/>
            <w:tcBorders>
              <w:top w:val="nil"/>
              <w:left w:val="nil"/>
              <w:bottom w:val="nil"/>
              <w:right w:val="nil"/>
            </w:tcBorders>
          </w:tcPr>
          <w:p w:rsidR="00A47A16" w:rsidRPr="00080AF4" w:rsidRDefault="00A47A16" w:rsidP="00BA0C71">
            <w:pPr>
              <w:pStyle w:val="Normal6a"/>
            </w:pPr>
            <w:r>
              <w:t>42.</w:t>
            </w:r>
            <w:r>
              <w:tab/>
              <w:t xml:space="preserve">dar kartą patvirtina, kokie svarbūs yra ES specialieji įgaliotiniai, propaguojantys ES politiką ir interesus konkrečiuose regionuose bei šalyse ir atliekantys svarbų vaidmenį kuriant tvirtesnę ir veiksmingesnę BUSP, nes jie užtikrina aktyvų politinį ES dalyvavimą svarbiausiose šalyse ir regionuose, veikdami kaip ES bei jos politikos „balsas“ ir „veidas“; </w:t>
            </w:r>
            <w:r>
              <w:rPr>
                <w:b/>
                <w:i/>
              </w:rPr>
              <w:t>pabrėžia, kad svarbu suteikti ES specialiesiems įgaliotiniams pakankamai išteklių, kad jie galėtų veiksmingai bendradarbiauti su politiniais lyderiais, pilietine visuomene ir tarptautinėmis organizacijomis, kad būtų skatinamas pasitikėjimas ir sudaromos palankesnės sąlygos konstruktyviam dialogui;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952</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42.</w:t>
            </w:r>
            <w:r>
              <w:tab/>
              <w:t>dar kartą patvirtina, kokie svarbūs yra ES specialieji įgaliotiniai, propaguojantys ES politiką ir interesus konkrečiuose regionuose bei šalyse ir atliekantys svarbų vaidmenį kuriant tvirtesnę ir veiksmingesnę BUSP, nes jie užtikrina aktyvų politinį ES dalyvavimą svarbiausiose šalyse ir regionuose, veikdami kaip ES bei jos politikos „balsas“ ir „veidas“;</w:t>
            </w:r>
          </w:p>
        </w:tc>
        <w:tc>
          <w:tcPr>
            <w:tcW w:w="4876" w:type="dxa"/>
            <w:tcBorders>
              <w:top w:val="nil"/>
              <w:left w:val="nil"/>
              <w:bottom w:val="nil"/>
              <w:right w:val="nil"/>
            </w:tcBorders>
          </w:tcPr>
          <w:p w:rsidR="00A47A16" w:rsidRPr="00080AF4" w:rsidRDefault="00A47A16" w:rsidP="00BA0C71">
            <w:pPr>
              <w:pStyle w:val="Normal6a"/>
            </w:pPr>
            <w:r>
              <w:t>42.</w:t>
            </w:r>
            <w:r>
              <w:tab/>
              <w:t xml:space="preserve">dar kartą patvirtina, kokie svarbūs yra ES specialieji įgaliotiniai, propaguojantys ES politiką ir interesus konkrečiuose regionuose bei šalyse ir atliekantys svarbų vaidmenį kuriant tvirtesnę ir veiksmingesnę BUSP, nes jie užtikrina aktyvų politinį ES dalyvavimą svarbiausiose šalyse ir regionuose, veikdami kaip ES bei jos politikos „balsas“ ir „veidas“; </w:t>
            </w:r>
            <w:r>
              <w:rPr>
                <w:b/>
                <w:i/>
              </w:rPr>
              <w:t>pabrėžia, kad reikia stiprinti strateginę komunikaciją ir ES darbą kovojant su dezinformacija pasitelkiant specialius išteklius ir biurus strategiškai svarbiuose regionuose ir šalyse;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953</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 Vasile Dîncu</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42.</w:t>
            </w:r>
            <w:r>
              <w:tab/>
              <w:t>dar kartą patvirtina, kokie svarbūs yra ES specialieji įgaliotiniai, propaguojantys ES politiką ir interesus konkrečiuose regionuose bei šalyse ir atliekantys svarbų vaidmenį kuriant tvirtesnę ir veiksmingesnę BUSP, nes jie užtikrina aktyvų politinį ES dalyvavimą svarbiausiose šalyse ir regionuose, veikdami kaip ES bei jos politikos „balsas“ ir „veidas“;</w:t>
            </w:r>
          </w:p>
        </w:tc>
        <w:tc>
          <w:tcPr>
            <w:tcW w:w="4876" w:type="dxa"/>
            <w:tcBorders>
              <w:top w:val="nil"/>
              <w:left w:val="nil"/>
              <w:bottom w:val="nil"/>
              <w:right w:val="nil"/>
            </w:tcBorders>
          </w:tcPr>
          <w:p w:rsidR="00A47A16" w:rsidRPr="00080AF4" w:rsidRDefault="00A47A16" w:rsidP="00BA0C71">
            <w:pPr>
              <w:pStyle w:val="Normal6a"/>
            </w:pPr>
            <w:r>
              <w:t>42.</w:t>
            </w:r>
            <w:r>
              <w:tab/>
              <w:t xml:space="preserve">dar kartą patvirtina, kokie svarbūs yra ES specialieji įgaliotiniai, propaguojantys ES politiką ir interesus konkrečiuose regionuose bei šalyse ir atliekantys svarbų vaidmenį kuriant tvirtesnę ir veiksmingesnę BUSP, nes jie užtikrina aktyvų politinį ES dalyvavimą svarbiausiose šalyse ir regionuose, veikdami kaip ES bei jos politikos „balsas“ ir „veidas“; </w:t>
            </w:r>
            <w:r>
              <w:rPr>
                <w:b/>
                <w:i/>
              </w:rPr>
              <w:t>reikalauja, kad ES specialusis įgaliotinis žmogaus teisių klausimais būtų paskirtas tik po klausymo Europos Parlamente;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954</w:t>
      </w:r>
      <w:r>
        <w:rPr>
          <w:rStyle w:val="HideTWBExt"/>
        </w:rPr>
        <w:t>&lt;/NumAm&gt;</w:t>
      </w:r>
    </w:p>
    <w:p w:rsidR="00A47A16" w:rsidRPr="00080AF4" w:rsidRDefault="00A47A16" w:rsidP="00A47A16">
      <w:pPr>
        <w:pStyle w:val="NormalBold"/>
      </w:pPr>
      <w:r>
        <w:rPr>
          <w:rStyle w:val="HideTWBExt"/>
          <w:b w:val="0"/>
        </w:rPr>
        <w:t>&lt;RepeatBlock-By&gt;&lt;Members&gt;</w:t>
      </w:r>
      <w:r>
        <w:t>Mariusz Kamiński, Adam Bielan</w:t>
      </w:r>
      <w:r>
        <w:rPr>
          <w:rStyle w:val="HideTWBExt"/>
          <w:b w:val="0"/>
        </w:rPr>
        <w:t>&lt;/Members&gt;</w:t>
      </w:r>
    </w:p>
    <w:p w:rsidR="00A47A16" w:rsidRPr="00080AF4" w:rsidRDefault="00A47A16" w:rsidP="00A47A16">
      <w:r>
        <w:rPr>
          <w:rStyle w:val="HideTWBExt"/>
        </w:rPr>
        <w:t>&lt;AuNomDe&gt;</w:t>
      </w:r>
      <w:r>
        <w:rPr>
          <w:rStyle w:val="HideTWBInt"/>
        </w:rPr>
        <w:t>{ECR}</w:t>
      </w:r>
      <w:r>
        <w:t>ECR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42a.</w:t>
            </w:r>
            <w:r>
              <w:tab/>
            </w:r>
            <w:r>
              <w:rPr>
                <w:b/>
                <w:i/>
              </w:rPr>
              <w:t>pripažįsta neigiamą korupcijos poveikį pagrindiniams ES užsienio ir saugumo politikos tikslams; ragina parengti strategijas, kuriomis būtų šalinama rizika, kurią ji kelia stabilumui, valdymui ir taikai; pabrėžia, kad korupcija kenkia partnerių vyriausybių teisėtumui, silpnina tarptautinį pasitikėjimą vystymosi ir atstatymo pastangomis, didina blogą valdymą, skatina konfliktus, suteikia galių priešiškiems subjektams, įskaitant sukilėlių grupuotes ir karo vadus, ir stiprina paramą terorizmui; ragina vyriausiąjį įgaliotinį ir Komisijos pirmininko pavaduotoją pasiūlyti visapusiškų priemonių, kuriomis būtų užkirstas kelias šioms grėsmėms ES interesams, taip pat pasaulio gerovei ir stabilumui, ypač ES rytinėse ir pietinėse kaimyninėse šalyse, ir su jomis kovojama;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955</w:t>
      </w:r>
      <w:r>
        <w:rPr>
          <w:rStyle w:val="HideTWBExt"/>
        </w:rPr>
        <w:t>&lt;/NumAm&gt;</w:t>
      </w:r>
    </w:p>
    <w:p w:rsidR="00A47A16" w:rsidRPr="00080AF4" w:rsidRDefault="00A47A16" w:rsidP="00A47A16">
      <w:pPr>
        <w:pStyle w:val="NormalBold"/>
      </w:pPr>
      <w:r>
        <w:rPr>
          <w:rStyle w:val="HideTWBExt"/>
          <w:b w:val="0"/>
        </w:rPr>
        <w:t>&lt;RepeatBlock-By&gt;&lt;Members&gt;</w:t>
      </w:r>
      <w:r>
        <w:t>Željana Zovko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42a.</w:t>
            </w:r>
            <w:r>
              <w:tab/>
            </w:r>
            <w:r>
              <w:rPr>
                <w:b/>
                <w:i/>
              </w:rPr>
              <w:t>palankiai vertina tai, kad JT Saugumo Taryba vieniems metams pratęsė EUFOR ALTHEA įgaliojimus Bosnijoje ir Hercegovinoje; šis pratęsimas siunčia aiškią žinią ir atspindi vieningą visų Bosnijos ir Hercegovinos politinių sluoksnių įsipareigojimą bendradarbiaujant su ES puoselėti taiką ir saugumą;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956</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43.</w:t>
            </w:r>
            <w:r>
              <w:tab/>
            </w:r>
            <w:r>
              <w:rPr>
                <w:b/>
                <w:i/>
              </w:rPr>
              <w:t>akcentuoja, kad ES misijos ir operacijos užsienyje skatina taiką, saugumą bei pažangą Europoje ir pasaulyje; ragina Komisijos pirmininko pavaduotoją ir Sąjungos vyriausiąjį įgaliotinį:</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bendradarbiauti su Bosnija ir Hercegovina, Kosovu, NATO ir kitais atitinkamais partneriais, sudaryti sąlygas tvirtoms policijos pajėgoms nuo 2026 m. vykdyti visas pagrindines užduotis, susijusias su vidaus saugumu Bosnijoje ir Hercegovinoje bei Kosove, ir parengti pasiūlymus dėl BUSP misijų, kurias reikia pradėti 2025 m., naudojant ES greitojo dislokavimo pajėgumus prevencinio karinio pastiprinimo tikslais; primena, kad šių priemonių išlaidos, įskaitant greitojo dislokavimo pajėgumų nuolatinės parengties išlaidas, turėtų būti finansuojamos iš ES biudžeto;</w:t>
            </w:r>
          </w:p>
        </w:tc>
        <w:tc>
          <w:tcPr>
            <w:tcW w:w="4876" w:type="dxa"/>
            <w:tcBorders>
              <w:top w:val="nil"/>
              <w:left w:val="nil"/>
              <w:bottom w:val="nil"/>
              <w:right w:val="nil"/>
            </w:tcBorders>
          </w:tcPr>
          <w:p w:rsidR="00A47A16" w:rsidRPr="00080AF4" w:rsidRDefault="00A47A16" w:rsidP="00BA0C71">
            <w:pPr>
              <w:pStyle w:val="Normal6a"/>
            </w:pP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 bendradarbiauti su Kipru, Turkija, Jungtine Karalyste ir Jungtinėmis Tautomis, kad būtų įgyvendintos konkrečios Kipro buferinės zonos demilitarizavimo priemonės ir padidintas Kipro graikų bendruomenės bei Kipro turkų bendruomenės saugumas saloje;</w:t>
            </w:r>
          </w:p>
        </w:tc>
        <w:tc>
          <w:tcPr>
            <w:tcW w:w="4876" w:type="dxa"/>
            <w:tcBorders>
              <w:top w:val="nil"/>
              <w:left w:val="nil"/>
              <w:bottom w:val="nil"/>
              <w:right w:val="nil"/>
            </w:tcBorders>
          </w:tcPr>
          <w:p w:rsidR="00A47A16" w:rsidRPr="00080AF4" w:rsidRDefault="00A47A16" w:rsidP="00BA0C71">
            <w:pPr>
              <w:pStyle w:val="Normal6a"/>
            </w:pP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 pakartoti, kad remia ES policijos ir teisinės valstybės misijos Okupuotojoje Palestinos Teritorijoje (EUPOL COPPS) ir ES pasienio pagalbos misijos (EU BAM) Rafah perėjimo punktui vykdomą darbą padedant įgyvendinti Palestinos valdžios institucijų saugumo ir teisingumo sektoriaus reformą bei integruotą sienų valdymą;</w:t>
            </w:r>
          </w:p>
        </w:tc>
        <w:tc>
          <w:tcPr>
            <w:tcW w:w="4876" w:type="dxa"/>
            <w:tcBorders>
              <w:top w:val="nil"/>
              <w:left w:val="nil"/>
              <w:bottom w:val="nil"/>
              <w:right w:val="nil"/>
            </w:tcBorders>
          </w:tcPr>
          <w:p w:rsidR="00A47A16" w:rsidRPr="00080AF4" w:rsidRDefault="00A47A16" w:rsidP="00BA0C71">
            <w:pPr>
              <w:pStyle w:val="Normal6a"/>
            </w:pP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957</w:t>
      </w:r>
      <w:r>
        <w:rPr>
          <w:rStyle w:val="HideTWBExt"/>
        </w:rPr>
        <w:t>&lt;/NumAm&gt;</w:t>
      </w:r>
    </w:p>
    <w:p w:rsidR="00A47A16" w:rsidRPr="00080AF4" w:rsidRDefault="00A47A16" w:rsidP="00A47A16">
      <w:pPr>
        <w:pStyle w:val="NormalBold"/>
      </w:pPr>
      <w:r>
        <w:rPr>
          <w:rStyle w:val="HideTWBExt"/>
          <w:b w:val="0"/>
        </w:rPr>
        <w:t>&lt;RepeatBlock-By&gt;&lt;Members&gt;</w:t>
      </w:r>
      <w:r>
        <w:t>Rihards Kols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43.</w:t>
            </w:r>
            <w:r>
              <w:tab/>
            </w:r>
            <w:r>
              <w:rPr>
                <w:b/>
                <w:i/>
              </w:rPr>
              <w:t>akcentuoja, kad ES misijos ir operacijos užsienyje skatina taiką, saugumą bei pažangą Europoje ir pasaulyje;</w:t>
            </w:r>
            <w:r>
              <w:t xml:space="preserve"> ragina Komisijos pirmininko pavaduotoją ir Sąjungos vyriausiąjį įgaliotinį</w:t>
            </w:r>
            <w:r>
              <w:rPr>
                <w:b/>
                <w:i/>
              </w:rPr>
              <w:t>:</w:t>
            </w:r>
          </w:p>
        </w:tc>
        <w:tc>
          <w:tcPr>
            <w:tcW w:w="4876" w:type="dxa"/>
            <w:tcBorders>
              <w:top w:val="nil"/>
              <w:left w:val="nil"/>
              <w:bottom w:val="nil"/>
              <w:right w:val="nil"/>
            </w:tcBorders>
          </w:tcPr>
          <w:p w:rsidR="00A47A16" w:rsidRPr="00080AF4" w:rsidRDefault="00A47A16" w:rsidP="00BA0C71">
            <w:pPr>
              <w:pStyle w:val="Normal6a"/>
            </w:pPr>
            <w:r>
              <w:t>43.</w:t>
            </w:r>
            <w:r>
              <w:tab/>
              <w:t xml:space="preserve">ragina Komisijos pirmininko pavaduotoją ir Sąjungos vyriausiąjį įgaliotinį </w:t>
            </w:r>
            <w:r>
              <w:rPr>
                <w:b/>
                <w:i/>
              </w:rPr>
              <w:t>imtis tolesnių veiksmų dėl sėkmingų evakuacijos v</w:t>
            </w:r>
            <w:r>
              <w:rPr>
                <w:b/>
                <w:bCs/>
                <w:i/>
                <w:iCs/>
              </w:rPr>
              <w:t>eiksmų Sudane pavyzdžių, stiprinti konsulinės apsaugos mechanizmus ir parengti kovos su hibridiniais išpuoliais prie ES rytinės sienos strategijas, visų pirma susijusias migracijos, kaip ginklo, naudojimu, t. y. migracijos, kaip taktikos destabilizuoti valstybes nares ir daryti politin</w:t>
            </w:r>
            <w:r>
              <w:rPr>
                <w:b/>
                <w:i/>
              </w:rPr>
              <w:t>į spaudimą, pasitelkimu;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958</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43.</w:t>
            </w:r>
            <w:r>
              <w:tab/>
            </w:r>
            <w:r>
              <w:rPr>
                <w:b/>
                <w:i/>
              </w:rPr>
              <w:t xml:space="preserve">akcentuoja, kad ES misijos ir operacijos užsienyje skatina taiką, saugumą bei pažangą Europoje ir pasaulyje; ragina </w:t>
            </w:r>
            <w:r>
              <w:t>Komisijos pirmininko</w:t>
            </w:r>
            <w:r>
              <w:rPr>
                <w:b/>
                <w:i/>
              </w:rPr>
              <w:t xml:space="preserve"> pavaduotoją </w:t>
            </w:r>
            <w:r>
              <w:t>ir</w:t>
            </w:r>
            <w:r>
              <w:rPr>
                <w:b/>
                <w:i/>
              </w:rPr>
              <w:t xml:space="preserve"> </w:t>
            </w:r>
            <w:r>
              <w:t xml:space="preserve">Sąjungos </w:t>
            </w:r>
            <w:r>
              <w:rPr>
                <w:b/>
                <w:i/>
              </w:rPr>
              <w:t>vyriausiąjį įgaliotinį</w:t>
            </w:r>
            <w:r>
              <w:t>:</w:t>
            </w:r>
          </w:p>
        </w:tc>
        <w:tc>
          <w:tcPr>
            <w:tcW w:w="4876" w:type="dxa"/>
            <w:tcBorders>
              <w:top w:val="nil"/>
              <w:left w:val="nil"/>
              <w:bottom w:val="nil"/>
              <w:right w:val="nil"/>
            </w:tcBorders>
          </w:tcPr>
          <w:p w:rsidR="00A47A16" w:rsidRPr="00080AF4" w:rsidRDefault="00A47A16" w:rsidP="00BA0C71">
            <w:pPr>
              <w:pStyle w:val="Normal6a"/>
            </w:pPr>
            <w:r>
              <w:t>43.</w:t>
            </w:r>
            <w:r>
              <w:tab/>
            </w:r>
            <w:r>
              <w:rPr>
                <w:b/>
                <w:i/>
              </w:rPr>
              <w:t xml:space="preserve">atkreipia dėmesį į </w:t>
            </w:r>
            <w:r>
              <w:t xml:space="preserve">Komisijos pirmininko </w:t>
            </w:r>
            <w:r>
              <w:rPr>
                <w:b/>
                <w:i/>
              </w:rPr>
              <w:t>pavaduotojo</w:t>
            </w:r>
            <w:r>
              <w:t xml:space="preserve"> ir Sąjungos </w:t>
            </w:r>
            <w:r>
              <w:rPr>
                <w:b/>
                <w:i/>
              </w:rPr>
              <w:t>vyriausiojo įgaliotinio vykdomą darbą, susijusį su</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959</w:t>
      </w:r>
      <w:r>
        <w:rPr>
          <w:rStyle w:val="HideTWBExt"/>
        </w:rPr>
        <w:t>&lt;/NumAm&gt;</w:t>
      </w:r>
    </w:p>
    <w:p w:rsidR="00A47A16" w:rsidRPr="00080AF4" w:rsidRDefault="00A47A16" w:rsidP="00A47A16">
      <w:pPr>
        <w:pStyle w:val="NormalBold"/>
      </w:pPr>
      <w:r>
        <w:rPr>
          <w:rStyle w:val="HideTWBExt"/>
          <w:b w:val="0"/>
        </w:rPr>
        <w:t>&lt;RepeatBlock-By&gt;&lt;Members&gt;</w:t>
      </w:r>
      <w:r>
        <w:t>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43.</w:t>
            </w:r>
            <w:r>
              <w:tab/>
              <w:t xml:space="preserve">akcentuoja, kad ES misijos ir operacijos užsienyje skatina taiką, saugumą bei pažangą Europoje ir pasaulyje; </w:t>
            </w:r>
            <w:r>
              <w:rPr>
                <w:b/>
                <w:i/>
              </w:rPr>
              <w:t>ragina Komisijos pirmininko pavaduotoją ir Sąjungos vyriausiąjį įgaliotinį:</w:t>
            </w:r>
          </w:p>
        </w:tc>
        <w:tc>
          <w:tcPr>
            <w:tcW w:w="4876" w:type="dxa"/>
            <w:tcBorders>
              <w:top w:val="nil"/>
              <w:left w:val="nil"/>
              <w:bottom w:val="nil"/>
              <w:right w:val="nil"/>
            </w:tcBorders>
          </w:tcPr>
          <w:p w:rsidR="00A47A16" w:rsidRPr="00080AF4" w:rsidRDefault="00A47A16" w:rsidP="00BA0C71">
            <w:pPr>
              <w:pStyle w:val="Normal6a"/>
            </w:pPr>
            <w:r>
              <w:t>43.</w:t>
            </w:r>
            <w:r>
              <w:tab/>
              <w:t>akcentuoja, kad ES misijos ir operacijos užsienyje skatina taiką, saugumą bei pažangą Europoje ir pasaulyje;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960</w:t>
      </w:r>
      <w:r>
        <w:rPr>
          <w:rStyle w:val="HideTWBExt"/>
        </w:rPr>
        <w:t>&lt;/NumAm&gt;</w:t>
      </w:r>
    </w:p>
    <w:p w:rsidR="00A47A16" w:rsidRPr="00080AF4" w:rsidRDefault="00A47A16" w:rsidP="00A47A16">
      <w:pPr>
        <w:pStyle w:val="NormalBold"/>
      </w:pPr>
      <w:r>
        <w:rPr>
          <w:rStyle w:val="HideTWBExt"/>
          <w:b w:val="0"/>
        </w:rPr>
        <w:t>&lt;RepeatBlock-By&gt;&lt;Members&gt;</w:t>
      </w:r>
      <w:r>
        <w:t>Hans Neuhoff</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bendradarbiauti su Bosnija ir Hercegovina, Kosovu, NATO ir kitais atitinkamais partneriais, sudaryti sąlygas tvirtoms policijos pajėgoms nuo 2026 m. vykdyti visas pagrindines užduotis, susijusias su vidaus saugumu Bosnijoje ir Hercegovinoje bei Kosove, ir parengti pasiūlymus dėl BUSP misijų, kurias reikia pradėti 2025 m., naudojant ES greitojo dislokavimo pajėgumus prevencinio karinio pastiprinimo tikslais; primena, kad šių priemonių išlaidos, įskaitant greitojo dislokavimo pajėgumų nuolatinės parengties išlaidas, turėtų būti finansuojamos iš ES biudžeto;</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{DE}</w:t>
      </w:r>
      <w:r w:rsidRPr="00080AF4">
        <w:t>de</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961</w:t>
      </w:r>
      <w:r>
        <w:rPr>
          <w:rStyle w:val="HideTWBExt"/>
        </w:rPr>
        <w:t>&lt;/NumAm&gt;</w:t>
      </w:r>
    </w:p>
    <w:p w:rsidR="00A47A16" w:rsidRPr="00080AF4" w:rsidRDefault="00A47A16" w:rsidP="00A47A16">
      <w:pPr>
        <w:pStyle w:val="NormalBold"/>
      </w:pPr>
      <w:r>
        <w:rPr>
          <w:rStyle w:val="HideTWBExt"/>
          <w:b w:val="0"/>
        </w:rPr>
        <w:t>&lt;RepeatBlock-By&gt;&lt;Members&gt;</w:t>
      </w:r>
      <w:r>
        <w:t>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bendradarbiauti su Bosnija ir Hercegovina, Kosovu, NATO ir kitais atitinkamais partneriais, sudaryti sąlygas tvirtoms policijos pajėgoms nuo 2026 m. vykdyti visas pagrindines užduotis, susijusias su vidaus saugumu Bosnijoje ir Hercegovinoje bei Kosove, ir parengti pasiūlymus dėl BUSP misijų, kurias reikia pradėti 2025 m., naudojant ES greitojo dislokavimo pajėgumus prevencinio karinio pastiprinimo tikslais; primena, kad šių priemonių išlaidos, įskaitant greitojo dislokavimo pajėgumų nuolatinės parengties išlaidas, turėtų būti finansuojamos iš ES biudžeto;</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962</w:t>
      </w:r>
      <w:r>
        <w:rPr>
          <w:rStyle w:val="HideTWBExt"/>
        </w:rPr>
        <w:t>&lt;/NumAm&gt;</w:t>
      </w:r>
    </w:p>
    <w:p w:rsidR="00A47A16" w:rsidRPr="00080AF4" w:rsidRDefault="00A47A16" w:rsidP="00A47A16">
      <w:pPr>
        <w:pStyle w:val="NormalBold"/>
      </w:pPr>
      <w:r>
        <w:rPr>
          <w:rStyle w:val="HideTWBExt"/>
          <w:b w:val="0"/>
        </w:rPr>
        <w:t>&lt;RepeatBlock-By&gt;&lt;Members&gt;</w:t>
      </w:r>
      <w:r>
        <w:t>Michael von der Schulenburg</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bendradarbiauti su Bosnija ir Hercegovina, Kosovu, NATO ir kitais atitinkamais partneriais, sudaryti sąlygas tvirtoms policijos pajėgoms nuo 2026 m. vykdyti visas pagrindines užduotis, susijusias su vidaus saugumu Bosnijoje ir Hercegovinoje bei Kosove, ir parengti pasiūlymus dėl BUSP misijų, kurias reikia pradėti 2025 m., naudojant ES greitojo dislokavimo pajėgumus prevencinio karinio pastiprinimo tikslais; primena, kad šių priemonių išlaidos, įskaitant greitojo dislokavimo pajėgumų nuolatinės parengties išlaidas, turėtų būti finansuojamos iš ES biudžeto;</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963</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w:t>
            </w:r>
            <w:r>
              <w:tab/>
            </w:r>
            <w:r>
              <w:rPr>
                <w:b/>
                <w:i/>
              </w:rPr>
              <w:t>bendradarbiauti su Bosnija ir Hercegovina, Kosovu, NATO ir kitais atitinkamais partneriais, sudaryti sąlygas tvirtoms policijos pajėgoms nuo 2026 m. vykdyti visas pagrindines užduotis, susijusias su vidaus saugumu Bosnijoje ir Hercegovinoje bei Kosove, ir parengti pasiūlymus dėl BUSP misijų, kurias reikia pradėti 2025 m., naudojant</w:t>
            </w:r>
            <w:r>
              <w:t xml:space="preserve"> ES greitojo dislokavimo pajėgumus</w:t>
            </w:r>
            <w:r>
              <w:rPr>
                <w:b/>
                <w:i/>
              </w:rPr>
              <w:t xml:space="preserve"> prevencinio karinio pastiprinimo tikslais;</w:t>
            </w:r>
            <w:r>
              <w:t xml:space="preserve"> </w:t>
            </w:r>
            <w:r>
              <w:rPr>
                <w:b/>
                <w:i/>
              </w:rPr>
              <w:t>primena, kad šių priemonių išlaidos, įskaitant greitojo dislokavimo pajėgumų nuolatinės parengties išlaidas, turėtų būti finansuojamos iš ES biudžeto;</w:t>
            </w:r>
          </w:p>
        </w:tc>
        <w:tc>
          <w:tcPr>
            <w:tcW w:w="4876" w:type="dxa"/>
            <w:tcBorders>
              <w:top w:val="nil"/>
              <w:left w:val="nil"/>
              <w:bottom w:val="nil"/>
              <w:right w:val="nil"/>
            </w:tcBorders>
          </w:tcPr>
          <w:p w:rsidR="00A47A16" w:rsidRPr="00080AF4" w:rsidRDefault="00A47A16" w:rsidP="00BA0C71">
            <w:pPr>
              <w:pStyle w:val="Normal6a"/>
            </w:pPr>
            <w:r>
              <w:t>–</w:t>
            </w:r>
            <w:r>
              <w:tab/>
            </w:r>
            <w:r>
              <w:rPr>
                <w:b/>
                <w:i/>
              </w:rPr>
              <w:t>sukurti</w:t>
            </w:r>
            <w:r>
              <w:t xml:space="preserve"> ES greitojo dislokavimo pajėgumus;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964</w:t>
      </w:r>
      <w:r>
        <w:rPr>
          <w:rStyle w:val="HideTWBExt"/>
        </w:rPr>
        <w:t>&lt;/NumAm&gt;</w:t>
      </w:r>
    </w:p>
    <w:p w:rsidR="00A47A16" w:rsidRPr="00080AF4" w:rsidRDefault="00A47A16" w:rsidP="00A47A16">
      <w:pPr>
        <w:pStyle w:val="NormalBold"/>
      </w:pPr>
      <w:r>
        <w:rPr>
          <w:rStyle w:val="HideTWBExt"/>
          <w:b w:val="0"/>
        </w:rPr>
        <w:t>&lt;RepeatBlock-By&gt;&lt;Members&gt;</w:t>
      </w:r>
      <w:r>
        <w:t>Željana Zovko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w:t>
            </w:r>
            <w:r>
              <w:tab/>
              <w:t>bendradarbiauti su Bosnija ir Hercegovina, Kosovu, NATO ir kitais atitinkamais partneriais</w:t>
            </w:r>
            <w:r>
              <w:rPr>
                <w:b/>
                <w:i/>
              </w:rPr>
              <w:t>, sudaryti sąlygas tvirtoms policijos pajėgoms nuo 2026 m. vykdyti visas pagrindines užduotis, susijusias su vidaus saugumu</w:t>
            </w:r>
            <w:r>
              <w:t xml:space="preserve"> Bosnijoje ir Hercegovinoje bei Kosove</w:t>
            </w:r>
            <w:r>
              <w:rPr>
                <w:b/>
                <w:i/>
              </w:rPr>
              <w:t>,</w:t>
            </w:r>
            <w:r>
              <w:t xml:space="preserve"> ir parengti pasiūlymus dėl BUSP misijų, kurias reikia pradėti 2025 m.</w:t>
            </w:r>
            <w:r>
              <w:rPr>
                <w:b/>
                <w:i/>
              </w:rPr>
              <w:t>, naudojant ES greitojo dislokavimo pajėgumus prevencinio karinio pastiprinimo tikslais;</w:t>
            </w:r>
            <w:r>
              <w:t xml:space="preserve"> </w:t>
            </w:r>
            <w:r>
              <w:rPr>
                <w:b/>
                <w:i/>
              </w:rPr>
              <w:t>primena, kad šių priemonių išlaidos, įskaitant greitojo dislokavimo pajėgumų nuolatinės parengties išlaidas, turėtų būti finansuojamos iš ES biudžeto;</w:t>
            </w:r>
          </w:p>
        </w:tc>
        <w:tc>
          <w:tcPr>
            <w:tcW w:w="4876" w:type="dxa"/>
            <w:tcBorders>
              <w:top w:val="nil"/>
              <w:left w:val="nil"/>
              <w:bottom w:val="nil"/>
              <w:right w:val="nil"/>
            </w:tcBorders>
          </w:tcPr>
          <w:p w:rsidR="00A47A16" w:rsidRPr="00080AF4" w:rsidRDefault="00A47A16" w:rsidP="00BA0C71">
            <w:pPr>
              <w:pStyle w:val="Normal6a"/>
            </w:pPr>
            <w:r>
              <w:t>–</w:t>
            </w:r>
            <w:r>
              <w:tab/>
              <w:t>bendradarbiauti su Bosnija ir Hercegovina, Kosovu, NATO ir kitais atitinkamais partneriais Bosnijoje ir Hercegovinoje bei Kosove ir parengti pasiūlymus dėl BUSP misijų, kurias reikia pradėti 2025 m.;</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965</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w:t>
            </w:r>
            <w:r>
              <w:tab/>
            </w:r>
            <w:r>
              <w:rPr>
                <w:b/>
                <w:i/>
              </w:rPr>
              <w:t>bendradarbiauti su Bosnija ir Hercegovina, Kosovu, NATO ir kitais atitinkamais partneriais, sudaryti sąlygas tvirtoms policijos pajėgoms nuo 2026 m. vykdyti visas pagrindines užduotis, susijusias su vidaus saugumu Bosnijoje ir Hercegovinoje bei Kosove, ir</w:t>
            </w:r>
            <w:r>
              <w:t xml:space="preserve"> parengti pasiūlymus dėl BUSP misijų, kurias reikia pradėti 2025 m., naudojant ES greitojo dislokavimo pajėgumus prevencinio karinio pastiprinimo tikslais; primena, kad šių priemonių išlaidos, įskaitant greitojo dislokavimo pajėgumų nuolatinės parengties išlaidas, turėtų būti finansuojamos iš ES biudžeto;</w:t>
            </w:r>
          </w:p>
        </w:tc>
        <w:tc>
          <w:tcPr>
            <w:tcW w:w="4876" w:type="dxa"/>
            <w:tcBorders>
              <w:top w:val="nil"/>
              <w:left w:val="nil"/>
              <w:bottom w:val="nil"/>
              <w:right w:val="nil"/>
            </w:tcBorders>
          </w:tcPr>
          <w:p w:rsidR="00A47A16" w:rsidRPr="00080AF4" w:rsidRDefault="00A47A16" w:rsidP="00BA0C71">
            <w:pPr>
              <w:pStyle w:val="Normal6a"/>
            </w:pPr>
            <w:r>
              <w:t>–</w:t>
            </w:r>
            <w:r>
              <w:tab/>
              <w:t>parengti pasiūlymus dėl BUSP misijų, kurias reikia pradėti 2025 m., naudojant ES greitojo dislokavimo pajėgumus prevencinio karinio pastiprinimo tikslais; primena, kad šių priemonių išlaidos, įskaitant greitojo dislokavimo pajėgumų nuolatinės parengties išlaidas, turėtų būti finansuojamos iš ES biudžeto;</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966</w:t>
      </w:r>
      <w:r>
        <w:rPr>
          <w:rStyle w:val="HideTWBExt"/>
        </w:rPr>
        <w:t>&lt;/NumAm&gt;</w:t>
      </w:r>
    </w:p>
    <w:p w:rsidR="00A47A16" w:rsidRPr="00080AF4" w:rsidRDefault="00A47A16" w:rsidP="00A47A16">
      <w:pPr>
        <w:pStyle w:val="NormalBold"/>
      </w:pPr>
      <w:r>
        <w:rPr>
          <w:rStyle w:val="HideTWBExt"/>
          <w:b w:val="0"/>
        </w:rPr>
        <w:t>&lt;RepeatBlock-By&gt;&lt;Members&gt;</w:t>
      </w:r>
      <w:r>
        <w:t>Thijs Reuten, Nacho Sánchez Amor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1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pakartoja savo raginimą taikyti tikslines sankcijas destabilizuojantiems Bosnijos ir Hercegovinos veikėjams, įskaitant tuos, kurie kelia grėsmę jos suverenitetui ir teritoriniam vientisumui, visų pirma Miloradui Dodikui; kaskart reaguoti į separatistinę retoriką Bosnijos ir Hercegovinos atžvilgiu ir į visų formų genocido neigimą ir nuteistų karo nusikaltėlių šlovinimą regione; ragina valstybes nares primygtinai raginti Bosniją ir Hercegoviną imtis tolesnių veiksmų dėl visų atitinkamų EŽTT sprendimų dėl jos diskriminacinės rinkimų sistemos, įskaitant sprendimą S. Kovačevićiaus byloje, ir įgyvendinti konstitucinę ir rinkimų reformą; ragina Komisiją ir valstybes nares primygtinai reikalauti vyriausiojo įgaliotinio Christiano Schmidto susilaikyti nuo tolesnio kišimosi į teismo procesą šioje byloje;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967</w:t>
      </w:r>
      <w:r>
        <w:rPr>
          <w:rStyle w:val="HideTWBExt"/>
        </w:rPr>
        <w:t>&lt;/NumAm&gt;</w:t>
      </w:r>
    </w:p>
    <w:p w:rsidR="00A47A16" w:rsidRPr="00080AF4" w:rsidRDefault="00A47A16" w:rsidP="00A47A16">
      <w:pPr>
        <w:pStyle w:val="NormalBold"/>
      </w:pPr>
      <w:r>
        <w:rPr>
          <w:rStyle w:val="HideTWBExt"/>
          <w:b w:val="0"/>
        </w:rPr>
        <w:t>&lt;RepeatBlock-By&gt;&lt;Members&gt;</w:t>
      </w:r>
      <w:r>
        <w:t>Costas Mavrides, Yannis Maniatis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bendradarbiauti su Kipru, Turkija, Jungtine Karalyste ir Jungtinėmis Tautomis, kad būtų įgyvendintos konkrečios Kipro buferinės zonos demilitarizavimo priemonės ir padidintas Kipro graikų bendruomenės bei Kipro turkų bendruomenės saugumas saloje;</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968</w:t>
      </w:r>
      <w:r>
        <w:rPr>
          <w:rStyle w:val="HideTWBExt"/>
        </w:rPr>
        <w:t>&lt;/NumAm&gt;</w:t>
      </w:r>
    </w:p>
    <w:p w:rsidR="00A47A16" w:rsidRPr="00080AF4" w:rsidRDefault="00A47A16" w:rsidP="00A47A16">
      <w:pPr>
        <w:pStyle w:val="NormalBold"/>
      </w:pPr>
      <w:r>
        <w:rPr>
          <w:rStyle w:val="HideTWBExt"/>
          <w:b w:val="0"/>
        </w:rPr>
        <w:t>&lt;RepeatBlock-By&gt;&lt;Members&gt;</w:t>
      </w:r>
      <w:r>
        <w:t>Loucas Fourlas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bendradarbiauti su Kipru, Turkija, Jungtine Karalyste ir Jungtinėmis Tautomis, kad būtų įgyvendintos konkrečios Kipro buferinės zonos demilitarizavimo priemonės ir padidintas Kipro graikų bendruomenės bei Kipro turkų bendruomenės saugumas saloje;</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969</w:t>
      </w:r>
      <w:r>
        <w:rPr>
          <w:rStyle w:val="HideTWBExt"/>
        </w:rPr>
        <w:t>&lt;/NumAm&gt;</w:t>
      </w:r>
    </w:p>
    <w:p w:rsidR="00A47A16" w:rsidRPr="00080AF4" w:rsidRDefault="00A47A16" w:rsidP="00A47A16">
      <w:pPr>
        <w:pStyle w:val="NormalBold"/>
      </w:pPr>
      <w:r>
        <w:rPr>
          <w:rStyle w:val="HideTWBExt"/>
          <w:b w:val="0"/>
        </w:rPr>
        <w:t>&lt;RepeatBlock-By&gt;&lt;Members&gt;</w:t>
      </w:r>
      <w:r>
        <w:t>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bendradarbiauti su Kipru, Turkija, Jungtine Karalyste ir Jungtinėmis Tautomis, kad būtų įgyvendintos konkrečios Kipro buferinės zonos demilitarizavimo priemonės ir padidintas Kipro graikų bendruomenės bei Kipro turkų bendruomenės saugumas saloje;</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970</w:t>
      </w:r>
      <w:r>
        <w:rPr>
          <w:rStyle w:val="HideTWBExt"/>
        </w:rPr>
        <w:t>&lt;/NumAm&gt;</w:t>
      </w:r>
    </w:p>
    <w:p w:rsidR="00A47A16" w:rsidRPr="00080AF4" w:rsidRDefault="00A47A16" w:rsidP="00A47A16">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w:t>
            </w:r>
            <w:r>
              <w:tab/>
              <w:t xml:space="preserve">bendradarbiauti su Kipru, Turkija, Jungtine Karalyste ir Jungtinėmis Tautomis, kad būtų </w:t>
            </w:r>
            <w:r>
              <w:rPr>
                <w:b/>
                <w:bCs/>
                <w:i/>
                <w:iCs/>
              </w:rPr>
              <w:t>įgyvendintos konkrečios Kipro buferinės zonos demilitarizavimo priemonės ir padidintas Kipro graikų bendruomenės bei Kipro turkų bendruomenės saugumas saloje</w:t>
            </w:r>
            <w:r>
              <w:t>;</w:t>
            </w:r>
          </w:p>
        </w:tc>
        <w:tc>
          <w:tcPr>
            <w:tcW w:w="4876" w:type="dxa"/>
            <w:tcBorders>
              <w:top w:val="nil"/>
              <w:left w:val="nil"/>
              <w:bottom w:val="nil"/>
              <w:right w:val="nil"/>
            </w:tcBorders>
          </w:tcPr>
          <w:p w:rsidR="00A47A16" w:rsidRPr="00080AF4" w:rsidRDefault="00A47A16" w:rsidP="00BA0C71">
            <w:pPr>
              <w:pStyle w:val="Normal6a"/>
            </w:pPr>
            <w:r>
              <w:t>–</w:t>
            </w:r>
            <w:r>
              <w:tab/>
              <w:t xml:space="preserve">bendradarbiauti su Kipru, </w:t>
            </w:r>
            <w:r>
              <w:rPr>
                <w:b/>
                <w:bCs/>
                <w:i/>
                <w:iCs/>
              </w:rPr>
              <w:t>Graikija,</w:t>
            </w:r>
            <w:r>
              <w:t xml:space="preserve"> Turkija, Jungtine Karalyste ir Jungtinėmis Tautomis, kad būtų </w:t>
            </w:r>
            <w:r>
              <w:rPr>
                <w:b/>
                <w:bCs/>
                <w:i/>
                <w:iCs/>
              </w:rPr>
              <w:t>rastas tvarus, įgyvendinamas ir visų pirma demokratinis Kipro problemos sprendimas, kuriuo nebūtų įteisinami įvykę faktai, kuriuos Turkija nori įtvirtinti jėga, ir kuris nebūtų susijęs su rasistine, teritorine ar kitokia segregacija, kuri akivaizdžiai prieštarauja Europos Sąjungos principams ir Jungtinių Tautų Chartijos 1 skyriui, kuriuo siekiama „gerbti visų asmenų, neatsižvelgiant į jų rasę, lytį, kalbą ar religiją, žmogaus teises ir pagrindines laisves“;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{EL}</w:t>
      </w:r>
      <w:r w:rsidRPr="00080AF4">
        <w:t>el</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971</w:t>
      </w:r>
      <w:r>
        <w:rPr>
          <w:rStyle w:val="HideTWBExt"/>
        </w:rPr>
        <w:t>&lt;/NumAm&gt;</w:t>
      </w:r>
    </w:p>
    <w:p w:rsidR="00A47A16" w:rsidRPr="00080AF4" w:rsidRDefault="00A47A16" w:rsidP="00A47A16">
      <w:pPr>
        <w:pStyle w:val="NormalBold"/>
      </w:pPr>
      <w:r>
        <w:rPr>
          <w:rStyle w:val="HideTWBExt"/>
          <w:b w:val="0"/>
        </w:rPr>
        <w:t>&lt;RepeatBlock-By&gt;&lt;Members&gt;</w:t>
      </w:r>
      <w:r>
        <w:t>Jordan Bardella, Pierre-Romain Thionnet, Matthieu Valet, Jorge Martín Frías, Hermann Tertsch, Roberto Vannacci</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w:t>
            </w:r>
            <w:r>
              <w:tab/>
              <w:t>bendradarbiauti su Kipru, Turkija, Jungtine Karalyste ir Jungtinėmis Tautomis, kad būtų įgyvendintos konkrečios Kipro buferinės zonos demilitarizavimo priemonės ir padidintas Kipro graikų bendruomenės bei Kipro turkų bendruomenės saugumas saloje;</w:t>
            </w:r>
          </w:p>
        </w:tc>
        <w:tc>
          <w:tcPr>
            <w:tcW w:w="4876" w:type="dxa"/>
            <w:tcBorders>
              <w:top w:val="nil"/>
              <w:left w:val="nil"/>
              <w:bottom w:val="nil"/>
              <w:right w:val="nil"/>
            </w:tcBorders>
          </w:tcPr>
          <w:p w:rsidR="00A47A16" w:rsidRPr="00080AF4" w:rsidRDefault="00A47A16" w:rsidP="00BA0C71">
            <w:pPr>
              <w:pStyle w:val="Normal6a"/>
            </w:pPr>
            <w:r>
              <w:t>–</w:t>
            </w:r>
            <w:r>
              <w:tab/>
              <w:t xml:space="preserve">bendradarbiauti su Kipru, Turkija, Jungtine Karalyste ir Jungtinėmis Tautomis, kad būtų įgyvendintos konkrečios Kipro buferinės zonos demilitarizavimo priemonės ir padidintas Kipro graikų bendruomenės bei Kipro turkų bendruomenės saugumas saloje; </w:t>
            </w:r>
            <w:r>
              <w:rPr>
                <w:b/>
                <w:i/>
              </w:rPr>
              <w:t>reiškia paramą Kipro graikų bendruomenei, kurios teritoriją neteisėtai aneksavo Turkija – NATO narė ir ES šalis kandidatė;</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{FR}</w:t>
      </w:r>
      <w:r w:rsidRPr="00080AF4">
        <w:t>fr</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972</w:t>
      </w:r>
      <w:r>
        <w:rPr>
          <w:rStyle w:val="HideTWBExt"/>
        </w:rPr>
        <w:t>&lt;/NumAm&gt;</w:t>
      </w:r>
    </w:p>
    <w:p w:rsidR="00A47A16" w:rsidRPr="00080AF4" w:rsidRDefault="00A47A16" w:rsidP="00A47A16">
      <w:pPr>
        <w:pStyle w:val="NormalBold"/>
      </w:pPr>
      <w:r>
        <w:rPr>
          <w:rStyle w:val="HideTWBExt"/>
          <w:b w:val="0"/>
        </w:rPr>
        <w:t>&lt;RepeatBlock-By&gt;&lt;Members&gt;</w:t>
      </w:r>
      <w:r>
        <w:t>Emmanouil Fragkos, Galato Alexandraki, Geadis Geadi</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w:t>
            </w:r>
            <w:r>
              <w:tab/>
            </w:r>
            <w:r>
              <w:rPr>
                <w:b/>
                <w:bCs/>
                <w:i/>
                <w:iCs/>
              </w:rPr>
              <w:t>bendradarbiauti su Kipru, Turkija, Jungtine Karalyste ir Jungtinėmis Tautomis, kad būtų įgyvendintos konkrečios Kipro buferinės zonos demilitarizavimo priemonės ir padidintas Kipro graikų bendruomenės bei Kipro turkų bendruomenės saugumas saloje</w:t>
            </w:r>
            <w:r>
              <w:t>;</w:t>
            </w:r>
          </w:p>
        </w:tc>
        <w:tc>
          <w:tcPr>
            <w:tcW w:w="4876" w:type="dxa"/>
            <w:tcBorders>
              <w:top w:val="nil"/>
              <w:left w:val="nil"/>
              <w:bottom w:val="nil"/>
              <w:right w:val="nil"/>
            </w:tcBorders>
          </w:tcPr>
          <w:p w:rsidR="00A47A16" w:rsidRPr="00080AF4" w:rsidRDefault="00A47A16" w:rsidP="00BA0C71">
            <w:pPr>
              <w:pStyle w:val="Normal6a"/>
            </w:pPr>
            <w:r>
              <w:t>–</w:t>
            </w:r>
            <w:r>
              <w:tab/>
            </w:r>
            <w:r>
              <w:rPr>
                <w:b/>
                <w:bCs/>
                <w:i/>
                <w:iCs/>
              </w:rPr>
              <w:t>primygtinai raginti įgyvendinti JT Saugumo Tarybos rezoliucijas Kipro klausimu</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{EL}</w:t>
      </w:r>
      <w:r w:rsidRPr="00080AF4">
        <w:t>el</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973</w:t>
      </w:r>
      <w:r>
        <w:rPr>
          <w:rStyle w:val="HideTWBExt"/>
        </w:rPr>
        <w:t>&lt;/NumAm&gt;</w:t>
      </w:r>
    </w:p>
    <w:p w:rsidR="00A47A16" w:rsidRPr="00080AF4" w:rsidRDefault="00A47A16" w:rsidP="00A47A16">
      <w:pPr>
        <w:pStyle w:val="NormalBold"/>
      </w:pPr>
      <w:r>
        <w:rPr>
          <w:rStyle w:val="HideTWBExt"/>
          <w:b w:val="0"/>
        </w:rPr>
        <w:t>&lt;RepeatBlock-By&gt;&lt;Members&gt;</w:t>
      </w:r>
      <w:r>
        <w:t>Sebastian Tynkkynen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w:t>
            </w:r>
            <w:r>
              <w:tab/>
              <w:t>bendradarbiauti su Kipru, Turkija, Jungtine Karalyste ir Jungtinėmis Tautomis, kad būtų įgyvendintos konkrečios Kipro buferinės zonos demilitarizavimo priemonės ir padidintas Kipro graikų bendruomenės bei Kipro turkų bendruomenės saugumas saloje;</w:t>
            </w:r>
          </w:p>
        </w:tc>
        <w:tc>
          <w:tcPr>
            <w:tcW w:w="4876" w:type="dxa"/>
            <w:tcBorders>
              <w:top w:val="nil"/>
              <w:left w:val="nil"/>
              <w:bottom w:val="nil"/>
              <w:right w:val="nil"/>
            </w:tcBorders>
          </w:tcPr>
          <w:p w:rsidR="00A47A16" w:rsidRPr="00080AF4" w:rsidRDefault="00A47A16" w:rsidP="00BA0C71">
            <w:pPr>
              <w:pStyle w:val="Normal6a"/>
            </w:pPr>
            <w:r>
              <w:t>–</w:t>
            </w:r>
            <w:r>
              <w:tab/>
              <w:t>bendradarbiauti su Kipru, Turkija, Jungtine Karalyste ir Jungtinėmis Tautomis, kad būtų įgyvendintos konkrečios Kipro buferinės zonos demilitarizavimo priemonės ir padidintas Kipro graikų bendruomenės bei Kipro turkų bendruomenės saugumas saloje</w:t>
            </w:r>
            <w:r>
              <w:rPr>
                <w:b/>
                <w:i/>
              </w:rPr>
              <w:t>, ir siekti, kad būtų nutraukta Turkijos okupacija</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{FI}</w:t>
      </w:r>
      <w:r w:rsidRPr="00080AF4">
        <w:t>fi</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974</w:t>
      </w:r>
      <w:r>
        <w:rPr>
          <w:rStyle w:val="HideTWBExt"/>
        </w:rPr>
        <w:t>&lt;/NumAm&gt;</w:t>
      </w:r>
    </w:p>
    <w:p w:rsidR="00A47A16" w:rsidRPr="00080AF4" w:rsidRDefault="00A47A16" w:rsidP="00A47A16">
      <w:pPr>
        <w:pStyle w:val="NormalBold"/>
      </w:pPr>
      <w:r>
        <w:rPr>
          <w:rStyle w:val="HideTWBExt"/>
          <w:b w:val="0"/>
        </w:rPr>
        <w:t>&lt;RepeatBlock-By&gt;&lt;Members&gt;</w:t>
      </w:r>
      <w:r>
        <w:t>Nathalie Loiseau, Hilde Vautmans, Lucia Yar, Petras Auštrevičius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2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toliau didinti stebėtojų, dislokuotų vykdant ES civilinę misiją Armėnijoje (EUMA) prie tarptautinės sienos su Azerbaidžanu Armėnijos pusėje, skaičių ir pakartoti raginimus Azerbaidžanui bendradarbiauti su misija ir nutraukti prieš ją nukreiptą šmeižto kampaniją;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975</w:t>
      </w:r>
      <w:r>
        <w:rPr>
          <w:rStyle w:val="HideTWBExt"/>
        </w:rPr>
        <w:t>&lt;/NumAm&gt;</w:t>
      </w:r>
    </w:p>
    <w:p w:rsidR="00A47A16" w:rsidRPr="00080AF4" w:rsidRDefault="00A47A16" w:rsidP="00A47A16">
      <w:pPr>
        <w:pStyle w:val="NormalBold"/>
      </w:pPr>
      <w:r>
        <w:rPr>
          <w:rStyle w:val="HideTWBExt"/>
          <w:b w:val="0"/>
        </w:rPr>
        <w:t>&lt;RepeatBlock-By&gt;&lt;Members&gt;</w:t>
      </w:r>
      <w:r>
        <w:t>Michael Gahler, Andrey Kovatchev</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2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bendradarbiauti su Australija, Naująja Zelandija, Korėjos Respublika, Japonija, Taivanu ir ASEAN valstybėmis narėmis siekiant sudaryti palankesnes sąlygas taikai ir saugumui Indijos ir Ramiojo vandenynų regione bei Pietryčių Azijos regionuose;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976</w:t>
      </w:r>
      <w:r>
        <w:rPr>
          <w:rStyle w:val="HideTWBExt"/>
        </w:rPr>
        <w:t>&lt;/NumAm&gt;</w:t>
      </w:r>
    </w:p>
    <w:p w:rsidR="00A47A16" w:rsidRPr="00080AF4" w:rsidRDefault="00A47A16" w:rsidP="00A47A16">
      <w:pPr>
        <w:pStyle w:val="NormalBold"/>
      </w:pPr>
      <w:r>
        <w:rPr>
          <w:rStyle w:val="HideTWBExt"/>
          <w:b w:val="0"/>
        </w:rPr>
        <w:t>&lt;RepeatBlock-By&gt;&lt;Members&gt;</w:t>
      </w:r>
      <w:r>
        <w:t>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pakartoti, kad remia ES policijos ir teisinės valstybės misijos Okupuotojoje Palestinos Teritorijoje (EUPOL COPPS) ir ES pasienio pagalbos misijos (EU BAM) Rafah perėjimo punktui vykdomą darbą padedant įgyvendinti Palestinos valdžios institucijų saugumo ir teisingumo sektoriaus reformą bei integruotą sienų valdymą;</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977</w:t>
      </w:r>
      <w:r>
        <w:rPr>
          <w:rStyle w:val="HideTWBExt"/>
        </w:rPr>
        <w:t>&lt;/NumAm&gt;</w:t>
      </w:r>
    </w:p>
    <w:p w:rsidR="00A47A16" w:rsidRPr="00080AF4" w:rsidRDefault="00A47A16" w:rsidP="00A47A16">
      <w:pPr>
        <w:pStyle w:val="NormalBold"/>
      </w:pPr>
      <w:r>
        <w:rPr>
          <w:rStyle w:val="HideTWBExt"/>
          <w:b w:val="0"/>
        </w:rPr>
        <w:t>&lt;RepeatBlock-By&gt;&lt;Members&gt;</w:t>
      </w:r>
      <w:r>
        <w:t>Nathalie Loiseau, Hilde Vautmans, Lucia Yar, Petras Auštrevičius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w:t>
            </w:r>
            <w:r>
              <w:tab/>
            </w:r>
            <w:r>
              <w:rPr>
                <w:b/>
                <w:i/>
              </w:rPr>
              <w:t>pakartoti</w:t>
            </w:r>
            <w:r>
              <w:t xml:space="preserve">, kad </w:t>
            </w:r>
            <w:r>
              <w:rPr>
                <w:b/>
                <w:i/>
              </w:rPr>
              <w:t>remia ES policijos</w:t>
            </w:r>
            <w:r>
              <w:t xml:space="preserve"> ir </w:t>
            </w:r>
            <w:r>
              <w:rPr>
                <w:b/>
                <w:i/>
              </w:rPr>
              <w:t>teisinės</w:t>
            </w:r>
            <w:r>
              <w:t xml:space="preserve"> valstybės </w:t>
            </w:r>
            <w:r>
              <w:rPr>
                <w:b/>
                <w:i/>
              </w:rPr>
              <w:t>misijos Okupuotojoje</w:t>
            </w:r>
            <w:r>
              <w:t xml:space="preserve"> Palestinos </w:t>
            </w:r>
            <w:r>
              <w:rPr>
                <w:b/>
                <w:i/>
              </w:rPr>
              <w:t>Teritorijoje (EUPOL COPPS)</w:t>
            </w:r>
            <w:r>
              <w:t xml:space="preserve"> ir </w:t>
            </w:r>
            <w:r>
              <w:rPr>
                <w:b/>
                <w:i/>
              </w:rPr>
              <w:t>ES pasienio pagalbos misijos (EU BAM)</w:t>
            </w:r>
            <w:r>
              <w:t xml:space="preserve"> Rafah perėjimo </w:t>
            </w:r>
            <w:r>
              <w:rPr>
                <w:b/>
                <w:i/>
              </w:rPr>
              <w:t>punktui vykdomą darbą padedant įgyvendinti</w:t>
            </w:r>
            <w:r>
              <w:t xml:space="preserve"> Palestinos valdžios </w:t>
            </w:r>
            <w:r>
              <w:rPr>
                <w:b/>
                <w:i/>
              </w:rPr>
              <w:t>institucijų saugumo</w:t>
            </w:r>
            <w:r>
              <w:t xml:space="preserve"> ir </w:t>
            </w:r>
            <w:r>
              <w:rPr>
                <w:b/>
                <w:i/>
              </w:rPr>
              <w:t>teisingumo sektoriaus reformą bei integruotą sienų valdymą</w:t>
            </w:r>
            <w:r>
              <w:t>;</w:t>
            </w:r>
          </w:p>
        </w:tc>
        <w:tc>
          <w:tcPr>
            <w:tcW w:w="4876" w:type="dxa"/>
            <w:tcBorders>
              <w:top w:val="nil"/>
              <w:left w:val="nil"/>
              <w:bottom w:val="nil"/>
              <w:right w:val="nil"/>
            </w:tcBorders>
          </w:tcPr>
          <w:p w:rsidR="00A47A16" w:rsidRPr="00080AF4" w:rsidRDefault="00A47A16" w:rsidP="00BA0C71">
            <w:pPr>
              <w:pStyle w:val="Normal6a"/>
            </w:pPr>
            <w:r>
              <w:t>–</w:t>
            </w:r>
            <w:r>
              <w:tab/>
            </w:r>
            <w:r>
              <w:rPr>
                <w:b/>
                <w:i/>
              </w:rPr>
              <w:t>remti didesnį dviejų ES civilinių BSGP misijų EUPOL COPPS ir EU BAM Rafah vaidmenį, atsižvelgiant į 2024 m. kovo 21–22 d. Europos Vadovų Tarybos išvadas, primenant</w:t>
            </w:r>
            <w:r>
              <w:t xml:space="preserve">, kad </w:t>
            </w:r>
            <w:r>
              <w:rPr>
                <w:b/>
                <w:i/>
              </w:rPr>
              <w:t>jos gali atlikti svarbų vaidmenį, grindžiamą dviejų valstybių sambūviu pagrįsto sprendimo principu</w:t>
            </w:r>
            <w:r>
              <w:t xml:space="preserve"> ir </w:t>
            </w:r>
            <w:r>
              <w:rPr>
                <w:b/>
                <w:i/>
              </w:rPr>
              <w:t>būsimos Palestinos</w:t>
            </w:r>
            <w:r>
              <w:t xml:space="preserve"> valstybės </w:t>
            </w:r>
            <w:r>
              <w:rPr>
                <w:b/>
                <w:i/>
              </w:rPr>
              <w:t>gyvybingumu, dalyvauti sudarant palankesnes sąlygas teikti humanitarinę pagalbą Gazos ruožui, didinti</w:t>
            </w:r>
            <w:r>
              <w:t xml:space="preserve"> Palestinos </w:t>
            </w:r>
            <w:r>
              <w:rPr>
                <w:b/>
                <w:i/>
              </w:rPr>
              <w:t>valdžios Vakarų Krante veiksmingumą</w:t>
            </w:r>
            <w:r>
              <w:t xml:space="preserve"> ir </w:t>
            </w:r>
            <w:r>
              <w:rPr>
                <w:b/>
                <w:i/>
              </w:rPr>
              <w:t>pasirengti jos grįžimui į Gazos ruožą; ypač pabrėžia, kad reikia sudaryti būtinas sąlygas visiškai atnaujinti misiją EU BAM Rafah, kad ji galėtų veikti kaip neutrali trečioji šalis</w:t>
            </w:r>
            <w:r>
              <w:t xml:space="preserve"> Rafah perėjimo </w:t>
            </w:r>
            <w:r>
              <w:rPr>
                <w:b/>
                <w:i/>
              </w:rPr>
              <w:t>punkte, koordinuojant veiksmus su</w:t>
            </w:r>
            <w:r>
              <w:t xml:space="preserve"> Palestinos </w:t>
            </w:r>
            <w:r>
              <w:rPr>
                <w:b/>
                <w:i/>
              </w:rPr>
              <w:t xml:space="preserve">Administracija, taip pat Izraelio ir Egipto </w:t>
            </w:r>
            <w:r>
              <w:t xml:space="preserve">valdžios </w:t>
            </w:r>
            <w:r>
              <w:rPr>
                <w:b/>
                <w:i/>
              </w:rPr>
              <w:t>institucijomis; tikisi, kad misijų EUPOL COPPS ir EU BAM Rafah aprėpties</w:t>
            </w:r>
            <w:r>
              <w:t xml:space="preserve"> ir </w:t>
            </w:r>
            <w:r>
              <w:rPr>
                <w:b/>
                <w:i/>
              </w:rPr>
              <w:t>įgaliojimų stiprinimas vietoje bus įtrauktas kaip pagrindinis būsimos ES ir Artimųjų Rytų strategijos prioritetas</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978</w:t>
      </w:r>
      <w:r>
        <w:rPr>
          <w:rStyle w:val="HideTWBExt"/>
        </w:rPr>
        <w:t>&lt;/NumAm&gt;</w:t>
      </w:r>
    </w:p>
    <w:p w:rsidR="00A47A16" w:rsidRPr="00080AF4" w:rsidRDefault="00A47A16" w:rsidP="00A47A16">
      <w:pPr>
        <w:pStyle w:val="NormalBold"/>
      </w:pPr>
      <w:r>
        <w:rPr>
          <w:rStyle w:val="HideTWBExt"/>
          <w:b w:val="0"/>
        </w:rPr>
        <w:t>&lt;RepeatBlock-By&gt;&lt;Members&gt;</w:t>
      </w:r>
      <w:r>
        <w:t>Merja Kyllönen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w:t>
            </w:r>
            <w:r>
              <w:tab/>
              <w:t>pakartoti, kad remia ES policijos ir teisinės valstybės misijos Okupuotojoje Palestinos Teritorijoje (EUPOL COPPS) ir ES pasienio pagalbos misijos (EU BAM) Rafah perėjimo punktui vykdomą darbą padedant įgyvendinti Palestinos valdžios institucijų saugumo ir teisingumo sektoriaus reformą bei integruotą sienų valdymą;</w:t>
            </w:r>
          </w:p>
        </w:tc>
        <w:tc>
          <w:tcPr>
            <w:tcW w:w="4876" w:type="dxa"/>
            <w:tcBorders>
              <w:top w:val="nil"/>
              <w:left w:val="nil"/>
              <w:bottom w:val="nil"/>
              <w:right w:val="nil"/>
            </w:tcBorders>
          </w:tcPr>
          <w:p w:rsidR="00A47A16" w:rsidRPr="00080AF4" w:rsidRDefault="00A47A16" w:rsidP="00BA0C71">
            <w:pPr>
              <w:pStyle w:val="Normal6a"/>
            </w:pPr>
            <w:r>
              <w:t>–</w:t>
            </w:r>
            <w:r>
              <w:tab/>
              <w:t xml:space="preserve">pakartoti, kad remia ES policijos ir teisinės valstybės misijos Okupuotojoje Palestinos Teritorijoje (EUPOL COPPS) ir ES pasienio pagalbos misijos (EU BAM) Rafah perėjimo punktui vykdomą darbą padedant įgyvendinti Palestinos valdžios institucijų saugumo ir teisingumo sektoriaus reformą bei integruotą sienų valdymą; </w:t>
            </w:r>
            <w:r>
              <w:rPr>
                <w:b/>
                <w:i/>
              </w:rPr>
              <w:t>pabrėžia svarbų dialogų žmogaus teisių klausimais vaidmenį ES žmogaus teisių priemonių rinkinyje ir pagrindinį vaidmenį įgyvendinant ES veiksmų planą žmogaus teisių ir demokratijos srityje; akcentuoja, kad šiuose dialoguose su atitinkamomis šalimis turėtų būti aptariama bendra žmogaus teisių ir demokratijos padėtis ir padedama apibrėžti, kokiu keliu eiti toliau; </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979</w:t>
      </w:r>
      <w:r>
        <w:rPr>
          <w:rStyle w:val="HideTWBExt"/>
        </w:rPr>
        <w:t>&lt;/NumAm&gt;</w:t>
      </w:r>
    </w:p>
    <w:p w:rsidR="00A47A16" w:rsidRPr="00080AF4" w:rsidRDefault="00A47A16" w:rsidP="00A47A16">
      <w:pPr>
        <w:pStyle w:val="NormalBold"/>
      </w:pPr>
      <w:r>
        <w:rPr>
          <w:rStyle w:val="HideTWBExt"/>
          <w:b w:val="0"/>
        </w:rPr>
        <w:t>&lt;RepeatBlock-By&gt;&lt;Members&gt;</w:t>
      </w:r>
      <w:r>
        <w:t>Emmanouil Kefalogiannis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w:t>
            </w:r>
            <w:r>
              <w:tab/>
              <w:t>pakartoti, kad remia ES policijos ir teisinės valstybės misijos Okupuotojoje Palestinos Teritorijoje (EUPOL COPPS) ir ES pasienio pagalbos misijos (EU BAM) Rafah perėjimo punktui vykdomą darbą padedant įgyvendinti Palestinos valdžios institucijų saugumo ir teisingumo sektoriaus reformą bei integruotą sienų valdymą;</w:t>
            </w:r>
          </w:p>
        </w:tc>
        <w:tc>
          <w:tcPr>
            <w:tcW w:w="4876" w:type="dxa"/>
            <w:tcBorders>
              <w:top w:val="nil"/>
              <w:left w:val="nil"/>
              <w:bottom w:val="nil"/>
              <w:right w:val="nil"/>
            </w:tcBorders>
          </w:tcPr>
          <w:p w:rsidR="00A47A16" w:rsidRPr="00080AF4" w:rsidRDefault="00A47A16" w:rsidP="00BA0C71">
            <w:pPr>
              <w:pStyle w:val="Normal6a"/>
            </w:pPr>
            <w:r>
              <w:t>–</w:t>
            </w:r>
            <w:r>
              <w:tab/>
              <w:t xml:space="preserve">pakartoti, kad remia ES policijos ir teisinės valstybės misijos Okupuotojoje Palestinos Teritorijoje (EUPOL COPPS) ir ES pasienio pagalbos misijos (EU BAM) Rafah perėjimo punktui vykdomą darbą padedant įgyvendinti Palestinos valdžios institucijų saugumo ir teisingumo sektoriaus reformą bei integruotą sienų valdymą; </w:t>
            </w:r>
            <w:r>
              <w:rPr>
                <w:b/>
                <w:i/>
              </w:rPr>
              <w:t>pakartoja, kad remia Europos Komisijos skubios finansinės paramos Palestinos Administracijai planą, kuriuo siekiama, kad būtų įgyvendinta Palestinos Administracijos reforma, atgaivinta jos ekonomika, padidintas jos atsparumas ir užtikrintas veiksmingas jos valdymas;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980</w:t>
      </w:r>
      <w:r>
        <w:rPr>
          <w:rStyle w:val="HideTWBExt"/>
        </w:rPr>
        <w:t>&lt;/NumAm&gt;</w:t>
      </w:r>
    </w:p>
    <w:p w:rsidR="00A47A16" w:rsidRPr="00080AF4" w:rsidRDefault="00A47A16" w:rsidP="00A47A16">
      <w:pPr>
        <w:pStyle w:val="NormalBold"/>
      </w:pPr>
      <w:r>
        <w:rPr>
          <w:rStyle w:val="HideTWBExt"/>
          <w:b w:val="0"/>
        </w:rPr>
        <w:t>&lt;RepeatBlock-By&gt;&lt;Members&gt;</w:t>
      </w:r>
      <w:r>
        <w:t>Andrey Kovatchev</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3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skatinti tiek laiko, kiek reikės, tęsti civilinę Europos Sąjungos misiją Armėnijoje (EUMA) ir paraginti Azerbaidžano valdžios institucijas pritarti tam, kad EUMA taip pat būtų leidžiama veikti jų sienos pusėje;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981</w:t>
      </w:r>
      <w:r>
        <w:rPr>
          <w:rStyle w:val="HideTWBExt"/>
        </w:rPr>
        <w:t>&lt;/NumAm&gt;</w:t>
      </w:r>
    </w:p>
    <w:p w:rsidR="00A47A16" w:rsidRPr="00080AF4" w:rsidRDefault="00A47A16" w:rsidP="00A47A16">
      <w:pPr>
        <w:pStyle w:val="NormalBold"/>
      </w:pPr>
      <w:r>
        <w:rPr>
          <w:rStyle w:val="HideTWBExt"/>
          <w:b w:val="0"/>
        </w:rPr>
        <w:t>&lt;RepeatBlock-By&gt;&lt;Members&gt;</w:t>
      </w:r>
      <w:r>
        <w:t>Christophe Gomart</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43 dalies 3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w:t>
            </w:r>
            <w:r>
              <w:tab/>
            </w:r>
            <w:r>
              <w:rPr>
                <w:b/>
                <w:i/>
              </w:rPr>
              <w:t>taikyti sankcijas Azerbaidžanui, atsakingam už Kalnų Karabacho armėnų etninį valymą;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982</w:t>
      </w:r>
      <w:r>
        <w:rPr>
          <w:rStyle w:val="HideTWBExt"/>
        </w:rPr>
        <w:t>&lt;/NumAm&gt;</w:t>
      </w:r>
    </w:p>
    <w:p w:rsidR="00A47A16" w:rsidRPr="00080AF4" w:rsidRDefault="00A47A16" w:rsidP="00A47A16">
      <w:pPr>
        <w:pStyle w:val="NormalBold"/>
      </w:pPr>
      <w:r>
        <w:rPr>
          <w:rStyle w:val="HideTWBExt"/>
          <w:b w:val="0"/>
        </w:rPr>
        <w:t>&lt;RepeatBlock-By&gt;&lt;Members&gt;</w:t>
      </w:r>
      <w:r>
        <w:t>António Tânger Corrêa</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44.</w:t>
            </w:r>
            <w:r>
              <w:tab/>
            </w:r>
            <w:r>
              <w:rPr>
                <w:b/>
                <w:i/>
              </w:rPr>
              <w:t>ragina Komisijos pirmininko pavaduotoją ir Sąjungos vyriausiąjį vadovautis sėkmingų evakuacijos veiksmų Sudane ir sustiprintos konsulinės apsaugos pavyzdžiais ir siekti sukurti visapusišką ES piliečių apsaugos užsienyje sistemą;</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983</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Vasile Dîncu, Marco Tarquinio,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44.</w:t>
            </w:r>
            <w:r>
              <w:tab/>
              <w:t>ragina Komisijos pirmininko pavaduotoją ir Sąjungos vyriausiąjį vadovautis sėkmingų evakuacijos veiksmų Sudane ir sustiprintos konsulinės apsaugos pavyzdžiais ir siekti sukurti visapusišką ES piliečių apsaugos užsienyje sistemą;</w:t>
            </w:r>
          </w:p>
        </w:tc>
        <w:tc>
          <w:tcPr>
            <w:tcW w:w="4876" w:type="dxa"/>
            <w:tcBorders>
              <w:top w:val="nil"/>
              <w:left w:val="nil"/>
              <w:bottom w:val="nil"/>
              <w:right w:val="nil"/>
            </w:tcBorders>
          </w:tcPr>
          <w:p w:rsidR="00A47A16" w:rsidRPr="00080AF4" w:rsidRDefault="00A47A16" w:rsidP="00BA0C71">
            <w:pPr>
              <w:pStyle w:val="Normal6a"/>
            </w:pPr>
            <w:r>
              <w:t>44.</w:t>
            </w:r>
            <w:r>
              <w:tab/>
              <w:t xml:space="preserve">ragina Komisijos pirmininko pavaduotoją ir Sąjungos vyriausiąjį vadovautis sėkmingų evakuacijos veiksmų Sudane ir sustiprintos konsulinės apsaugos pavyzdžiais ir siekti sukurti visapusišką ES piliečių apsaugos užsienyje sistemą; </w:t>
            </w:r>
            <w:r>
              <w:rPr>
                <w:b/>
                <w:i/>
              </w:rPr>
              <w:t>pabrėžia, kad dėl nuolatinių krizių ir konfliktų poveikio visame pasaulyje gali kilti pavojus užkrauti valstybių narių konsulinei apsaugai ir (arba) pagalbai pernelyg didelę naštą, ir šiuo atžvilgiu ragina stiprinti EIVT reagavimo į krizes centro ir ES civilinės saugos mechanizmo pajėgumus ir išteklius;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984</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44.</w:t>
            </w:r>
            <w:r>
              <w:tab/>
              <w:t>ragina Komisijos pirmininko pavaduotoją ir Sąjungos vyriausiąjį vadovautis sėkmingų evakuacijos veiksmų Sudane ir sustiprintos konsulinės apsaugos pavyzdžiais ir siekti sukurti visapusišką ES piliečių apsaugos užsienyje sistemą;</w:t>
            </w:r>
          </w:p>
        </w:tc>
        <w:tc>
          <w:tcPr>
            <w:tcW w:w="4876" w:type="dxa"/>
            <w:tcBorders>
              <w:top w:val="nil"/>
              <w:left w:val="nil"/>
              <w:bottom w:val="nil"/>
              <w:right w:val="nil"/>
            </w:tcBorders>
          </w:tcPr>
          <w:p w:rsidR="00A47A16" w:rsidRPr="00080AF4" w:rsidRDefault="00A47A16" w:rsidP="00BA0C71">
            <w:pPr>
              <w:pStyle w:val="Normal6a"/>
            </w:pPr>
            <w:r>
              <w:t>44.</w:t>
            </w:r>
            <w:r>
              <w:tab/>
              <w:t xml:space="preserve">ragina Komisijos pirmininko pavaduotoją ir Sąjungos vyriausiąjį vadovautis sėkmingų evakuacijos veiksmų Sudane ir sustiprintos konsulinės apsaugos pavyzdžiais ir siekti sukurti visapusišką ES piliečių </w:t>
            </w:r>
            <w:r>
              <w:rPr>
                <w:b/>
                <w:i/>
              </w:rPr>
              <w:t xml:space="preserve">ir vietoje esančių ES delegacijų bei BUSP misijų ir operacijų darbuotojų </w:t>
            </w:r>
            <w:r>
              <w:t>apsaugos užsienyje sistemą;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985</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44a.</w:t>
            </w:r>
            <w:r>
              <w:tab/>
            </w:r>
            <w:r>
              <w:rPr>
                <w:b/>
                <w:i/>
              </w:rPr>
              <w:t>palankiai vertina ES kaip pasaulinės lyderės kovos su klimato kaita srityje pastangas ir ragina Komisiją ir Europos išorės veiksmų tarnybą (EIVT) siūlyti naujų iniciatyvų, pvz., dėl Europos žaliojo kurso eksternalizavimo; mano, kad Europos žaliojo kurso įgyvendinimas turės didelių geopolitinių pasekmių ir turės įtakos ES santykiams su savopartneriais, taip pat, kad ES turėtų remti plataus užmojo CO</w:t>
            </w:r>
            <w:r>
              <w:rPr>
                <w:b/>
                <w:i/>
                <w:vertAlign w:val="subscript"/>
              </w:rPr>
              <w:t>2</w:t>
            </w:r>
            <w:r>
              <w:rPr>
                <w:b/>
                <w:i/>
              </w:rPr>
              <w:t xml:space="preserve"> mažinimo tikslus trečiosiose šalyse, ir pabrėžia, kad diplomatija klimato srityje turi atlikti pagrindinį vaidmenį; pabrėžia ekonominio atsparumo ir su Paryžiaus susitarimu suderintos, mažesnę priklausomybę nuo iškastinio kuro turinčios ekonomikos kūrimo svarbą; pabrėžia, kad investicijomis į junglumą didžiausias dėmesys turi būti skiramas ekonomikos atsparumui ir su Paryžiaus klimato susitarimu suderinamam ekonomikos priklausomybės nuo iškastinio kuro mažinimui;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986</w:t>
      </w:r>
      <w:r>
        <w:rPr>
          <w:rStyle w:val="HideTWBExt"/>
        </w:rPr>
        <w:t>&lt;/NumAm&gt;</w:t>
      </w:r>
    </w:p>
    <w:p w:rsidR="00A47A16" w:rsidRPr="00080AF4" w:rsidRDefault="00A47A16" w:rsidP="00A47A16">
      <w:pPr>
        <w:pStyle w:val="NormalBold"/>
      </w:pPr>
      <w:r>
        <w:rPr>
          <w:rStyle w:val="HideTWBExt"/>
          <w:b w:val="0"/>
        </w:rPr>
        <w:t>&lt;RepeatBlock-By&gt;&lt;Members&gt;</w:t>
      </w:r>
      <w:r>
        <w:t>Adam Bielan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44a.</w:t>
            </w:r>
            <w:r>
              <w:tab/>
            </w:r>
            <w:r>
              <w:rPr>
                <w:b/>
                <w:i/>
              </w:rPr>
              <w:t>pabrėžia, kad svarbu apsaugoti ES išorės sienas, ir ragina ES apsvarstyti galimybę sustabdyti lėšų skyrimą, kol paramą gaunanti valstybė sudarys susitarimus, pagal kuriuos būtų galima grąžinti neteisėtus migrantus iš valstybių narių; ragina ES padidinti išteklius ir stiprinti bendradarbiavimą su partneriais, pvz., Europolu, Interpolu, Eurojustu, FRONTEX, taip pat neteisėtų migrantų kilmės, tranzito ir paskirties šalimis, stiprinti savo veiksmus kovojant su prekyba žmonėmis per Viduržemio jūrą ir Baltarusiją, siekiant išardyti nusikaltėlių tinklus, naudojamus prekybai žmonėmis;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987</w:t>
      </w:r>
      <w:r>
        <w:rPr>
          <w:rStyle w:val="HideTWBExt"/>
        </w:rPr>
        <w:t>&lt;/NumAm&gt;</w:t>
      </w:r>
    </w:p>
    <w:p w:rsidR="00A47A16" w:rsidRPr="00080AF4" w:rsidRDefault="00A47A16" w:rsidP="00A47A16">
      <w:pPr>
        <w:pStyle w:val="NormalBold"/>
      </w:pPr>
      <w:r>
        <w:rPr>
          <w:rStyle w:val="HideTWBExt"/>
          <w:b w:val="0"/>
        </w:rPr>
        <w:t>&lt;RepeatBlock-By&gt;&lt;Members&gt;</w:t>
      </w:r>
      <w:r>
        <w:t>Andrey Kovatchev</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44a.</w:t>
            </w:r>
            <w:r>
              <w:tab/>
            </w:r>
            <w:r>
              <w:rPr>
                <w:b/>
                <w:i/>
              </w:rPr>
              <w:t>ragina Azerbaidžano valdžios institucijas leisti Armėnijos gyventojams saugiai grįžti į Kalnų Karabachą, suteikiant jiems tarptautines garantijas ir tarptautinę priežiūrą; reikalauja apsaugoti armėnų kultūrinį, istorinį ir religinį paveldą Kalnų Karabache laikantis UNESCO standartų ir Azerbaidžano tarptautinių įsipareigojimų;</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988</w:t>
      </w:r>
      <w:r>
        <w:rPr>
          <w:rStyle w:val="HideTWBExt"/>
        </w:rPr>
        <w:t>&lt;/NumAm&gt;</w:t>
      </w:r>
    </w:p>
    <w:p w:rsidR="00A47A16" w:rsidRPr="00080AF4" w:rsidRDefault="00A47A16" w:rsidP="00A47A16">
      <w:pPr>
        <w:pStyle w:val="NormalBold"/>
      </w:pPr>
      <w:r>
        <w:rPr>
          <w:rStyle w:val="HideTWBExt"/>
          <w:b w:val="0"/>
        </w:rPr>
        <w:t>&lt;RepeatBlock-By&gt;&lt;Members&gt;</w:t>
      </w:r>
      <w:r>
        <w:t>Vasile Dîncu</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44a.</w:t>
            </w:r>
            <w:r>
              <w:tab/>
            </w:r>
            <w:r>
              <w:rPr>
                <w:b/>
                <w:i/>
              </w:rPr>
              <w:t>pabrėžia, kad būtina padidinti Europos gynybos fondo finansavimą siekiant remti bendrus gynybos srities mokslinius tyrimus, technologijas ir inovacijas; pažymi, kad tai sumažins ES priklausomybę nuo išorės gynybos tiekėjų, visų pirma ypatingos svarbos sektoriuose, pvz., kibernetinės gynybos, orlaivių ir erdvėlaivių bei dirbtinio intelekto karinėms reikmėms;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989</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Vasile Dîncu, Marco Tarquinio,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44a.</w:t>
            </w:r>
            <w:r>
              <w:tab/>
            </w:r>
            <w:r>
              <w:rPr>
                <w:b/>
                <w:i/>
              </w:rPr>
              <w:t>ragina ES ir jos valstybes nares pateikti pagrįstų pasiūlymų dėl to, kad visuose daugiašaliuose forumuose, įskaitant JT Saugumo Tarybą, Sąjunga turėtų atskirą ir nuolatinę poziciją, taip sustiprinant ES vaidmenį, nuoseklumą ir patikimumą pasaulyje;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990</w:t>
      </w:r>
      <w:r>
        <w:rPr>
          <w:rStyle w:val="HideTWBExt"/>
        </w:rPr>
        <w:t>&lt;/NumAm&gt;</w:t>
      </w:r>
    </w:p>
    <w:p w:rsidR="00A47A16" w:rsidRPr="00080AF4" w:rsidRDefault="00A47A16" w:rsidP="00A47A16">
      <w:pPr>
        <w:pStyle w:val="NormalBold"/>
      </w:pPr>
      <w:r>
        <w:rPr>
          <w:rStyle w:val="HideTWBExt"/>
          <w:b w:val="0"/>
        </w:rPr>
        <w:t>&lt;RepeatBlock-By&gt;&lt;Members&gt;</w:t>
      </w:r>
      <w:r>
        <w:t>Ivaylo Valchev</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44a.</w:t>
            </w:r>
            <w:r>
              <w:tab/>
            </w:r>
            <w:r>
              <w:rPr>
                <w:b/>
                <w:i/>
              </w:rPr>
              <w:t>ragina įgyvendinti tvirtesnę politiką, kuria būtų siekiama, kad neteisėtos migracijos problema būtų sprendžiama prieš migrantams pasiekiant Europos Sąjungos išorės sienas, bendradarbiaujant su kilmės ir tranzito šalimis, patiriančiomis migracijos spaudimą;</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991</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44a.</w:t>
            </w:r>
            <w:r>
              <w:tab/>
            </w:r>
            <w:r>
              <w:rPr>
                <w:b/>
                <w:i/>
              </w:rPr>
              <w:t>ragina Europos Komisiją ir EIVT su mūsų partneriais vykdyti feministinę užsienio ir saugumo politiką, vadovaujantis Europos Parlamento pranešimu dėl Trečiojo ES lyčių lygybės veiksmų plano;</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992</w:t>
      </w:r>
      <w:r>
        <w:rPr>
          <w:rStyle w:val="HideTWBExt"/>
        </w:rPr>
        <w:t>&lt;/NumAm&gt;</w:t>
      </w:r>
    </w:p>
    <w:p w:rsidR="00A47A16" w:rsidRPr="00080AF4" w:rsidRDefault="00A47A16" w:rsidP="00A47A16">
      <w:pPr>
        <w:pStyle w:val="NormalBold"/>
      </w:pPr>
      <w:r>
        <w:rPr>
          <w:rStyle w:val="HideTWBExt"/>
          <w:b w:val="0"/>
        </w:rPr>
        <w:t>&lt;RepeatBlock-By&gt;&lt;Members&gt;</w:t>
      </w:r>
      <w:r>
        <w:t>Marc Botenga, Rima Hassan, Özlem Demirel</w:t>
      </w:r>
      <w:r>
        <w:rPr>
          <w:rStyle w:val="HideTWBExt"/>
          <w:b w:val="0"/>
        </w:rPr>
        <w:t>&lt;/Members&gt;</w:t>
      </w:r>
    </w:p>
    <w:p w:rsidR="00A47A16" w:rsidRPr="00080AF4" w:rsidRDefault="00A47A16" w:rsidP="00A47A16">
      <w:r>
        <w:rPr>
          <w:rStyle w:val="HideTWBExt"/>
        </w:rPr>
        <w:t>&lt;AuNomDe&gt;</w:t>
      </w:r>
      <w:r>
        <w:rPr>
          <w:rStyle w:val="HideTWBInt"/>
        </w:rPr>
        <w:t>{The Left}</w:t>
      </w:r>
      <w:r>
        <w:t>The Left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44a.</w:t>
            </w:r>
            <w:r>
              <w:tab/>
            </w:r>
            <w:r>
              <w:rPr>
                <w:b/>
                <w:i/>
              </w:rPr>
              <w:t>ragina Komisijos pirmininko pavaduotoją ir Sąjungos vyriausiąjį įgaliotinį siekti kolektyvinio saugumo remiantis 1975 m. Helsinkio procesu, kad Europos žemyne visiems būtų užtikrinta taika ir saugumas;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993</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44b.</w:t>
            </w:r>
            <w:r>
              <w:tab/>
            </w:r>
            <w:r>
              <w:rPr>
                <w:b/>
                <w:i/>
              </w:rPr>
              <w:t>pripažįsta, kad Arkties regionas turi didelę strateginę ir geopolitinę svarbą dėl atsirandančių naujų jūrų maršrutų, turtingų gamtos išteklių ir ekonominio vystymosi galimybių, kurias atveria visuotinis atšilimas, nors dėl to vis labiau ginčijamasi; mano, kad nerimą kelia didėjanti autoritarinių režimų, įskaitant Rusiją ir Kiniją, veikla ir interesai Arktyje; pabrėžia, kad svarbu išsaugoti saugumą, stabilumą ir bendradarbiavimą Arktyje; pabrėžia, kad regione neturi būti karinės įtampos ir gamtos išteklių naudojimo, kartu gerbiant čiabuvių tautų teises; pakartoja, kad į BUSP reikia įtraukti Sąjungos Arkties politiką ir veiksmingai bendradarbiauti su NATO; ragina reguliariai spręsti Arkties regiono klausimus Politinio ir saugumo komiteto ir Tarybos posėdžiuose;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994</w:t>
      </w:r>
      <w:r>
        <w:rPr>
          <w:rStyle w:val="HideTWBExt"/>
        </w:rPr>
        <w:t>&lt;/NumAm&gt;</w:t>
      </w:r>
    </w:p>
    <w:p w:rsidR="00A47A16" w:rsidRPr="00080AF4" w:rsidRDefault="00A47A16" w:rsidP="00A47A16">
      <w:pPr>
        <w:pStyle w:val="NormalBold"/>
      </w:pPr>
      <w:r>
        <w:rPr>
          <w:rStyle w:val="HideTWBExt"/>
          <w:b w:val="0"/>
        </w:rPr>
        <w:t>&lt;RepeatBlock-By&gt;&lt;Members&gt;</w:t>
      </w:r>
      <w:r>
        <w:t>Vasile Dîncu</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44b.</w:t>
            </w:r>
            <w:r>
              <w:tab/>
            </w:r>
            <w:r>
              <w:rPr>
                <w:b/>
                <w:i/>
              </w:rPr>
              <w:t>pabrėžia, kad būtina toliau plėsti PESCO iniciatyvas siekiant pagerinti karinį mobilumą, kibernetinės gynybos pajėgumus ir bendrą ES gynybos infrastruktūrą, daugiausia dėmesio skiriant pagrindinių gynybos sistemų, pvz., bepiločių orlaivių, priešraketinės gynybos ir karinio jūrų laivyno pajėgumų, plėtojimui, užtikrinant, kad ES valstybės narės galėtų kolektyviai apsiginti nuo kylančių grėsmių;</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995</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44c.</w:t>
            </w:r>
            <w:r>
              <w:tab/>
            </w:r>
            <w:r>
              <w:rPr>
                <w:b/>
                <w:i/>
              </w:rPr>
              <w:t>palankiai vertina 2024 m. spalio 16 d. įvykusį pirmąjį ES ir Persijos įlankos bendradarbiavimo tarybos aukščiausiojo lygio susitikimą; vis dėlto apgailestauja, kad aukščiausiojo lygio susitikimo bendrame pareiškime prie žmogaus teisių klausimų buvo tik menkai prisiliesta; ragina ES ir valstybes nares ir toliau pabrėžti pagarbą žmogaus teisėms ir lyčių lygybei, taip pat laipsnišką vertybių derinimą, visų pirma susijusį su kova su Rusijos agresijos karu prieš Ukrainą ir jos padariniais;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996</w:t>
      </w:r>
      <w:r>
        <w:rPr>
          <w:rStyle w:val="HideTWBExt"/>
        </w:rPr>
        <w:t>&lt;/NumAm&gt;</w:t>
      </w:r>
    </w:p>
    <w:p w:rsidR="00A47A16" w:rsidRPr="00080AF4" w:rsidRDefault="00A47A16" w:rsidP="00A47A16">
      <w:pPr>
        <w:pStyle w:val="NormalBold"/>
      </w:pPr>
      <w:r>
        <w:rPr>
          <w:rStyle w:val="HideTWBExt"/>
          <w:b w:val="0"/>
        </w:rPr>
        <w:t>&lt;RepeatBlock-By&gt;&lt;Members&gt;</w:t>
      </w:r>
      <w:r>
        <w:t>Vasile Dîncu</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44c.</w:t>
            </w:r>
            <w:r>
              <w:tab/>
            </w:r>
            <w:r>
              <w:rPr>
                <w:b/>
                <w:i/>
              </w:rPr>
              <w:t>ragina stiprinti ES dalyvavimą ir įtaką artimiausiose kaimyninėse šalyse, visų pirma Vakarų Balkanuose, Rytų Europoje ir Viduržemio jūros regione, teikiant ekonominę pagalbą, bendradarbiaujant saugumo srityje ir vykdant diplomatinius įsipareigojimus, suteikiant ES galimybę ginti savo interesus, skatinti stabilumą ir propaguoti savo vertybes visame pasaulyje;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997</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 Marco Tarquinio, Vasile Dîncu</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44d.</w:t>
            </w:r>
            <w:r>
              <w:tab/>
            </w:r>
            <w:r>
              <w:rPr>
                <w:b/>
                <w:i/>
              </w:rPr>
              <w:t>ragina ES padidinti savo paramą pilietinei visuomenei ir žmogaus teisių gynėjams mūsų šalyse partnerėse, atsižvelgiant į mažėjančią pilietinės visuomenės erdvę visame pasaulyje;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998</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44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44e.</w:t>
            </w:r>
            <w:r>
              <w:tab/>
            </w:r>
            <w:r>
              <w:rPr>
                <w:b/>
                <w:i/>
              </w:rPr>
              <w:t>reiškia didelį susirūpinimą dėl to, kad visame pasaulyje daugėja išpuolių prieš LGBTIQ asmenų teises, nes LGBTIQ asmenys ir toliau patiria diskriminaciją ir smurtą, be kita ko, šalyse, kuriose, nepaisant tam tikros pažangos, šiuo metu matoma regresija šių sunkiai iškovotų teisių srityje, pvz., priešiška išrinktų politikų retorika, homofobinio smurto paaštrėjimas ir vadinamųjų zonų be LGBTIQ asmenų paskelbimas;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999</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45.</w:t>
            </w:r>
            <w:r>
              <w:tab/>
            </w:r>
            <w:r>
              <w:rPr>
                <w:b/>
                <w:i/>
              </w:rPr>
              <w:t>mano, kad reikalinga tvirtesnė institucionalizuota parlamentinė ES išorės veiksmų priežiūra, įskaitant reguliarią ir savalaikę, taip pat saugią prieigą prie konfidencialios informacijos;</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1000</w:t>
      </w:r>
      <w:r>
        <w:rPr>
          <w:rStyle w:val="HideTWBExt"/>
        </w:rPr>
        <w:t>&lt;/NumAm&gt;</w:t>
      </w:r>
    </w:p>
    <w:p w:rsidR="00A47A16" w:rsidRPr="00080AF4" w:rsidRDefault="00A47A16" w:rsidP="00A47A16">
      <w:pPr>
        <w:pStyle w:val="NormalBold"/>
      </w:pPr>
      <w:r>
        <w:rPr>
          <w:rStyle w:val="HideTWBExt"/>
          <w:b w:val="0"/>
        </w:rPr>
        <w:t>&lt;RepeatBlock-By&gt;&lt;Members&gt;</w:t>
      </w:r>
      <w:r>
        <w:t>Adam Bielan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45.</w:t>
            </w:r>
            <w:r>
              <w:tab/>
              <w:t>mano, kad reikalinga tvirtesnė institucionalizuota parlamentinė ES išorės veiksmų priežiūra, įskaitant reguliarią ir savalaikę, taip pat saugią prieigą prie konfidencialios informacijos;</w:t>
            </w:r>
          </w:p>
        </w:tc>
        <w:tc>
          <w:tcPr>
            <w:tcW w:w="4876" w:type="dxa"/>
            <w:tcBorders>
              <w:top w:val="nil"/>
              <w:left w:val="nil"/>
              <w:bottom w:val="nil"/>
              <w:right w:val="nil"/>
            </w:tcBorders>
          </w:tcPr>
          <w:p w:rsidR="00A47A16" w:rsidRPr="00080AF4" w:rsidRDefault="00A47A16" w:rsidP="00BA0C71">
            <w:pPr>
              <w:pStyle w:val="Normal6a"/>
            </w:pPr>
            <w:r>
              <w:t>45.</w:t>
            </w:r>
            <w:r>
              <w:tab/>
              <w:t xml:space="preserve">mano, kad reikalinga tvirtesnė institucionalizuota parlamentinė ES išorės veiksmų priežiūra, įskaitant reguliarią ir savalaikę, taip pat saugią prieigą prie konfidencialios informacijos; </w:t>
            </w:r>
            <w:r>
              <w:rPr>
                <w:b/>
                <w:i/>
              </w:rPr>
              <w:t>pabrėžia, kad EIVT turi teikti daugiau grįžtamosios informacijos apie veiksmus, kurių ėmėsi tarnyba, siekdama įgyvendinti EP rekomendacijas, išdėstytas rezoliucijose užsienio reikalų klausimais (ir jų poveikį);</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1001</w:t>
      </w:r>
      <w:r>
        <w:rPr>
          <w:rStyle w:val="HideTWBExt"/>
        </w:rPr>
        <w:t>&lt;/NumAm&gt;</w:t>
      </w:r>
    </w:p>
    <w:p w:rsidR="00A47A16" w:rsidRPr="00080AF4" w:rsidRDefault="00A47A16" w:rsidP="00A47A16">
      <w:pPr>
        <w:pStyle w:val="NormalBold"/>
      </w:pPr>
      <w:r>
        <w:rPr>
          <w:rStyle w:val="HideTWBExt"/>
          <w:b w:val="0"/>
        </w:rPr>
        <w:t>&lt;RepeatBlock-By&gt;&lt;Members&gt;</w:t>
      </w:r>
      <w:r>
        <w:t>Željana Zovko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45.</w:t>
            </w:r>
            <w:r>
              <w:tab/>
              <w:t>mano, kad reikalinga tvirtesnė institucionalizuota parlamentinė ES išorės veiksmų priežiūra, įskaitant reguliarią ir savalaikę, taip pat saugią prieigą prie konfidencialios informacijos;</w:t>
            </w:r>
          </w:p>
        </w:tc>
        <w:tc>
          <w:tcPr>
            <w:tcW w:w="4876" w:type="dxa"/>
            <w:tcBorders>
              <w:top w:val="nil"/>
              <w:left w:val="nil"/>
              <w:bottom w:val="nil"/>
              <w:right w:val="nil"/>
            </w:tcBorders>
          </w:tcPr>
          <w:p w:rsidR="00A47A16" w:rsidRPr="00080AF4" w:rsidRDefault="00A47A16" w:rsidP="00BA0C71">
            <w:pPr>
              <w:pStyle w:val="Normal6a"/>
            </w:pPr>
            <w:r>
              <w:t>45.</w:t>
            </w:r>
            <w:r>
              <w:tab/>
              <w:t>mano, kad reikalinga tvirtesnė institucionalizuota parlamentinė ES išorės veiksmų priežiūra, įskaitant reguliarią ir savalaikę, taip pat saugią prieigą prie konfidencialios informacijos</w:t>
            </w:r>
            <w:r>
              <w:rPr>
                <w:b/>
                <w:i/>
              </w:rPr>
              <w:t xml:space="preserve"> ir informacinius pranešimus Europos Parlamente</w:t>
            </w:r>
            <w:r>
              <w:t>;</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1002</w:t>
      </w:r>
      <w:r>
        <w:rPr>
          <w:rStyle w:val="HideTWBExt"/>
        </w:rPr>
        <w:t>&lt;/NumAm&gt;</w:t>
      </w:r>
    </w:p>
    <w:p w:rsidR="00A47A16" w:rsidRPr="00080AF4" w:rsidRDefault="00A47A16" w:rsidP="00A47A16">
      <w:pPr>
        <w:pStyle w:val="NormalBold"/>
      </w:pPr>
      <w:r>
        <w:rPr>
          <w:rStyle w:val="HideTWBExt"/>
          <w:b w:val="0"/>
        </w:rPr>
        <w:t>&lt;RepeatBlock-By&gt;&lt;Members&gt;</w:t>
      </w:r>
      <w:r>
        <w:t>Sebastiaan Stöteler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46.</w:t>
            </w:r>
            <w:r>
              <w:tab/>
              <w:t xml:space="preserve">pabrėžia, kad BUSP, apimančios BSGP, srityje Europos Parlamentas vykdo savo biudžetinę funkciją kartu su Taryba; primena, kad jis taip pat atlieka šių politikos sričių </w:t>
            </w:r>
            <w:r>
              <w:rPr>
                <w:b/>
                <w:i/>
              </w:rPr>
              <w:t>politinės kontrolės ir</w:t>
            </w:r>
            <w:r>
              <w:t xml:space="preserve"> konsultavimo dėl jų funkciją, kaip nurodyta ES sutarties 36 straipsnyje;</w:t>
            </w:r>
          </w:p>
        </w:tc>
        <w:tc>
          <w:tcPr>
            <w:tcW w:w="4876" w:type="dxa"/>
            <w:tcBorders>
              <w:top w:val="nil"/>
              <w:left w:val="nil"/>
              <w:bottom w:val="nil"/>
              <w:right w:val="nil"/>
            </w:tcBorders>
          </w:tcPr>
          <w:p w:rsidR="00A47A16" w:rsidRPr="00080AF4" w:rsidRDefault="00A47A16" w:rsidP="00BA0C71">
            <w:pPr>
              <w:pStyle w:val="Normal6a"/>
            </w:pPr>
            <w:r>
              <w:t>46.</w:t>
            </w:r>
            <w:r>
              <w:tab/>
              <w:t xml:space="preserve">pabrėžia, kad BUSP, apimančios BSGP, srityje Europos Parlamentas vykdo savo biudžetinę funkciją kartu su Taryba; primena, kad jis taip pat atlieka šių politikos sričių </w:t>
            </w:r>
            <w:r>
              <w:rPr>
                <w:b/>
                <w:i/>
              </w:rPr>
              <w:t>politinio</w:t>
            </w:r>
            <w:r>
              <w:t xml:space="preserve"> konsultavimo dėl jų funkciją, kaip nurodyta ES sutarties 36 straipsnyje;</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1003</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47.</w:t>
            </w:r>
            <w:r>
              <w:tab/>
              <w:t xml:space="preserve">primena, kad visos BUSP ir BSGP išlaidos turėtų būti finansuojamos iš ES biudžeto, išskyrus atvejus, kai Taryba kiekvienu konkrečiu atveju nusprendžia kitaip arba išlaidos yra susijusios su karinio arba gynybinio pobūdžio operacijomis; </w:t>
            </w:r>
            <w:r>
              <w:rPr>
                <w:b/>
                <w:i/>
              </w:rPr>
              <w:t>pripažįsta, kad Taryba turi nustatyti, ar ES veiksmai užsienyje yra karinio arba gynybinio pobūdžio operacija; pabrėžia, kad visais kitais atvejais, kai priimami BUSP ar BSGP srities sprendimai, susiję su išlaidomis, Taryba turėtų apsvarstyti galimybę išlaidas finansuoti iš ES biudžeto;</w:t>
            </w:r>
          </w:p>
        </w:tc>
        <w:tc>
          <w:tcPr>
            <w:tcW w:w="4876" w:type="dxa"/>
            <w:tcBorders>
              <w:top w:val="nil"/>
              <w:left w:val="nil"/>
              <w:bottom w:val="nil"/>
              <w:right w:val="nil"/>
            </w:tcBorders>
          </w:tcPr>
          <w:p w:rsidR="00A47A16" w:rsidRPr="00080AF4" w:rsidRDefault="00A47A16" w:rsidP="00BA0C71">
            <w:pPr>
              <w:pStyle w:val="Normal6a"/>
            </w:pPr>
            <w:r>
              <w:t>47.</w:t>
            </w:r>
            <w:r>
              <w:tab/>
              <w:t>primena, kad visos BUSP ir BSGP išlaidos turėtų būti finansuojamos iš ES biudžeto, išskyrus atvejus, kai Taryba kiekvienu konkrečiu atveju nusprendžia kitaip arba išlaidos yra susijusios su karinio arba gynybinio pobūdžio operacijomis;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1004</w:t>
      </w:r>
      <w:r>
        <w:rPr>
          <w:rStyle w:val="HideTWBExt"/>
        </w:rPr>
        <w:t>&lt;/NumAm&gt;</w:t>
      </w:r>
    </w:p>
    <w:p w:rsidR="00A47A16" w:rsidRPr="00080AF4" w:rsidRDefault="00A47A16" w:rsidP="00A47A16">
      <w:pPr>
        <w:pStyle w:val="NormalBold"/>
      </w:pPr>
      <w:r>
        <w:rPr>
          <w:rStyle w:val="HideTWBExt"/>
          <w:b w:val="0"/>
        </w:rPr>
        <w:t>&lt;RepeatBlock-By&gt;&lt;Members&gt;</w:t>
      </w:r>
      <w:r>
        <w:t>Sebastiaan Stöteler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47.</w:t>
            </w:r>
            <w:r>
              <w:tab/>
              <w:t xml:space="preserve">primena, kad visos BUSP ir BSGP išlaidos turėtų būti finansuojamos iš ES biudžeto, išskyrus atvejus, kai Taryba kiekvienu konkrečiu atveju nusprendžia kitaip arba išlaidos yra susijusios su karinio arba gynybinio pobūdžio operacijomis; pripažįsta, kad Taryba turi nustatyti, ar ES veiksmai užsienyje yra karinio arba gynybinio pobūdžio operacija; </w:t>
            </w:r>
            <w:r>
              <w:rPr>
                <w:b/>
                <w:i/>
              </w:rPr>
              <w:t>pabrėžia, kad visais kitais atvejais, kai priimami BUSP ar BSGP srities sprendimai, susiję su išlaidomis, Taryba turėtų apsvarstyti galimybę išlaidas finansuoti iš ES biudžeto;</w:t>
            </w:r>
          </w:p>
        </w:tc>
        <w:tc>
          <w:tcPr>
            <w:tcW w:w="4876" w:type="dxa"/>
            <w:tcBorders>
              <w:top w:val="nil"/>
              <w:left w:val="nil"/>
              <w:bottom w:val="nil"/>
              <w:right w:val="nil"/>
            </w:tcBorders>
          </w:tcPr>
          <w:p w:rsidR="00A47A16" w:rsidRPr="00080AF4" w:rsidRDefault="00A47A16" w:rsidP="00BA0C71">
            <w:pPr>
              <w:pStyle w:val="Normal6a"/>
            </w:pPr>
            <w:r>
              <w:t>47.</w:t>
            </w:r>
            <w:r>
              <w:tab/>
              <w:t>primena, kad visos BUSP ir BSGP išlaidos turėtų būti finansuojamos iš ES biudžeto, išskyrus atvejus, kai Taryba kiekvienu konkrečiu atveju nusprendžia kitaip arba išlaidos yra susijusios su karinio arba gynybinio pobūdžio operacijomis; pripažįsta, kad Taryba turi nustatyti, ar ES veiksmai užsienyje yra karinio arba gynybinio pobūdžio operacija;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1005</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47a.</w:t>
            </w:r>
            <w:r>
              <w:tab/>
            </w:r>
            <w:r>
              <w:rPr>
                <w:b/>
                <w:i/>
              </w:rPr>
              <w:t>primena savo 2022 m. birželio 8 d. rekomendacijos Tarybai ir Komisijos pirmininko pavaduotojui ir Sąjungos vyriausiajam įgaliotiniui užsienio reikalams ir saugumo politikai dėl ES užsienio, saugumo ir gynybos politikos po Rusijos agresijos karo prieš Ukrainą 1 dalies m punktą ir savo raginimą skubiai pradėti diskusijas siekiant sukurti kitą į biudžetą neįtrauktą finansinę priemonę, kuri būtų skirta visam karinių pajėgumų veiklos ciklui ES lygmeniu – pradedant bendradarbiavimu mokslinių tyrimų ir technologinės plėtros srityje bei bendrais viešaisiais pirkimais, baigiant bendra technine priežiūra, mokymais bei tiekimo saugumu;</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1006</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47b.</w:t>
            </w:r>
            <w:r>
              <w:tab/>
            </w:r>
            <w:r>
              <w:rPr>
                <w:b/>
                <w:i/>
              </w:rPr>
              <w:t>apgailestauja dėl to, kad BUSP biudžetas civilinėms BSGP misijoms nuo 2014–2020 m. daugiametės finansinės programos (DFP) iki 2021–2027 m. DFP tik šiek tiek padidėjo (iš pradžių nuo maždaug 350 mln. EUR per metus), bet tuo pat metu misijų skaičius ir užduotys augo, saugumo aplinka darėsi sudėtingesnė, operacijų sąnaudos didėjo; todėl primygtinai ragina valstybes nares gerokai padidinti BUSP biudžeto finansavimą ir kartu užtikrinti veiksmingą BSGP civilinėms misijoms skirtų lėšų naudojimą, kad būtų galima garantuoti veiksmingą atsaką į krizines situacijas ir nenumatytus įvykius;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1007</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48.</w:t>
            </w:r>
            <w:r>
              <w:tab/>
            </w:r>
            <w:r>
              <w:rPr>
                <w:b/>
                <w:i/>
              </w:rPr>
              <w:t>pabrėžia, kad BUSP arba BSGP srities sprendimai, susiję su išlaidomis, visada yra esminiai šių politikos sričių pasirinkimo klausimai; ragina Komisijos pirmininko pavaduotoją ir Sąjungos vyriausiąjį įgaliotinį, prieš pateikiant bet kuriuos pasiūlymus dėl BUSP ar BSGP srities sprendimų, konsultuotis su Europos Parlamentu;</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1008</w:t>
      </w:r>
      <w:r>
        <w:rPr>
          <w:rStyle w:val="HideTWBExt"/>
        </w:rPr>
        <w:t>&lt;/NumAm&gt;</w:t>
      </w:r>
    </w:p>
    <w:p w:rsidR="00A47A16" w:rsidRPr="00080AF4" w:rsidRDefault="00A47A16" w:rsidP="00A47A16">
      <w:pPr>
        <w:pStyle w:val="NormalBold"/>
      </w:pPr>
      <w:r>
        <w:rPr>
          <w:rStyle w:val="HideTWBExt"/>
          <w:b w:val="0"/>
        </w:rPr>
        <w:t>&lt;RepeatBlock-By&gt;&lt;Members&gt;</w:t>
      </w:r>
      <w:r>
        <w:t>Rihards Kols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48.</w:t>
            </w:r>
            <w:r>
              <w:tab/>
              <w:t xml:space="preserve">pabrėžia, kad BUSP arba BSGP srities </w:t>
            </w:r>
            <w:r>
              <w:rPr>
                <w:b/>
                <w:i/>
              </w:rPr>
              <w:t>sprendimai</w:t>
            </w:r>
            <w:r>
              <w:t xml:space="preserve">, </w:t>
            </w:r>
            <w:r>
              <w:rPr>
                <w:b/>
                <w:i/>
              </w:rPr>
              <w:t>susiję</w:t>
            </w:r>
            <w:r>
              <w:t xml:space="preserve"> su išlaidomis, </w:t>
            </w:r>
            <w:r>
              <w:rPr>
                <w:b/>
                <w:i/>
              </w:rPr>
              <w:t>visada yra esminiai šių politikos sričių pasirinkimo klausimai</w:t>
            </w:r>
            <w:r>
              <w:t>; ragina Komisijos pirmininko pavaduotoją ir Sąjungos vyriausiąjį įgaliotinį</w:t>
            </w:r>
            <w:r>
              <w:rPr>
                <w:b/>
                <w:i/>
              </w:rPr>
              <w:t>,</w:t>
            </w:r>
            <w:r>
              <w:t xml:space="preserve"> prieš </w:t>
            </w:r>
            <w:r>
              <w:rPr>
                <w:b/>
                <w:i/>
              </w:rPr>
              <w:t>pateikiant bet kuriuos pasiūlymus dėl</w:t>
            </w:r>
            <w:r>
              <w:t xml:space="preserve"> BUSP ar BSGP </w:t>
            </w:r>
            <w:r>
              <w:rPr>
                <w:b/>
                <w:i/>
              </w:rPr>
              <w:t>srities sprendimų,</w:t>
            </w:r>
            <w:r>
              <w:t xml:space="preserve"> konsultuotis su Europos Parlamentu;</w:t>
            </w:r>
          </w:p>
        </w:tc>
        <w:tc>
          <w:tcPr>
            <w:tcW w:w="4876" w:type="dxa"/>
            <w:tcBorders>
              <w:top w:val="nil"/>
              <w:left w:val="nil"/>
              <w:bottom w:val="nil"/>
              <w:right w:val="nil"/>
            </w:tcBorders>
          </w:tcPr>
          <w:p w:rsidR="00A47A16" w:rsidRPr="00080AF4" w:rsidRDefault="00A47A16" w:rsidP="00BA0C71">
            <w:pPr>
              <w:pStyle w:val="Normal6a"/>
            </w:pPr>
            <w:r>
              <w:t>48.</w:t>
            </w:r>
            <w:r>
              <w:tab/>
              <w:t xml:space="preserve">pabrėžia, kad BUSP arba BSGP srities </w:t>
            </w:r>
            <w:r>
              <w:rPr>
                <w:b/>
                <w:i/>
              </w:rPr>
              <w:t>sprendimams</w:t>
            </w:r>
            <w:r>
              <w:t xml:space="preserve">, </w:t>
            </w:r>
            <w:r>
              <w:rPr>
                <w:b/>
                <w:i/>
              </w:rPr>
              <w:t>susijusiems</w:t>
            </w:r>
            <w:r>
              <w:t xml:space="preserve"> su išlaidomis, </w:t>
            </w:r>
            <w:r>
              <w:rPr>
                <w:b/>
                <w:i/>
              </w:rPr>
              <w:t>privalo būti taikoma parlamentinė priežiūra</w:t>
            </w:r>
            <w:r>
              <w:t xml:space="preserve">; ragina Komisijos pirmininko pavaduotoją ir Sąjungos vyriausiąjį įgaliotinį prieš </w:t>
            </w:r>
            <w:r>
              <w:rPr>
                <w:b/>
                <w:i/>
              </w:rPr>
              <w:t>siūlant</w:t>
            </w:r>
            <w:r>
              <w:t xml:space="preserve"> BUSP ar BSGP </w:t>
            </w:r>
            <w:r>
              <w:rPr>
                <w:b/>
                <w:i/>
              </w:rPr>
              <w:t>sritiessprendimus</w:t>
            </w:r>
            <w:r>
              <w:t xml:space="preserve"> konsultuotis su Europos Parlamentu</w:t>
            </w:r>
            <w:r>
              <w:rPr>
                <w:b/>
                <w:i/>
              </w:rPr>
              <w:t>, užtikrinant skaidrumą ir atskaitomybę pagal ES sutarties 36 straipsnį;</w:t>
            </w:r>
            <w:r>
              <w:t xml:space="preserve"> </w:t>
            </w:r>
            <w:r>
              <w:rPr>
                <w:b/>
                <w:i/>
              </w:rPr>
              <w:t>rekomenduoja vykdyti struktūrizuotus vyriausiojo įgaliotinio ir nacionalinių parlamentų dialogus siekiant užtikrinti atskaitomybę tiek ES, tiek nacionaliniu lygmenimis;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1009</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rPr>
                <w:b/>
                <w:i/>
              </w:rPr>
              <w:t>49.</w:t>
            </w:r>
            <w:r>
              <w:tab/>
            </w:r>
            <w:r>
              <w:rPr>
                <w:b/>
                <w:i/>
              </w:rPr>
              <w:t>primena, kad Europos Parlamento biudžetinės funkcijos vykdymas yra neatsiejamai susijęs su jo politinės kontrolės bei konsultavimo funkcija; primena, kad ES sutarties 36 straipsniu nustatomi konkretūs Komisijos pirmininko pavaduotojo ir Sąjungos vyriausiojo įgaliotinio ir Europos Parlamento santykiai, kurie yra būtina sąlyga, kad Parlamentas galėtų vykdyti šias funkcijas, ir kad Komisijos pirmininko pavaduotojas ir Sąjungos vyriausiasis įgaliotinis turėtų remti Parlamentą šiuo klausimu;</w:t>
            </w:r>
          </w:p>
        </w:tc>
        <w:tc>
          <w:tcPr>
            <w:tcW w:w="4876" w:type="dxa"/>
            <w:tcBorders>
              <w:top w:val="nil"/>
              <w:left w:val="nil"/>
              <w:bottom w:val="nil"/>
              <w:right w:val="nil"/>
            </w:tcBorders>
          </w:tcPr>
          <w:p w:rsidR="00A47A16" w:rsidRPr="00080AF4" w:rsidRDefault="00A47A16" w:rsidP="00BA0C71">
            <w:pPr>
              <w:pStyle w:val="Normal6a"/>
            </w:pPr>
            <w:r>
              <w:rPr>
                <w:b/>
                <w:i/>
              </w:rPr>
              <w:t>Išbraukta.</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1010</w:t>
      </w:r>
      <w:r>
        <w:rPr>
          <w:rStyle w:val="HideTWBExt"/>
        </w:rPr>
        <w:t>&lt;/NumAm&gt;</w:t>
      </w:r>
    </w:p>
    <w:p w:rsidR="00A47A16" w:rsidRPr="00080AF4" w:rsidRDefault="00A47A16" w:rsidP="00A47A16">
      <w:pPr>
        <w:pStyle w:val="NormalBold"/>
      </w:pPr>
      <w:r>
        <w:rPr>
          <w:rStyle w:val="HideTWBExt"/>
          <w:b w:val="0"/>
        </w:rPr>
        <w:t>&lt;RepeatBlock-By&gt;&lt;Members&gt;</w:t>
      </w:r>
      <w:r>
        <w:t>Alice Teodorescu Måwe</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49a.</w:t>
            </w:r>
            <w:r>
              <w:tab/>
            </w:r>
            <w:r>
              <w:rPr>
                <w:b/>
                <w:i/>
              </w:rPr>
              <w:t>primygtinai ragina Komisiją uždrausti skirti ES lėšas asmenims ar organizacijoms, susijusiems su teroristų ar islamistų judėjimais ar bet kokiais kitais ekstremistiniais judėjimais, prieštaraujančiais pagrindinėms Europos Sąjungos vertybėms, ir šiuo tikslu ragina stiprinti stebėsenos ir kontrolės mechanizmus siekiant užtikrinti, kad Sąjungos lėšos jokiomis aplinkybėmis nebūtų skiriamos veiklai, projektams ar literatūrai, kuriais kurstomas smurtas ir (arba) neapykanta, pvz., antisemitizmas; mano, kad šis apribojimas taip pat turėtų būti taikomas trečiųjų šalių, kurios tiesiogiai ar netiesiogiai prisideda prie tokių subjektų ar veiklos finansavimo, finansavimui iš Sąjungos biudžeto;</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{SV}</w:t>
      </w:r>
      <w:r w:rsidRPr="00080AF4">
        <w:t>sv</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1011</w:t>
      </w:r>
      <w:r>
        <w:rPr>
          <w:rStyle w:val="HideTWBExt"/>
        </w:rPr>
        <w:t>&lt;/NumAm&gt;</w:t>
      </w:r>
    </w:p>
    <w:p w:rsidR="00A47A16" w:rsidRPr="00080AF4" w:rsidRDefault="00A47A16" w:rsidP="00A47A16">
      <w:pPr>
        <w:pStyle w:val="NormalBold"/>
      </w:pPr>
      <w:r>
        <w:rPr>
          <w:rStyle w:val="HideTWBExt"/>
          <w:b w:val="0"/>
        </w:rPr>
        <w:t>&lt;RepeatBlock-By&gt;&lt;Members&gt;</w:t>
      </w:r>
      <w:r>
        <w:t>David McAllister</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49a.</w:t>
            </w:r>
            <w:r>
              <w:tab/>
            </w:r>
            <w:r>
              <w:rPr>
                <w:b/>
                <w:i/>
              </w:rPr>
              <w:t>apgailestauja dėl to, kad BUSP biudžetas civilinėms BSGP misijoms nuo 2014–2020 m. daugiametės finansinės programos (DFP) iki 2021–2027 m. DFP tik šiek tiek padidėjo, nors misijų skaičius ir jų vykdomos užduotys išaugo, saugumo aplinka tapo sudėtingesnė ir padidėjo operacijų sąnaudos;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1012</w:t>
      </w:r>
      <w:r>
        <w:rPr>
          <w:rStyle w:val="HideTWBExt"/>
        </w:rPr>
        <w:t>&lt;/NumAm&gt;</w:t>
      </w:r>
    </w:p>
    <w:p w:rsidR="00A47A16" w:rsidRPr="00080AF4" w:rsidRDefault="00A47A16" w:rsidP="00A47A16">
      <w:pPr>
        <w:pStyle w:val="NormalBold"/>
      </w:pPr>
      <w:r>
        <w:rPr>
          <w:rStyle w:val="HideTWBExt"/>
          <w:b w:val="0"/>
        </w:rPr>
        <w:t>&lt;RepeatBlock-By&gt;&lt;Members&gt;</w:t>
      </w:r>
      <w:r>
        <w:t>Alice Teodorescu Måwe</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49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49b.</w:t>
            </w:r>
            <w:r>
              <w:tab/>
            </w:r>
            <w:r>
              <w:rPr>
                <w:b/>
                <w:i/>
              </w:rPr>
              <w:t>ragina nustatyti griežtesnes pagalbos teikimo sąlygas; mano, kad tais atvejais, kai nustatoma, jog Sąjungos lėšos buvo netinkamai panaudotos Sąjungos pagrindinėms vertybėms prieštaraujančiais tikslais, pagalba visada turėtų būti nutraukta, sumažinta arba jai bent jau turėtų būti taikomos griežtesnės sąlygos ir kontrolė;</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{SV}</w:t>
      </w:r>
      <w:r w:rsidRPr="00080AF4">
        <w:t>sv</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1013</w:t>
      </w:r>
      <w:r>
        <w:rPr>
          <w:rStyle w:val="HideTWBExt"/>
        </w:rPr>
        <w:t>&lt;/NumAm&gt;</w:t>
      </w:r>
    </w:p>
    <w:p w:rsidR="00A47A16" w:rsidRPr="00080AF4" w:rsidRDefault="00A47A16" w:rsidP="00A47A16">
      <w:pPr>
        <w:pStyle w:val="NormalBold"/>
      </w:pPr>
      <w:r>
        <w:rPr>
          <w:rStyle w:val="HideTWBExt"/>
          <w:b w:val="0"/>
        </w:rPr>
        <w:t>&lt;RepeatBlock-By&gt;&lt;Members&gt;</w:t>
      </w:r>
      <w:r>
        <w:t>Merja Kyllönen</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50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50.</w:t>
            </w:r>
            <w:r>
              <w:tab/>
              <w:t>ragina Komisiją pateikti savo pasiūlymus dėl kitos DFP pirmąjį 2025 m. pusmetį, kad būtų suteikta pakankamai laiko deryboms dėl programų; pabrėžia, kad reikia numatyti išsamesnę Kaimynystės, vystomojo ir tarptautinio bendradarbiavimo priemonės bei Pasirengimo narystei paramos priemonės biudžeto nomenklatūrą – pagal šias priemones biudžeto valdymo institucija vykdant metinę biudžeto procedūrą nustato politikos ir geografinius prioritetus;</w:t>
            </w:r>
          </w:p>
        </w:tc>
        <w:tc>
          <w:tcPr>
            <w:tcW w:w="4876" w:type="dxa"/>
            <w:tcBorders>
              <w:top w:val="nil"/>
              <w:left w:val="nil"/>
              <w:bottom w:val="nil"/>
              <w:right w:val="nil"/>
            </w:tcBorders>
          </w:tcPr>
          <w:p w:rsidR="00A47A16" w:rsidRPr="00080AF4" w:rsidRDefault="00A47A16" w:rsidP="00BA0C71">
            <w:pPr>
              <w:pStyle w:val="Normal6a"/>
            </w:pPr>
            <w:r>
              <w:t>50.</w:t>
            </w:r>
            <w:r>
              <w:tab/>
              <w:t xml:space="preserve">ragina Komisiją pateikti savo pasiūlymus dėl kitos DFP pirmąjį 2025 m. pusmetį, kad būtų suteikta pakankamai laiko deryboms dėl programų; pabrėžia, kad reikia numatyti išsamesnę Kaimynystės, vystomojo ir tarptautinio bendradarbiavimo priemonės bei Pasirengimo narystei paramos priemonės biudžeto nomenklatūrą – pagal šias priemones biudžeto valdymo institucija vykdant metinę biudžeto procedūrą nustato politikos ir geografinius prioritetus; </w:t>
            </w:r>
            <w:r>
              <w:rPr>
                <w:b/>
                <w:i/>
              </w:rPr>
              <w:t>pabrėžia, kad nepaprastai svarbu tiesiogiai remti pilietinę visuomenę ir priešingas nuomones reiškiančius asmenis, ypač dabartinėmis aplinkybėmis, kai pasaulyje didėja įtampa ir vis daugiau šalių vis dažniau imamasi represijų ir drastiškai mažinamas šioms organizacijoms skiriamas finansavimas;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1014</w:t>
      </w:r>
      <w:r>
        <w:rPr>
          <w:rStyle w:val="HideTWBExt"/>
        </w:rPr>
        <w:t>&lt;/NumAm&gt;</w:t>
      </w:r>
    </w:p>
    <w:p w:rsidR="00A47A16" w:rsidRPr="00080AF4" w:rsidRDefault="00A47A16" w:rsidP="00A47A16">
      <w:pPr>
        <w:pStyle w:val="NormalBold"/>
      </w:pPr>
      <w:r>
        <w:rPr>
          <w:rStyle w:val="HideTWBExt"/>
          <w:b w:val="0"/>
        </w:rPr>
        <w:t>&lt;RepeatBlock-By&gt;&lt;Members&gt;</w:t>
      </w:r>
      <w:r>
        <w:t>Hannah Neumann</w:t>
      </w:r>
      <w:r>
        <w:rPr>
          <w:rStyle w:val="HideTWBExt"/>
          <w:b w:val="0"/>
        </w:rPr>
        <w:t>&lt;/Members&gt;</w:t>
      </w:r>
    </w:p>
    <w:p w:rsidR="00A47A16" w:rsidRPr="00080AF4" w:rsidRDefault="00A47A16" w:rsidP="00A47A16">
      <w:r>
        <w:rPr>
          <w:rStyle w:val="HideTWBExt"/>
        </w:rPr>
        <w:t>&lt;AuNomDe&gt;</w:t>
      </w:r>
      <w:r>
        <w:rPr>
          <w:rStyle w:val="HideTWBInt"/>
        </w:rPr>
        <w:t>{Greens/EFA}</w:t>
      </w:r>
      <w:r>
        <w:t>Verts/ALE frakcijos vardu</w:t>
      </w:r>
      <w:r>
        <w:rPr>
          <w:rStyle w:val="HideTWBExt"/>
        </w:rPr>
        <w:t>&lt;/AuNomDe&gt;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50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50.</w:t>
            </w:r>
            <w:r>
              <w:tab/>
              <w:t>ragina Komisiją pateikti savo pasiūlymus dėl kitos DFP pirmąjį 2025 m. pusmetį, kad būtų suteikta pakankamai laiko deryboms dėl programų; pabrėžia, kad reikia numatyti išsamesnę Kaimynystės, vystomojo ir tarptautinio bendradarbiavimo priemonės bei Pasirengimo narystei paramos priemonės biudžeto nomenklatūrą – pagal šias priemones biudžeto valdymo institucija vykdant metinę biudžeto procedūrą nustato politikos ir geografinius prioritetus;</w:t>
            </w:r>
          </w:p>
        </w:tc>
        <w:tc>
          <w:tcPr>
            <w:tcW w:w="4876" w:type="dxa"/>
            <w:tcBorders>
              <w:top w:val="nil"/>
              <w:left w:val="nil"/>
              <w:bottom w:val="nil"/>
              <w:right w:val="nil"/>
            </w:tcBorders>
          </w:tcPr>
          <w:p w:rsidR="00A47A16" w:rsidRPr="00080AF4" w:rsidRDefault="00A47A16" w:rsidP="00BA0C71">
            <w:pPr>
              <w:pStyle w:val="Normal6a"/>
            </w:pPr>
            <w:r>
              <w:t>50.</w:t>
            </w:r>
            <w:r>
              <w:tab/>
              <w:t>ragina Komisiją pateikti savo pasiūlymus dėl kitos DFP pirmąjį 2025 m. pusmetį, kad būtų suteikta pakankamai laiko deryboms dėl programų; pabrėžia, kad reikia numatyti išsamesnę Kaimynystės, vystomojo ir tarptautinio bendradarbiavimo priemonės</w:t>
            </w:r>
            <w:r>
              <w:rPr>
                <w:b/>
                <w:i/>
              </w:rPr>
              <w:t>, BUSP</w:t>
            </w:r>
            <w:r>
              <w:t xml:space="preserve"> bei Pasirengimo narystei paramos priemonės biudžeto nomenklatūrą – pagal šias priemones biudžeto valdymo institucija vykdant metinę biudžeto procedūrą nustato politikos ir geografinius prioritetus;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1015</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Vasile Dîncu, Marco Tarquinio,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50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50a.</w:t>
            </w:r>
            <w:r>
              <w:tab/>
            </w:r>
            <w:r>
              <w:rPr>
                <w:b/>
                <w:i/>
              </w:rPr>
              <w:t>primena, kad EIVT yra struktūriškai nepakankamai finansuojama ir ji neturėtų būti priversta patirti tokius pačius suvaržymus kaip kitos institucijos, kiek tai susiję su požiūriu į administracinių išlaidų biudžetą; yra labai susirūpinęs dėl šių minėtų biudžeto klausimų rimtų ir plataus masto neigiamų pasekmių ES išorės veiksmams ir ES institucijų veiklos rezultatams šioje srityje; atkreipia dėmesį į didėjančią atsakomybę, kurią EIVT paveda ES institucijos, įskaitant Tarybą ir Parlamentą; pripažįsta, kad tai, jog nesiimama veiksmų dabartinei EIVT biudžeto padėčiai ištaisyti, gali labai paveikti ES santykius su trečiosiomis šalimis; primena, kad EIVT trūksta veiklai skirtų biudžeto lėšų, ir ragina išanalizuoti to pasekmes ir alternatyvas;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1016</w:t>
      </w:r>
      <w:r>
        <w:rPr>
          <w:rStyle w:val="HideTWBExt"/>
        </w:rPr>
        <w:t>&lt;/NumAm&gt;</w:t>
      </w:r>
    </w:p>
    <w:p w:rsidR="00A47A16" w:rsidRPr="00080AF4" w:rsidRDefault="00A47A16" w:rsidP="00A47A16">
      <w:pPr>
        <w:pStyle w:val="NormalBold"/>
      </w:pPr>
      <w:r>
        <w:rPr>
          <w:rStyle w:val="HideTWBExt"/>
          <w:b w:val="0"/>
        </w:rPr>
        <w:t>&lt;RepeatBlock-By&gt;&lt;Members&gt;</w:t>
      </w:r>
      <w:r>
        <w:t>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50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50 a.</w:t>
            </w:r>
            <w:r>
              <w:tab/>
            </w:r>
            <w:r>
              <w:rPr>
                <w:b/>
                <w:i/>
              </w:rPr>
              <w:t>ragina padidinti lėšas, numatytas ES užsienio politikos veiksmų biudžeto eilutėje, konkrečiai skiriamas lyčių lygybei ir Moterų, taikos ir saugumo darbotvarkei, siekiant užtikrinti nuoseklų iniciatyvų, kuriomis skatinama į lyčių lygybę orientuota lyderystė, apsaugomos moterų teisės ir kovojama su seksualiniu smurtu ir smurtu dėl lyties konfliktų metu ir po konfliktų, finansavimą; pabrėžia, kad toks finansavimas yra labai svarbus siekiant remti vietos pilietinės visuomenės organizacijas, teikti į smurtą patyrusius asmenis orientuotą paramą ir integruoti lyčių aspektą į ES diplomatines ir saugumo pastangas;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1017</w:t>
      </w:r>
      <w:r>
        <w:rPr>
          <w:rStyle w:val="HideTWBExt"/>
        </w:rPr>
        <w:t>&lt;/NumAm&gt;</w:t>
      </w:r>
    </w:p>
    <w:p w:rsidR="00A47A16" w:rsidRPr="00080AF4" w:rsidRDefault="00A47A16" w:rsidP="00A47A16">
      <w:pPr>
        <w:pStyle w:val="NormalBold"/>
      </w:pPr>
      <w:r>
        <w:rPr>
          <w:rStyle w:val="HideTWBExt"/>
          <w:b w:val="0"/>
        </w:rPr>
        <w:t>&lt;RepeatBlock-By&gt;&lt;Members&gt;</w:t>
      </w:r>
      <w:r>
        <w:t>Nacho Sánchez Amor, Sven Mikser, Alessandra Moretti, Yannis Maniatis, Vasile Dîncu, Marco Tarquinio, Hana Jalloul Muro</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50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p>
        </w:tc>
        <w:tc>
          <w:tcPr>
            <w:tcW w:w="4876" w:type="dxa"/>
            <w:tcBorders>
              <w:top w:val="nil"/>
              <w:left w:val="nil"/>
              <w:bottom w:val="nil"/>
              <w:right w:val="nil"/>
            </w:tcBorders>
          </w:tcPr>
          <w:p w:rsidR="00A47A16" w:rsidRPr="00080AF4" w:rsidRDefault="00A47A16" w:rsidP="00BA0C71">
            <w:pPr>
              <w:pStyle w:val="Normal6a"/>
            </w:pPr>
            <w:r>
              <w:rPr>
                <w:b/>
                <w:i/>
              </w:rPr>
              <w:t>50b.</w:t>
            </w:r>
            <w:r>
              <w:tab/>
            </w:r>
            <w:r>
              <w:rPr>
                <w:b/>
                <w:i/>
              </w:rPr>
              <w:t>ragina Komisiją į savo pasiūlymą dėl kitos DFP įtraukti tvirtus ES išorės veiksmų pajėgumus ir išteklius, atsižvelgiant į tai, kad tarptautinė arena tampa vis sudėtingesnė; atsižvelgdamas į tai, primena, kad labai svarbu toliau stiprinti mūsų paramą žmogaus teisėms, demokratijai ir vystymuisi trečiosiose šalyse, nes pasaulis, kuriame vyrauja demokratija, yra saugesnis; pabrėžia, kad, atsižvelgiant į dabartines sparčios technologinės pažangos ir geopolitinės konkurencijos aplinkybes, reikėtų toliau stiprinti ES skaitmeninės diplomatijos išteklius; primygtinai reikalauja, kad žalioji diplomatija ir žalioji pertvarka, kaip vienas iš ES prioritetų, trečiųjų šalių atžvilgiu būtų stiprinamos vykdant ES išorės veiksmus;</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1018</w:t>
      </w:r>
      <w:r>
        <w:rPr>
          <w:rStyle w:val="HideTWBExt"/>
        </w:rPr>
        <w:t>&lt;/NumAm&gt;</w:t>
      </w:r>
    </w:p>
    <w:p w:rsidR="00A47A16" w:rsidRPr="00080AF4" w:rsidRDefault="00A47A16" w:rsidP="00A47A16">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51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51.</w:t>
            </w:r>
            <w:r>
              <w:tab/>
              <w:t>pabrėžia, kad vykdomoji institucija turi tinkamai reaguoti į kiekvieną pirmiau iškeltą klausimą; ragina Komisijos pirmininko pavaduotoją ir Sąjungos vyriausiąjį įgaliotinį greitai ir raštu reaguoti į Parlamento raginimus, prašymus ir susirūpinimą keliančius klausimus; mano, kad žodiniai pareiškimai komitete ar plenariniame posėdyje gali būti pakankamas atsakymas tik išimtiniais ar skubiais atvejais; pabrėžia, kad dabartinėmis sudėtingomis geopolitinėmis aplinkybėmis strategiškai svarbus yra Europos Parlamento ir Komisijos pirmininko pavaduotojo ir Sąjungos vyriausiojo įgaliotinio glaudus bendradarbiavimas bei partnerystė; tikisi sistemingesnio keitimosi informacija prieš patvirtinant įgaliojimus ir BUSP strategijas ir geresnio informacijos apie derybas ir tarptautinių susitarimų bei susitarimo memorandumų įgyvendinimą srauto; be to, tikisi, kad Parlamentas bus veiksmingai įtrauktas į visą ES išorės politiką bei veiksmus</w:t>
            </w:r>
            <w:r>
              <w:rPr>
                <w:b/>
                <w:i/>
              </w:rPr>
              <w:t xml:space="preserve"> kaip neatsiejamas Europos komandos veikėjas</w:t>
            </w:r>
            <w:r>
              <w:t>, taip sutelkiant parlamentinę diplomatiją Komisijos pirmininko pavaduotojo ir Sąjungos vyriausiojo įgaliotinio pastangoms remti;</w:t>
            </w:r>
          </w:p>
        </w:tc>
        <w:tc>
          <w:tcPr>
            <w:tcW w:w="4876" w:type="dxa"/>
            <w:tcBorders>
              <w:top w:val="nil"/>
              <w:left w:val="nil"/>
              <w:bottom w:val="nil"/>
              <w:right w:val="nil"/>
            </w:tcBorders>
          </w:tcPr>
          <w:p w:rsidR="00A47A16" w:rsidRPr="00080AF4" w:rsidRDefault="00A47A16" w:rsidP="00BA0C71">
            <w:pPr>
              <w:pStyle w:val="Normal6a"/>
            </w:pPr>
            <w:r>
              <w:t>51.</w:t>
            </w:r>
            <w:r>
              <w:tab/>
              <w:t>pabrėžia, kad vykdomoji institucija turi tinkamai reaguoti į kiekvieną pirmiau iškeltą klausimą; ragina Komisijos pirmininko pavaduotoją ir Sąjungos vyriausiąjį įgaliotinį greitai ir raštu reaguoti į Parlamento raginimus, prašymus ir susirūpinimą keliančius klausimus; mano, kad žodiniai pareiškimai komitete ar plenariniame posėdyje gali būti pakankamas atsakymas tik išimtiniais ar skubiais atvejais; pabrėžia, kad dabartinėmis sudėtingomis geopolitinėmis aplinkybėmis strategiškai svarbus yra Europos Parlamento ir Komisijos pirmininko pavaduotojo ir Sąjungos vyriausiojo įgaliotinio glaudus bendradarbiavimas bei partnerystė; tikisi sistemingesnio keitimosi informacija prieš patvirtinant įgaliojimus ir BUSP strategijas ir geresnio informacijos apie derybas ir tarptautinių susitarimų bei susitarimo memorandumų įgyvendinimą srauto; be to, tikisi, kad Parlamentas bus veiksmingai įtrauktas į visą ES išorės politiką bei veiksmus, taip sutelkiant parlamentinę diplomatiją Komisijos pirmininko pavaduotojo ir Sąjungos vyriausiojo įgaliotinio pastangoms remti;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p>
    <w:p w:rsidR="00A47A16" w:rsidRPr="00080AF4" w:rsidRDefault="00A47A16" w:rsidP="00A47A16">
      <w:pPr>
        <w:pStyle w:val="AmNumberTabs"/>
      </w:pPr>
      <w:r>
        <w:rPr>
          <w:rStyle w:val="HideTWBExt"/>
        </w:rPr>
        <w:t>&lt;Amend&gt;</w:t>
      </w:r>
      <w:r>
        <w:t>Pakeitimas</w:t>
      </w:r>
      <w:r>
        <w:tab/>
      </w:r>
      <w:r>
        <w:tab/>
      </w:r>
      <w:r>
        <w:rPr>
          <w:rStyle w:val="HideTWBExt"/>
        </w:rPr>
        <w:t>&lt;NumAm&gt;</w:t>
      </w:r>
      <w:r>
        <w:t>1019</w:t>
      </w:r>
      <w:r>
        <w:rPr>
          <w:rStyle w:val="HideTWBExt"/>
        </w:rPr>
        <w:t>&lt;/NumAm&gt;</w:t>
      </w:r>
    </w:p>
    <w:p w:rsidR="00A47A16" w:rsidRPr="00080AF4" w:rsidRDefault="00A47A16" w:rsidP="00A47A16">
      <w:pPr>
        <w:pStyle w:val="NormalBold"/>
      </w:pPr>
      <w:r>
        <w:rPr>
          <w:rStyle w:val="HideTWBExt"/>
          <w:b w:val="0"/>
        </w:rPr>
        <w:t>&lt;RepeatBlock-By&gt;&lt;Members&gt;</w:t>
      </w:r>
      <w:r>
        <w:t>Hermann Tertsch, Jorge Martín Frías</w:t>
      </w:r>
      <w:r>
        <w:rPr>
          <w:rStyle w:val="HideTWBExt"/>
          <w:b w:val="0"/>
        </w:rPr>
        <w:t>&lt;/Members&gt;</w:t>
      </w:r>
    </w:p>
    <w:p w:rsidR="00A47A16" w:rsidRPr="00080AF4" w:rsidRDefault="00A47A16" w:rsidP="00A47A16">
      <w:pPr>
        <w:pStyle w:val="NormalBold"/>
      </w:pPr>
      <w:r>
        <w:rPr>
          <w:rStyle w:val="HideTWBExt"/>
          <w:b w:val="0"/>
        </w:rPr>
        <w:t>&lt;/RepeatBlock-By&gt;</w:t>
      </w:r>
    </w:p>
    <w:p w:rsidR="00A47A16" w:rsidRPr="00080AF4" w:rsidRDefault="00A47A16" w:rsidP="00A47A16">
      <w:pPr>
        <w:pStyle w:val="NormalBold"/>
      </w:pPr>
      <w:r>
        <w:rPr>
          <w:rStyle w:val="HideTWBExt"/>
        </w:rPr>
        <w:t>&lt;DocAmend&gt;</w:t>
      </w:r>
      <w:r>
        <w:t>Pasiūlymas dėl rezoliucijos</w:t>
      </w:r>
      <w:r>
        <w:rPr>
          <w:rStyle w:val="HideTWBExt"/>
        </w:rPr>
        <w:t>&lt;/DocAmend&gt;</w:t>
      </w:r>
    </w:p>
    <w:p w:rsidR="00A47A16" w:rsidRPr="00080AF4" w:rsidRDefault="00A47A16" w:rsidP="00A47A16">
      <w:pPr>
        <w:pStyle w:val="NormalBold"/>
      </w:pPr>
      <w:r>
        <w:rPr>
          <w:rStyle w:val="HideTWBExt"/>
        </w:rPr>
        <w:t>&lt;Article&gt;</w:t>
      </w:r>
      <w:r>
        <w:t>51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A16" w:rsidTr="00BA0C71">
        <w:trPr>
          <w:trHeight w:hRule="exact" w:val="240"/>
          <w:jc w:val="center"/>
        </w:trPr>
        <w:tc>
          <w:tcPr>
            <w:tcW w:w="9752" w:type="dxa"/>
            <w:gridSpan w:val="2"/>
            <w:tcBorders>
              <w:top w:val="nil"/>
              <w:left w:val="nil"/>
              <w:bottom w:val="nil"/>
              <w:right w:val="nil"/>
            </w:tcBorders>
          </w:tcPr>
          <w:p w:rsidR="00A47A16" w:rsidRPr="00080AF4" w:rsidRDefault="00A47A16" w:rsidP="00BA0C71"/>
        </w:tc>
      </w:tr>
      <w:tr w:rsidR="00A47A16" w:rsidTr="00BA0C71">
        <w:trPr>
          <w:trHeight w:val="240"/>
          <w:jc w:val="center"/>
        </w:trPr>
        <w:tc>
          <w:tcPr>
            <w:tcW w:w="4876" w:type="dxa"/>
            <w:tcBorders>
              <w:top w:val="nil"/>
              <w:left w:val="nil"/>
              <w:bottom w:val="nil"/>
              <w:right w:val="nil"/>
            </w:tcBorders>
          </w:tcPr>
          <w:p w:rsidR="00A47A16" w:rsidRPr="00080AF4" w:rsidRDefault="00A47A16" w:rsidP="00BA0C71">
            <w:pPr>
              <w:pStyle w:val="AmColumnHeading"/>
            </w:pPr>
            <w:r>
              <w:t>Pasiūlymas dėl rezoliucijos</w:t>
            </w:r>
          </w:p>
        </w:tc>
        <w:tc>
          <w:tcPr>
            <w:tcW w:w="4876" w:type="dxa"/>
            <w:tcBorders>
              <w:top w:val="nil"/>
              <w:left w:val="nil"/>
              <w:bottom w:val="nil"/>
              <w:right w:val="nil"/>
            </w:tcBorders>
          </w:tcPr>
          <w:p w:rsidR="00A47A16" w:rsidRPr="00080AF4" w:rsidRDefault="00A47A16" w:rsidP="00BA0C71">
            <w:pPr>
              <w:pStyle w:val="AmColumnHeading"/>
            </w:pPr>
            <w:r>
              <w:t>Pakeitimas</w:t>
            </w:r>
          </w:p>
        </w:tc>
      </w:tr>
      <w:tr w:rsidR="00A47A16" w:rsidTr="00BA0C71">
        <w:trPr>
          <w:jc w:val="center"/>
        </w:trPr>
        <w:tc>
          <w:tcPr>
            <w:tcW w:w="4876" w:type="dxa"/>
            <w:tcBorders>
              <w:top w:val="nil"/>
              <w:left w:val="nil"/>
              <w:bottom w:val="nil"/>
              <w:right w:val="nil"/>
            </w:tcBorders>
          </w:tcPr>
          <w:p w:rsidR="00A47A16" w:rsidRPr="00080AF4" w:rsidRDefault="00A47A16" w:rsidP="00BA0C71">
            <w:pPr>
              <w:pStyle w:val="Normal6a"/>
            </w:pPr>
            <w:r>
              <w:t>51.</w:t>
            </w:r>
            <w:r>
              <w:tab/>
              <w:t xml:space="preserve">pabrėžia, kad </w:t>
            </w:r>
            <w:r>
              <w:rPr>
                <w:b/>
                <w:i/>
              </w:rPr>
              <w:t>vykdomoji institucija</w:t>
            </w:r>
            <w:r>
              <w:t xml:space="preserve"> turi tinkamai reaguoti į kiekvieną pirmiau iškeltą klausimą; ragina Komisijos pirmininko pavaduotoją ir Sąjungos vyriausiąjį įgaliotinį greitai ir raštu reaguoti į Parlamento raginimus, prašymus ir susirūpinimą keliančius klausimus; mano, kad žodiniai pareiškimai komitete ar plenariniame posėdyje gali būti pakankamas atsakymas tik išimtiniais ar skubiais atvejais; pabrėžia, kad dabartinėmis sudėtingomis geopolitinėmis aplinkybėmis strategiškai svarbus yra Europos Parlamento ir Komisijos pirmininko pavaduotojo ir Sąjungos vyriausiojo įgaliotinio glaudus bendradarbiavimas bei partnerystė; tikisi sistemingesnio keitimosi informacija prieš patvirtinant įgaliojimus ir BUSP strategijas ir geresnio informacijos apie derybas ir tarptautinių susitarimų bei susitarimo memorandumų įgyvendinimą srauto; be to, tikisi, kad Parlamentas bus veiksmingai įtrauktas į visą ES išorės politiką bei veiksmus kaip neatsiejamas Europos komandos veikėjas, taip sutelkiant parlamentinę diplomatiją Komisijos pirmininko pavaduotojo ir Sąjungos vyriausiojo įgaliotinio pastangoms remti;</w:t>
            </w:r>
          </w:p>
        </w:tc>
        <w:tc>
          <w:tcPr>
            <w:tcW w:w="4876" w:type="dxa"/>
            <w:tcBorders>
              <w:top w:val="nil"/>
              <w:left w:val="nil"/>
              <w:bottom w:val="nil"/>
              <w:right w:val="nil"/>
            </w:tcBorders>
          </w:tcPr>
          <w:p w:rsidR="00A47A16" w:rsidRPr="00080AF4" w:rsidRDefault="00A47A16" w:rsidP="00BA0C71">
            <w:pPr>
              <w:pStyle w:val="Normal6a"/>
            </w:pPr>
            <w:r>
              <w:t>51.</w:t>
            </w:r>
            <w:r>
              <w:tab/>
              <w:t xml:space="preserve">pabrėžia, kad </w:t>
            </w:r>
            <w:r>
              <w:rPr>
                <w:b/>
                <w:i/>
              </w:rPr>
              <w:t>Komisija</w:t>
            </w:r>
            <w:r>
              <w:t xml:space="preserve"> turi tinkamai reaguoti į kiekvieną pirmiau iškeltą klausimą; ragina Komisijos pirmininko pavaduotoją ir Sąjungos vyriausiąjį įgaliotinį greitai ir raštu reaguoti į Parlamento raginimus, prašymus ir susirūpinimą keliančius klausimus; mano, kad žodiniai pareiškimai komitete ar plenariniame posėdyje gali būti pakankamas atsakymas tik išimtiniais ar skubiais atvejais; pabrėžia, kad dabartinėmis sudėtingomis geopolitinėmis aplinkybėmis strategiškai svarbus yra Europos Parlamento ir Komisijos pirmininko pavaduotojo ir Sąjungos vyriausiojo įgaliotinio glaudus bendradarbiavimas bei partnerystė; tikisi sistemingesnio keitimosi informacija prieš patvirtinant įgaliojimus ir BUSP strategijas ir geresnio informacijos apie derybas ir tarptautinių susitarimų bei susitarimo memorandumų įgyvendinimą srauto; be to, tikisi, kad Parlamentas bus veiksmingai įtrauktas į visą ES išorės politiką bei veiksmus kaip neatsiejamas Europos komandos veikėjas, taip sutelkiant parlamentinę diplomatiją Komisijos pirmininko pavaduotojo ir Sąjungos vyriausiojo įgaliotinio pastangoms remti;</w:t>
            </w:r>
          </w:p>
        </w:tc>
      </w:tr>
    </w:tbl>
    <w:p w:rsidR="00A47A16" w:rsidRPr="00080AF4" w:rsidRDefault="00A47A16" w:rsidP="00A47A16">
      <w:pPr>
        <w:pStyle w:val="AmOrLang"/>
      </w:pPr>
      <w:r w:rsidRPr="00080AF4">
        <w:t xml:space="preserve">Or. </w:t>
      </w:r>
      <w:r w:rsidRPr="00080AF4">
        <w:rPr>
          <w:rStyle w:val="HideTWBExt"/>
        </w:rPr>
        <w:t>&lt;Original&gt;</w:t>
      </w:r>
      <w:r w:rsidRPr="00080AF4">
        <w:rPr>
          <w:rStyle w:val="HideTWBInt"/>
        </w:rPr>
        <w:t>{EN}</w:t>
      </w:r>
      <w:r w:rsidRPr="00080AF4">
        <w:t>en</w:t>
      </w:r>
      <w:r w:rsidRPr="00080AF4">
        <w:rPr>
          <w:rStyle w:val="HideTWBExt"/>
        </w:rPr>
        <w:t>&lt;/Original&gt;</w:t>
      </w:r>
    </w:p>
    <w:p w:rsidR="00A47A16" w:rsidRPr="00080AF4" w:rsidRDefault="00A47A16" w:rsidP="00A47A16">
      <w:r>
        <w:rPr>
          <w:rStyle w:val="HideTWBExt"/>
        </w:rPr>
        <w:t>&lt;/Amend&gt;</w:t>
      </w:r>
      <w:r w:rsidRPr="00A47A16">
        <w:rPr>
          <w:rStyle w:val="HideTWBExt"/>
        </w:rPr>
        <w:t>&lt;/RepeatBlock-Amend&gt;</w:t>
      </w:r>
    </w:p>
    <w:p w:rsidR="00E813C2" w:rsidRPr="00080AF4" w:rsidRDefault="00E813C2" w:rsidP="00A47A16"/>
    <w:sectPr w:rsidR="00E813C2" w:rsidRPr="00080AF4" w:rsidSect="007A611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2C6" w:rsidRDefault="00A07524">
      <w:r>
        <w:separator/>
      </w:r>
    </w:p>
  </w:endnote>
  <w:endnote w:type="continuationSeparator" w:id="0">
    <w:p w:rsidR="00D102C6" w:rsidRDefault="00A0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11B" w:rsidRPr="00080AF4" w:rsidRDefault="00A07524" w:rsidP="007A611B">
    <w:pPr>
      <w:pStyle w:val="EPFooter"/>
    </w:pPr>
    <w:r w:rsidRPr="00080AF4">
      <w:t>PE</w:t>
    </w:r>
    <w:r w:rsidRPr="00080AF4">
      <w:rPr>
        <w:rStyle w:val="HideTWBExt"/>
      </w:rPr>
      <w:t>&lt;NoPE&gt;</w:t>
    </w:r>
    <w:r w:rsidRPr="00080AF4">
      <w:t>765.314</w:t>
    </w:r>
    <w:r w:rsidRPr="00080AF4">
      <w:rPr>
        <w:rStyle w:val="HideTWBExt"/>
      </w:rPr>
      <w:t>&lt;/NoPE&gt;&lt;Version&gt;</w:t>
    </w:r>
    <w:r w:rsidRPr="00080AF4">
      <w:t>v01-00</w:t>
    </w:r>
    <w:r w:rsidRPr="00080AF4">
      <w:rPr>
        <w:rStyle w:val="HideTWBExt"/>
      </w:rPr>
      <w:t>&lt;/Version&gt;</w:t>
    </w:r>
    <w:r w:rsidRPr="00080AF4">
      <w:tab/>
    </w:r>
    <w:r w:rsidRPr="00080AF4">
      <w:fldChar w:fldCharType="begin"/>
    </w:r>
    <w:r w:rsidRPr="00080AF4">
      <w:instrText xml:space="preserve"> PAGE  \* MERGEFORMAT </w:instrText>
    </w:r>
    <w:r w:rsidRPr="00080AF4">
      <w:fldChar w:fldCharType="separate"/>
    </w:r>
    <w:r w:rsidR="00A47A16">
      <w:rPr>
        <w:noProof/>
      </w:rPr>
      <w:t>2</w:t>
    </w:r>
    <w:r w:rsidRPr="00080AF4">
      <w:fldChar w:fldCharType="end"/>
    </w:r>
    <w:r w:rsidRPr="00080AF4">
      <w:t>/</w:t>
    </w:r>
    <w:r w:rsidR="00CD3766">
      <w:fldChar w:fldCharType="begin"/>
    </w:r>
    <w:r>
      <w:instrText xml:space="preserve"> NUMPAGES  \* MERGEFORMAT </w:instrText>
    </w:r>
    <w:r w:rsidR="00CD3766">
      <w:fldChar w:fldCharType="separate"/>
    </w:r>
    <w:r w:rsidR="00A47A16">
      <w:rPr>
        <w:noProof/>
      </w:rPr>
      <w:t>145</w:t>
    </w:r>
    <w:r w:rsidR="00CD3766">
      <w:rPr>
        <w:noProof/>
      </w:rPr>
      <w:fldChar w:fldCharType="end"/>
    </w:r>
    <w:r w:rsidRPr="00080AF4">
      <w:tab/>
    </w:r>
    <w:r w:rsidRPr="00080AF4">
      <w:rPr>
        <w:rStyle w:val="HideTWBExt"/>
      </w:rPr>
      <w:t>&lt;PathFdR&gt;</w:t>
    </w:r>
    <w:r w:rsidRPr="00080AF4">
      <w:t>AM\1309978LT.docx</w:t>
    </w:r>
    <w:r w:rsidRPr="00080AF4">
      <w:rPr>
        <w:rStyle w:val="HideTWBExt"/>
      </w:rPr>
      <w:t>&lt;/PathFdR&gt;</w:t>
    </w:r>
  </w:p>
  <w:p w:rsidR="00E813C2" w:rsidRPr="00080AF4" w:rsidRDefault="00A07524" w:rsidP="007A611B">
    <w:pPr>
      <w:pStyle w:val="EPFooter2"/>
    </w:pPr>
    <w:r w:rsidRPr="00080AF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11B" w:rsidRPr="00080AF4" w:rsidRDefault="00A07524" w:rsidP="007A611B">
    <w:pPr>
      <w:pStyle w:val="EPFooter"/>
    </w:pPr>
    <w:r w:rsidRPr="00080AF4">
      <w:rPr>
        <w:rStyle w:val="HideTWBExt"/>
      </w:rPr>
      <w:t>&lt;PathFdR&gt;</w:t>
    </w:r>
    <w:r w:rsidRPr="00080AF4">
      <w:t>AM\1309978LT.docx</w:t>
    </w:r>
    <w:r w:rsidRPr="00080AF4">
      <w:rPr>
        <w:rStyle w:val="HideTWBExt"/>
      </w:rPr>
      <w:t>&lt;/PathFdR&gt;</w:t>
    </w:r>
    <w:r w:rsidRPr="00080AF4">
      <w:tab/>
    </w:r>
    <w:r w:rsidRPr="00080AF4">
      <w:fldChar w:fldCharType="begin"/>
    </w:r>
    <w:r w:rsidRPr="00080AF4">
      <w:instrText xml:space="preserve"> PAGE  \* MERGEFORMAT </w:instrText>
    </w:r>
    <w:r w:rsidRPr="00080AF4">
      <w:fldChar w:fldCharType="separate"/>
    </w:r>
    <w:r w:rsidR="00A47A16">
      <w:rPr>
        <w:noProof/>
      </w:rPr>
      <w:t>3</w:t>
    </w:r>
    <w:r w:rsidRPr="00080AF4">
      <w:fldChar w:fldCharType="end"/>
    </w:r>
    <w:r w:rsidRPr="00080AF4">
      <w:t>/</w:t>
    </w:r>
    <w:r w:rsidR="00CD3766">
      <w:fldChar w:fldCharType="begin"/>
    </w:r>
    <w:r>
      <w:instrText xml:space="preserve"> NUMPAGES  \* MERGEFORMAT </w:instrText>
    </w:r>
    <w:r w:rsidR="00CD3766">
      <w:fldChar w:fldCharType="separate"/>
    </w:r>
    <w:r w:rsidR="00A47A16">
      <w:rPr>
        <w:noProof/>
      </w:rPr>
      <w:t>145</w:t>
    </w:r>
    <w:r w:rsidR="00CD3766">
      <w:rPr>
        <w:noProof/>
      </w:rPr>
      <w:fldChar w:fldCharType="end"/>
    </w:r>
    <w:r w:rsidRPr="00080AF4">
      <w:tab/>
      <w:t>PE</w:t>
    </w:r>
    <w:r w:rsidRPr="00080AF4">
      <w:rPr>
        <w:rStyle w:val="HideTWBExt"/>
      </w:rPr>
      <w:t>&lt;NoPE&gt;</w:t>
    </w:r>
    <w:r w:rsidRPr="00080AF4">
      <w:t>765.314</w:t>
    </w:r>
    <w:r w:rsidRPr="00080AF4">
      <w:rPr>
        <w:rStyle w:val="HideTWBExt"/>
      </w:rPr>
      <w:t>&lt;/NoPE&gt;&lt;Version&gt;</w:t>
    </w:r>
    <w:r w:rsidRPr="00080AF4">
      <w:t>v01-00</w:t>
    </w:r>
    <w:r w:rsidRPr="00080AF4">
      <w:rPr>
        <w:rStyle w:val="HideTWBExt"/>
      </w:rPr>
      <w:t>&lt;/Version&gt;</w:t>
    </w:r>
  </w:p>
  <w:p w:rsidR="00E813C2" w:rsidRPr="00080AF4" w:rsidRDefault="00A07524" w:rsidP="007A611B">
    <w:pPr>
      <w:pStyle w:val="EPFooter2"/>
    </w:pPr>
    <w:r w:rsidRPr="00080AF4">
      <w:tab/>
    </w:r>
    <w:r w:rsidRPr="00080AF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11B" w:rsidRPr="00080AF4" w:rsidRDefault="00A07524" w:rsidP="007A611B">
    <w:pPr>
      <w:pStyle w:val="EPFooter"/>
    </w:pPr>
    <w:r w:rsidRPr="00080AF4">
      <w:rPr>
        <w:rStyle w:val="HideTWBExt"/>
      </w:rPr>
      <w:t>&lt;PathFdR&gt;</w:t>
    </w:r>
    <w:r w:rsidRPr="00080AF4">
      <w:t>AM\1309978LT.docx</w:t>
    </w:r>
    <w:r w:rsidRPr="00080AF4">
      <w:rPr>
        <w:rStyle w:val="HideTWBExt"/>
      </w:rPr>
      <w:t>&lt;/PathFdR&gt;</w:t>
    </w:r>
    <w:r w:rsidRPr="00080AF4">
      <w:tab/>
    </w:r>
    <w:r w:rsidRPr="00080AF4">
      <w:tab/>
      <w:t>PE</w:t>
    </w:r>
    <w:r w:rsidRPr="00080AF4">
      <w:rPr>
        <w:rStyle w:val="HideTWBExt"/>
      </w:rPr>
      <w:t>&lt;NoPE&gt;</w:t>
    </w:r>
    <w:r w:rsidRPr="00080AF4">
      <w:t>765.314</w:t>
    </w:r>
    <w:r w:rsidRPr="00080AF4">
      <w:rPr>
        <w:rStyle w:val="HideTWBExt"/>
      </w:rPr>
      <w:t>&lt;/NoPE&gt;&lt;Version&gt;</w:t>
    </w:r>
    <w:r w:rsidRPr="00080AF4">
      <w:t>v01-00</w:t>
    </w:r>
    <w:r w:rsidRPr="00080AF4">
      <w:rPr>
        <w:rStyle w:val="HideTWBExt"/>
      </w:rPr>
      <w:t>&lt;/Version&gt;</w:t>
    </w:r>
  </w:p>
  <w:p w:rsidR="00E813C2" w:rsidRPr="00080AF4" w:rsidRDefault="00A07524" w:rsidP="007A611B">
    <w:pPr>
      <w:pStyle w:val="EPFooter2"/>
    </w:pPr>
    <w:r w:rsidRPr="00080AF4">
      <w:t>LT</w:t>
    </w:r>
    <w:r w:rsidRPr="00080AF4">
      <w:tab/>
    </w:r>
    <w:r w:rsidRPr="00080AF4">
      <w:rPr>
        <w:b w:val="0"/>
        <w:i/>
        <w:color w:val="C0C0C0"/>
        <w:sz w:val="22"/>
      </w:rPr>
      <w:t>Suvienijusi įvairovę</w:t>
    </w:r>
    <w:r w:rsidRPr="00080AF4">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2C6" w:rsidRDefault="00A07524">
      <w:r>
        <w:separator/>
      </w:r>
    </w:p>
  </w:footnote>
  <w:footnote w:type="continuationSeparator" w:id="0">
    <w:p w:rsidR="00D102C6" w:rsidRDefault="00A07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A16" w:rsidRDefault="00A47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A16" w:rsidRDefault="00A47A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A16" w:rsidRDefault="00A47A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LT"/>
    <w:docVar w:name="TXTLANGUEMIN" w:val="lt"/>
    <w:docVar w:name="TXTNRPE" w:val="765.314"/>
    <w:docVar w:name="TXTPEorAP" w:val="PE"/>
    <w:docVar w:name="TXTROUTE" w:val="AM\1309978LT.docx"/>
    <w:docVar w:name="TXTVERSION" w:val="01-00"/>
  </w:docVars>
  <w:rsids>
    <w:rsidRoot w:val="00A77B3E"/>
    <w:rsid w:val="00080AF4"/>
    <w:rsid w:val="007A611B"/>
    <w:rsid w:val="00A07524"/>
    <w:rsid w:val="00A107C8"/>
    <w:rsid w:val="00A47A16"/>
    <w:rsid w:val="00A77B3E"/>
    <w:rsid w:val="00CA2A55"/>
    <w:rsid w:val="00CD3766"/>
    <w:rsid w:val="00D102C6"/>
    <w:rsid w:val="00E81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2F14814"/>
  <w15:docId w15:val="{645EC252-BE77-4B72-9BEB-A531A4F4B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7A611B"/>
    <w:pPr>
      <w:tabs>
        <w:tab w:val="center" w:pos="4513"/>
        <w:tab w:val="right" w:pos="9026"/>
      </w:tabs>
    </w:pPr>
  </w:style>
  <w:style w:type="character" w:customStyle="1" w:styleId="HeaderChar">
    <w:name w:val="Header Char"/>
    <w:basedOn w:val="DefaultParagraphFont"/>
    <w:link w:val="Header"/>
    <w:rsid w:val="007A611B"/>
    <w:rPr>
      <w:sz w:val="24"/>
      <w:szCs w:val="24"/>
    </w:rPr>
  </w:style>
  <w:style w:type="paragraph" w:styleId="Footer">
    <w:name w:val="footer"/>
    <w:basedOn w:val="Normal"/>
    <w:link w:val="FooterChar"/>
    <w:semiHidden/>
    <w:unhideWhenUsed/>
    <w:rsid w:val="00A47A16"/>
    <w:pPr>
      <w:tabs>
        <w:tab w:val="center" w:pos="4513"/>
        <w:tab w:val="right" w:pos="9026"/>
      </w:tabs>
    </w:pPr>
  </w:style>
  <w:style w:type="character" w:customStyle="1" w:styleId="FooterChar">
    <w:name w:val="Footer Char"/>
    <w:basedOn w:val="DefaultParagraphFont"/>
    <w:link w:val="Footer"/>
    <w:semiHidden/>
    <w:rsid w:val="00A47A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28486</Words>
  <Characters>196634</Characters>
  <Application>Microsoft Office Word</Application>
  <DocSecurity>0</DocSecurity>
  <Lines>7769</Lines>
  <Paragraphs>2216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2024-12-06T10:44:00Z</dcterms:created>
  <dcterms:modified xsi:type="dcterms:W3CDTF">2024-12-06T10:44:00Z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1309978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87435</vt:lpwstr>
  </property>
  <property fmtid="{D5CDD505-2E9C-101B-9397-08002B2CF9AE}" pid="7" name="dmxml.render.traceId">
    <vt:lpwstr>672e06aa1a6803170f800a6d74dada57</vt:lpwstr>
  </property>
  <property fmtid="{D5CDD505-2E9C-101B-9397-08002B2CF9AE}" pid="8" name="FooterPath">
    <vt:lpwstr>AM\1309978LT.docx</vt:lpwstr>
  </property>
  <property fmtid="{D5CDD505-2E9C-101B-9397-08002B2CF9AE}" pid="9" name="LastEdited with">
    <vt:lpwstr>10.0.0 Build [20241005]</vt:lpwstr>
  </property>
  <property fmtid="{D5CDD505-2E9C-101B-9397-08002B2CF9AE}" pid="10" name="PE Number">
    <vt:lpwstr>765.314</vt:lpwstr>
  </property>
  <property fmtid="{D5CDD505-2E9C-101B-9397-08002B2CF9AE}" pid="11" name="SDLStudio">
    <vt:lpwstr/>
  </property>
  <property fmtid="{D5CDD505-2E9C-101B-9397-08002B2CF9AE}" pid="12" name="UID">
    <vt:lpwstr>eu.europa.europarl-DIN1-2024-0000051288_01.00-xm-01.00_text-xml</vt:lpwstr>
  </property>
  <property fmtid="{D5CDD505-2E9C-101B-9397-08002B2CF9AE}" pid="13" name="Bookout">
    <vt:lpwstr>OK - 2024/12/06 11:43</vt:lpwstr>
  </property>
</Properties>
</file>