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5E5FA1" w:rsidRPr="00271CCD" w14:paraId="6ACDAF79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58D9356" w14:textId="77777777" w:rsidR="005E5FA1" w:rsidRPr="00271CCD" w:rsidRDefault="00DC2DE0" w:rsidP="00C85D0F">
            <w:pPr>
              <w:pStyle w:val="EPName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Parlament Europejski</w:t>
            </w:r>
          </w:p>
          <w:p w14:paraId="535A4F17" w14:textId="4F63C695" w:rsidR="005E5FA1" w:rsidRPr="00271CCD" w:rsidRDefault="006D0514" w:rsidP="00C85D0F">
            <w:pPr>
              <w:pStyle w:val="EPTerm"/>
              <w:rPr>
                <w:color w:val="000000" w:themeColor="text1"/>
              </w:rPr>
            </w:pPr>
            <w:r w:rsidRPr="00271CCD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4A990124" w14:textId="77777777" w:rsidR="005E5FA1" w:rsidRPr="00271CCD" w:rsidRDefault="005E5FA1" w:rsidP="00C85D0F">
            <w:pPr>
              <w:pStyle w:val="EPLogo"/>
              <w:rPr>
                <w:color w:val="000000" w:themeColor="text1"/>
              </w:rPr>
            </w:pPr>
            <w:r w:rsidRPr="00271CCD">
              <w:rPr>
                <w:noProof/>
                <w:color w:val="000000" w:themeColor="text1"/>
              </w:rPr>
              <w:drawing>
                <wp:inline distT="0" distB="0" distL="0" distR="0" wp14:anchorId="11B7F549" wp14:editId="5949ADE9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D19649" w14:textId="77777777" w:rsidR="00CF4E9D" w:rsidRPr="00271CCD" w:rsidRDefault="00CF4E9D" w:rsidP="00CF4E9D">
      <w:pPr>
        <w:pStyle w:val="LineTop"/>
        <w:rPr>
          <w:color w:val="000000" w:themeColor="text1"/>
        </w:rPr>
      </w:pPr>
    </w:p>
    <w:p w14:paraId="567F6CEC" w14:textId="1555EE50" w:rsidR="00CF4E9D" w:rsidRPr="00271CCD" w:rsidRDefault="00CF4E9D" w:rsidP="00CF4E9D">
      <w:pPr>
        <w:pStyle w:val="EPBody"/>
        <w:rPr>
          <w:color w:val="000000" w:themeColor="text1"/>
        </w:rPr>
      </w:pPr>
      <w:r w:rsidRPr="00271CCD">
        <w:rPr>
          <w:rStyle w:val="HideTWBExt"/>
          <w:i w:val="0"/>
          <w:szCs w:val="20"/>
        </w:rPr>
        <w:t>&lt;Commission&gt;</w:t>
      </w:r>
      <w:r w:rsidR="00F00EA5" w:rsidRPr="00271CCD">
        <w:rPr>
          <w:rStyle w:val="HideTWBInt"/>
          <w:i w:val="0"/>
          <w:szCs w:val="20"/>
        </w:rPr>
        <w:t>{AFET}</w:t>
      </w:r>
      <w:r w:rsidR="00F00EA5" w:rsidRPr="00271CCD">
        <w:rPr>
          <w:color w:val="000000" w:themeColor="text1"/>
        </w:rPr>
        <w:t>Komisja Spraw Zagranicznych</w:t>
      </w:r>
      <w:r w:rsidRPr="00271CCD">
        <w:rPr>
          <w:rStyle w:val="HideTWBExt"/>
          <w:i w:val="0"/>
          <w:szCs w:val="20"/>
        </w:rPr>
        <w:t>&lt;/Commission&gt;</w:t>
      </w:r>
    </w:p>
    <w:p w14:paraId="7182840E" w14:textId="77777777" w:rsidR="00CF4E9D" w:rsidRPr="00271CCD" w:rsidRDefault="00CF4E9D" w:rsidP="00CF4E9D">
      <w:pPr>
        <w:pStyle w:val="LineBottom"/>
        <w:rPr>
          <w:color w:val="000000" w:themeColor="text1"/>
        </w:rPr>
      </w:pPr>
    </w:p>
    <w:p w14:paraId="7481838B" w14:textId="77777777" w:rsidR="00F00EA5" w:rsidRPr="00271CCD" w:rsidRDefault="00F00EA5" w:rsidP="00F00EA5">
      <w:pPr>
        <w:pStyle w:val="CoverReference"/>
        <w:rPr>
          <w:color w:val="000000" w:themeColor="text1"/>
        </w:rPr>
      </w:pPr>
      <w:r w:rsidRPr="00271CCD">
        <w:rPr>
          <w:rStyle w:val="HideTWBExt"/>
          <w:b w:val="0"/>
        </w:rPr>
        <w:t>&lt;RefProc&gt;</w:t>
      </w:r>
      <w:r w:rsidRPr="00271CCD">
        <w:rPr>
          <w:color w:val="000000" w:themeColor="text1"/>
        </w:rPr>
        <w:t>2024/2080</w:t>
      </w:r>
      <w:r w:rsidRPr="00271CCD">
        <w:rPr>
          <w:rStyle w:val="HideTWBExt"/>
          <w:b w:val="0"/>
        </w:rPr>
        <w:t>&lt;/RefProc&gt;&lt;RefTypeProc&gt;</w:t>
      </w:r>
      <w:r w:rsidRPr="00271CCD">
        <w:rPr>
          <w:color w:val="000000" w:themeColor="text1"/>
        </w:rPr>
        <w:t>(INI)</w:t>
      </w:r>
      <w:r w:rsidRPr="00271CCD">
        <w:rPr>
          <w:rStyle w:val="HideTWBExt"/>
          <w:b w:val="0"/>
        </w:rPr>
        <w:t>&lt;/RefTypeProc&gt;</w:t>
      </w:r>
    </w:p>
    <w:p w14:paraId="27A05F1D" w14:textId="77777777" w:rsidR="00F00EA5" w:rsidRPr="00271CCD" w:rsidRDefault="00F00EA5" w:rsidP="00F00EA5">
      <w:pPr>
        <w:pStyle w:val="CoverDate"/>
      </w:pPr>
      <w:r w:rsidRPr="00271CCD">
        <w:rPr>
          <w:rStyle w:val="HideTWBExt"/>
        </w:rPr>
        <w:t>&lt;Date&gt;</w:t>
      </w:r>
      <w:r w:rsidRPr="00271CCD">
        <w:rPr>
          <w:rStyle w:val="HideTWBInt"/>
        </w:rPr>
        <w:t>{08/11/2024}</w:t>
      </w:r>
      <w:r w:rsidRPr="00271CCD">
        <w:rPr>
          <w:color w:val="000000" w:themeColor="text1"/>
        </w:rPr>
        <w:t>8.11.2024</w:t>
      </w:r>
      <w:r w:rsidRPr="00271CCD">
        <w:rPr>
          <w:rStyle w:val="HideTWBExt"/>
        </w:rPr>
        <w:t>&lt;/Date&gt;</w:t>
      </w:r>
    </w:p>
    <w:p w14:paraId="73C801D1" w14:textId="1811E4C5" w:rsidR="00794E41" w:rsidRPr="00271CCD" w:rsidRDefault="00794E41" w:rsidP="00794E41">
      <w:pPr>
        <w:pStyle w:val="CoverDocType"/>
        <w:rPr>
          <w:color w:val="000000" w:themeColor="text1"/>
        </w:rPr>
      </w:pPr>
      <w:r w:rsidRPr="00271CCD">
        <w:rPr>
          <w:rStyle w:val="HideTWBExt"/>
          <w:b w:val="0"/>
        </w:rPr>
        <w:t>&lt;TypeAM&gt;</w:t>
      </w:r>
      <w:r w:rsidR="00F00EA5" w:rsidRPr="00271CCD">
        <w:rPr>
          <w:color w:val="000000" w:themeColor="text1"/>
        </w:rPr>
        <w:t>POPRAWKI</w:t>
      </w:r>
      <w:r w:rsidRPr="00271CCD">
        <w:rPr>
          <w:rStyle w:val="HideTWBExt"/>
          <w:b w:val="0"/>
        </w:rPr>
        <w:t>&lt;/TypeAM&gt;</w:t>
      </w:r>
    </w:p>
    <w:p w14:paraId="5AFAB7AB" w14:textId="26CBCFB9" w:rsidR="00794E41" w:rsidRPr="00271CCD" w:rsidRDefault="00794E41" w:rsidP="00794E41">
      <w:pPr>
        <w:pStyle w:val="CoverDocType24a"/>
        <w:rPr>
          <w:color w:val="000000" w:themeColor="text1"/>
        </w:rPr>
      </w:pPr>
      <w:r w:rsidRPr="00271CCD">
        <w:rPr>
          <w:rStyle w:val="HideTWBExt"/>
          <w:b w:val="0"/>
        </w:rPr>
        <w:t>&lt;RangeAM&gt;</w:t>
      </w:r>
      <w:r w:rsidR="00F00EA5" w:rsidRPr="00271CCD">
        <w:rPr>
          <w:color w:val="000000" w:themeColor="text1"/>
        </w:rPr>
        <w:t>768 - 1019</w:t>
      </w:r>
      <w:r w:rsidRPr="00271CCD">
        <w:rPr>
          <w:rStyle w:val="HideTWBExt"/>
          <w:b w:val="0"/>
        </w:rPr>
        <w:t>&lt;/RangeAM&gt;</w:t>
      </w:r>
    </w:p>
    <w:p w14:paraId="5F6507FE" w14:textId="77777777" w:rsidR="00794E41" w:rsidRPr="00271CCD" w:rsidRDefault="00794E41" w:rsidP="007B1846">
      <w:pPr>
        <w:pStyle w:val="CoverBold"/>
        <w:rPr>
          <w:color w:val="000000" w:themeColor="text1"/>
        </w:rPr>
      </w:pPr>
      <w:r w:rsidRPr="00271CCD">
        <w:rPr>
          <w:rStyle w:val="HideTWBExt"/>
          <w:b w:val="0"/>
        </w:rPr>
        <w:t>&lt;TitreType&gt;</w:t>
      </w:r>
      <w:r w:rsidR="00DC2DE0" w:rsidRPr="00271CCD">
        <w:rPr>
          <w:color w:val="000000" w:themeColor="text1"/>
        </w:rPr>
        <w:t>Projekt sprawozdania</w:t>
      </w:r>
      <w:r w:rsidRPr="00271CCD">
        <w:rPr>
          <w:rStyle w:val="HideTWBExt"/>
          <w:b w:val="0"/>
        </w:rPr>
        <w:t>&lt;/TitreType&gt;</w:t>
      </w:r>
    </w:p>
    <w:p w14:paraId="6DB23848" w14:textId="77777777" w:rsidR="00F00EA5" w:rsidRPr="00271CCD" w:rsidRDefault="00F00EA5" w:rsidP="00F00EA5">
      <w:pPr>
        <w:pStyle w:val="CoverBold"/>
        <w:rPr>
          <w:color w:val="000000" w:themeColor="text1"/>
        </w:rPr>
      </w:pPr>
      <w:r w:rsidRPr="00271CCD">
        <w:rPr>
          <w:rStyle w:val="HideTWBExt"/>
          <w:b w:val="0"/>
        </w:rPr>
        <w:t>&lt;Rapporteur&gt;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&lt;/Rapporteur&gt;</w:t>
      </w:r>
    </w:p>
    <w:p w14:paraId="69260F2D" w14:textId="77777777" w:rsidR="00F00EA5" w:rsidRPr="00271CCD" w:rsidRDefault="00F00EA5" w:rsidP="00F00EA5">
      <w:pPr>
        <w:pStyle w:val="CoverNormal24a"/>
        <w:rPr>
          <w:color w:val="000000" w:themeColor="text1"/>
        </w:rPr>
      </w:pPr>
      <w:r w:rsidRPr="00271CCD">
        <w:rPr>
          <w:rStyle w:val="HideTWBExt"/>
        </w:rPr>
        <w:t>&lt;DocRefPE&gt;</w:t>
      </w:r>
      <w:r w:rsidRPr="00271CCD">
        <w:rPr>
          <w:color w:val="000000" w:themeColor="text1"/>
        </w:rPr>
        <w:t>(PE765.084v01-00)</w:t>
      </w:r>
      <w:r w:rsidRPr="00271CCD">
        <w:rPr>
          <w:rStyle w:val="HideTWBExt"/>
        </w:rPr>
        <w:t>&lt;/DocRefPE&gt;</w:t>
      </w:r>
    </w:p>
    <w:p w14:paraId="74211646" w14:textId="2CF2FB56" w:rsidR="00F00EA5" w:rsidRPr="00271CCD" w:rsidRDefault="00F00EA5" w:rsidP="00F00EA5">
      <w:pPr>
        <w:pStyle w:val="CoverNormal"/>
        <w:rPr>
          <w:color w:val="000000" w:themeColor="text1"/>
        </w:rPr>
      </w:pPr>
      <w:r w:rsidRPr="00271CCD">
        <w:rPr>
          <w:rStyle w:val="HideTWBExt"/>
        </w:rPr>
        <w:t>&lt;Titre&gt;</w:t>
      </w:r>
      <w:r w:rsidR="002C22FB" w:rsidRPr="00271CCD">
        <w:rPr>
          <w:color w:val="000000" w:themeColor="text1"/>
        </w:rPr>
        <w:t>Realizacja wspólnej polityki zagranicznej i bezpieczeństwa – sprawozdanie roczne za 2024 r.</w:t>
      </w:r>
      <w:r w:rsidRPr="00271CCD">
        <w:rPr>
          <w:rStyle w:val="HideTWBExt"/>
        </w:rPr>
        <w:t>&lt;/Titre&gt;</w:t>
      </w:r>
    </w:p>
    <w:p w14:paraId="34606EF8" w14:textId="77777777" w:rsidR="00F00EA5" w:rsidRPr="00271CCD" w:rsidRDefault="00F00EA5" w:rsidP="00F00EA5">
      <w:pPr>
        <w:pStyle w:val="CoverNormal24a"/>
        <w:rPr>
          <w:color w:val="000000" w:themeColor="text1"/>
        </w:rPr>
      </w:pPr>
      <w:r w:rsidRPr="00271CCD">
        <w:rPr>
          <w:rStyle w:val="HideTWBExt"/>
        </w:rPr>
        <w:t>&lt;DocRef&gt;</w:t>
      </w:r>
      <w:r w:rsidRPr="00271CCD">
        <w:rPr>
          <w:color w:val="000000" w:themeColor="text1"/>
        </w:rPr>
        <w:t>(2024/2080(INI))</w:t>
      </w:r>
      <w:r w:rsidRPr="00271CCD">
        <w:rPr>
          <w:rStyle w:val="HideTWBExt"/>
        </w:rPr>
        <w:t>&lt;/DocRef&gt;</w:t>
      </w:r>
    </w:p>
    <w:p w14:paraId="1C61C6FC" w14:textId="77777777" w:rsidR="00794E41" w:rsidRPr="00271CCD" w:rsidRDefault="00794E41" w:rsidP="008B040A">
      <w:pPr>
        <w:widowControl/>
        <w:tabs>
          <w:tab w:val="center" w:pos="4677"/>
        </w:tabs>
        <w:rPr>
          <w:color w:val="000000" w:themeColor="text1"/>
        </w:rPr>
      </w:pPr>
      <w:r w:rsidRPr="00271CCD">
        <w:rPr>
          <w:color w:val="000000" w:themeColor="text1"/>
        </w:rPr>
        <w:br w:type="page"/>
      </w:r>
      <w:r w:rsidR="00DC2DE0" w:rsidRPr="00271CCD">
        <w:rPr>
          <w:color w:val="000000" w:themeColor="text1"/>
        </w:rPr>
        <w:lastRenderedPageBreak/>
        <w:t>AM_Com_NonLegReport</w:t>
      </w:r>
    </w:p>
    <w:p w14:paraId="08FD3DA9" w14:textId="52A95B3F" w:rsidR="002C22FB" w:rsidRPr="00271CCD" w:rsidRDefault="00794E41" w:rsidP="002C22FB">
      <w:pPr>
        <w:pStyle w:val="AmNumberTabs"/>
        <w:rPr>
          <w:color w:val="000000" w:themeColor="text1"/>
        </w:rPr>
      </w:pPr>
      <w:r w:rsidRPr="00271CCD">
        <w:rPr>
          <w:color w:val="000000" w:themeColor="text1"/>
        </w:rPr>
        <w:br w:type="page"/>
      </w:r>
      <w:r w:rsidR="002C22FB" w:rsidRPr="00271CCD">
        <w:rPr>
          <w:rStyle w:val="HideTWBExt"/>
          <w:b w:val="0"/>
        </w:rPr>
        <w:lastRenderedPageBreak/>
        <w:t>&lt;RepeatBlock-Amend&gt;&lt;Amend&gt;</w:t>
      </w:r>
      <w:r w:rsidR="002C22FB" w:rsidRPr="00271CCD">
        <w:rPr>
          <w:color w:val="000000" w:themeColor="text1"/>
        </w:rPr>
        <w:t>Poprawka</w:t>
      </w:r>
      <w:r w:rsidR="002C22FB" w:rsidRPr="00271CCD">
        <w:rPr>
          <w:color w:val="000000" w:themeColor="text1"/>
        </w:rPr>
        <w:tab/>
      </w:r>
      <w:r w:rsidR="002C22FB" w:rsidRPr="00271CCD">
        <w:rPr>
          <w:color w:val="000000" w:themeColor="text1"/>
        </w:rPr>
        <w:tab/>
      </w:r>
      <w:r w:rsidR="002C22FB" w:rsidRPr="00271CCD">
        <w:rPr>
          <w:rStyle w:val="HideTWBExt"/>
          <w:b w:val="0"/>
        </w:rPr>
        <w:t>&lt;NumAm&gt;</w:t>
      </w:r>
      <w:r w:rsidR="002C22FB" w:rsidRPr="00271CCD">
        <w:rPr>
          <w:color w:val="000000" w:themeColor="text1"/>
        </w:rPr>
        <w:t>768</w:t>
      </w:r>
      <w:r w:rsidR="002C22FB" w:rsidRPr="00271CCD">
        <w:rPr>
          <w:rStyle w:val="HideTWBExt"/>
          <w:b w:val="0"/>
        </w:rPr>
        <w:t>&lt;/NumAm&gt;</w:t>
      </w:r>
    </w:p>
    <w:p w14:paraId="7633359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259AC5D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DA535C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60DF21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F6D87C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0DE09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BE4C0C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FD9F7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DCC7A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195B90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C3EA4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28.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 w tym kontekście o głębokim i kompleksowym partnerstwie UE z Japonią, które powinno służyć za wzór owocnego partnerstwa dwustronnego umożliwiającego skuteczne kształtowanie polityki w kontekście wielostronnym;</w:t>
            </w:r>
            <w:r w:rsidRPr="00271CCD">
              <w:rPr>
                <w:color w:val="000000" w:themeColor="text1"/>
              </w:rPr>
              <w:t xml:space="preserve"> zauważa, że w 2024 r. UE i Japonia obchodzą 50-lecie stosunków dyplomatycznych, i zdecydowanie podkreśla, że w interesie UE leży pogłębianie i rozszerzanie tego partnerstwa dwustronnego w ciągu najbliższych 50 lat; </w:t>
            </w:r>
            <w:r w:rsidRPr="00271CCD">
              <w:rPr>
                <w:b/>
                <w:i/>
                <w:color w:val="000000" w:themeColor="text1"/>
              </w:rPr>
              <w:t>uznaje zasadniczą rolę, jaką w stosunkach między UE a Japonią w czasach wstrząsów geopolitycznych odgrywa umowa o partnerstwie gospodarczym UE–Japonia i umowa o partnerstwie strategicznym UE–Japonia; zachęca obie strony, a zwłaszcza pozostałe państwa członkowskie, które jeszcze nie ratyfikowały tej umowy, do wykazania wymaganej woli politycznej do ratyfikacji umowy o partnerstwie strategicznym;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FFA62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28.</w:t>
            </w:r>
            <w:r w:rsidRPr="00271CCD">
              <w:rPr>
                <w:color w:val="000000" w:themeColor="text1"/>
              </w:rPr>
              <w:tab/>
              <w:t>zauważa, że w 2024 r. UE i Japonia obchodzą 50-lecie stosunków dyplomatycznych, i zdecydowanie podkreśla, że w interesie UE leży pogłębianie i rozszerzanie tego partnerstwa dwustronnego w ciągu najbliższych 50 lat;</w:t>
            </w:r>
          </w:p>
        </w:tc>
      </w:tr>
    </w:tbl>
    <w:p w14:paraId="57E8F8D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FA051F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E7CCE6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769</w:t>
      </w:r>
      <w:r w:rsidRPr="00271CCD">
        <w:rPr>
          <w:rStyle w:val="HideTWBExt"/>
          <w:b w:val="0"/>
        </w:rPr>
        <w:t>&lt;/NumAm&gt;</w:t>
      </w:r>
    </w:p>
    <w:p w14:paraId="650791B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Hans Neuhoff</w:t>
      </w:r>
      <w:r w:rsidRPr="00271CCD">
        <w:rPr>
          <w:rStyle w:val="HideTWBExt"/>
          <w:b w:val="0"/>
        </w:rPr>
        <w:t>&lt;/Members&gt;</w:t>
      </w:r>
    </w:p>
    <w:p w14:paraId="6E6F330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B05DAA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AA11DC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16A200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00BD4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8B8FAE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5BF1E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5C15B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99C607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7EFE7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28.</w:t>
            </w:r>
            <w:r w:rsidRPr="00271CCD">
              <w:rPr>
                <w:color w:val="000000" w:themeColor="text1"/>
              </w:rPr>
              <w:tab/>
              <w:t xml:space="preserve">przypomina w tym kontekście o głębokim i kompleksowym partnerstwie UE z Japonią, które powinno służyć za wzór owocnego partnerstwa dwustronnego umożliwiającego skuteczne kształtowanie polityki w kontekście wielostronnym; zauważa, że w 2024 r. UE i Japonia obchodzą 50-lecie stosunków dyplomatycznych, i zdecydowanie podkreśla, że w interesie UE leży pogłębianie i rozszerzanie tego partnerstwa dwustronnego w ciągu najbliższych 50 lat; uznaje zasadniczą rolę, jaką </w:t>
            </w:r>
            <w:r w:rsidRPr="00271CCD">
              <w:rPr>
                <w:b/>
                <w:i/>
                <w:color w:val="000000" w:themeColor="text1"/>
              </w:rPr>
              <w:t xml:space="preserve">w stosunkach między UE a Japonią w czasach wstrząsów geopolitycznych </w:t>
            </w:r>
            <w:r w:rsidRPr="00271CCD">
              <w:rPr>
                <w:color w:val="000000" w:themeColor="text1"/>
              </w:rPr>
              <w:t>odgrywa umowa o partnerstwie gospodarczym UE–Japonia</w:t>
            </w:r>
            <w:r w:rsidRPr="00271CCD">
              <w:rPr>
                <w:b/>
                <w:i/>
                <w:color w:val="000000" w:themeColor="text1"/>
              </w:rPr>
              <w:t xml:space="preserve"> i umowa o partnerstwie strategicznym UE–Japonia; zachęca obie strony, a zwłaszcza pozostałe państwa członkowskie, które jeszcze nie ratyfikowały tej umowy, do wykazania wymaganej woli politycznej do ratyfikacji umowy o partnerstwie strategicznym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5B13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28.</w:t>
            </w:r>
            <w:r w:rsidRPr="00271CCD">
              <w:rPr>
                <w:color w:val="000000" w:themeColor="text1"/>
              </w:rPr>
              <w:tab/>
              <w:t>przypomina w tym kontekście o głębokim i kompleksowym partnerstwie UE z Japonią, które powinno służyć za wzór owocnego partnerstwa dwustronnego umożliwiającego skuteczne kształtowanie polityki w kontekście wielostronnym; zauważa, że w 2024 r. UE i Japonia obchodzą 50-lecie stosunków dyplomatycznych, i zdecydowanie podkreśla, że w interesie UE leży pogłębianie i rozszerzanie tego partnerstwa dwustronnego w ciągu najbliższych 50 lat; uznaje zasadniczą rolę, jaką odgrywa umowa o partnerstwie gospodarczym UE–Japonia;</w:t>
            </w:r>
          </w:p>
        </w:tc>
      </w:tr>
    </w:tbl>
    <w:p w14:paraId="1F2DE57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{DE}</w:t>
      </w:r>
      <w:r w:rsidRPr="00271CCD">
        <w:rPr>
          <w:color w:val="000000" w:themeColor="text1"/>
        </w:rPr>
        <w:t>de</w:t>
      </w:r>
      <w:r w:rsidRPr="00271CCD">
        <w:rPr>
          <w:rStyle w:val="HideTWBExt"/>
        </w:rPr>
        <w:t>&lt;/Original&gt;</w:t>
      </w:r>
    </w:p>
    <w:p w14:paraId="3EC8C21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DC5B0D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770</w:t>
      </w:r>
      <w:r w:rsidRPr="00271CCD">
        <w:rPr>
          <w:rStyle w:val="HideTWBExt"/>
          <w:b w:val="0"/>
        </w:rPr>
        <w:t>&lt;/NumAm&gt;</w:t>
      </w:r>
    </w:p>
    <w:p w14:paraId="741EB0E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5875649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AA194A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3D0BEA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B160CC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2F13C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418EFB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558E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60869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4ECF17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0AED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28.</w:t>
            </w:r>
            <w:r w:rsidRPr="00271CCD">
              <w:rPr>
                <w:color w:val="000000" w:themeColor="text1"/>
              </w:rPr>
              <w:tab/>
              <w:t xml:space="preserve">przypomina w tym kontekście o </w:t>
            </w:r>
            <w:r w:rsidRPr="00271CCD">
              <w:rPr>
                <w:b/>
                <w:i/>
                <w:color w:val="000000" w:themeColor="text1"/>
              </w:rPr>
              <w:t>głębokim i kompleksowym</w:t>
            </w:r>
            <w:r w:rsidRPr="00271CCD">
              <w:rPr>
                <w:color w:val="000000" w:themeColor="text1"/>
              </w:rPr>
              <w:t xml:space="preserve"> partnerstwie UE z Japonią, które powinno służyć za wzór owocnego partnerstwa dwustronnego umożliwiającego skuteczne kształtowanie polityki w kontekście wielostronnym; zauważa, że w 2024 r. UE i Japonia obchodzą 50-lecie </w:t>
            </w:r>
            <w:r w:rsidRPr="00271CCD">
              <w:rPr>
                <w:b/>
                <w:i/>
                <w:color w:val="000000" w:themeColor="text1"/>
              </w:rPr>
              <w:t>stosunków</w:t>
            </w:r>
            <w:r w:rsidRPr="00271CCD">
              <w:rPr>
                <w:color w:val="000000" w:themeColor="text1"/>
              </w:rPr>
              <w:t xml:space="preserve"> dyplomatycznych, i zdecydowanie podkreśla, że w interesie UE leży pogłębianie i rozszerzanie tego partnerstwa dwustronnego w ciągu najbliższych 50 lat; uznaje zasadniczą rolę, jaką w stosunkach między UE a Japonią w czasach wstrząsów geopolitycznych odgrywa umowa o partnerstwie gospodarczym UE–Japonia i umowa o partnerstwie strategicznym UE–Japonia;</w:t>
            </w:r>
            <w:r w:rsidRPr="00271CCD">
              <w:rPr>
                <w:b/>
                <w:i/>
                <w:color w:val="000000" w:themeColor="text1"/>
              </w:rPr>
              <w:t xml:space="preserve"> zachęca obie strony, a zwłaszcza pozostałe państwa członkowskie, które jeszcze nie ratyfikowały tej umowy, do wykazania wymaganej woli politycznej do ratyfikacji umowy o partnerstwie strategicznym;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30886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28.</w:t>
            </w:r>
            <w:r w:rsidRPr="00271CCD">
              <w:rPr>
                <w:color w:val="000000" w:themeColor="text1"/>
              </w:rPr>
              <w:tab/>
              <w:t xml:space="preserve">przypomina w tym kontekście o </w:t>
            </w:r>
            <w:r w:rsidRPr="00271CCD">
              <w:rPr>
                <w:b/>
                <w:i/>
                <w:color w:val="000000" w:themeColor="text1"/>
              </w:rPr>
              <w:t>strategicznym</w:t>
            </w:r>
            <w:r w:rsidRPr="00271CCD">
              <w:rPr>
                <w:color w:val="000000" w:themeColor="text1"/>
              </w:rPr>
              <w:t xml:space="preserve"> partnerstwie UE z Japonią, które powinno służyć za wzór owocnego partnerstwa dwustronnego umożliwiającego skuteczne kształtowanie polityki w kontekście wielostronnym; zauważa, że w 2024 r. UE i Japonia obchodzą 50-lecie </w:t>
            </w:r>
            <w:r w:rsidRPr="00271CCD">
              <w:rPr>
                <w:b/>
                <w:i/>
                <w:color w:val="000000" w:themeColor="text1"/>
              </w:rPr>
              <w:t>ustanowienia swoich odpowiednich misji</w:t>
            </w:r>
            <w:r w:rsidRPr="00271CCD">
              <w:rPr>
                <w:color w:val="000000" w:themeColor="text1"/>
              </w:rPr>
              <w:t xml:space="preserve"> dyplomatycznych, i zdecydowanie podkreśla, że w interesie UE leży pogłębianie i rozszerzanie tego partnerstwa dwustronnego w ciągu najbliższych 50 lat; uznaje zasadniczą rolę, jaką w stosunkach między UE a Japonią w czasach wstrząsów geopolitycznych odgrywa umowa o partnerstwie gospodarczym UE–Japonia i umowa o partnerstwie strategicznym UE–Japonia;</w:t>
            </w:r>
          </w:p>
        </w:tc>
      </w:tr>
    </w:tbl>
    <w:p w14:paraId="60F74DB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A6D8B9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D28B69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771</w:t>
      </w:r>
      <w:r w:rsidRPr="00271CCD">
        <w:rPr>
          <w:rStyle w:val="HideTWBExt"/>
          <w:b w:val="0"/>
        </w:rPr>
        <w:t>&lt;/NumAm&gt;</w:t>
      </w:r>
    </w:p>
    <w:p w14:paraId="2DF2CE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56D5A07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5C7A574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C738C1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7D2693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F900F3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1BE79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F26BE1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A5049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AD79C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D80444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571B3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B38D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5CC75BA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71356E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528D92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772</w:t>
      </w:r>
      <w:r w:rsidRPr="00271CCD">
        <w:rPr>
          <w:rStyle w:val="HideTWBExt"/>
          <w:b w:val="0"/>
        </w:rPr>
        <w:t>&lt;/NumAm&gt;</w:t>
      </w:r>
    </w:p>
    <w:p w14:paraId="7B1E6DD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Sebastian Tynkkynen</w:t>
      </w:r>
      <w:r w:rsidRPr="00271CCD">
        <w:rPr>
          <w:rStyle w:val="HideTWBExt"/>
          <w:b w:val="0"/>
        </w:rPr>
        <w:t>&lt;/Members&gt;</w:t>
      </w:r>
    </w:p>
    <w:p w14:paraId="596A0EA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4C011D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778B59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1E1714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DBA8A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91BE38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442A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DFCE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BA6911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F4F2D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14BD1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  <w:r w:rsidRPr="00271CCD">
              <w:rPr>
                <w:b/>
                <w:i/>
                <w:color w:val="000000" w:themeColor="text1"/>
              </w:rPr>
              <w:t xml:space="preserve"> podkreśla, że Chiny odgrywają ważną rolę w umożliwianiu prowadzenia przez Rosję wojny napastniczej przeciwko Ukrainie; potępia w najmocniejszych słowach dostawy do Rosji materiałów przez Chiny w formie mikroelektroniki, półprzewodników i innych podobnych produktów, które rosyjskie siły zbrojne mogą wykorzystać w działaniach ofensywnych; potępia w najmocniejszych słowach represjonowanie Ujgurów w regionie Sinciang; wzywa Unię Europejską i jej państwa członkowskie do ograniczenia swojej zależności od Chin we wszystkich sektorach;</w:t>
            </w:r>
          </w:p>
        </w:tc>
      </w:tr>
    </w:tbl>
    <w:p w14:paraId="4018FD9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{FI}</w:t>
      </w:r>
      <w:r w:rsidRPr="00271CCD">
        <w:rPr>
          <w:color w:val="000000" w:themeColor="text1"/>
        </w:rPr>
        <w:t>fi</w:t>
      </w:r>
      <w:r w:rsidRPr="00271CCD">
        <w:rPr>
          <w:rStyle w:val="HideTWBExt"/>
        </w:rPr>
        <w:t>&lt;/Original&gt;</w:t>
      </w:r>
    </w:p>
    <w:p w14:paraId="19C65D5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0D2605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773</w:t>
      </w:r>
      <w:r w:rsidRPr="00271CCD">
        <w:rPr>
          <w:rStyle w:val="HideTWBExt"/>
          <w:b w:val="0"/>
        </w:rPr>
        <w:t>&lt;/NumAm&gt;</w:t>
      </w:r>
    </w:p>
    <w:p w14:paraId="71C5BB6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49B305D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3F384D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03BD20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A4FFB6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4E05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2C2926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6C20B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0E4B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B627F6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7380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AE6B9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  <w:r w:rsidRPr="00271CCD">
              <w:rPr>
                <w:b/>
                <w:i/>
                <w:color w:val="000000" w:themeColor="text1"/>
              </w:rPr>
              <w:t xml:space="preserve"> odnotowuje coraz większe groźby i działania destabilizujące Chin w stosunku do swoich sąsiadów oraz próby podważenia demokratycznych społeczeństw, instytucji i bezpieczeństwa gospodarczego UE; podkreśla pilną potrzebę kontynuowania polityki ograniczania ryzyka i zależności UE od Chin w kluczowych sektorach;</w:t>
            </w:r>
          </w:p>
        </w:tc>
      </w:tr>
    </w:tbl>
    <w:p w14:paraId="7CBDB24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46D72A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F110A5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774</w:t>
      </w:r>
      <w:r w:rsidRPr="00271CCD">
        <w:rPr>
          <w:rStyle w:val="HideTWBExt"/>
          <w:b w:val="0"/>
        </w:rPr>
        <w:t>&lt;/NumAm&gt;</w:t>
      </w:r>
    </w:p>
    <w:p w14:paraId="3BC6215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3AF9E4D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FCDDF7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80257E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DF40C8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F429C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44F9F3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91E20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98DC7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7B212F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9C123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wzrost znaczenia Chin pozostaje </w:t>
            </w:r>
            <w:r w:rsidRPr="00271CCD">
              <w:rPr>
                <w:b/>
                <w:i/>
                <w:color w:val="000000" w:themeColor="text1"/>
              </w:rPr>
              <w:t>jednym z głównych wyzwań geopolitycznych XXI wieku</w:t>
            </w:r>
            <w:r w:rsidRPr="00271CCD">
              <w:rPr>
                <w:color w:val="000000" w:themeColor="text1"/>
              </w:rPr>
              <w:t xml:space="preserve"> i wymaga </w:t>
            </w:r>
            <w:r w:rsidRPr="00271CCD">
              <w:rPr>
                <w:b/>
                <w:i/>
                <w:color w:val="000000" w:themeColor="text1"/>
              </w:rPr>
              <w:t>wielopoziomowej</w:t>
            </w:r>
            <w:r w:rsidRPr="00271CCD">
              <w:rPr>
                <w:color w:val="000000" w:themeColor="text1"/>
              </w:rPr>
              <w:t xml:space="preserve"> reakcji, w ramach której UE kontynuuje współpracę z Chinami w </w:t>
            </w:r>
            <w:r w:rsidRPr="00271CCD">
              <w:rPr>
                <w:b/>
                <w:i/>
                <w:color w:val="000000" w:themeColor="text1"/>
              </w:rPr>
              <w:t>pewnych</w:t>
            </w:r>
            <w:r w:rsidRPr="00271CCD">
              <w:rPr>
                <w:color w:val="000000" w:themeColor="text1"/>
              </w:rPr>
              <w:t xml:space="preserve"> kluczowych </w:t>
            </w:r>
            <w:r w:rsidRPr="00271CCD">
              <w:rPr>
                <w:b/>
                <w:i/>
                <w:color w:val="000000" w:themeColor="text1"/>
              </w:rPr>
              <w:t>obszarach</w:t>
            </w:r>
            <w:r w:rsidRPr="00271CCD">
              <w:rPr>
                <w:color w:val="000000" w:themeColor="text1"/>
              </w:rPr>
              <w:t>;</w:t>
            </w:r>
            <w:r w:rsidRPr="00271CCD">
              <w:rPr>
                <w:b/>
                <w:i/>
                <w:color w:val="000000" w:themeColor="text1"/>
              </w:rPr>
              <w:t xml:space="preserve">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72BC6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wzrost znaczenia Chin pozostaje </w:t>
            </w:r>
            <w:r w:rsidRPr="00271CCD">
              <w:rPr>
                <w:b/>
                <w:i/>
                <w:color w:val="000000" w:themeColor="text1"/>
              </w:rPr>
              <w:t>faktem</w:t>
            </w:r>
            <w:r w:rsidRPr="00271CCD">
              <w:rPr>
                <w:color w:val="000000" w:themeColor="text1"/>
              </w:rPr>
              <w:t xml:space="preserve"> i wymaga </w:t>
            </w:r>
            <w:r w:rsidRPr="00271CCD">
              <w:rPr>
                <w:b/>
                <w:i/>
                <w:color w:val="000000" w:themeColor="text1"/>
              </w:rPr>
              <w:t>rozważnej i przenikliwej</w:t>
            </w:r>
            <w:r w:rsidRPr="00271CCD">
              <w:rPr>
                <w:color w:val="000000" w:themeColor="text1"/>
              </w:rPr>
              <w:t xml:space="preserve"> reakcji, w ramach której UE kontynuuje współpracę z Chinami w </w:t>
            </w:r>
            <w:r w:rsidRPr="00271CCD">
              <w:rPr>
                <w:b/>
                <w:i/>
                <w:color w:val="000000" w:themeColor="text1"/>
              </w:rPr>
              <w:t>szeregu</w:t>
            </w:r>
            <w:r w:rsidRPr="00271CCD">
              <w:rPr>
                <w:color w:val="000000" w:themeColor="text1"/>
              </w:rPr>
              <w:t xml:space="preserve"> kluczowych </w:t>
            </w:r>
            <w:r w:rsidRPr="00271CCD">
              <w:rPr>
                <w:b/>
                <w:i/>
                <w:color w:val="000000" w:themeColor="text1"/>
              </w:rPr>
              <w:t>obszarów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558E178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72A27D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A7B880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775</w:t>
      </w:r>
      <w:r w:rsidRPr="00271CCD">
        <w:rPr>
          <w:rStyle w:val="HideTWBExt"/>
          <w:b w:val="0"/>
        </w:rPr>
        <w:t>&lt;/NumAm&gt;</w:t>
      </w:r>
    </w:p>
    <w:p w14:paraId="401E474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Hana Jalloul Muro</w:t>
      </w:r>
      <w:r w:rsidRPr="00271CCD">
        <w:rPr>
          <w:rStyle w:val="HideTWBExt"/>
          <w:b w:val="0"/>
        </w:rPr>
        <w:t>&lt;/Members&gt;</w:t>
      </w:r>
    </w:p>
    <w:p w14:paraId="64A0C38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67B263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D75904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5A3A99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2BCEA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6D5794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AF012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CBADB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4B2606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99E95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</w:t>
            </w:r>
            <w:r w:rsidRPr="00271CCD">
              <w:rPr>
                <w:b/>
                <w:i/>
                <w:color w:val="000000" w:themeColor="text1"/>
              </w:rPr>
              <w:t>wzrost znaczenia Chin</w:t>
            </w:r>
            <w:r w:rsidRPr="00271CCD">
              <w:rPr>
                <w:color w:val="000000" w:themeColor="text1"/>
              </w:rPr>
              <w:t xml:space="preserve">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9A6F7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</w:t>
            </w:r>
            <w:r w:rsidRPr="00271CCD">
              <w:rPr>
                <w:b/>
                <w:i/>
                <w:color w:val="000000" w:themeColor="text1"/>
              </w:rPr>
              <w:t>przewidywane przez Chiny przedefiniowanie porządku światowego</w:t>
            </w:r>
            <w:r w:rsidRPr="00271CCD">
              <w:rPr>
                <w:color w:val="000000" w:themeColor="text1"/>
              </w:rPr>
              <w:t xml:space="preserve">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  <w:r w:rsidRPr="00271CCD">
              <w:rPr>
                <w:b/>
                <w:i/>
                <w:color w:val="000000" w:themeColor="text1"/>
              </w:rPr>
              <w:t xml:space="preserve"> przypomina o pozycji Chin jako partnera w zakresie współpracy, konkurenta gospodarczego i rywala systemowego, w szczególności w obszarach transformacji cyfrowej i transformacji klimatycznej;</w:t>
            </w:r>
          </w:p>
        </w:tc>
      </w:tr>
    </w:tbl>
    <w:p w14:paraId="3A28155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EC8B6D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741153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776</w:t>
      </w:r>
      <w:r w:rsidRPr="00271CCD">
        <w:rPr>
          <w:rStyle w:val="HideTWBExt"/>
          <w:b w:val="0"/>
        </w:rPr>
        <w:t>&lt;/NumAm&gt;</w:t>
      </w:r>
    </w:p>
    <w:p w14:paraId="46D7B41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5C250A1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401A4A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E162AE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E5DD04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79AFE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FD2630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D6B0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CF96A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7DE3BA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2EA4E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7991E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wzrost znaczenia Chin pozostaje jednym z głównych wyzwań geopolitycznych XXI wieku i wymaga wielopoziomowej reakcji, w ramach której UE kontynuuje współpracę z Chinami w pewnych kluczowych obszarach; </w:t>
            </w:r>
            <w:r w:rsidRPr="00271CCD">
              <w:rPr>
                <w:b/>
                <w:i/>
                <w:color w:val="000000" w:themeColor="text1"/>
              </w:rPr>
              <w:t xml:space="preserve">bez uszczerbku dla dążenia do zadeklarowanego celu UE, jakim jest zmniejszenie ryzyka w handlu niektórymi materiałami wrażliwymi, a także propagowanie dywersyfikacji przywozu, </w:t>
            </w:r>
            <w:r w:rsidRPr="00271CCD">
              <w:rPr>
                <w:color w:val="000000" w:themeColor="text1"/>
              </w:rPr>
              <w:t>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</w:tr>
    </w:tbl>
    <w:p w14:paraId="13A36A7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7F38D15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CA7578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777</w:t>
      </w:r>
      <w:r w:rsidRPr="00271CCD">
        <w:rPr>
          <w:rStyle w:val="HideTWBExt"/>
          <w:b w:val="0"/>
        </w:rPr>
        <w:t>&lt;/NumAm&gt;</w:t>
      </w:r>
    </w:p>
    <w:p w14:paraId="5AD55F0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46ABAE5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34B2F4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662303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8F1C12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1150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D20EB9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8CEEB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AF60C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A8A22E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FAE14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A0BD4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wzrost znaczenia Chin pozostaje jednym z głównych wyzwań geopolitycznych XXI wieku i wymaga wielopoziomowej reakcji, w ramach której UE kontynuuje współpracę z Chinami w pewnych kluczowych obszarach; </w:t>
            </w:r>
            <w:r w:rsidRPr="00271CCD">
              <w:rPr>
                <w:b/>
                <w:i/>
                <w:color w:val="000000" w:themeColor="text1"/>
              </w:rPr>
              <w:t xml:space="preserve">wzywa UE do przyjęcia wyważonego podejścia do Chin, z podkreśleniem znaczenia współpracy z Chinami jako kluczowym globalnym podmiotem, jednocześnie chroniąc europejskie wartości i stabilność gospodarczą; </w:t>
            </w:r>
            <w:r w:rsidRPr="00271CCD">
              <w:rPr>
                <w:color w:val="000000" w:themeColor="text1"/>
              </w:rPr>
              <w:t>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</w:tr>
    </w:tbl>
    <w:p w14:paraId="00692CF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DEFCD8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E9D4A5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778</w:t>
      </w:r>
      <w:r w:rsidRPr="00271CCD">
        <w:rPr>
          <w:rStyle w:val="HideTWBExt"/>
          <w:b w:val="0"/>
        </w:rPr>
        <w:t>&lt;/NumAm&gt;</w:t>
      </w:r>
    </w:p>
    <w:p w14:paraId="1339DEB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2E212C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9B5228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4FABB2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AF18B0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EAE21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8E4A31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6EE46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3E30D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C614EF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50796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wzrost znaczenia Chin pozostaje jednym z głównych wyzwań geopolitycznych XXI wieku i wymaga </w:t>
            </w:r>
            <w:r w:rsidRPr="00271CCD">
              <w:rPr>
                <w:b/>
                <w:i/>
                <w:color w:val="000000" w:themeColor="text1"/>
              </w:rPr>
              <w:t>wielopoziomowej reakcji, w ramach której</w:t>
            </w:r>
            <w:r w:rsidRPr="00271CCD">
              <w:rPr>
                <w:color w:val="000000" w:themeColor="text1"/>
              </w:rPr>
              <w:t xml:space="preserve"> UE </w:t>
            </w:r>
            <w:r w:rsidRPr="00271CCD">
              <w:rPr>
                <w:b/>
                <w:i/>
                <w:color w:val="000000" w:themeColor="text1"/>
              </w:rPr>
              <w:t>kontynuuje współpracę z Chinami w pewnych kluczowych obszarach</w:t>
            </w:r>
            <w:r w:rsidRPr="00271CCD">
              <w:rPr>
                <w:color w:val="000000" w:themeColor="text1"/>
              </w:rPr>
              <w:t>; wzywa wiceprzewodniczącego / wysokiego przedstawiciela i państwa członkowskie do utrzymania współpracy dyplomatycznej przy jednoczesnym zwiększeniu asertywności UE wobec Chin</w:t>
            </w:r>
            <w:r w:rsidRPr="00271CCD">
              <w:rPr>
                <w:b/>
                <w:i/>
                <w:color w:val="000000" w:themeColor="text1"/>
              </w:rPr>
              <w:t>, aby Chiny wzięły na siebie odpowiedzialność jako stały członek Rady Bezpieczeństwa ONZ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4F118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wzrost znaczenia Chin pozostaje jednym z głównych wyzwań geopolitycznych XXI wieku i wymaga </w:t>
            </w:r>
            <w:r w:rsidRPr="00271CCD">
              <w:rPr>
                <w:b/>
                <w:i/>
                <w:color w:val="000000" w:themeColor="text1"/>
              </w:rPr>
              <w:t>od państw członkowskich</w:t>
            </w:r>
            <w:r w:rsidRPr="00271CCD">
              <w:rPr>
                <w:color w:val="000000" w:themeColor="text1"/>
              </w:rPr>
              <w:t xml:space="preserve"> UE </w:t>
            </w:r>
            <w:r w:rsidRPr="00271CCD">
              <w:rPr>
                <w:b/>
                <w:i/>
                <w:color w:val="000000" w:themeColor="text1"/>
              </w:rPr>
              <w:t>pokazania zjednoczonego frontu wobec tego kraju; dostrzega cel Chin, jakim jest odgrywanie roli wiodącej światowej siły do 2049 r., wyrażony przez prezydenta Xi Jinpinga w swoim sprawozdaniu z 2017 r. na 19. zjeździe Komunistycznej Partii Chin (KPC), co stwarza istotne zagrożenia polityczne, gospodarcze, w zakresie bezpieczeństwa i technologiczne dla UE, a także zagrożenie dla zachodnich wartości demokratycznych na świecie</w:t>
            </w:r>
            <w:r w:rsidRPr="00271CCD">
              <w:rPr>
                <w:color w:val="000000" w:themeColor="text1"/>
              </w:rPr>
              <w:t>; wzywa wiceprzewodniczącego / wysokiego przedstawiciela i państwa członkowskie do utrzymania współpracy dyplomatycznej przy jednoczesnym zwiększeniu asertywności UE wobec Chin;</w:t>
            </w:r>
          </w:p>
        </w:tc>
      </w:tr>
    </w:tbl>
    <w:p w14:paraId="6C1E9C5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D617EC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E01B70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779</w:t>
      </w:r>
      <w:r w:rsidRPr="00271CCD">
        <w:rPr>
          <w:rStyle w:val="HideTWBExt"/>
          <w:b w:val="0"/>
        </w:rPr>
        <w:t>&lt;/NumAm&gt;</w:t>
      </w:r>
    </w:p>
    <w:p w14:paraId="72D6BD9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Eszter Lakos</w:t>
      </w:r>
      <w:r w:rsidRPr="00271CCD">
        <w:rPr>
          <w:rStyle w:val="HideTWBExt"/>
          <w:b w:val="0"/>
        </w:rPr>
        <w:t>&lt;/Members&gt;</w:t>
      </w:r>
    </w:p>
    <w:p w14:paraId="333418F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0AF27D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A97D74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3AF82F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2A313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B47F3A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412D1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6C2EB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2736CC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5BF03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C3D9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  <w:r w:rsidRPr="00271CCD">
              <w:rPr>
                <w:b/>
                <w:i/>
                <w:color w:val="000000" w:themeColor="text1"/>
              </w:rPr>
              <w:t xml:space="preserve"> wyraża zaniepokojenie coraz większym przeniknięciem chińskich przedsiębiorstw do gospodarki w UE, w tym w sektorach strategicznych takich jak między innymi produkcja akumulatorów;</w:t>
            </w:r>
          </w:p>
        </w:tc>
      </w:tr>
    </w:tbl>
    <w:p w14:paraId="7120B44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EB10B8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4372C2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780</w:t>
      </w:r>
      <w:r w:rsidRPr="00271CCD">
        <w:rPr>
          <w:rStyle w:val="HideTWBExt"/>
          <w:b w:val="0"/>
        </w:rPr>
        <w:t>&lt;/NumAm&gt;</w:t>
      </w:r>
    </w:p>
    <w:p w14:paraId="23A5B5A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2736873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1EDD74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C69265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9A7ED0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EFFC1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F92F59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3E0A2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757E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80EC5A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E41A5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</w:t>
            </w:r>
            <w:r w:rsidRPr="00271CCD">
              <w:rPr>
                <w:b/>
                <w:i/>
                <w:color w:val="000000" w:themeColor="text1"/>
              </w:rPr>
              <w:t>wzrost</w:t>
            </w:r>
            <w:r w:rsidRPr="00271CCD">
              <w:rPr>
                <w:color w:val="000000" w:themeColor="text1"/>
              </w:rPr>
              <w:t xml:space="preserve"> znaczenia Chin </w:t>
            </w:r>
            <w:r w:rsidRPr="00271CCD">
              <w:rPr>
                <w:b/>
                <w:i/>
                <w:color w:val="000000" w:themeColor="text1"/>
              </w:rPr>
              <w:t>pozostaje jednym z głównych wyzwań geopolitycznych XXI wieku i wymaga</w:t>
            </w:r>
            <w:r w:rsidRPr="00271CCD">
              <w:rPr>
                <w:color w:val="000000" w:themeColor="text1"/>
              </w:rPr>
              <w:t xml:space="preserve">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</w:t>
            </w:r>
            <w:r w:rsidRPr="00271CCD">
              <w:rPr>
                <w:b/>
                <w:i/>
                <w:color w:val="000000" w:themeColor="text1"/>
              </w:rPr>
              <w:t>, aby Chiny wzięły na siebie odpowiedzialność jako stały członek Rady Bezpieczeństwa ONZ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4355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</w:t>
            </w:r>
            <w:r w:rsidRPr="00271CCD">
              <w:rPr>
                <w:b/>
                <w:i/>
                <w:color w:val="000000" w:themeColor="text1"/>
              </w:rPr>
              <w:t>wyzwania wynikające ze wzrostu</w:t>
            </w:r>
            <w:r w:rsidRPr="00271CCD">
              <w:rPr>
                <w:color w:val="000000" w:themeColor="text1"/>
              </w:rPr>
              <w:t xml:space="preserve"> znaczenia Chin </w:t>
            </w:r>
            <w:r w:rsidRPr="00271CCD">
              <w:rPr>
                <w:b/>
                <w:i/>
                <w:color w:val="000000" w:themeColor="text1"/>
              </w:rPr>
              <w:t>jako podmiotu globalnego wymagają</w:t>
            </w:r>
            <w:r w:rsidRPr="00271CCD">
              <w:rPr>
                <w:color w:val="000000" w:themeColor="text1"/>
              </w:rPr>
              <w:t xml:space="preserve"> wielopoziomowej reakcji, w ramach której UE kontynuuje współpracę z Chinami w pewnych kluczowych obszarach; wzywa wiceprzewodniczącego / wysokiego przedstawiciela i państwa członkowskie do utrzymania współpracy dyplomatycznej </w:t>
            </w:r>
            <w:r w:rsidRPr="00271CCD">
              <w:rPr>
                <w:b/>
                <w:i/>
                <w:color w:val="000000" w:themeColor="text1"/>
              </w:rPr>
              <w:t xml:space="preserve">z Chinami jako stałym członkiem Rady Bezpieczeństwa ONZ </w:t>
            </w:r>
            <w:r w:rsidRPr="00271CCD">
              <w:rPr>
                <w:color w:val="000000" w:themeColor="text1"/>
              </w:rPr>
              <w:t>przy jednoczesnym zwiększeniu asertywności UE wobec Chin</w:t>
            </w:r>
            <w:r w:rsidRPr="00271CCD">
              <w:rPr>
                <w:b/>
                <w:i/>
                <w:color w:val="000000" w:themeColor="text1"/>
              </w:rPr>
              <w:t xml:space="preserve"> za pomocą przekształconej strategii, która uwzględnia w szczególności coraz bardziej represyjną politykę wewnętrzną, asertywną politykę zagraniczną, a także wymuszenia ekonomiczne jako środki osiągnięcia swoich celów przez Chiny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39C1BEA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8BD14B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2EF95C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781</w:t>
      </w:r>
      <w:r w:rsidRPr="00271CCD">
        <w:rPr>
          <w:rStyle w:val="HideTWBExt"/>
          <w:b w:val="0"/>
        </w:rPr>
        <w:t>&lt;/NumAm&gt;</w:t>
      </w:r>
    </w:p>
    <w:p w14:paraId="4C51CF0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Mariusz Kamiński, Michał Dworczyk</w:t>
      </w:r>
      <w:r w:rsidRPr="00271CCD">
        <w:rPr>
          <w:rStyle w:val="HideTWBExt"/>
          <w:b w:val="0"/>
        </w:rPr>
        <w:t>&lt;/Members&gt;</w:t>
      </w:r>
    </w:p>
    <w:p w14:paraId="797F3FC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{ECR}</w:t>
      </w:r>
      <w:r w:rsidRPr="00271CCD">
        <w:rPr>
          <w:color w:val="000000" w:themeColor="text1"/>
        </w:rPr>
        <w:t>w imieniu grupy ECR</w:t>
      </w:r>
      <w:r w:rsidRPr="00271CCD">
        <w:rPr>
          <w:rStyle w:val="HideTWBExt"/>
        </w:rPr>
        <w:t>&lt;/AuNomDe&gt;</w:t>
      </w:r>
    </w:p>
    <w:p w14:paraId="21BF0DD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982A27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3A03D6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CC514D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6131E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672267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BD110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426D9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7BDCC1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ABEC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</w:t>
            </w:r>
            <w:r w:rsidRPr="00271CCD">
              <w:rPr>
                <w:b/>
                <w:i/>
                <w:color w:val="000000" w:themeColor="text1"/>
              </w:rPr>
              <w:t>wzrost znaczenia</w:t>
            </w:r>
            <w:r w:rsidRPr="00271CCD">
              <w:rPr>
                <w:color w:val="000000" w:themeColor="text1"/>
              </w:rPr>
              <w:t xml:space="preserve"> Chin </w:t>
            </w:r>
            <w:r w:rsidRPr="00271CCD">
              <w:rPr>
                <w:b/>
                <w:i/>
                <w:color w:val="000000" w:themeColor="text1"/>
              </w:rPr>
              <w:t>pozostaje</w:t>
            </w:r>
            <w:r w:rsidRPr="00271CCD">
              <w:rPr>
                <w:color w:val="000000" w:themeColor="text1"/>
              </w:rPr>
              <w:t xml:space="preserve"> jednym z głównych wyzwań geopolitycznych XXI wieku i </w:t>
            </w:r>
            <w:r w:rsidRPr="00271CCD">
              <w:rPr>
                <w:b/>
                <w:i/>
                <w:color w:val="000000" w:themeColor="text1"/>
              </w:rPr>
              <w:t>wymaga</w:t>
            </w:r>
            <w:r w:rsidRPr="00271CCD">
              <w:rPr>
                <w:color w:val="000000" w:themeColor="text1"/>
              </w:rPr>
              <w:t xml:space="preserve">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5DBC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</w:t>
            </w:r>
            <w:r w:rsidRPr="00271CCD">
              <w:rPr>
                <w:b/>
                <w:i/>
                <w:color w:val="000000" w:themeColor="text1"/>
              </w:rPr>
              <w:t>nowe strategie polityczne</w:t>
            </w:r>
            <w:r w:rsidRPr="00271CCD">
              <w:rPr>
                <w:color w:val="000000" w:themeColor="text1"/>
              </w:rPr>
              <w:t xml:space="preserve"> Chin </w:t>
            </w:r>
            <w:r w:rsidRPr="00271CCD">
              <w:rPr>
                <w:b/>
                <w:i/>
                <w:color w:val="000000" w:themeColor="text1"/>
              </w:rPr>
              <w:t>pod przywództwem Xi Jinpinga, w szczególności asertywna polityka zagraniczna, partnerstwo „bez ograniczeń” z Rosją i strategia zintegrowania gospodarki cywilnej i obronnej, pozostają</w:t>
            </w:r>
            <w:r w:rsidRPr="00271CCD">
              <w:rPr>
                <w:color w:val="000000" w:themeColor="text1"/>
              </w:rPr>
              <w:t xml:space="preserve"> jednym z głównych wyzwań geopolitycznych XXI wieku i </w:t>
            </w:r>
            <w:r w:rsidRPr="00271CCD">
              <w:rPr>
                <w:b/>
                <w:i/>
                <w:color w:val="000000" w:themeColor="text1"/>
              </w:rPr>
              <w:t>wymagają</w:t>
            </w:r>
            <w:r w:rsidRPr="00271CCD">
              <w:rPr>
                <w:color w:val="000000" w:themeColor="text1"/>
              </w:rPr>
              <w:t xml:space="preserve">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</w:tr>
    </w:tbl>
    <w:p w14:paraId="674C7EE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CAE36B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600940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782</w:t>
      </w:r>
      <w:r w:rsidRPr="00271CCD">
        <w:rPr>
          <w:rStyle w:val="HideTWBExt"/>
          <w:b w:val="0"/>
        </w:rPr>
        <w:t>&lt;/NumAm&gt;</w:t>
      </w:r>
    </w:p>
    <w:p w14:paraId="6F3BFAC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Hans Neuhoff</w:t>
      </w:r>
      <w:r w:rsidRPr="00271CCD">
        <w:rPr>
          <w:rStyle w:val="HideTWBExt"/>
          <w:b w:val="0"/>
        </w:rPr>
        <w:t>&lt;/Members&gt;</w:t>
      </w:r>
    </w:p>
    <w:p w14:paraId="6B1098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6B7829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919290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F88B26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47D37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F2CF3D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3022E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B7044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C951E8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9327D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</w:t>
            </w:r>
            <w:r w:rsidRPr="00271CCD">
              <w:rPr>
                <w:b/>
                <w:i/>
                <w:color w:val="000000" w:themeColor="text1"/>
              </w:rPr>
              <w:t>, aby Chiny wzięły na siebie odpowiedzialność jako stały członek Rady Bezpieczeństwa ONZ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6D424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Chin;</w:t>
            </w:r>
          </w:p>
        </w:tc>
      </w:tr>
    </w:tbl>
    <w:p w14:paraId="4FBFD38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{DE}</w:t>
      </w:r>
      <w:r w:rsidRPr="00271CCD">
        <w:rPr>
          <w:color w:val="000000" w:themeColor="text1"/>
        </w:rPr>
        <w:t>de</w:t>
      </w:r>
      <w:r w:rsidRPr="00271CCD">
        <w:rPr>
          <w:rStyle w:val="HideTWBExt"/>
        </w:rPr>
        <w:t>&lt;/Original&gt;</w:t>
      </w:r>
    </w:p>
    <w:p w14:paraId="0D223F9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ED3484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783</w:t>
      </w:r>
      <w:r w:rsidRPr="00271CCD">
        <w:rPr>
          <w:rStyle w:val="HideTWBExt"/>
          <w:b w:val="0"/>
        </w:rPr>
        <w:t>&lt;/NumAm&gt;</w:t>
      </w:r>
    </w:p>
    <w:p w14:paraId="7A88C0F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Alberico Gambino, Carlo Fidanza, Adam Bielan</w:t>
      </w:r>
      <w:r w:rsidRPr="00271CCD">
        <w:rPr>
          <w:rStyle w:val="HideTWBExt"/>
          <w:b w:val="0"/>
        </w:rPr>
        <w:t>&lt;/Members&gt;</w:t>
      </w:r>
    </w:p>
    <w:p w14:paraId="6B603A5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5AA2D3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C9641B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8FC62E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64116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CFC469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6BF50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A368E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9F36CC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2C5B6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BA7A5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jest zaniepokojony ryzykiem wynikającym z tego nowego etapu stosunków chińsko-rosyjskich oraz </w:t>
            </w:r>
            <w:r w:rsidRPr="00271CCD">
              <w:rPr>
                <w:color w:val="000000" w:themeColor="text1"/>
              </w:rPr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</w:tr>
    </w:tbl>
    <w:p w14:paraId="7AA1426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77DF63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5C21D8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784</w:t>
      </w:r>
      <w:r w:rsidRPr="00271CCD">
        <w:rPr>
          <w:rStyle w:val="HideTWBExt"/>
          <w:b w:val="0"/>
        </w:rPr>
        <w:t>&lt;/NumAm&gt;</w:t>
      </w:r>
    </w:p>
    <w:p w14:paraId="52F2855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Urmas Paet, Hilde Vautmans, Petras Auštrevičius, Lucia Yar, Nathalie Loiseau, Ilhan Kyuchyuk</w:t>
      </w:r>
      <w:r w:rsidRPr="00271CCD">
        <w:rPr>
          <w:rStyle w:val="HideTWBExt"/>
          <w:b w:val="0"/>
        </w:rPr>
        <w:t>&lt;/Members&gt;</w:t>
      </w:r>
    </w:p>
    <w:p w14:paraId="3CF29CF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27CB6A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578E9D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AE0958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B05CA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96BD45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D4D10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3DEE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8E1DE8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BE91F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F32BB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utrzymania współpracy dyplomatycznej przy jednoczesnym zwiększeniu asertywności UE wobec Chin, aby Chiny wzięły na siebie odpowiedzialność jako stały członek Rady Bezpieczeństwa ONZ;</w:t>
            </w:r>
            <w:r w:rsidRPr="00271CCD">
              <w:rPr>
                <w:b/>
                <w:i/>
                <w:color w:val="000000" w:themeColor="text1"/>
              </w:rPr>
              <w:t xml:space="preserve"> podkreśla, że UE musi być bardziej zjednoczona w swoim podejściu do Chin;</w:t>
            </w:r>
          </w:p>
        </w:tc>
      </w:tr>
    </w:tbl>
    <w:p w14:paraId="5C22DE5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0B7E49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1FD80C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785</w:t>
      </w:r>
      <w:r w:rsidRPr="00271CCD">
        <w:rPr>
          <w:rStyle w:val="HideTWBExt"/>
          <w:b w:val="0"/>
        </w:rPr>
        <w:t>&lt;/NumAm&gt;</w:t>
      </w:r>
    </w:p>
    <w:p w14:paraId="6542CDE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</w:t>
      </w:r>
      <w:r w:rsidRPr="00271CCD">
        <w:rPr>
          <w:rStyle w:val="HideTWBExt"/>
          <w:b w:val="0"/>
        </w:rPr>
        <w:t>&lt;/Members&gt;</w:t>
      </w:r>
    </w:p>
    <w:p w14:paraId="4EE1EEC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C93578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B910E0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B920B7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D45A1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F2D3B5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CF850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FA72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4D0263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4987B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</w:t>
            </w:r>
            <w:r w:rsidRPr="00271CCD">
              <w:rPr>
                <w:b/>
                <w:i/>
                <w:color w:val="000000" w:themeColor="text1"/>
              </w:rPr>
              <w:t>utrzymania</w:t>
            </w:r>
            <w:r w:rsidRPr="00271CCD">
              <w:rPr>
                <w:color w:val="000000" w:themeColor="text1"/>
              </w:rPr>
              <w:t xml:space="preserve"> współpracy dyplomatycznej </w:t>
            </w:r>
            <w:r w:rsidRPr="00271CCD">
              <w:rPr>
                <w:b/>
                <w:i/>
                <w:color w:val="000000" w:themeColor="text1"/>
              </w:rPr>
              <w:t>przy jednoczesnym</w:t>
            </w:r>
            <w:r w:rsidRPr="00271CCD">
              <w:rPr>
                <w:color w:val="000000" w:themeColor="text1"/>
              </w:rPr>
              <w:t xml:space="preserve">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E74F0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uważa, że wzrost znaczenia Chin pozostaje jednym z głównych wyzwań geopolitycznych XXI wieku i wymaga wielopoziomowej reakcji, w ramach której UE kontynuuje współpracę z Chinami w pewnych kluczowych obszarach; wzywa wiceprzewodniczącego / wysokiego przedstawiciela i państwa członkowskie do </w:t>
            </w:r>
            <w:r w:rsidRPr="00271CCD">
              <w:rPr>
                <w:b/>
                <w:i/>
                <w:color w:val="000000" w:themeColor="text1"/>
              </w:rPr>
              <w:t>dokonania przeglądu swojej strategii wobec Chin przy jednoczesnym utrzymaniu</w:t>
            </w:r>
            <w:r w:rsidRPr="00271CCD">
              <w:rPr>
                <w:color w:val="000000" w:themeColor="text1"/>
              </w:rPr>
              <w:t xml:space="preserve"> współpracy dyplomatycznej </w:t>
            </w:r>
            <w:r w:rsidRPr="00271CCD">
              <w:rPr>
                <w:b/>
                <w:i/>
                <w:color w:val="000000" w:themeColor="text1"/>
              </w:rPr>
              <w:t>i</w:t>
            </w:r>
            <w:r w:rsidRPr="00271CCD">
              <w:rPr>
                <w:color w:val="000000" w:themeColor="text1"/>
              </w:rPr>
              <w:t xml:space="preserve"> zwiększeniu asertywności UE wobec Chin, aby Chiny wzięły na siebie odpowiedzialność jako stały członek Rady Bezpieczeństwa ONZ;</w:t>
            </w:r>
          </w:p>
        </w:tc>
      </w:tr>
    </w:tbl>
    <w:p w14:paraId="5058232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048F74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AA3B2D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786</w:t>
      </w:r>
      <w:r w:rsidRPr="00271CCD">
        <w:rPr>
          <w:rStyle w:val="HideTWBExt"/>
          <w:b w:val="0"/>
        </w:rPr>
        <w:t>&lt;/NumAm&gt;</w:t>
      </w:r>
    </w:p>
    <w:p w14:paraId="3510F87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67199C1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C85FF8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BA91B2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B1ED87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83DF6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67F542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627FA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C9103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CC3CB5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CB93D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 xml:space="preserve">uważa, że wzrost znaczenia Chin pozostaje jednym z głównych wyzwań geopolitycznych XXI wieku i wymaga wielopoziomowej reakcji, w ramach której UE kontynuuje współpracę z Chinami w pewnych kluczowych obszarach; wzywa </w:t>
            </w:r>
            <w:r w:rsidRPr="00271CCD">
              <w:rPr>
                <w:b/>
                <w:i/>
                <w:color w:val="000000" w:themeColor="text1"/>
              </w:rPr>
              <w:t xml:space="preserve">wiceprzewodniczącego / wysokiego przedstawiciela i </w:t>
            </w:r>
            <w:r w:rsidRPr="00271CCD">
              <w:rPr>
                <w:color w:val="000000" w:themeColor="text1"/>
              </w:rPr>
              <w:t>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F46B4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29.</w:t>
            </w:r>
            <w:r w:rsidRPr="00271CCD">
              <w:rPr>
                <w:color w:val="000000" w:themeColor="text1"/>
              </w:rPr>
              <w:tab/>
              <w:t>uważa, że wzrost znaczenia Chin pozostaje jednym z głównych wyzwań geopolitycznych XXI wieku i wymaga wielopoziomowej reakcji, w ramach której UE kontynuuje współpracę z Chinami w pewnych kluczowych obszarach; wzywa państwa członkowskie do utrzymania współpracy dyplomatycznej przy jednoczesnym zwiększeniu asertywności UE wobec Chin, aby Chiny wzięły na siebie odpowiedzialność jako stały członek Rady Bezpieczeństwa ONZ;</w:t>
            </w:r>
          </w:p>
        </w:tc>
      </w:tr>
    </w:tbl>
    <w:p w14:paraId="1E5CDF4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BEED81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CF6E94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787</w:t>
      </w:r>
      <w:r w:rsidRPr="00271CCD">
        <w:rPr>
          <w:rStyle w:val="HideTWBExt"/>
          <w:b w:val="0"/>
        </w:rPr>
        <w:t>&lt;/NumAm&gt;</w:t>
      </w:r>
    </w:p>
    <w:p w14:paraId="6761128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Frías, António Tânger Corrêa</w:t>
      </w:r>
      <w:r w:rsidRPr="00271CCD">
        <w:rPr>
          <w:rStyle w:val="HideTWBExt"/>
          <w:b w:val="0"/>
        </w:rPr>
        <w:t>&lt;/Members&gt;</w:t>
      </w:r>
    </w:p>
    <w:p w14:paraId="1211946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777CDF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A25A20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5F7D76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C58E7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0FD811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F78A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93E67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35DB4C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4EB7C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ED5EE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29a.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potępia systemowe naruszenia praw człowieka w Chinach, w szczególności wobec mniejszości takich jak chrześcijanie, wyznawcy Falun Gong, Ujgurzy i Tybetańczycy; potępia ograniczanie przez Pekin autonomii politycznej Hongkongu i naruszanie zasady „jeden kraj, dwa systemy”; potępia represjonowanie chińskich obywateli mieszkających za granicą; wzywa państwa członkowskie do zlikwidowania wszystkich nielegalnych posterunków policji, które, jak wiadomo, Chiny potajemnie utrzymują na unijnej ziemi; odnotowuje w tym względzie zatrważający przypadek Hiszpanii, gdzie rzekomo znajduje się nawet dziewięć takich nieformalnych posterunków policji nielegalnie prowadzących działania na jej terytorium;</w:t>
            </w:r>
          </w:p>
        </w:tc>
      </w:tr>
    </w:tbl>
    <w:p w14:paraId="7CEE1F3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630A61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DD31DE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788</w:t>
      </w:r>
      <w:r w:rsidRPr="00271CCD">
        <w:rPr>
          <w:rStyle w:val="HideTWBExt"/>
          <w:b w:val="0"/>
        </w:rPr>
        <w:t>&lt;/NumAm&gt;</w:t>
      </w:r>
    </w:p>
    <w:p w14:paraId="072DF60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Adam Bielan</w:t>
      </w:r>
      <w:r w:rsidRPr="00271CCD">
        <w:rPr>
          <w:rStyle w:val="HideTWBExt"/>
          <w:b w:val="0"/>
        </w:rPr>
        <w:t>&lt;/Members&gt;</w:t>
      </w:r>
    </w:p>
    <w:p w14:paraId="0943B08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4D8D47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D5A7D8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037B5A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8F017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0D45C8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41955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0A651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93B8AD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EF4E1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946D8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29a.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podkreśla, że coraz bardziej agresywna postawa ChRL stanowi zagrożenie dla wolności żeglugi i naraża na szwank stabilność, która ma zasadnicze znaczenie dla światowego handlu; podkreśla, że coraz więcej partnerów o zbieżnych poglądach, zaangażowanych na rzecz pokoju i stabilności w regionie, w tym w Cieśninie Tajwańskiej, obserwuje tę sytuację z niepokojem; podkreśla, że wobec prób narzucenia przez ChRL kontroli nad międzynarodowymi wodami i przestrzenią powietrzną trzeba wzmocnić środki odstraszające od destabilizujących zachowań, w tym poprzez regularne operacje mające zapewnić wolność żeglugi;</w:t>
            </w:r>
          </w:p>
        </w:tc>
      </w:tr>
    </w:tbl>
    <w:p w14:paraId="7C4A6B6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E06BCF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C95110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789</w:t>
      </w:r>
      <w:r w:rsidRPr="00271CCD">
        <w:rPr>
          <w:rStyle w:val="HideTWBExt"/>
          <w:b w:val="0"/>
        </w:rPr>
        <w:t>&lt;/NumAm&gt;</w:t>
      </w:r>
    </w:p>
    <w:p w14:paraId="1DBA097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0509D34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4FA20D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ACB4C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2B753E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51D72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AD9850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1B686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808E2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0B1040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D1D6E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2E48F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29a.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potępia instrumentalizację przez Chiny koncepcji „Jeden pas i jeden szlak” w krajach rozwijających się oraz wykorzystanie zależności gospodarczej od swoich inwestycji i pożyczek jako narzędzia dalszego zwiększania swoich ambicji geopolitycznych;</w:t>
            </w:r>
          </w:p>
        </w:tc>
      </w:tr>
    </w:tbl>
    <w:p w14:paraId="71F4E03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A4A0C4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1038B4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790</w:t>
      </w:r>
      <w:r w:rsidRPr="00271CCD">
        <w:rPr>
          <w:rStyle w:val="HideTWBExt"/>
          <w:b w:val="0"/>
        </w:rPr>
        <w:t>&lt;/NumAm&gt;</w:t>
      </w:r>
    </w:p>
    <w:p w14:paraId="2002D7E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282223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0C7D3A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D0F376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29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606BED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CD822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5995D5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D3886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23E87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59EA8C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9DC8A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27EC3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29b.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zauważa, że chińskie przedsiębiorstwa podlegają chińskiej ustawie o cyberbezpieczeństwie, co sprawia, że są faktycznie agentami komunistycznego reżimu; przypomina w tym względzie, że udowodniono, iż giganci technologiczni chińskiego pochodzenia, w szczególności przedsiębiorstwo międzynarodowe Huawei, spiskowali w celu obejścia międzynarodowego embargo na Iran i przekazania zakazanej technologii komunikacyjnej jego rządowi; wzywa państwa członkowskie, by zakazały swoim operatorom używania urządzeń i części od tych przedsiębiorstw; zauważa, że niektóre państwa członkowskie są szczególnie narażone na chińskie wrogie wpływy; przypomina w tym względzie o zatrważającym przypadku Hiszpanii, której organy krajowe w dalszym ciągu wspierały technologię 5G Huawei i przyznawały temu przedsiębiorstwu uprzywilejowany dostęp do swojej bazowej sieci komunikacyjnej, mimo że rządy sojuszników UE takich jak Stany Zjednoczone i Zjednoczone Królestwo umieściły Huawei i inne chińskie technologiczne przedsiębiorstwa międzynarodowe w swoim wykazie podmiotów objętych ograniczeniami;</w:t>
            </w:r>
          </w:p>
        </w:tc>
      </w:tr>
    </w:tbl>
    <w:p w14:paraId="02BD416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183740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399FB9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791</w:t>
      </w:r>
      <w:r w:rsidRPr="00271CCD">
        <w:rPr>
          <w:rStyle w:val="HideTWBExt"/>
          <w:b w:val="0"/>
        </w:rPr>
        <w:t>&lt;/NumAm&gt;</w:t>
      </w:r>
    </w:p>
    <w:p w14:paraId="65564CF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3AD3698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B84836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5B145E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DB043E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D3A00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9F910B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2ACB4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C4C65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9EF996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3A0B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394A9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07DC41A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7CFA9F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E50702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792</w:t>
      </w:r>
      <w:r w:rsidRPr="00271CCD">
        <w:rPr>
          <w:rStyle w:val="HideTWBExt"/>
          <w:b w:val="0"/>
        </w:rPr>
        <w:t>&lt;/NumAm&gt;</w:t>
      </w:r>
    </w:p>
    <w:p w14:paraId="5EEC0C1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Gahler, Andrey Kovatchev</w:t>
      </w:r>
      <w:r w:rsidRPr="00271CCD">
        <w:rPr>
          <w:rStyle w:val="HideTWBExt"/>
          <w:b w:val="0"/>
        </w:rPr>
        <w:t>&lt;/Members&gt;</w:t>
      </w:r>
    </w:p>
    <w:p w14:paraId="2098D2D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1DCEE4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3ACE1E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3606E7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63D7F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334C0C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7B191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7D2D0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FB891D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D37ED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B59F9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</w:t>
            </w:r>
            <w:r w:rsidRPr="00271CCD">
              <w:rPr>
                <w:b/>
                <w:i/>
                <w:color w:val="000000" w:themeColor="text1"/>
              </w:rPr>
              <w:t>; zachęca do dalszych wymian między UE a Tajwanem na wszystkich poziomach interakcji, w tym w ramach regularnych dialogów, oraz podkreśla, że wszelkie podejmowane przez reżimy autorytarne próby ograniczenia niestwarzającego zagrożenia rozwoju stosunków UE–Tajwan są niemożliwe do zaakceptowania</w:t>
            </w:r>
            <w:r w:rsidRPr="00271CCD">
              <w:rPr>
                <w:color w:val="000000" w:themeColor="text1"/>
              </w:rPr>
              <w:t>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</w:t>
            </w:r>
            <w:r w:rsidRPr="00271CCD">
              <w:rPr>
                <w:b/>
                <w:i/>
                <w:color w:val="000000" w:themeColor="text1"/>
              </w:rPr>
              <w:t xml:space="preserve"> oraz że tylko demokratycznie wybrany rząd Tajwanu może reprezentować Tajwańczyków</w:t>
            </w:r>
            <w:r w:rsidRPr="00271CCD">
              <w:rPr>
                <w:color w:val="000000" w:themeColor="text1"/>
              </w:rPr>
              <w:t xml:space="preserve">; potępia ponadto blokowanie przez Chiny </w:t>
            </w:r>
            <w:r w:rsidRPr="00271CCD">
              <w:rPr>
                <w:b/>
                <w:i/>
                <w:color w:val="000000" w:themeColor="text1"/>
              </w:rPr>
              <w:t xml:space="preserve">znaczącego </w:t>
            </w:r>
            <w:r w:rsidRPr="00271CCD">
              <w:rPr>
                <w:color w:val="000000" w:themeColor="text1"/>
              </w:rPr>
              <w:t>udziału Tajwanu w organizacjach wielostronnych</w:t>
            </w:r>
            <w:r w:rsidRPr="00271CCD">
              <w:rPr>
                <w:b/>
                <w:i/>
                <w:color w:val="000000" w:themeColor="text1"/>
              </w:rPr>
              <w:t xml:space="preserve"> przez ciągłe błędne interpretowanie rezolucji nr 2758 Zgromadzenia Ogólnego Narodów Zjednoczonych</w:t>
            </w:r>
            <w:r w:rsidRPr="00271CCD">
              <w:rPr>
                <w:color w:val="000000" w:themeColor="text1"/>
              </w:rPr>
              <w:t>; wzywa Komisję i państwa członkowskie do wspierania znaczącego udziału Tajwanu w pracach odpowiednich organizacji międzynarodowych;</w:t>
            </w:r>
            <w:r w:rsidRPr="00271CCD">
              <w:rPr>
                <w:b/>
                <w:i/>
                <w:color w:val="000000" w:themeColor="text1"/>
              </w:rPr>
              <w:t xml:space="preserve"> wzywa Komisję do wzmocnienia współpracy w celu dalszego zintensyfikowania powiązań gospodarczych, handlowych i inwestycyjnych z Tajwanem, a ponadto do niezwłocznego podjęcia działań przygotowawczych z myślą o negocjacjach w sprawie umowy o partnerstwie gospodarczym jako ram ustanowienia współpracy w obszarach o znaczeniu priorytetowym i leżących we wzajemnym interesie;</w:t>
            </w:r>
          </w:p>
        </w:tc>
      </w:tr>
    </w:tbl>
    <w:p w14:paraId="46BFB64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3BFAA9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39C4B0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793</w:t>
      </w:r>
      <w:r w:rsidRPr="00271CCD">
        <w:rPr>
          <w:rStyle w:val="HideTWBExt"/>
          <w:b w:val="0"/>
        </w:rPr>
        <w:t>&lt;/NumAm&gt;</w:t>
      </w:r>
    </w:p>
    <w:p w14:paraId="1DF6BD8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1DD1E58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85EF4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DD14D7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B934C6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963C4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424B32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6F8B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E1451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2D3762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F9248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 xml:space="preserve"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</w:t>
            </w:r>
            <w:r w:rsidRPr="00271CCD">
              <w:rPr>
                <w:b/>
                <w:i/>
                <w:color w:val="000000" w:themeColor="text1"/>
              </w:rPr>
              <w:t xml:space="preserve">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</w:t>
            </w:r>
            <w:r w:rsidRPr="00271CCD">
              <w:rPr>
                <w:color w:val="000000" w:themeColor="text1"/>
              </w:rPr>
              <w:t>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FA13B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Komisję i państwa członkowskie do wspierania znaczącego udziału Tajwanu w pracach odpowiednich organizacji międzynarodowych</w:t>
            </w:r>
            <w:r w:rsidRPr="00271CCD">
              <w:rPr>
                <w:b/>
                <w:i/>
                <w:color w:val="000000" w:themeColor="text1"/>
              </w:rPr>
              <w:t>, ponownie podkreślając zaangażowanie UE w politykę „jednych Chin” stanowiącą polityczną podstawę stosunków UE–Chiny;</w:t>
            </w:r>
          </w:p>
        </w:tc>
      </w:tr>
    </w:tbl>
    <w:p w14:paraId="056876C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3A0B9F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2C8806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794</w:t>
      </w:r>
      <w:r w:rsidRPr="00271CCD">
        <w:rPr>
          <w:rStyle w:val="HideTWBExt"/>
          <w:b w:val="0"/>
        </w:rPr>
        <w:t>&lt;/NumAm&gt;</w:t>
      </w:r>
    </w:p>
    <w:p w14:paraId="10F3AB1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Emmanouil Kefalogiannis</w:t>
      </w:r>
      <w:r w:rsidRPr="00271CCD">
        <w:rPr>
          <w:rStyle w:val="HideTWBExt"/>
          <w:b w:val="0"/>
        </w:rPr>
        <w:t>&lt;/Members&gt;</w:t>
      </w:r>
    </w:p>
    <w:p w14:paraId="6EF78BD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9BD767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475F99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A2F912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F5BBB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0CF6EC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17DE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A8123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2BC1A9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DA3F0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</w:t>
            </w:r>
            <w:r w:rsidRPr="00271CCD">
              <w:rPr>
                <w:b/>
                <w:i/>
                <w:color w:val="000000" w:themeColor="text1"/>
              </w:rPr>
              <w:t xml:space="preserve">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0F53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</w:t>
            </w:r>
          </w:p>
        </w:tc>
      </w:tr>
    </w:tbl>
    <w:p w14:paraId="5555FED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F1F012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F4F8F6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795</w:t>
      </w:r>
      <w:r w:rsidRPr="00271CCD">
        <w:rPr>
          <w:rStyle w:val="HideTWBExt"/>
          <w:b w:val="0"/>
        </w:rPr>
        <w:t>&lt;/NumAm&gt;</w:t>
      </w:r>
    </w:p>
    <w:p w14:paraId="5A3C3E1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Adam Bielan</w:t>
      </w:r>
      <w:r w:rsidRPr="00271CCD">
        <w:rPr>
          <w:rStyle w:val="HideTWBExt"/>
          <w:b w:val="0"/>
        </w:rPr>
        <w:t>&lt;/Members&gt;</w:t>
      </w:r>
    </w:p>
    <w:p w14:paraId="5427386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FAB696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DF8B2F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2D66AC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F7BB3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EB5C61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CB0B8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59BC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1E5E3B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7CF49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BFF9F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  <w:r w:rsidRPr="00271CCD">
              <w:rPr>
                <w:b/>
                <w:i/>
                <w:color w:val="000000" w:themeColor="text1"/>
              </w:rPr>
              <w:t xml:space="preserve"> ponawia wcześniejszy apel do Komisji, aby w ramach przygotowań do negocjacji o pogłębieniu dwustronnych powiązań gospodarczych niezwłocznie rozpoczęła ocenę skutków i konsultacje publiczne dotyczące dwustronnej umowy inwestycyjnej, a także określiła z władzami tajwańskimi jej zakres;</w:t>
            </w:r>
          </w:p>
        </w:tc>
      </w:tr>
    </w:tbl>
    <w:p w14:paraId="5B5D623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88D61B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30E1DD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796</w:t>
      </w:r>
      <w:r w:rsidRPr="00271CCD">
        <w:rPr>
          <w:rStyle w:val="HideTWBExt"/>
          <w:b w:val="0"/>
        </w:rPr>
        <w:t>&lt;/NumAm&gt;</w:t>
      </w:r>
    </w:p>
    <w:p w14:paraId="6F9B411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Vangelis Meimarakis</w:t>
      </w:r>
      <w:r w:rsidRPr="00271CCD">
        <w:rPr>
          <w:rStyle w:val="HideTWBExt"/>
          <w:b w:val="0"/>
        </w:rPr>
        <w:t>&lt;/Members&gt;</w:t>
      </w:r>
    </w:p>
    <w:p w14:paraId="321D82A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129EC0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0518F1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509126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EAE2B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5C1DF2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14A80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7FED5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C76892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9BABD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</w:t>
            </w:r>
            <w:r w:rsidRPr="00271CCD">
              <w:rPr>
                <w:b/>
                <w:i/>
                <w:color w:val="000000" w:themeColor="text1"/>
              </w:rPr>
              <w:t xml:space="preserve">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1B757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 </w:t>
            </w:r>
          </w:p>
        </w:tc>
      </w:tr>
    </w:tbl>
    <w:p w14:paraId="2A78BA7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495650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5E7B91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797</w:t>
      </w:r>
      <w:r w:rsidRPr="00271CCD">
        <w:rPr>
          <w:rStyle w:val="HideTWBExt"/>
          <w:b w:val="0"/>
        </w:rPr>
        <w:t>&lt;/NumAm&gt;</w:t>
      </w:r>
    </w:p>
    <w:p w14:paraId="25B367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Roberto Vannacci</w:t>
      </w:r>
      <w:r w:rsidRPr="00271CCD">
        <w:rPr>
          <w:rStyle w:val="HideTWBExt"/>
          <w:b w:val="0"/>
        </w:rPr>
        <w:t>&lt;/Members&gt;</w:t>
      </w:r>
    </w:p>
    <w:p w14:paraId="6E89939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EF0FAA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DCD967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50AF65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112D7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FEA310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9950F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C3A05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261633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8693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 xml:space="preserve"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99EE8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</w:t>
            </w:r>
          </w:p>
        </w:tc>
      </w:tr>
    </w:tbl>
    <w:p w14:paraId="1D277C9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0EE25C7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AB43FB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798</w:t>
      </w:r>
      <w:r w:rsidRPr="00271CCD">
        <w:rPr>
          <w:rStyle w:val="HideTWBExt"/>
          <w:b w:val="0"/>
        </w:rPr>
        <w:t>&lt;/NumAm&gt;</w:t>
      </w:r>
    </w:p>
    <w:p w14:paraId="0FFDD0B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173C9F8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BC198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CF0FF2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9334AE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7A76F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D4E495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CD8A4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3FE55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317E0F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608FC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 xml:space="preserve"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</w:t>
            </w:r>
            <w:r w:rsidRPr="00271CCD">
              <w:rPr>
                <w:b/>
                <w:i/>
                <w:color w:val="000000" w:themeColor="text1"/>
              </w:rPr>
              <w:t>Komisję</w:t>
            </w:r>
            <w:r w:rsidRPr="00271CCD">
              <w:rPr>
                <w:color w:val="000000" w:themeColor="text1"/>
              </w:rPr>
              <w:t xml:space="preserve">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78CB3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 xml:space="preserve"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</w:t>
            </w:r>
            <w:r w:rsidRPr="00271CCD">
              <w:rPr>
                <w:b/>
                <w:i/>
                <w:color w:val="000000" w:themeColor="text1"/>
              </w:rPr>
              <w:t>UE</w:t>
            </w:r>
            <w:r w:rsidRPr="00271CCD">
              <w:rPr>
                <w:color w:val="000000" w:themeColor="text1"/>
              </w:rPr>
              <w:t xml:space="preserve"> i </w:t>
            </w:r>
            <w:r w:rsidRPr="00271CCD">
              <w:rPr>
                <w:b/>
                <w:i/>
                <w:color w:val="000000" w:themeColor="text1"/>
              </w:rPr>
              <w:t xml:space="preserve">jej </w:t>
            </w:r>
            <w:r w:rsidRPr="00271CCD">
              <w:rPr>
                <w:color w:val="000000" w:themeColor="text1"/>
              </w:rPr>
              <w:t>państwa członkowskie do wspierania znaczącego udziału Tajwanu w pracach odpowiednich organizacji międzynarodowych</w:t>
            </w:r>
            <w:r w:rsidRPr="00271CCD">
              <w:rPr>
                <w:b/>
                <w:i/>
                <w:color w:val="000000" w:themeColor="text1"/>
              </w:rPr>
              <w:t xml:space="preserve"> takich jak WHO, ICAO, Interpol i UNFCCC</w:t>
            </w:r>
            <w:r w:rsidRPr="00271CCD">
              <w:rPr>
                <w:color w:val="000000" w:themeColor="text1"/>
              </w:rPr>
              <w:t>;</w:t>
            </w:r>
            <w:r w:rsidRPr="00271CCD">
              <w:rPr>
                <w:b/>
                <w:i/>
                <w:color w:val="000000" w:themeColor="text1"/>
              </w:rPr>
              <w:t xml:space="preserve"> wzywa ponadto Sekretariat ONZ do przyznania obywatelom i dziennikarzom tajwańskim prawa dostępu do pomieszczeń ONZ w celu odbywania wizyt i spotkań oraz prowadzenia działań informacyjnych;</w:t>
            </w:r>
          </w:p>
        </w:tc>
      </w:tr>
    </w:tbl>
    <w:p w14:paraId="161ED06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72EDE3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D4B235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799</w:t>
      </w:r>
      <w:r w:rsidRPr="00271CCD">
        <w:rPr>
          <w:rStyle w:val="HideTWBExt"/>
          <w:b w:val="0"/>
        </w:rPr>
        <w:t>&lt;/NumAm&gt;</w:t>
      </w:r>
    </w:p>
    <w:p w14:paraId="769758F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Hans Neuhoff</w:t>
      </w:r>
      <w:r w:rsidRPr="00271CCD">
        <w:rPr>
          <w:rStyle w:val="HideTWBExt"/>
          <w:b w:val="0"/>
        </w:rPr>
        <w:t>&lt;/Members&gt;</w:t>
      </w:r>
    </w:p>
    <w:p w14:paraId="273C989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AB63D0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C51336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E0BEAB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2CDC4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E9F7CE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8FED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95886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F63C90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87E32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</w:t>
            </w:r>
            <w:r w:rsidRPr="00271CCD">
              <w:rPr>
                <w:b/>
                <w:i/>
                <w:color w:val="000000" w:themeColor="text1"/>
              </w:rPr>
              <w:t xml:space="preserve"> UE i jej demokratycznym sojusznikiem </w:t>
            </w:r>
            <w:r w:rsidRPr="00271CCD">
              <w:rPr>
                <w:color w:val="000000" w:themeColor="text1"/>
              </w:rPr>
              <w:t>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</w:t>
            </w:r>
            <w:r w:rsidRPr="00271CCD">
              <w:rPr>
                <w:b/>
                <w:i/>
                <w:color w:val="000000" w:themeColor="text1"/>
              </w:rPr>
              <w:t xml:space="preserve"> podkreśla, że roszczenia terytorialne Chin nie mają żadnej podstawy w prawie międzynarodowym; potępia ponadto blokowanie przez Chiny udziału Tajwanu w organizacjach wielostronnych; </w:t>
            </w:r>
            <w:r w:rsidRPr="00271CCD">
              <w:rPr>
                <w:color w:val="000000" w:themeColor="text1"/>
              </w:rPr>
              <w:t>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21B68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wzywa Komisję i państwa członkowskie do wspierania znaczącego udziału Tajwanu w pracach odpowiednich organizacji międzynarodowych;</w:t>
            </w:r>
          </w:p>
        </w:tc>
      </w:tr>
    </w:tbl>
    <w:p w14:paraId="622330A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{DE}</w:t>
      </w:r>
      <w:r w:rsidRPr="00271CCD">
        <w:rPr>
          <w:color w:val="000000" w:themeColor="text1"/>
        </w:rPr>
        <w:t>de</w:t>
      </w:r>
      <w:r w:rsidRPr="00271CCD">
        <w:rPr>
          <w:rStyle w:val="HideTWBExt"/>
        </w:rPr>
        <w:t>&lt;/Original&gt;</w:t>
      </w:r>
    </w:p>
    <w:p w14:paraId="7B0EA2A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93FD5C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800</w:t>
      </w:r>
      <w:r w:rsidRPr="00271CCD">
        <w:rPr>
          <w:rStyle w:val="HideTWBExt"/>
          <w:b w:val="0"/>
        </w:rPr>
        <w:t>&lt;/NumAm&gt;</w:t>
      </w:r>
    </w:p>
    <w:p w14:paraId="60F8FA4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4AA5439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411FBA1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9341A2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EDCB47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110A98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04392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DBF7DD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43F07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6CD1F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E4370D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4B992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3ED37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</w:t>
            </w:r>
            <w:r w:rsidRPr="00271CCD">
              <w:rPr>
                <w:b/>
                <w:i/>
                <w:color w:val="000000" w:themeColor="text1"/>
              </w:rPr>
              <w:t>; podkreśla, że zachowanie pokoju, stabilności i wolności żeglugi w regionie Indo-Pacyfiku w dalszym ciągu ma kluczowe znaczenie dla interesów UE i jej państw członkowskich</w:t>
            </w:r>
            <w:r w:rsidRPr="00271CCD">
              <w:rPr>
                <w:color w:val="000000" w:themeColor="text1"/>
              </w:rPr>
              <w:t>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</w:tr>
    </w:tbl>
    <w:p w14:paraId="5C4BF40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8DE15F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C3BCB2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801</w:t>
      </w:r>
      <w:r w:rsidRPr="00271CCD">
        <w:rPr>
          <w:rStyle w:val="HideTWBExt"/>
          <w:b w:val="0"/>
        </w:rPr>
        <w:t>&lt;/NumAm&gt;</w:t>
      </w:r>
    </w:p>
    <w:p w14:paraId="0CED54F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07E21BC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8500E5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242D4C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0214CD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EABB5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523CAB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E0EA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5E7A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C731E4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25271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59C8A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30.</w:t>
            </w:r>
            <w:r w:rsidRPr="00271CCD">
              <w:rPr>
                <w:color w:val="000000" w:themeColor="text1"/>
              </w:rPr>
              <w:tab/>
              <w:t>powtarza, że Tajwan jest kluczowym partnerem UE i jej demokratycznym sojusznikiem w regionie Indo-Pacyfiku; uznaje znaczenie Tajwanu dla zabezpieczania globalnych łańcuchów dostaw, zwłaszcza w sektorze zaawansowanych technologii, oraz wzywa UE i jej państwa członkowskie do ściślejszej współpracy z Tajwanem; wzywa UE i jej państwa członkowskie, by dały jasno do zrozumienia, że żadne próby jednostronnych zmian status quo w Cieśninie Tajwańskiej, w szczególności przy użyciu siły lub przymusu, nie będą akceptowane i że wszelkie takie próby będą pociągały za sobą wysokie koszty; podkreśla, że roszczenia terytorialne Chin nie mają żadnej podstawy w prawie międzynarodowym</w:t>
            </w:r>
            <w:r w:rsidRPr="00271CCD">
              <w:rPr>
                <w:b/>
                <w:i/>
                <w:color w:val="000000" w:themeColor="text1"/>
              </w:rPr>
              <w:t>, w związku z czym potępia Chiny za uporczywe błędne interpretowanie rezolucji ONZ nr 2758</w:t>
            </w:r>
            <w:r w:rsidRPr="00271CCD">
              <w:rPr>
                <w:color w:val="000000" w:themeColor="text1"/>
              </w:rPr>
              <w:t>; potępia ponadto blokowanie przez Chiny udziału Tajwanu w organizacjach wielostronnych; wzywa Komisję i państwa członkowskie do wspierania znaczącego udziału Tajwanu w pracach odpowiednich organizacji międzynarodowych;</w:t>
            </w:r>
          </w:p>
        </w:tc>
      </w:tr>
    </w:tbl>
    <w:p w14:paraId="575CAC4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94A2BF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AFFDA6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802</w:t>
      </w:r>
      <w:r w:rsidRPr="00271CCD">
        <w:rPr>
          <w:rStyle w:val="HideTWBExt"/>
          <w:b w:val="0"/>
        </w:rPr>
        <w:t>&lt;/NumAm&gt;</w:t>
      </w:r>
    </w:p>
    <w:p w14:paraId="346B232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Petras Auštrevičius, Dan Barna, Urmas Paet, Lucia Yar, Marie-Agnes Strack-Zimmermann</w:t>
      </w:r>
      <w:r w:rsidRPr="00271CCD">
        <w:rPr>
          <w:rStyle w:val="HideTWBExt"/>
          <w:b w:val="0"/>
        </w:rPr>
        <w:t>&lt;/Members&gt;</w:t>
      </w:r>
    </w:p>
    <w:p w14:paraId="0D3122D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11202A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AFD4A4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6803A7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17CF8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D9E122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ECBD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EE7F7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4ABC82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2BA5B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81D3E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30a.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wyraża zaniepokojenie rosnącym członkostwem w grupie krajów BRIC, która obecnie obejmuje 45 procent światowej ludności i prezentuje się jako alternatywa dla krajów Ameryki Północnej i Europy; podkreśla, że taka współpraca zapewnia Rosji sposoby obchodzenia sankcji nałożonych w następstwie jej inwazji na Ukrainę oraz umożliwia Chinom dalsze poszerzanie swoich wpływów z zastosowaniem modus operandi obejmującego finansowanie projektów infrastrukturalnych;</w:t>
            </w:r>
          </w:p>
        </w:tc>
      </w:tr>
    </w:tbl>
    <w:p w14:paraId="3D2B05B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68827F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1BDB33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803</w:t>
      </w:r>
      <w:r w:rsidRPr="00271CCD">
        <w:rPr>
          <w:rStyle w:val="HideTWBExt"/>
          <w:b w:val="0"/>
        </w:rPr>
        <w:t>&lt;/NumAm&gt;</w:t>
      </w:r>
    </w:p>
    <w:p w14:paraId="1590483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Adam Bielan</w:t>
      </w:r>
      <w:r w:rsidRPr="00271CCD">
        <w:rPr>
          <w:rStyle w:val="HideTWBExt"/>
          <w:b w:val="0"/>
        </w:rPr>
        <w:t>&lt;/Members&gt;</w:t>
      </w:r>
    </w:p>
    <w:p w14:paraId="5B2FA26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D7702C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9B20AD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AA808B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57D58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F5D905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64335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38EE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BA49CF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76B5A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3273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30a.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utrzymanie pokoju i stabilności w regionie Indo-Pacyfiku leży w podstawowym interesie wolnego świata, w tym UE i jej państw członkowskich; podkreśla, jak ważne jest przestrzeganie prawa międzynarodowego, w szczególności Konwencji Narodów Zjednoczonych o prawie morza wraz z jej postanowieniami dotyczącymi zobowiązania do rozstrzygania sporów środkami pokojowymi, oraz zachowanie wolności żeglugi i przelotu;</w:t>
            </w:r>
          </w:p>
        </w:tc>
      </w:tr>
    </w:tbl>
    <w:p w14:paraId="2526488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8B9680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167CA6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804</w:t>
      </w:r>
      <w:r w:rsidRPr="00271CCD">
        <w:rPr>
          <w:rStyle w:val="HideTWBExt"/>
          <w:b w:val="0"/>
        </w:rPr>
        <w:t>&lt;/NumAm&gt;</w:t>
      </w:r>
    </w:p>
    <w:p w14:paraId="75CC50B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3A4270E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1F111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8496EB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30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683E28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283B9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C014D7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655D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68228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E273B9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059F7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C2FB1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30a.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Komisję do niezwłocznego podjęcia działań przygotowawczych z myślą o negocjacjach w sprawie dwustronnej umowy inwestycyjnej lub innych rodzajów umów z Tajwanem; podkreśla potencjał współpracy w zakresie polityki monitorowania bezpośrednich inwestycji zagranicznych oraz w zakresie zwalczania wymuszeń ekonomicznych i działań odwetowych;</w:t>
            </w:r>
          </w:p>
        </w:tc>
      </w:tr>
    </w:tbl>
    <w:p w14:paraId="22258CA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59103F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40C4E1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805</w:t>
      </w:r>
      <w:r w:rsidRPr="00271CCD">
        <w:rPr>
          <w:rStyle w:val="HideTWBExt"/>
          <w:b w:val="0"/>
        </w:rPr>
        <w:t>&lt;/NumAm&gt;</w:t>
      </w:r>
    </w:p>
    <w:p w14:paraId="671DC03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</w:t>
      </w:r>
      <w:r w:rsidRPr="00271CCD">
        <w:rPr>
          <w:rStyle w:val="HideTWBExt"/>
          <w:b w:val="0"/>
        </w:rPr>
        <w:t>&lt;/Members&gt;</w:t>
      </w:r>
    </w:p>
    <w:p w14:paraId="7B631C3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43DA8C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C814CA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33F3F1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67C6B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9CC6E6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4ECD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DEBB8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9C7DAA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B428C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31.</w:t>
            </w:r>
            <w:r w:rsidRPr="00271CCD">
              <w:rPr>
                <w:color w:val="000000" w:themeColor="text1"/>
              </w:rPr>
              <w:tab/>
              <w:t>powtarza, że Stowarzyszenie Narodów Azji Południowo-Wschodniej (ASEAN) jest kluczowym partnerem we wzmacnianiu multilateralizmu opartego na zasadach; popiera wysiłki ASEAN na rzecz zakończenia negocjacji z Chinami w sprawie skutecznego i merytorycznego kodeksu postępowania na Morzu Południowochińskim; zachęca UE do większego zaangażowania i zacieśnienia współpracy z ASEAN oraz do działania na rzecz kompleksowego partnerstwa strategicznego;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8D3F7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31.</w:t>
            </w:r>
            <w:r w:rsidRPr="00271CCD">
              <w:rPr>
                <w:color w:val="000000" w:themeColor="text1"/>
              </w:rPr>
              <w:tab/>
              <w:t xml:space="preserve">powtarza, że Stowarzyszenie Narodów Azji Południowo-Wschodniej (ASEAN) jest kluczowym partnerem we wzmacnianiu multilateralizmu opartego na zasadach; popiera wysiłki ASEAN na rzecz zakończenia negocjacji z Chinami w sprawie skutecznego i merytorycznego kodeksu postępowania na Morzu Południowochińskim; zachęca UE do większego zaangażowania </w:t>
            </w:r>
            <w:r w:rsidRPr="00271CCD">
              <w:rPr>
                <w:b/>
                <w:i/>
                <w:color w:val="000000" w:themeColor="text1"/>
              </w:rPr>
              <w:t xml:space="preserve">politycznego </w:t>
            </w:r>
            <w:r w:rsidRPr="00271CCD">
              <w:rPr>
                <w:color w:val="000000" w:themeColor="text1"/>
              </w:rPr>
              <w:t>i zacieśnienia współpracy z ASEAN oraz do działania na rzecz kompleksowego partnerstwa strategicznego</w:t>
            </w:r>
            <w:r w:rsidRPr="00271CCD">
              <w:rPr>
                <w:b/>
                <w:i/>
                <w:color w:val="000000" w:themeColor="text1"/>
              </w:rPr>
              <w:t>, nie tylko gospodarczego, ale także w odniesieniu do praw człowieka, demokracji i zrównoważonego wzrostu</w:t>
            </w:r>
            <w:r w:rsidRPr="00271CCD">
              <w:rPr>
                <w:color w:val="000000" w:themeColor="text1"/>
              </w:rPr>
              <w:t xml:space="preserve">; </w:t>
            </w:r>
            <w:r w:rsidRPr="00271CCD">
              <w:rPr>
                <w:b/>
                <w:i/>
                <w:color w:val="000000" w:themeColor="text1"/>
              </w:rPr>
              <w:t>domaga się zwiększonego wsparcia dla rządu jedności narodowej w Mjanmie oraz wywarcia presji na kraje ASEAN, aby przestrzegały sankcji międzynarodowych wobec junty wojskowej w Mjanmie;</w:t>
            </w:r>
          </w:p>
        </w:tc>
      </w:tr>
    </w:tbl>
    <w:p w14:paraId="431BCAC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C3FF2A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213969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806</w:t>
      </w:r>
      <w:r w:rsidRPr="00271CCD">
        <w:rPr>
          <w:rStyle w:val="HideTWBExt"/>
          <w:b w:val="0"/>
        </w:rPr>
        <w:t>&lt;/NumAm&gt;</w:t>
      </w:r>
    </w:p>
    <w:p w14:paraId="2484658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0638145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070D95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44FD8D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D8B9D9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3EAD5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5FCB1A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AA22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9B46E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49EC01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37954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31.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powtarza, że Stowarzyszenie Narodów Azji Południowo-Wschodniej (ASEAN) jest kluczowym partnerem we wzmacnianiu multilateralizmu opartego na zasadach; </w:t>
            </w:r>
            <w:r w:rsidRPr="00271CCD">
              <w:rPr>
                <w:color w:val="000000" w:themeColor="text1"/>
              </w:rPr>
              <w:t xml:space="preserve">popiera </w:t>
            </w:r>
            <w:r w:rsidRPr="00271CCD">
              <w:rPr>
                <w:b/>
                <w:i/>
                <w:color w:val="000000" w:themeColor="text1"/>
              </w:rPr>
              <w:t>wysiłki ASEAN na rzecz zakończenia negocjacji z Chinami w sprawie skutecznego i merytorycznego kodeksu postępowania</w:t>
            </w:r>
            <w:r w:rsidRPr="00271CCD">
              <w:rPr>
                <w:color w:val="000000" w:themeColor="text1"/>
              </w:rPr>
              <w:t xml:space="preserve"> na Morzu Południowochińskim</w:t>
            </w:r>
            <w:r w:rsidRPr="00271CCD">
              <w:rPr>
                <w:b/>
                <w:i/>
                <w:color w:val="000000" w:themeColor="text1"/>
              </w:rPr>
              <w:t>; zachęca UE do większego zaangażowania i zacieśnienia współpracy z ASEAN oraz do działania na rzecz kompleksowego partnerstwa strategicznego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5ACB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31.</w:t>
            </w:r>
            <w:r w:rsidRPr="00271CCD">
              <w:rPr>
                <w:color w:val="000000" w:themeColor="text1"/>
              </w:rPr>
              <w:tab/>
              <w:t xml:space="preserve">popiera </w:t>
            </w:r>
            <w:r w:rsidRPr="00271CCD">
              <w:rPr>
                <w:b/>
                <w:i/>
                <w:color w:val="000000" w:themeColor="text1"/>
              </w:rPr>
              <w:t>dążenie do pokojowego rozwiązania sporów i współpracy morskiej, aby ułatwić osiągnięcie stabilności regionalnej</w:t>
            </w:r>
            <w:r w:rsidRPr="00271CCD">
              <w:rPr>
                <w:color w:val="000000" w:themeColor="text1"/>
              </w:rPr>
              <w:t xml:space="preserve"> na Morzu Południowochińskim;</w:t>
            </w:r>
          </w:p>
        </w:tc>
      </w:tr>
    </w:tbl>
    <w:p w14:paraId="493D131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713518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E8AEC4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807</w:t>
      </w:r>
      <w:r w:rsidRPr="00271CCD">
        <w:rPr>
          <w:rStyle w:val="HideTWBExt"/>
          <w:b w:val="0"/>
        </w:rPr>
        <w:t>&lt;/NumAm&gt;</w:t>
      </w:r>
    </w:p>
    <w:p w14:paraId="2297A1E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Ana Miguel Pedro</w:t>
      </w:r>
      <w:r w:rsidRPr="00271CCD">
        <w:rPr>
          <w:rStyle w:val="HideTWBExt"/>
          <w:b w:val="0"/>
        </w:rPr>
        <w:t>&lt;/Members&gt;</w:t>
      </w:r>
    </w:p>
    <w:p w14:paraId="2E2C19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CDB2ED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FA2060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BD715B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CD9B9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4C9ED8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6A203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2EA7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FDA949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AA88D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31.</w:t>
            </w:r>
            <w:r w:rsidRPr="00271CCD">
              <w:rPr>
                <w:color w:val="000000" w:themeColor="text1"/>
              </w:rPr>
              <w:tab/>
              <w:t>powtarza, że Stowarzyszenie Narodów Azji Południowo-Wschodniej (ASEAN) jest kluczowym partnerem we wzmacnianiu multilateralizmu opartego na zasadach; popiera wysiłki ASEAN na rzecz zakończenia negocjacji z Chinami w sprawie skutecznego i merytorycznego kodeksu postępowania na Morzu Południowochińskim; zachęca UE do większego zaangażowania i zacieśnienia współpracy z ASEAN oraz do działania na rzecz kompleksowego partnerstwa strategicznego;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50ABC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31.</w:t>
            </w:r>
            <w:r w:rsidRPr="00271CCD">
              <w:rPr>
                <w:color w:val="000000" w:themeColor="text1"/>
              </w:rPr>
              <w:tab/>
              <w:t xml:space="preserve">powtarza, że Stowarzyszenie Narodów Azji Południowo-Wschodniej (ASEAN) jest kluczowym partnerem we wzmacnianiu multilateralizmu opartego na zasadach; popiera wysiłki ASEAN na rzecz zakończenia negocjacji z Chinami w sprawie skutecznego i merytorycznego kodeksu postępowania na Morzu Południowochińskim; </w:t>
            </w:r>
            <w:r w:rsidRPr="00271CCD">
              <w:rPr>
                <w:b/>
                <w:i/>
                <w:color w:val="000000" w:themeColor="text1"/>
              </w:rPr>
              <w:t xml:space="preserve">wyraża głębokie zaniepokojenie utrzymującą się i niesprowokowaną agresją Chińskiej Republiki Ludowej na Morzu Południowochińskim w celu egzekwowania swoich bezprawnych roszczeń terytorialnych i w zakresie suwerenności; </w:t>
            </w:r>
            <w:r w:rsidRPr="00271CCD">
              <w:rPr>
                <w:color w:val="000000" w:themeColor="text1"/>
              </w:rPr>
              <w:t>zachęca UE do większego zaangażowania i zacieśnienia współpracy z ASEAN oraz do działania na rzecz kompleksowego partnerstwa strategicznego;</w:t>
            </w:r>
          </w:p>
        </w:tc>
      </w:tr>
    </w:tbl>
    <w:p w14:paraId="2F83072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0B7045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42AC3B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808</w:t>
      </w:r>
      <w:r w:rsidRPr="00271CCD">
        <w:rPr>
          <w:rStyle w:val="HideTWBExt"/>
          <w:b w:val="0"/>
        </w:rPr>
        <w:t>&lt;/NumAm&gt;</w:t>
      </w:r>
    </w:p>
    <w:p w14:paraId="27A220E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Hans Neuhoff</w:t>
      </w:r>
      <w:r w:rsidRPr="00271CCD">
        <w:rPr>
          <w:rStyle w:val="HideTWBExt"/>
          <w:b w:val="0"/>
        </w:rPr>
        <w:t>&lt;/Members&gt;</w:t>
      </w:r>
    </w:p>
    <w:p w14:paraId="11D4868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13A79C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B5ECE1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77D58F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15196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914E95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CAEAE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A34ED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90F618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48C13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31.</w:t>
            </w:r>
            <w:r w:rsidRPr="00271CCD">
              <w:rPr>
                <w:color w:val="000000" w:themeColor="text1"/>
              </w:rPr>
              <w:tab/>
              <w:t>powtarza, że Stowarzyszenie Narodów Azji Południowo-Wschodniej (ASEAN) jest kluczowym partnerem we wzmacnianiu multilateralizmu</w:t>
            </w:r>
            <w:r w:rsidRPr="00271CCD">
              <w:rPr>
                <w:b/>
                <w:i/>
                <w:color w:val="000000" w:themeColor="text1"/>
              </w:rPr>
              <w:t xml:space="preserve"> opartego na zasadach</w:t>
            </w:r>
            <w:r w:rsidRPr="00271CCD">
              <w:rPr>
                <w:color w:val="000000" w:themeColor="text1"/>
              </w:rPr>
              <w:t xml:space="preserve">; popiera wysiłki ASEAN na rzecz zakończenia negocjacji z Chinami w sprawie skutecznego i merytorycznego kodeksu postępowania na Morzu Południowochińskim; zachęca UE do większego zaangażowania i zacieśnienia współpracy z ASEAN oraz do działania na rzecz kompleksowego partnerstwa </w:t>
            </w:r>
            <w:r w:rsidRPr="00271CCD">
              <w:rPr>
                <w:b/>
                <w:i/>
                <w:color w:val="000000" w:themeColor="text1"/>
              </w:rPr>
              <w:t>strategicznego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A2D0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31.</w:t>
            </w:r>
            <w:r w:rsidRPr="00271CCD">
              <w:rPr>
                <w:color w:val="000000" w:themeColor="text1"/>
              </w:rPr>
              <w:tab/>
              <w:t>powtarza, że Stowarzyszenie Narodów Azji Południowo-Wschodniej (ASEAN) jest kluczowym partnerem we wzmacnianiu multilateralizmu; popiera wysiłki ASEAN na rzecz zakończenia negocjacji z Chinami w sprawie skutecznego i merytorycznego kodeksu postępowania na Morzu Południowochińskim; zachęca UE do większego zaangażowania i zacieśnienia współpracy z ASEAN oraz do działania na rzecz kompleksowego partnerstwa;</w:t>
            </w:r>
          </w:p>
        </w:tc>
      </w:tr>
    </w:tbl>
    <w:p w14:paraId="5E1C6F9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{DE}</w:t>
      </w:r>
      <w:r w:rsidRPr="00271CCD">
        <w:rPr>
          <w:color w:val="000000" w:themeColor="text1"/>
        </w:rPr>
        <w:t>de</w:t>
      </w:r>
      <w:r w:rsidRPr="00271CCD">
        <w:rPr>
          <w:rStyle w:val="HideTWBExt"/>
        </w:rPr>
        <w:t>&lt;/Original&gt;</w:t>
      </w:r>
    </w:p>
    <w:p w14:paraId="03F2236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F3C097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809</w:t>
      </w:r>
      <w:r w:rsidRPr="00271CCD">
        <w:rPr>
          <w:rStyle w:val="HideTWBExt"/>
          <w:b w:val="0"/>
        </w:rPr>
        <w:t>&lt;/NumAm&gt;</w:t>
      </w:r>
    </w:p>
    <w:p w14:paraId="1D43C7F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4C5A146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6CCD76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B70888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F7631E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324B0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CD45D3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6622C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0B8F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30F786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096C2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88396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  <w:r w:rsidRPr="00271CCD">
              <w:rPr>
                <w:b/>
                <w:i/>
                <w:color w:val="000000" w:themeColor="text1"/>
              </w:rPr>
              <w:t xml:space="preserve"> określa zmianę klimatu i zielony wzrost, cyfryzację i nowe technologie, badania naukowe i rozwój, łączność, handel i inwestycje oraz politykę zagraniczną, bezpieczeństwa i obrony jako kluczowe obszary współpracy; domaga się pełnego wdrożenia strategii UE z 2018 r. w sprawie Indii oraz planu działania UE–Indie do 2025 r. w ścisłej koordynacji z działaniami poszczególnych państw członkowskich; podkreśla w szczególności potrzebę propagowania większych synergii w ramach polityki zagranicznej i bezpieczeństwa za pomocą istniejących mechanizmów dialogu i innych tworzonych w ramach planu działania UE–Indie do 2025 r.; domaga się w tym względzie silniejszego poparcia ze strony państw członkowskich; wzywa także państwa członkowskie do wzmocnienia i poszerzenia współpracy Indie-UE w zakresie bezpieczeństwa morskiego w odpowiedzi na rozwijającą się obecność Chin w regionie Indo-Pacyfiku; podkreśla potrzebę prowadzenia dialogu z Indiami w sprawie ich dużej zależności militarnej od Rosji i unijnej polityki sankcyjnej wymierzonej w Rosję; wzywa Indie do potępienia nielegalnej wojny napastniczej Rosji przeciwko Ukrainie; </w:t>
            </w:r>
          </w:p>
        </w:tc>
      </w:tr>
    </w:tbl>
    <w:p w14:paraId="738A68D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FE5227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CED88A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810</w:t>
      </w:r>
      <w:r w:rsidRPr="00271CCD">
        <w:rPr>
          <w:rStyle w:val="HideTWBExt"/>
          <w:b w:val="0"/>
        </w:rPr>
        <w:t>&lt;/NumAm&gt;</w:t>
      </w:r>
    </w:p>
    <w:p w14:paraId="3FA058E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Sebastian Tynkkynen</w:t>
      </w:r>
      <w:r w:rsidRPr="00271CCD">
        <w:rPr>
          <w:rStyle w:val="HideTWBExt"/>
          <w:b w:val="0"/>
        </w:rPr>
        <w:t>&lt;/Members&gt;</w:t>
      </w:r>
    </w:p>
    <w:p w14:paraId="057FF8B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975CAB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6EFA65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117789B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CCAD0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FCFFDC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7AA49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08AC8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8D4D6A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6A3D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92B7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  <w:r w:rsidRPr="00271CCD">
              <w:rPr>
                <w:b/>
                <w:i/>
                <w:color w:val="000000" w:themeColor="text1"/>
              </w:rPr>
              <w:t xml:space="preserve"> odnotowuje z zaniepokojeniem wiadomość, że Indie stały się drugim pod względem wielkości po Chinach dostawcą technologii krytycznych do Rosji; potępia w najostrzejszych słowach rolę Indii w umożliwianiu prowadzenia przez Rosję wojny napastniczej przeciwko Ukrainie;</w:t>
            </w:r>
          </w:p>
        </w:tc>
      </w:tr>
    </w:tbl>
    <w:p w14:paraId="683AE85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{FI}</w:t>
      </w:r>
      <w:r w:rsidRPr="00271CCD">
        <w:rPr>
          <w:color w:val="000000" w:themeColor="text1"/>
        </w:rPr>
        <w:t>fi</w:t>
      </w:r>
      <w:r w:rsidRPr="00271CCD">
        <w:rPr>
          <w:rStyle w:val="HideTWBExt"/>
        </w:rPr>
        <w:t>&lt;/Original&gt;</w:t>
      </w:r>
    </w:p>
    <w:p w14:paraId="36F0CD4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677877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811</w:t>
      </w:r>
      <w:r w:rsidRPr="00271CCD">
        <w:rPr>
          <w:rStyle w:val="HideTWBExt"/>
          <w:b w:val="0"/>
        </w:rPr>
        <w:t>&lt;/NumAm&gt;</w:t>
      </w:r>
    </w:p>
    <w:p w14:paraId="52959BA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Roberto Vannacci</w:t>
      </w:r>
      <w:r w:rsidRPr="00271CCD">
        <w:rPr>
          <w:rStyle w:val="HideTWBExt"/>
          <w:b w:val="0"/>
        </w:rPr>
        <w:t>&lt;/Members&gt;</w:t>
      </w:r>
    </w:p>
    <w:p w14:paraId="508230C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D9763C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3DC407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EB25EF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A2917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577CB0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1E51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EDDE5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BB01C3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B3DAE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E28FB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 xml:space="preserve">zauważa, że wyzwania geopolityczne wzmocniły wspólny interes UE i Indii, który polega na zapewnieniu bezpieczeństwa, dobrobytu i zrównoważonego rozwoju; wzywa do zorganizowania szczytu UE–Indie, aby utrzymać wysoki priorytet stosunków dwustronnych;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wzywa UE do zacieśnienia współpracy z Indiami w zakresie bezpieczeństwa morskiego, przy jednoczesnym zapewnieniu, ż nie przyczyni się to do wzrostu napięć w regionie Indo-Pacyfiku;</w:t>
            </w:r>
          </w:p>
        </w:tc>
      </w:tr>
    </w:tbl>
    <w:p w14:paraId="2E3882A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48F89AD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A5E529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812</w:t>
      </w:r>
      <w:r w:rsidRPr="00271CCD">
        <w:rPr>
          <w:rStyle w:val="HideTWBExt"/>
          <w:b w:val="0"/>
        </w:rPr>
        <w:t>&lt;/NumAm&gt;</w:t>
      </w:r>
    </w:p>
    <w:p w14:paraId="1F941B2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</w:t>
      </w:r>
      <w:r w:rsidRPr="00271CCD">
        <w:rPr>
          <w:rStyle w:val="HideTWBExt"/>
          <w:b w:val="0"/>
        </w:rPr>
        <w:t>&lt;/Members&gt;</w:t>
      </w:r>
    </w:p>
    <w:p w14:paraId="0FE2003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C2EB9B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797476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96703C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9AC43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753E87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086B7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0F985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2CA34D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0B0E1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28DD9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 xml:space="preserve">zauważa, że wyzwania geopolityczne wzmocniły wspólny interes UE i Indii, który polega na zapewnieniu bezpieczeństwa, dobrobytu i zrównoważonego rozwoju; </w:t>
            </w:r>
            <w:r w:rsidRPr="00271CCD">
              <w:rPr>
                <w:b/>
                <w:i/>
                <w:color w:val="000000" w:themeColor="text1"/>
              </w:rPr>
              <w:t xml:space="preserve">uważa Indie za ważnego partnera demokratycznego i zachęca UE do ścisłej współpracy z rządem Indii w obszarze poszanowania praw człowieka i praworządności, zarówno wewnątrz kraju, jak i na całym świecie; </w:t>
            </w:r>
            <w:r w:rsidRPr="00271CCD">
              <w:rPr>
                <w:color w:val="000000" w:themeColor="text1"/>
              </w:rPr>
              <w:t>wzywa do zorganizowania szczytu UE–Indie, aby utrzymać wysoki priorytet stosunków dwustronnych;</w:t>
            </w:r>
          </w:p>
        </w:tc>
      </w:tr>
    </w:tbl>
    <w:p w14:paraId="1259D20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ADC348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E94B34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813</w:t>
      </w:r>
      <w:r w:rsidRPr="00271CCD">
        <w:rPr>
          <w:rStyle w:val="HideTWBExt"/>
          <w:b w:val="0"/>
        </w:rPr>
        <w:t>&lt;/NumAm&gt;</w:t>
      </w:r>
    </w:p>
    <w:p w14:paraId="69ADDCF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Emmanouil Fragkos, Galato Alexandraki, Geadis Geadi</w:t>
      </w:r>
      <w:r w:rsidRPr="00271CCD">
        <w:rPr>
          <w:rStyle w:val="HideTWBExt"/>
          <w:b w:val="0"/>
        </w:rPr>
        <w:t>&lt;/Members&gt;</w:t>
      </w:r>
    </w:p>
    <w:p w14:paraId="4E01EDF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B1292C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2953CF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772CE5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0F92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2E5EEC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63C26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552C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B2FEA9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05B7E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6C3B6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  <w:r w:rsidRPr="00271CCD">
              <w:rPr>
                <w:b/>
                <w:i/>
                <w:color w:val="000000" w:themeColor="text1"/>
              </w:rPr>
              <w:t xml:space="preserve"> uznaje ważną rolę Indii w stabilizacji Azji Południowej i zwalczaniu terroryzmu;</w:t>
            </w:r>
          </w:p>
        </w:tc>
      </w:tr>
    </w:tbl>
    <w:p w14:paraId="684836B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{EL}</w:t>
      </w:r>
      <w:r w:rsidRPr="00271CCD">
        <w:rPr>
          <w:color w:val="000000" w:themeColor="text1"/>
        </w:rPr>
        <w:t>el</w:t>
      </w:r>
      <w:r w:rsidRPr="00271CCD">
        <w:rPr>
          <w:rStyle w:val="HideTWBExt"/>
        </w:rPr>
        <w:t>&lt;/Original&gt;</w:t>
      </w:r>
    </w:p>
    <w:p w14:paraId="3568E93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FD3C96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814</w:t>
      </w:r>
      <w:r w:rsidRPr="00271CCD">
        <w:rPr>
          <w:rStyle w:val="HideTWBExt"/>
          <w:b w:val="0"/>
        </w:rPr>
        <w:t>&lt;/NumAm&gt;</w:t>
      </w:r>
    </w:p>
    <w:p w14:paraId="1AE2F62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100AC9D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8EDADA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12C694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C62917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D0128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08F4CD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7266D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DFB77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E9400E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84B04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 xml:space="preserve">zauważa, że </w:t>
            </w:r>
            <w:r w:rsidRPr="00271CCD">
              <w:rPr>
                <w:b/>
                <w:i/>
                <w:color w:val="000000" w:themeColor="text1"/>
              </w:rPr>
              <w:t>wyzwania geopolityczne wzmocniły wspólny interes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 xml:space="preserve"> i Indii, który polega na zapewnieniu bezpieczeństwa</w:t>
            </w:r>
            <w:r w:rsidRPr="00271CCD">
              <w:rPr>
                <w:color w:val="000000" w:themeColor="text1"/>
              </w:rPr>
              <w:t>, dobrobytu i zrównoważonego rozwoju;</w:t>
            </w:r>
            <w:r w:rsidRPr="00271CCD">
              <w:rPr>
                <w:b/>
                <w:i/>
                <w:color w:val="000000" w:themeColor="text1"/>
              </w:rPr>
              <w:t xml:space="preserve"> wzywa do zorganizowania szczytu UE–Indie, aby utrzymać wysoki priorytet stosunków dwustronnych;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C30A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 xml:space="preserve">zauważa, że </w:t>
            </w:r>
            <w:r w:rsidRPr="00271CCD">
              <w:rPr>
                <w:b/>
                <w:i/>
                <w:color w:val="000000" w:themeColor="text1"/>
              </w:rPr>
              <w:t>zarówno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>, jak i Indie mają wspólny interes w zapewnianiu pokoju</w:t>
            </w:r>
            <w:r w:rsidRPr="00271CCD">
              <w:rPr>
                <w:color w:val="000000" w:themeColor="text1"/>
              </w:rPr>
              <w:t>, dobrobytu i zrównoważonego rozwoju;</w:t>
            </w:r>
          </w:p>
        </w:tc>
      </w:tr>
    </w:tbl>
    <w:p w14:paraId="7EF2EC7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8667B1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500C71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815</w:t>
      </w:r>
      <w:r w:rsidRPr="00271CCD">
        <w:rPr>
          <w:rStyle w:val="HideTWBExt"/>
          <w:b w:val="0"/>
        </w:rPr>
        <w:t>&lt;/NumAm&gt;</w:t>
      </w:r>
    </w:p>
    <w:p w14:paraId="59E245D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Nathalie Loiseau, Urmas Paet, Hilde Vautmans, Lucia Yar, Petras Auštrevičius</w:t>
      </w:r>
      <w:r w:rsidRPr="00271CCD">
        <w:rPr>
          <w:rStyle w:val="HideTWBExt"/>
          <w:b w:val="0"/>
        </w:rPr>
        <w:t>&lt;/Members&gt;</w:t>
      </w:r>
    </w:p>
    <w:p w14:paraId="589D774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BF5F7D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633036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F56D1E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1539C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969326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F446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AF700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DD5CD0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C06BC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42FA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32.</w:t>
            </w:r>
            <w:r w:rsidRPr="00271CCD">
              <w:rPr>
                <w:color w:val="000000" w:themeColor="text1"/>
              </w:rPr>
              <w:tab/>
              <w:t>zauważa, że wyzwania geopolityczne wzmocniły wspólny interes UE i Indii, który polega na zapewnieniu bezpieczeństwa, dobrobytu i zrównoważonego rozwoju; wzywa do zorganizowania szczytu UE–Indie, aby utrzymać wysoki priorytet stosunków dwustronnych;</w:t>
            </w:r>
            <w:r w:rsidRPr="00271CCD">
              <w:rPr>
                <w:b/>
                <w:i/>
                <w:color w:val="000000" w:themeColor="text1"/>
              </w:rPr>
              <w:t xml:space="preserve"> z zadowoleniem przyjmuje ogłoszenie przyszłego strategicznego programu UE–Indie;</w:t>
            </w:r>
          </w:p>
        </w:tc>
      </w:tr>
    </w:tbl>
    <w:p w14:paraId="4E273C7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247808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EAD2B9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816</w:t>
      </w:r>
      <w:r w:rsidRPr="00271CCD">
        <w:rPr>
          <w:rStyle w:val="HideTWBExt"/>
          <w:b w:val="0"/>
        </w:rPr>
        <w:t>&lt;/NumAm&gt;</w:t>
      </w:r>
    </w:p>
    <w:p w14:paraId="446F1C0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7593D56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36F5AA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1F5074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AC0061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25872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576773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B68F6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A81D3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80FC3F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757F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 xml:space="preserve">wzywa wiceprzewodniczącego / wysokiego przedstawiciela i państwa członkowskie do skoncentrowania się na stosunkach dwustronnych z partnerami </w:t>
            </w:r>
            <w:r w:rsidRPr="00271CCD">
              <w:rPr>
                <w:b/>
                <w:i/>
                <w:color w:val="000000" w:themeColor="text1"/>
              </w:rPr>
              <w:t xml:space="preserve">o podobnych poglądach </w:t>
            </w:r>
            <w:r w:rsidRPr="00271CCD">
              <w:rPr>
                <w:color w:val="000000" w:themeColor="text1"/>
              </w:rPr>
              <w:t>w Afryce</w:t>
            </w:r>
            <w:r w:rsidRPr="00271CCD">
              <w:rPr>
                <w:b/>
                <w:i/>
                <w:color w:val="000000" w:themeColor="text1"/>
              </w:rPr>
              <w:t>, m.in. z Ghaną, Kenią i Senegalem, z uwzględnieniem wzajemnych potrzeb i interesów, aby wspierać rzeczywiste i zrównoważone partnerstwa</w:t>
            </w:r>
            <w:r w:rsidRPr="00271CCD">
              <w:rPr>
                <w:color w:val="000000" w:themeColor="text1"/>
              </w:rPr>
              <w:t>;</w:t>
            </w:r>
            <w:r w:rsidRPr="00271CCD">
              <w:rPr>
                <w:b/>
                <w:i/>
                <w:color w:val="000000" w:themeColor="text1"/>
              </w:rPr>
              <w:t xml:space="preserve">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644F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w Afryce</w:t>
            </w:r>
            <w:r w:rsidRPr="00271CCD">
              <w:rPr>
                <w:b/>
                <w:i/>
                <w:color w:val="000000" w:themeColor="text1"/>
              </w:rPr>
              <w:t xml:space="preserve"> w oparciu o wzajemny szacunek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6FDDC29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97E9E8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E7A747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817</w:t>
      </w:r>
      <w:r w:rsidRPr="00271CCD">
        <w:rPr>
          <w:rStyle w:val="HideTWBExt"/>
          <w:b w:val="0"/>
        </w:rPr>
        <w:t>&lt;/NumAm&gt;</w:t>
      </w:r>
    </w:p>
    <w:p w14:paraId="7AD4148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Sebastian Tynkkynen</w:t>
      </w:r>
      <w:r w:rsidRPr="00271CCD">
        <w:rPr>
          <w:rStyle w:val="HideTWBExt"/>
          <w:b w:val="0"/>
        </w:rPr>
        <w:t>&lt;/Members&gt;</w:t>
      </w:r>
    </w:p>
    <w:p w14:paraId="3523C06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7990EF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5DF70D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F73C94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F7FB6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2BD9B6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E5BA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DDBF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FEDBE0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00A3F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9F7F9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 xml:space="preserve"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</w:t>
            </w:r>
            <w:r w:rsidRPr="00271CCD">
              <w:rPr>
                <w:b/>
                <w:i/>
                <w:color w:val="000000" w:themeColor="text1"/>
              </w:rPr>
              <w:t xml:space="preserve">podkreśla, że unijna pomoc rozwojowa powinna być przyznawana pod warunkiem, że kraje ją otrzymujące wspierają Ukrainę w jej wysiłkach w zakresie obrony przed atakiem Rosji oraz że kraje te zawierają umowy o readmisji dotyczące powrotu ich obywateli z UE do swoich krajów pochodzenia; </w:t>
            </w:r>
            <w:r w:rsidRPr="00271CCD">
              <w:rPr>
                <w:color w:val="000000" w:themeColor="text1"/>
              </w:rPr>
              <w:t>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</w:tr>
    </w:tbl>
    <w:p w14:paraId="3EA0298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{FI}</w:t>
      </w:r>
      <w:r w:rsidRPr="00271CCD">
        <w:rPr>
          <w:color w:val="000000" w:themeColor="text1"/>
        </w:rPr>
        <w:t>fi</w:t>
      </w:r>
      <w:r w:rsidRPr="00271CCD">
        <w:rPr>
          <w:rStyle w:val="HideTWBExt"/>
        </w:rPr>
        <w:t>&lt;/Original&gt;</w:t>
      </w:r>
    </w:p>
    <w:p w14:paraId="2165D3B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AABC08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818</w:t>
      </w:r>
      <w:r w:rsidRPr="00271CCD">
        <w:rPr>
          <w:rStyle w:val="HideTWBExt"/>
          <w:b w:val="0"/>
        </w:rPr>
        <w:t>&lt;/NumAm&gt;</w:t>
      </w:r>
    </w:p>
    <w:p w14:paraId="6A060B0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04E2F64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20E9B4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567769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982F79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3E48F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489C04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61221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64A13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163533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A2430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F2383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</w:t>
            </w:r>
            <w:r w:rsidRPr="00271CCD">
              <w:rPr>
                <w:b/>
                <w:i/>
                <w:color w:val="000000" w:themeColor="text1"/>
              </w:rPr>
              <w:t xml:space="preserve"> oraz prowadziła współpracę gospodarczą</w:t>
            </w:r>
            <w:r w:rsidRPr="00271CCD">
              <w:rPr>
                <w:color w:val="000000" w:themeColor="text1"/>
              </w:rPr>
              <w:t>, aby pokazać, że UE jest kluczowym i strategicznym partnerem i że międzynarodowy system oparty na zasadach może sprostać współczesnym wyzwaniom;</w:t>
            </w:r>
            <w:r w:rsidRPr="00271CCD">
              <w:rPr>
                <w:b/>
                <w:i/>
                <w:color w:val="000000" w:themeColor="text1"/>
              </w:rPr>
              <w:t xml:space="preserve"> w tym względzie przypomina o znaczeniu strategii Global Gateway w celu promowania ścisłego partnerstwa w oparciu o wzajemne korzyści, rozwój gospodarczy i odporne łańcuchy dostaw;</w:t>
            </w:r>
          </w:p>
        </w:tc>
      </w:tr>
    </w:tbl>
    <w:p w14:paraId="0A7B8E5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111608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E43E75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819</w:t>
      </w:r>
      <w:r w:rsidRPr="00271CCD">
        <w:rPr>
          <w:rStyle w:val="HideTWBExt"/>
          <w:b w:val="0"/>
        </w:rPr>
        <w:t>&lt;/NumAm&gt;</w:t>
      </w:r>
    </w:p>
    <w:p w14:paraId="4E0F6C9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Alice Teodorescu Måwe</w:t>
      </w:r>
      <w:r w:rsidRPr="00271CCD">
        <w:rPr>
          <w:rStyle w:val="HideTWBExt"/>
          <w:b w:val="0"/>
        </w:rPr>
        <w:t>&lt;/Members&gt;</w:t>
      </w:r>
    </w:p>
    <w:p w14:paraId="40C6CC1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58FFD9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FFFAFD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76A840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0AABB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D37B95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58577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1F3B6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2622C7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DF1E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C721A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  <w:r w:rsidRPr="00271CCD">
              <w:rPr>
                <w:b/>
                <w:i/>
                <w:color w:val="000000" w:themeColor="text1"/>
              </w:rPr>
              <w:t xml:space="preserve"> uważa, że UE, jako największy na świecie darczyńca świadczący pomoc rozwojową, powinna uzależnić świadczenie pomocy rozwojowej od współpracy w dziedzinie migracji;</w:t>
            </w:r>
          </w:p>
        </w:tc>
      </w:tr>
    </w:tbl>
    <w:p w14:paraId="7B50277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{SV}</w:t>
      </w:r>
      <w:r w:rsidRPr="00271CCD">
        <w:rPr>
          <w:color w:val="000000" w:themeColor="text1"/>
        </w:rPr>
        <w:t>sv</w:t>
      </w:r>
      <w:r w:rsidRPr="00271CCD">
        <w:rPr>
          <w:rStyle w:val="HideTWBExt"/>
        </w:rPr>
        <w:t>&lt;/Original&gt;</w:t>
      </w:r>
    </w:p>
    <w:p w14:paraId="4D08064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4A458A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820</w:t>
      </w:r>
      <w:r w:rsidRPr="00271CCD">
        <w:rPr>
          <w:rStyle w:val="HideTWBExt"/>
          <w:b w:val="0"/>
        </w:rPr>
        <w:t>&lt;/NumAm&gt;</w:t>
      </w:r>
    </w:p>
    <w:p w14:paraId="3FE8FB1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Wouter Beke</w:t>
      </w:r>
      <w:r w:rsidRPr="00271CCD">
        <w:rPr>
          <w:rStyle w:val="HideTWBExt"/>
          <w:b w:val="0"/>
        </w:rPr>
        <w:t>&lt;/Members&gt;</w:t>
      </w:r>
    </w:p>
    <w:p w14:paraId="67F5A30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57D3A0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0283EF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9CE90D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045F7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9AB119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6C48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FE024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EA83FC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EFB5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8C190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</w:t>
            </w:r>
            <w:r w:rsidRPr="00271CCD">
              <w:rPr>
                <w:b/>
                <w:i/>
                <w:color w:val="000000" w:themeColor="text1"/>
              </w:rPr>
              <w:t>; podkreśla znaczenie dalszego skupienia się na Afryce, która jest już strategicznym kontynentem i stanie się coraz ważniejszym podmiotem w przyszłości</w:t>
            </w:r>
            <w:r w:rsidRPr="00271CCD">
              <w:rPr>
                <w:color w:val="000000" w:themeColor="text1"/>
              </w:rPr>
              <w:t>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</w:tr>
    </w:tbl>
    <w:p w14:paraId="77A2F41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17B889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A39787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821</w:t>
      </w:r>
      <w:r w:rsidRPr="00271CCD">
        <w:rPr>
          <w:rStyle w:val="HideTWBExt"/>
          <w:b w:val="0"/>
        </w:rPr>
        <w:t>&lt;/NumAm&gt;</w:t>
      </w:r>
    </w:p>
    <w:p w14:paraId="79CFB55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</w:t>
      </w:r>
      <w:r w:rsidRPr="00271CCD">
        <w:rPr>
          <w:rStyle w:val="HideTWBExt"/>
          <w:b w:val="0"/>
        </w:rPr>
        <w:t>&lt;/Members&gt;</w:t>
      </w:r>
    </w:p>
    <w:p w14:paraId="306D90D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65A833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96899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D4D0F1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C8C57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A342C3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8FEE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6704E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4EA3EC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90540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F37C0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  <w:r w:rsidRPr="00271CCD">
              <w:rPr>
                <w:b/>
                <w:i/>
                <w:color w:val="000000" w:themeColor="text1"/>
              </w:rPr>
              <w:t xml:space="preserve"> podkreśla znaczenie zawierania takich porozumień politycznych z państwami trzecimi opartych na wspólnych europejskich wartościach i prawach podstawowych;</w:t>
            </w:r>
          </w:p>
        </w:tc>
      </w:tr>
    </w:tbl>
    <w:p w14:paraId="0978675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B221E4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555102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822</w:t>
      </w:r>
      <w:r w:rsidRPr="00271CCD">
        <w:rPr>
          <w:rStyle w:val="HideTWBExt"/>
          <w:b w:val="0"/>
        </w:rPr>
        <w:t>&lt;/NumAm&gt;</w:t>
      </w:r>
    </w:p>
    <w:p w14:paraId="3B5A017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Corrêa, Jordan Bardella, Hermann Tertsch, Matthieu Valet, Pierre-Romain Thionnet, Jorge Martín Frías</w:t>
      </w:r>
      <w:r w:rsidRPr="00271CCD">
        <w:rPr>
          <w:rStyle w:val="HideTWBExt"/>
          <w:b w:val="0"/>
        </w:rPr>
        <w:t>&lt;/Members&gt;</w:t>
      </w:r>
    </w:p>
    <w:p w14:paraId="06F6DC6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772B27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6353E8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98958B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AD46F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901DD8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1D212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8E73E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ACCE30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9C781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 xml:space="preserve">wzywa </w:t>
            </w:r>
            <w:r w:rsidRPr="00271CCD">
              <w:rPr>
                <w:b/>
                <w:i/>
                <w:color w:val="000000" w:themeColor="text1"/>
              </w:rPr>
              <w:t xml:space="preserve">wiceprzewodniczącego / wysokiego przedstawiciela i </w:t>
            </w:r>
            <w:r w:rsidRPr="00271CCD">
              <w:rPr>
                <w:color w:val="000000" w:themeColor="text1"/>
              </w:rPr>
              <w:t>państwa członkowskie do skoncentrowania się na stosunkach dwustronnych z partnerami o podobnych poglądach w Afryce, m.in. z Ghaną, Kenią</w:t>
            </w:r>
            <w:r w:rsidRPr="00271CCD">
              <w:rPr>
                <w:b/>
                <w:i/>
                <w:color w:val="000000" w:themeColor="text1"/>
              </w:rPr>
              <w:t xml:space="preserve"> i</w:t>
            </w:r>
            <w:r w:rsidRPr="00271CCD">
              <w:rPr>
                <w:color w:val="000000" w:themeColor="text1"/>
              </w:rPr>
              <w:t xml:space="preserve">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</w:t>
            </w:r>
            <w:r w:rsidRPr="00271CCD">
              <w:rPr>
                <w:b/>
                <w:i/>
                <w:color w:val="000000" w:themeColor="text1"/>
              </w:rPr>
              <w:t xml:space="preserve">przestrzegają zasad WPZiB i wspólnej polityki bezpieczeństwa i obrony (WPBiO) oraz </w:t>
            </w:r>
            <w:r w:rsidRPr="00271CCD">
              <w:rPr>
                <w:color w:val="000000" w:themeColor="text1"/>
              </w:rPr>
              <w:t>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B88B8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państwa członkowskie do skoncentrowania się na stosunkach dwustronnych z partnerami o podobnych poglądach w Afryce, m.in. z Ghaną, Kenią</w:t>
            </w:r>
            <w:r w:rsidRPr="00271CCD">
              <w:rPr>
                <w:b/>
                <w:i/>
                <w:color w:val="000000" w:themeColor="text1"/>
              </w:rPr>
              <w:t>,</w:t>
            </w:r>
            <w:r w:rsidRPr="00271CCD">
              <w:rPr>
                <w:color w:val="000000" w:themeColor="text1"/>
              </w:rPr>
              <w:t xml:space="preserve"> Senegalem</w:t>
            </w:r>
            <w:r w:rsidRPr="00271CCD">
              <w:rPr>
                <w:b/>
                <w:i/>
                <w:color w:val="000000" w:themeColor="text1"/>
              </w:rPr>
              <w:t xml:space="preserve"> i Republiką Zielonego Przylądka</w:t>
            </w:r>
            <w:r w:rsidRPr="00271CCD">
              <w:rPr>
                <w:color w:val="000000" w:themeColor="text1"/>
              </w:rPr>
              <w:t>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  <w:r w:rsidRPr="00271CCD">
              <w:rPr>
                <w:b/>
                <w:i/>
                <w:color w:val="000000" w:themeColor="text1"/>
              </w:rPr>
              <w:t xml:space="preserve"> ostrzega przed zwiększającą się obecnością Rosji i Chin na afrykańskim terytorium, a także rosnącą obecnością grup terrorystycznych i radykalnych grup islamskich;</w:t>
            </w:r>
          </w:p>
        </w:tc>
      </w:tr>
    </w:tbl>
    <w:p w14:paraId="512F47F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DE9558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43F53C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823</w:t>
      </w:r>
      <w:r w:rsidRPr="00271CCD">
        <w:rPr>
          <w:rStyle w:val="HideTWBExt"/>
          <w:b w:val="0"/>
        </w:rPr>
        <w:t>&lt;/NumAm&gt;</w:t>
      </w:r>
    </w:p>
    <w:p w14:paraId="1C7D5D9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Marc Botenga, Rima Hassan</w:t>
      </w:r>
      <w:r w:rsidRPr="00271CCD">
        <w:rPr>
          <w:rStyle w:val="HideTWBExt"/>
          <w:b w:val="0"/>
        </w:rPr>
        <w:t>&lt;/Members&gt;</w:t>
      </w:r>
    </w:p>
    <w:p w14:paraId="107B7BF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{The Left}</w:t>
      </w:r>
      <w:r w:rsidRPr="00271CCD">
        <w:rPr>
          <w:color w:val="000000" w:themeColor="text1"/>
        </w:rPr>
        <w:t>w imieniu grupy The Left</w:t>
      </w:r>
      <w:r w:rsidRPr="00271CCD">
        <w:rPr>
          <w:rStyle w:val="HideTWBExt"/>
        </w:rPr>
        <w:t>&lt;/AuNomDe&gt;</w:t>
      </w:r>
    </w:p>
    <w:p w14:paraId="6C4E6E1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7E35D2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878619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C6AFE1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44332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D26A95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A3790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67AB6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43D903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3B472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 xml:space="preserve"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</w:t>
            </w:r>
            <w:r w:rsidRPr="00271CCD">
              <w:rPr>
                <w:b/>
                <w:i/>
                <w:color w:val="000000" w:themeColor="text1"/>
              </w:rPr>
              <w:t xml:space="preserve">przestrzegają zasad WPZiB i wspólnej polityki bezpieczeństwa i obrony (WPBiO) oraz </w:t>
            </w:r>
            <w:r w:rsidRPr="00271CCD">
              <w:rPr>
                <w:color w:val="000000" w:themeColor="text1"/>
              </w:rPr>
              <w:t>szanują podstawowe wartości UE; wzywa UE, by spełniła oczekiwania krajów partnerskich i szybko zawarła z nimi porozumienia</w:t>
            </w:r>
            <w:r w:rsidRPr="00271CCD">
              <w:rPr>
                <w:b/>
                <w:i/>
                <w:color w:val="000000" w:themeColor="text1"/>
              </w:rPr>
              <w:t xml:space="preserve"> polityczne</w:t>
            </w:r>
            <w:r w:rsidRPr="00271CCD">
              <w:rPr>
                <w:color w:val="000000" w:themeColor="text1"/>
              </w:rPr>
              <w:t>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26314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szanują podstawowe wartości UE; wzywa UE, by spełniła oczekiwania krajów partnerskich i szybko zawarła z nimi porozumienia, aby pokazać, że UE jest kluczowym i strategicznym partnerem i że międzynarodowy system oparty na zasadach może sprostać współczesnym wyzwaniom;</w:t>
            </w:r>
          </w:p>
        </w:tc>
      </w:tr>
    </w:tbl>
    <w:p w14:paraId="58D3626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07212E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7B63F4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824</w:t>
      </w:r>
      <w:r w:rsidRPr="00271CCD">
        <w:rPr>
          <w:rStyle w:val="HideTWBExt"/>
          <w:b w:val="0"/>
        </w:rPr>
        <w:t>&lt;/NumAm&gt;</w:t>
      </w:r>
    </w:p>
    <w:p w14:paraId="75A7225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27DC8A3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2AF458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90A6AC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B5C4C5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83B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0A9660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E93EB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1779D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411866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BAD96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322DB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</w:t>
            </w:r>
            <w:r w:rsidRPr="00271CCD">
              <w:rPr>
                <w:b/>
                <w:i/>
                <w:color w:val="000000" w:themeColor="text1"/>
              </w:rPr>
              <w:t>,</w:t>
            </w:r>
            <w:r w:rsidRPr="00271CCD">
              <w:rPr>
                <w:color w:val="000000" w:themeColor="text1"/>
              </w:rPr>
              <w:t xml:space="preserve"> Senegalem </w:t>
            </w:r>
            <w:r w:rsidRPr="00271CCD">
              <w:rPr>
                <w:b/>
                <w:i/>
                <w:color w:val="000000" w:themeColor="text1"/>
              </w:rPr>
              <w:t>i Mauretanią</w:t>
            </w:r>
            <w:r w:rsidRPr="00271CCD">
              <w:rPr>
                <w:color w:val="000000" w:themeColor="text1"/>
              </w:rPr>
              <w:t>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</w:tr>
    </w:tbl>
    <w:p w14:paraId="7F5DCF9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4CF2D51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D9ECE9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825</w:t>
      </w:r>
      <w:r w:rsidRPr="00271CCD">
        <w:rPr>
          <w:rStyle w:val="HideTWBExt"/>
          <w:b w:val="0"/>
        </w:rPr>
        <w:t>&lt;/NumAm&gt;</w:t>
      </w:r>
    </w:p>
    <w:p w14:paraId="40688BA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05C2C88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C94DA9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5926EA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68D112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ABE56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534274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8432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96547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8FA037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D305E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95B97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</w:t>
            </w:r>
            <w:r w:rsidRPr="00271CCD">
              <w:rPr>
                <w:b/>
                <w:i/>
                <w:color w:val="000000" w:themeColor="text1"/>
              </w:rPr>
              <w:t>, niezawodnym</w:t>
            </w:r>
            <w:r w:rsidRPr="00271CCD">
              <w:rPr>
                <w:color w:val="000000" w:themeColor="text1"/>
              </w:rPr>
              <w:t xml:space="preserve"> i strategicznym partnerem i że międzynarodowy system oparty na zasadach może sprostać współczesnym wyzwaniom;</w:t>
            </w:r>
          </w:p>
        </w:tc>
      </w:tr>
    </w:tbl>
    <w:p w14:paraId="5A64E83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C2C7D7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29546C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826</w:t>
      </w:r>
      <w:r w:rsidRPr="00271CCD">
        <w:rPr>
          <w:rStyle w:val="HideTWBExt"/>
          <w:b w:val="0"/>
        </w:rPr>
        <w:t>&lt;/NumAm&gt;</w:t>
      </w:r>
    </w:p>
    <w:p w14:paraId="63C8F95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Nathalie Loiseau, Urmas Paet, Hilde Vautmans, Lucia Yar, Petras Auštrevičius</w:t>
      </w:r>
      <w:r w:rsidRPr="00271CCD">
        <w:rPr>
          <w:rStyle w:val="HideTWBExt"/>
          <w:b w:val="0"/>
        </w:rPr>
        <w:t>&lt;/Members&gt;</w:t>
      </w:r>
    </w:p>
    <w:p w14:paraId="301154B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3ECDF5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1407F5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A807CD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62270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D81654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1B4D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C2B40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29AB84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754D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1ECC9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</w:t>
            </w:r>
            <w:r w:rsidRPr="00271CCD">
              <w:rPr>
                <w:b/>
                <w:i/>
                <w:color w:val="000000" w:themeColor="text1"/>
              </w:rPr>
              <w:t>, Marokiem</w:t>
            </w:r>
            <w:r w:rsidRPr="00271CCD">
              <w:rPr>
                <w:color w:val="000000" w:themeColor="text1"/>
              </w:rPr>
              <w:t>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oparty na zasadach może sprostać współczesnym wyzwaniom;</w:t>
            </w:r>
          </w:p>
        </w:tc>
      </w:tr>
    </w:tbl>
    <w:p w14:paraId="449D7C2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8B19D2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6797F4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827</w:t>
      </w:r>
      <w:r w:rsidRPr="00271CCD">
        <w:rPr>
          <w:rStyle w:val="HideTWBExt"/>
          <w:b w:val="0"/>
        </w:rPr>
        <w:t>&lt;/NumAm&gt;</w:t>
      </w:r>
    </w:p>
    <w:p w14:paraId="1E139EB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Hans Neuhoff</w:t>
      </w:r>
      <w:r w:rsidRPr="00271CCD">
        <w:rPr>
          <w:rStyle w:val="HideTWBExt"/>
          <w:b w:val="0"/>
        </w:rPr>
        <w:t>&lt;/Members&gt;</w:t>
      </w:r>
    </w:p>
    <w:p w14:paraId="71BD35A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2C08A6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F8A94E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BDE8FE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7FCCB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2BF375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438CE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822B2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875D9D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ABDE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</w:t>
            </w:r>
            <w:r w:rsidRPr="00271CCD">
              <w:rPr>
                <w:b/>
                <w:i/>
                <w:color w:val="000000" w:themeColor="text1"/>
              </w:rPr>
              <w:t xml:space="preserve"> oparty na zasadach</w:t>
            </w:r>
            <w:r w:rsidRPr="00271CCD">
              <w:rPr>
                <w:color w:val="000000" w:themeColor="text1"/>
              </w:rPr>
              <w:t xml:space="preserve"> może sprostać współczesnym wyzwaniom;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15053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33.</w:t>
            </w:r>
            <w:r w:rsidRPr="00271CCD">
              <w:rPr>
                <w:color w:val="000000" w:themeColor="text1"/>
              </w:rPr>
              <w:tab/>
              <w:t>wzywa wiceprzewodniczącego / wysokiego przedstawiciela i państwa członkowskie do skoncentrowania się na stosunkach dwustronnych z partnerami o podobnych poglądach w Afryce, m.in. z Ghaną, Kenią i Senegalem, z uwzględnieniem wzajemnych potrzeb i interesów, aby wspierać rzeczywiste i zrównoważone partnerstwa; uważa, że zasada „więcej za więcej” powinna być w pełni uwzględniana w stosunkach z państwami spoza UE, co oznacza, że UE powinna rozwijać silniejsze partnerstwa z tymi krajami, które przestrzegają zasad WPZiB i wspólnej polityki bezpieczeństwa i obrony (WPBiO) oraz szanują podstawowe wartości UE; wzywa UE, by spełniła oczekiwania krajów partnerskich i szybko zawarła z nimi porozumienia polityczne, aby pokazać, że UE jest kluczowym i strategicznym partnerem i że międzynarodowy system może sprostać współczesnym wyzwaniom;</w:t>
            </w:r>
          </w:p>
        </w:tc>
      </w:tr>
    </w:tbl>
    <w:p w14:paraId="3C32ABD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{DE}</w:t>
      </w:r>
      <w:r w:rsidRPr="00271CCD">
        <w:rPr>
          <w:color w:val="000000" w:themeColor="text1"/>
        </w:rPr>
        <w:t>de</w:t>
      </w:r>
      <w:r w:rsidRPr="00271CCD">
        <w:rPr>
          <w:rStyle w:val="HideTWBExt"/>
        </w:rPr>
        <w:t>&lt;/Original&gt;</w:t>
      </w:r>
    </w:p>
    <w:p w14:paraId="7EF6C0A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59844F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828</w:t>
      </w:r>
      <w:r w:rsidRPr="00271CCD">
        <w:rPr>
          <w:rStyle w:val="HideTWBExt"/>
          <w:b w:val="0"/>
        </w:rPr>
        <w:t>&lt;/NumAm&gt;</w:t>
      </w:r>
    </w:p>
    <w:p w14:paraId="7D9B6E1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</w:t>
      </w:r>
      <w:r w:rsidRPr="00271CCD">
        <w:rPr>
          <w:rStyle w:val="HideTWBExt"/>
          <w:b w:val="0"/>
        </w:rPr>
        <w:t>&lt;/Members&gt;</w:t>
      </w:r>
    </w:p>
    <w:p w14:paraId="4EDB031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312F6C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993081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E7F6B0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A935B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FE2E85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39BD7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25600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EFD1C3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F8BAC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226EB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33a.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obecność w Afryce rosyjskich paramilitarnych członków milicji Wagnera destabilizuje te kraje i szkodzi interesom Unii Europejskiej w regionie; zauważa, że działania te są częścią strategii służącej destabilizacji politycznych, dyplomatycznych, gospodarczych i wojskowych interesów państw członkowskich UE, w tym Francji, w regionie; przypomina, że na prośbę krajów afrykańskich na dziesięć lat zaangażowano francuskich żołnierzy w walkę z islamskim terroryzmem w Sahelu;</w:t>
            </w:r>
          </w:p>
        </w:tc>
      </w:tr>
    </w:tbl>
    <w:p w14:paraId="6F3078B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319405A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9A8DA2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829</w:t>
      </w:r>
      <w:r w:rsidRPr="00271CCD">
        <w:rPr>
          <w:rStyle w:val="HideTWBExt"/>
          <w:b w:val="0"/>
        </w:rPr>
        <w:t>&lt;/NumAm&gt;</w:t>
      </w:r>
    </w:p>
    <w:p w14:paraId="3DC688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047FB5C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26C75C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5EFCDE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392BFE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BBED7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94692B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DA006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4E3B5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11B30F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6DC0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E3F42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33a.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wyraża zaniepokojenie z powodu trudnej i złożonej sytuacji Sahelu, w szczególności licznych zamachów stanu, których w ostatnich latach dokonano w różnych krajach tego regionu; przypomina, że stabilność Sahelu ma bezpośredni wpływ na bezpieczeństwo i dobrobyt Europy, a także na zarządzanie przepływami migracyjnymi z kontynentu afrykańskiego;</w:t>
            </w:r>
          </w:p>
        </w:tc>
      </w:tr>
    </w:tbl>
    <w:p w14:paraId="0B31A28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0A3432F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4DA08F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830</w:t>
      </w:r>
      <w:r w:rsidRPr="00271CCD">
        <w:rPr>
          <w:rStyle w:val="HideTWBExt"/>
          <w:b w:val="0"/>
        </w:rPr>
        <w:t>&lt;/NumAm&gt;</w:t>
      </w:r>
    </w:p>
    <w:p w14:paraId="7B9649B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Jorge Martín Frías, Hermann Tertsch</w:t>
      </w:r>
      <w:r w:rsidRPr="00271CCD">
        <w:rPr>
          <w:rStyle w:val="HideTWBExt"/>
          <w:b w:val="0"/>
        </w:rPr>
        <w:t>&lt;/Members&gt;</w:t>
      </w:r>
    </w:p>
    <w:p w14:paraId="4F96B97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456B95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E10282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342611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11DD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921DFA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93EB8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BE6B2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0C5958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8F039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8A32A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33b.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popiera negocjacje między Unią Europejską a afrykańskimi krajami nadbrzeżnymi, takimi jak Senegal, mające na celu ustanowienie współpracy między Fronteksem a właściwymi lokalnymi organami imigracyjnymi, aby ograniczyć niekontrolowane przepływy migracyjne;</w:t>
            </w:r>
          </w:p>
        </w:tc>
      </w:tr>
    </w:tbl>
    <w:p w14:paraId="6706D8C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0CB717B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D4B630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831</w:t>
      </w:r>
      <w:r w:rsidRPr="00271CCD">
        <w:rPr>
          <w:rStyle w:val="HideTWBExt"/>
          <w:b w:val="0"/>
        </w:rPr>
        <w:t>&lt;/NumAm&gt;</w:t>
      </w:r>
    </w:p>
    <w:p w14:paraId="0022F8A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58AA1B4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0E528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25EA09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FAA450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43EB6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FAD486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27E8E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DBB7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F2E2A0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C05E0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42A0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33b.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ubolewa, że po niemal 30 latach od wdrożenia procesu barcelońskiego wciąż nie zakończono budowy wspólnej przestrzeni dobrobytu, stabilności i wolności z krajami śródziemnomorskimi południowego sąsiedztwa;</w:t>
            </w:r>
          </w:p>
        </w:tc>
      </w:tr>
    </w:tbl>
    <w:p w14:paraId="09106C8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562019C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D984C8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832</w:t>
      </w:r>
      <w:r w:rsidRPr="00271CCD">
        <w:rPr>
          <w:rStyle w:val="HideTWBExt"/>
          <w:b w:val="0"/>
        </w:rPr>
        <w:t>&lt;/NumAm&gt;</w:t>
      </w:r>
    </w:p>
    <w:p w14:paraId="66BDF49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Jorge Martín Frías, Hermann Tertsch</w:t>
      </w:r>
      <w:r w:rsidRPr="00271CCD">
        <w:rPr>
          <w:rStyle w:val="HideTWBExt"/>
          <w:b w:val="0"/>
        </w:rPr>
        <w:t>&lt;/Members&gt;</w:t>
      </w:r>
    </w:p>
    <w:p w14:paraId="205C711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56B2FF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C1CABF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536BA0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FDFF4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F9F018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8C899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698C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919DB1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0B451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66F03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33c.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operację Atalante w walce z piractwem w Zatoce Adeńskiej; podkreśla zasadniczą rolę operacji Aspides w ochronie szlaków żeglugowych u wybrzeży Jemenu; podkreśla znaczenie operacji Irini u wybrzeży Libii;</w:t>
            </w:r>
          </w:p>
        </w:tc>
      </w:tr>
    </w:tbl>
    <w:p w14:paraId="5FF7309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2910CB6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894E17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833</w:t>
      </w:r>
      <w:r w:rsidRPr="00271CCD">
        <w:rPr>
          <w:rStyle w:val="HideTWBExt"/>
          <w:b w:val="0"/>
        </w:rPr>
        <w:t>&lt;/NumAm&gt;</w:t>
      </w:r>
    </w:p>
    <w:p w14:paraId="129B8D3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74856D2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DB8E91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9D2666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16DC9C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B04C5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38E91F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289C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D1AE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5B6937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82C6D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11ECD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33c.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mianowanie komisarza ds. regionu Morza Śródziemnego;</w:t>
            </w:r>
          </w:p>
        </w:tc>
      </w:tr>
    </w:tbl>
    <w:p w14:paraId="68444D5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1F58E2C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E568A3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834</w:t>
      </w:r>
      <w:r w:rsidRPr="00271CCD">
        <w:rPr>
          <w:rStyle w:val="HideTWBExt"/>
          <w:b w:val="0"/>
        </w:rPr>
        <w:t>&lt;/NumAm&gt;</w:t>
      </w:r>
    </w:p>
    <w:p w14:paraId="490076C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31D9AF9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7324B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F81ECE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 d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0E666F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6A23A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006BDB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87BB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7E72C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F750FD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AA26B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9C54F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33d.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znaczenie zawierania obustronnie korzystnych protokołów ustaleń z krajami południowego sąsiedztwa, służących zwiększeniu stabilności, dobrobytu i obrony praw człowieka; podkreśla istotną rolę krajów południowego sąsiedztwa w dbaniu o to, by zarządzanie przepływami migracyjnymi odbywało się w oparciu o zasady solidarności, równowagi i wspólnej odpowiedzialności państw;</w:t>
            </w:r>
          </w:p>
        </w:tc>
      </w:tr>
    </w:tbl>
    <w:p w14:paraId="38EE02E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1DF2103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5A7AB8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835</w:t>
      </w:r>
      <w:r w:rsidRPr="00271CCD">
        <w:rPr>
          <w:rStyle w:val="HideTWBExt"/>
          <w:b w:val="0"/>
        </w:rPr>
        <w:t>&lt;/NumAm&gt;</w:t>
      </w:r>
    </w:p>
    <w:p w14:paraId="1C6C3EE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7FB5C3C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B23F13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CEADCD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33 e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BF9405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26438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568E13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2679E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1FC8D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D28179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9486D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04F49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33e.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podkreśla rolę, jaką Unia dla Śródziemnomorza może odegrać jako forum zacieśniania współpracy między państwami europejskimi a państwami </w:t>
            </w:r>
          </w:p>
        </w:tc>
      </w:tr>
    </w:tbl>
    <w:p w14:paraId="261D50A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4DAAC50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D6D7F1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836</w:t>
      </w:r>
      <w:r w:rsidRPr="00271CCD">
        <w:rPr>
          <w:rStyle w:val="HideTWBExt"/>
          <w:b w:val="0"/>
        </w:rPr>
        <w:t>&lt;/NumAm&gt;</w:t>
      </w:r>
    </w:p>
    <w:p w14:paraId="4CB09C9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2E736E5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D5E0A7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BC4CD9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663F44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105A4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1CC58F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9F91F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EF3D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1D4D3A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7EC75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B3126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</w:t>
            </w:r>
            <w:r w:rsidRPr="00271CCD">
              <w:rPr>
                <w:b/>
                <w:i/>
                <w:color w:val="000000" w:themeColor="text1"/>
              </w:rPr>
              <w:t>; zauważa, że europejskie zaangażowanie w regionie zmniejszyło się w ostatnich dziesięcioleciach, co stworzyło próżnię dla wrogich podmiotów zagranicznych</w:t>
            </w:r>
            <w:r w:rsidRPr="00271CCD">
              <w:rPr>
                <w:color w:val="000000" w:themeColor="text1"/>
              </w:rPr>
              <w:t>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  <w:r w:rsidRPr="00271CCD">
              <w:rPr>
                <w:b/>
                <w:i/>
                <w:color w:val="000000" w:themeColor="text1"/>
              </w:rPr>
              <w:t xml:space="preserve"> przypomina, że Unia Europejska i państwa regionu dzielą tę samą kulturę, historię, język, religię i wartości, co czyni je tradycyjnymi i podobnie myślącymi partnerami w dzisiejszym kontekście geopolitycznym;</w:t>
            </w:r>
          </w:p>
        </w:tc>
      </w:tr>
    </w:tbl>
    <w:p w14:paraId="1CC975C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7B83CA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D6FCA6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837</w:t>
      </w:r>
      <w:r w:rsidRPr="00271CCD">
        <w:rPr>
          <w:rStyle w:val="HideTWBExt"/>
          <w:b w:val="0"/>
        </w:rPr>
        <w:t>&lt;/NumAm&gt;</w:t>
      </w:r>
    </w:p>
    <w:p w14:paraId="24B5043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Marco Tarquinio, Hana Jalloul Muro</w:t>
      </w:r>
      <w:r w:rsidRPr="00271CCD">
        <w:rPr>
          <w:rStyle w:val="HideTWBExt"/>
          <w:b w:val="0"/>
        </w:rPr>
        <w:t>&lt;/Members&gt;</w:t>
      </w:r>
    </w:p>
    <w:p w14:paraId="4F6EDB2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AD9B9E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DBE049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16A12E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248A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97A825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64C2E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96B3B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DEB923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67F1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A7A18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  <w:r w:rsidRPr="00271CCD">
              <w:rPr>
                <w:b/>
                <w:i/>
                <w:color w:val="000000" w:themeColor="text1"/>
              </w:rPr>
              <w:t xml:space="preserve"> z zadowoleniem przyjmuje nieformalne posiedzenie UE–CELAS i wdrażanie inicjatyw w ramach planu działania UE–CELAS na lata 2023–2025 oraz podkreśla w tym względzie potrzebę przyjęcia nowego i ambitnego planu działania na szczycie w 2025 r., który nadal wzmacnia nasze partnerstwo i uwzględnia osiągnięte dotychczas najlepsze praktyki;</w:t>
            </w:r>
          </w:p>
        </w:tc>
      </w:tr>
    </w:tbl>
    <w:p w14:paraId="4155960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B699E6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FA8DB1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838</w:t>
      </w:r>
      <w:r w:rsidRPr="00271CCD">
        <w:rPr>
          <w:rStyle w:val="HideTWBExt"/>
          <w:b w:val="0"/>
        </w:rPr>
        <w:t>&lt;/NumAm&gt;</w:t>
      </w:r>
    </w:p>
    <w:p w14:paraId="1BEA667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0A6A8E6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4E683E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A5DFC8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E68755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AD537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A0A890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B6F4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984E8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4230C0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37E40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33BE9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</w:t>
            </w:r>
            <w:r w:rsidRPr="00271CCD">
              <w:rPr>
                <w:b/>
                <w:i/>
                <w:color w:val="000000" w:themeColor="text1"/>
              </w:rPr>
              <w:t>, Iranu</w:t>
            </w:r>
            <w:r w:rsidRPr="00271CCD">
              <w:rPr>
                <w:color w:val="000000" w:themeColor="text1"/>
              </w:rPr>
              <w:t xml:space="preserve"> i Rosji w Ameryce Łacińskiej i na Karaibach</w:t>
            </w:r>
            <w:r w:rsidRPr="00271CCD">
              <w:rPr>
                <w:b/>
                <w:i/>
                <w:color w:val="000000" w:themeColor="text1"/>
              </w:rPr>
              <w:t>; wzywa państwa członkowskie UE do uznania zagrożeń stwarzanych w tym względzie przez wrogie organizacje takie jak Forum Sao Paulo i Grupa Puebla, które realizują interesy totalitarnej osi Hawana–Pekin–Moskwa–Teheran kosztem zachodniej obecności w regionie</w:t>
            </w:r>
            <w:r w:rsidRPr="00271CCD">
              <w:rPr>
                <w:color w:val="000000" w:themeColor="text1"/>
              </w:rPr>
              <w:t>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</w:p>
        </w:tc>
      </w:tr>
    </w:tbl>
    <w:p w14:paraId="5F91732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9FBC71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E67D0E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839</w:t>
      </w:r>
      <w:r w:rsidRPr="00271CCD">
        <w:rPr>
          <w:rStyle w:val="HideTWBExt"/>
          <w:b w:val="0"/>
        </w:rPr>
        <w:t>&lt;/NumAm&gt;</w:t>
      </w:r>
    </w:p>
    <w:p w14:paraId="4FC6872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0E3B134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B600C5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EC58B1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453E8A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75E15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B0EEFB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1050B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F5496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38A122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0EB81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podkreśla potrzebę dalszego zacieśniania współpracy UE z krajami Ameryki Łacińskiej o podobnych poglądach, zwłaszcza biorąc pod uwagę rosnące wpływy Chin i Rosji w Ameryce Łacińskiej i na Karaibach; </w:t>
            </w:r>
            <w:r w:rsidRPr="00271CCD">
              <w:rPr>
                <w:color w:val="000000" w:themeColor="text1"/>
              </w:rPr>
              <w:t xml:space="preserve">wzywa państwa członkowskie </w:t>
            </w:r>
            <w:r w:rsidRPr="00271CCD">
              <w:rPr>
                <w:b/>
                <w:i/>
                <w:color w:val="000000" w:themeColor="text1"/>
              </w:rPr>
              <w:t xml:space="preserve">i Europejską Służbę Działań Zewnętrznych (ESDZ) </w:t>
            </w:r>
            <w:r w:rsidRPr="00271CCD">
              <w:rPr>
                <w:color w:val="000000" w:themeColor="text1"/>
              </w:rPr>
              <w:t xml:space="preserve">do </w:t>
            </w:r>
            <w:r w:rsidRPr="00271CCD">
              <w:rPr>
                <w:b/>
                <w:i/>
                <w:color w:val="000000" w:themeColor="text1"/>
              </w:rPr>
              <w:t>prowadzenia aktywnej dyplomacji w tym regionie ze szczególnym naciskiem na obronę wielostronnego porządku światowego, prawa międzynarodowego oraz poszanowania demokracji i praw człowieka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B8185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 xml:space="preserve">wzywa </w:t>
            </w:r>
            <w:r w:rsidRPr="00271CCD">
              <w:rPr>
                <w:b/>
                <w:i/>
                <w:color w:val="000000" w:themeColor="text1"/>
              </w:rPr>
              <w:t xml:space="preserve">wiceprzewodniczącego / wysokiego przedstawiciela i </w:t>
            </w:r>
            <w:r w:rsidRPr="00271CCD">
              <w:rPr>
                <w:color w:val="000000" w:themeColor="text1"/>
              </w:rPr>
              <w:t xml:space="preserve">państwa członkowskie do </w:t>
            </w:r>
            <w:r w:rsidRPr="00271CCD">
              <w:rPr>
                <w:b/>
                <w:i/>
                <w:color w:val="000000" w:themeColor="text1"/>
              </w:rPr>
              <w:t>skoncentrowania się na stosunkach dwustronnych z partnerami w Ameryce Łacińskiej w oparciu o wzajemny szacunek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62E8231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E96DB8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68798E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840</w:t>
      </w:r>
      <w:r w:rsidRPr="00271CCD">
        <w:rPr>
          <w:rStyle w:val="HideTWBExt"/>
          <w:b w:val="0"/>
        </w:rPr>
        <w:t>&lt;/NumAm&gt;</w:t>
      </w:r>
    </w:p>
    <w:p w14:paraId="6B024FA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Robert Biedroń, Sven Mikser, Marco Tarquinio, Vasile Dîncu</w:t>
      </w:r>
      <w:r w:rsidRPr="00271CCD">
        <w:rPr>
          <w:rStyle w:val="HideTWBExt"/>
          <w:b w:val="0"/>
        </w:rPr>
        <w:t>&lt;/Members&gt;</w:t>
      </w:r>
    </w:p>
    <w:p w14:paraId="52B6A3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39E78D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18FCB1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74BDDF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6F278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53B91F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8E9BC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FBF03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BA5DB7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5CD4E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617A8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  <w:r w:rsidRPr="00271CCD">
              <w:rPr>
                <w:b/>
                <w:i/>
                <w:color w:val="000000" w:themeColor="text1"/>
              </w:rPr>
              <w:t xml:space="preserve"> podkreśla potrzebę zastosowania bardziej zdecydowanego podejścia do zajęcia się przemocą wobec obrońców środowiska oraz zwiększenia wysiłków UE w zakresie wspomagania ochrony różnorodności biologicznej i przystosowania się do kryzysu klimatycznego; sugeruje dalsze wzmocnienie współpracy przeciwko nielegalnemu obrotowi środkami odurzającymi;</w:t>
            </w:r>
          </w:p>
        </w:tc>
      </w:tr>
    </w:tbl>
    <w:p w14:paraId="44E04E7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C2E67C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FDAFDA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841</w:t>
      </w:r>
      <w:r w:rsidRPr="00271CCD">
        <w:rPr>
          <w:rStyle w:val="HideTWBExt"/>
          <w:b w:val="0"/>
        </w:rPr>
        <w:t>&lt;/NumAm&gt;</w:t>
      </w:r>
    </w:p>
    <w:p w14:paraId="7F41C15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18A2FFF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043A7F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E8E74E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55CCDD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27D68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37567A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513C5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4DF3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7E9E04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163D9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44E3F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  <w:r w:rsidRPr="00271CCD">
              <w:rPr>
                <w:b/>
                <w:i/>
                <w:color w:val="000000" w:themeColor="text1"/>
              </w:rPr>
              <w:t xml:space="preserve"> wzywa do poczynienia postępów w kwestii podpisania i ratyfikowania umowy ogólnej między UE a Meksykiem; wzywa Komisję do zdecydowanego procedowania i zawarcia umowy z Mercosurem, a jednocześnie do utrzymania najwyższego poziomu ambicji w odniesieniu do egzekwowania przepisów dotyczących zrównoważonego rozwoju;</w:t>
            </w:r>
          </w:p>
        </w:tc>
      </w:tr>
    </w:tbl>
    <w:p w14:paraId="024DFF6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54CC73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04A0E2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842</w:t>
      </w:r>
      <w:r w:rsidRPr="00271CCD">
        <w:rPr>
          <w:rStyle w:val="HideTWBExt"/>
          <w:b w:val="0"/>
        </w:rPr>
        <w:t>&lt;/NumAm&gt;</w:t>
      </w:r>
    </w:p>
    <w:p w14:paraId="340DA38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Corrêa, Hermann Tertsch, Jorge Martín Frías</w:t>
      </w:r>
      <w:r w:rsidRPr="00271CCD">
        <w:rPr>
          <w:rStyle w:val="HideTWBExt"/>
          <w:b w:val="0"/>
        </w:rPr>
        <w:t>&lt;/Members&gt;</w:t>
      </w:r>
    </w:p>
    <w:p w14:paraId="0A46E56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CDAAE1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C55081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F0E765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231CA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7469DA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DF2C2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AD4BE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FF4EE6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1C339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 xml:space="preserve">podkreśla potrzebę dalszego zacieśniania współpracy UE z krajami Ameryki Łacińskiej o podobnych poglądach, zwłaszcza biorąc pod uwagę rosnące wpływy Chin i Rosji w Ameryce Łacińskiej i na Karaibach; wzywa państwa członkowskie </w:t>
            </w:r>
            <w:r w:rsidRPr="00271CCD">
              <w:rPr>
                <w:b/>
                <w:i/>
                <w:color w:val="000000" w:themeColor="text1"/>
              </w:rPr>
              <w:t xml:space="preserve">i Europejską Służbę Działań Zewnętrznych (ESDZ) </w:t>
            </w:r>
            <w:r w:rsidRPr="00271CCD">
              <w:rPr>
                <w:color w:val="000000" w:themeColor="text1"/>
              </w:rPr>
              <w:t>do prowadzenia aktywnej dyplomacji w tym regionie ze szczególnym naciskiem na obronę wielostronnego porządku światowego, prawa międzynarodowego oraz poszanowania demokracji i 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F3183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do prowadzenia aktywnej dyplomacji w tym regionie ze szczególnym naciskiem na obronę wielostronnego porządku światowego, prawa międzynarodowego oraz poszanowania demokracji i praw człowieka;</w:t>
            </w:r>
            <w:r w:rsidRPr="00271CCD">
              <w:rPr>
                <w:b/>
                <w:i/>
                <w:color w:val="000000" w:themeColor="text1"/>
              </w:rPr>
              <w:t xml:space="preserve"> podkreśla, że autorytaryzm ma wymiar szczególnie dramatyczny w regionie w reżimach totalitarnych takich jak w Wenezueli, na Kubie i w Nikaragui; wzywa do silnego wsparcia demokratycznej opozycji we wspomnianych reżimach z jednoczesnym zawieszeniem wszelkich obowiązujących umów i pomocy finansowej na ich rzecz;</w:t>
            </w:r>
          </w:p>
        </w:tc>
      </w:tr>
    </w:tbl>
    <w:p w14:paraId="426A483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260862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8B418A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843</w:t>
      </w:r>
      <w:r w:rsidRPr="00271CCD">
        <w:rPr>
          <w:rStyle w:val="HideTWBExt"/>
          <w:b w:val="0"/>
        </w:rPr>
        <w:t>&lt;/NumAm&gt;</w:t>
      </w:r>
    </w:p>
    <w:p w14:paraId="4023691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</w:t>
      </w:r>
      <w:r w:rsidRPr="00271CCD">
        <w:rPr>
          <w:rStyle w:val="HideTWBExt"/>
          <w:b w:val="0"/>
        </w:rPr>
        <w:t>&lt;/Members&gt;</w:t>
      </w:r>
    </w:p>
    <w:p w14:paraId="29841CD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C53D48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70DFAA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7D638E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5421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67C3F1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513B1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5517B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D013D3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8E481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70DDF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  <w:r w:rsidRPr="00271CCD">
              <w:rPr>
                <w:b/>
                <w:i/>
                <w:color w:val="000000" w:themeColor="text1"/>
              </w:rPr>
              <w:t xml:space="preserve"> wzywa do promowania wielostronnej inicjatywy, aby zająć się niestabilnością polityczną na Haiti i niekontrolowaną przemocą wobec lokalnej ludności;</w:t>
            </w:r>
          </w:p>
        </w:tc>
      </w:tr>
    </w:tbl>
    <w:p w14:paraId="3396BFC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946EEF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0A624B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844</w:t>
      </w:r>
      <w:r w:rsidRPr="00271CCD">
        <w:rPr>
          <w:rStyle w:val="HideTWBExt"/>
          <w:b w:val="0"/>
        </w:rPr>
        <w:t>&lt;/NumAm&gt;</w:t>
      </w:r>
    </w:p>
    <w:p w14:paraId="40DA9EE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Roberto Vannacci</w:t>
      </w:r>
      <w:r w:rsidRPr="00271CCD">
        <w:rPr>
          <w:rStyle w:val="HideTWBExt"/>
          <w:b w:val="0"/>
        </w:rPr>
        <w:t>&lt;/Members&gt;</w:t>
      </w:r>
    </w:p>
    <w:p w14:paraId="1E0F54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D389F8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04C925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9EA0CC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9742C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DF3400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F946D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1FC5C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BE308F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D2E2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 xml:space="preserve"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aktywnej</w:t>
            </w:r>
            <w:r w:rsidRPr="00271CCD">
              <w:rPr>
                <w:color w:val="000000" w:themeColor="text1"/>
              </w:rPr>
              <w:t xml:space="preserve"> dyplomacji w tym regionie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ze szczególnym naciskiem na obronę wielostronnego porządku światowego, prawa międzynarodowego oraz poszanowania demokracji i praw człowieka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0F880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 xml:space="preserve"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realistycznej</w:t>
            </w:r>
            <w:r w:rsidRPr="00271CCD">
              <w:rPr>
                <w:color w:val="000000" w:themeColor="text1"/>
              </w:rPr>
              <w:t xml:space="preserve"> dyplomacji w tym regionie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, z uwzględnieniem przede wszystkim interesów europejskich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4FDB555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2C65458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B6C745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845</w:t>
      </w:r>
      <w:r w:rsidRPr="00271CCD">
        <w:rPr>
          <w:rStyle w:val="HideTWBExt"/>
          <w:b w:val="0"/>
        </w:rPr>
        <w:t>&lt;/NumAm&gt;</w:t>
      </w:r>
    </w:p>
    <w:p w14:paraId="4AB8F54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34A6179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2E4705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0B6D46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4901AA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FF7DF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9C715A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5BAC7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F55B9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B9AB1F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5ABA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E75AF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demokracji i praw człowieka</w:t>
            </w:r>
            <w:r w:rsidRPr="00271CCD">
              <w:rPr>
                <w:b/>
                <w:i/>
                <w:color w:val="000000" w:themeColor="text1"/>
              </w:rPr>
              <w:t>, a także współpracę gospodarczą, w tym dostęp do surowców krytycznych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28AB307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A6E50D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22990B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846</w:t>
      </w:r>
      <w:r w:rsidRPr="00271CCD">
        <w:rPr>
          <w:rStyle w:val="HideTWBExt"/>
          <w:b w:val="0"/>
        </w:rPr>
        <w:t>&lt;/NumAm&gt;</w:t>
      </w:r>
    </w:p>
    <w:p w14:paraId="7FA089C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Hans Neuhoff</w:t>
      </w:r>
      <w:r w:rsidRPr="00271CCD">
        <w:rPr>
          <w:rStyle w:val="HideTWBExt"/>
          <w:b w:val="0"/>
        </w:rPr>
        <w:t>&lt;/Members&gt;</w:t>
      </w:r>
    </w:p>
    <w:p w14:paraId="4CD268F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F11A54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2FE243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D0446A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C0AEF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B99D2E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6DB6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C698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161AB2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3C1CB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</w:t>
            </w:r>
            <w:r w:rsidRPr="00271CCD">
              <w:rPr>
                <w:b/>
                <w:i/>
                <w:color w:val="000000" w:themeColor="text1"/>
              </w:rPr>
              <w:t xml:space="preserve"> </w:t>
            </w:r>
            <w:r w:rsidRPr="00271CCD">
              <w:rPr>
                <w:color w:val="000000" w:themeColor="text1"/>
              </w:rPr>
              <w:t xml:space="preserve">poszanowania </w:t>
            </w:r>
            <w:r w:rsidRPr="00271CCD">
              <w:rPr>
                <w:b/>
                <w:i/>
                <w:color w:val="000000" w:themeColor="text1"/>
              </w:rPr>
              <w:t xml:space="preserve">demokracji i </w:t>
            </w:r>
            <w:r w:rsidRPr="00271CCD">
              <w:rPr>
                <w:color w:val="000000" w:themeColor="text1"/>
              </w:rPr>
              <w:t>praw człowieka;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257E0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34.</w:t>
            </w:r>
            <w:r w:rsidRPr="00271CCD">
              <w:rPr>
                <w:color w:val="000000" w:themeColor="text1"/>
              </w:rPr>
              <w:tab/>
              <w:t>podkreśla potrzebę dalszego zacieśniania współpracy UE z krajami Ameryki Łacińskiej o podobnych poglądach, zwłaszcza biorąc pod uwagę rosnące wpływy Chin i Rosji w Ameryce Łacińskiej i na Karaibach; wzywa państwa członkowskie i Europejską Służbę Działań Zewnętrznych (ESDZ) do prowadzenia aktywnej dyplomacji w tym regionie ze szczególnym naciskiem na obronę wielostronnego porządku światowego, prawa międzynarodowego oraz poszanowania praw człowieka;</w:t>
            </w:r>
          </w:p>
        </w:tc>
      </w:tr>
    </w:tbl>
    <w:p w14:paraId="0AEF459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{DE}</w:t>
      </w:r>
      <w:r w:rsidRPr="00271CCD">
        <w:rPr>
          <w:color w:val="000000" w:themeColor="text1"/>
        </w:rPr>
        <w:t>de</w:t>
      </w:r>
      <w:r w:rsidRPr="00271CCD">
        <w:rPr>
          <w:rStyle w:val="HideTWBExt"/>
        </w:rPr>
        <w:t>&lt;/Original&gt;</w:t>
      </w:r>
    </w:p>
    <w:p w14:paraId="184C9C1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524904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847</w:t>
      </w:r>
      <w:r w:rsidRPr="00271CCD">
        <w:rPr>
          <w:rStyle w:val="HideTWBExt"/>
          <w:b w:val="0"/>
        </w:rPr>
        <w:t>&lt;/NumAm&gt;</w:t>
      </w:r>
    </w:p>
    <w:p w14:paraId="46C05EB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5CFD972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79C676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637585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36646D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44185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C079FE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B8E81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ACC4D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ADB681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E452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00842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wyraża poparcie dla działań misji Unii Europejskiej w Armenii (EUMA) i podkreśla ważną rolę, jaką ta misja odgrywa; wzywa EUMA, aby nadal ściśle monitorowała zmieniającą się sytuację w zakresie bezpieczeństwa na miejscu, przedstawiała przejrzyste sprawozdania Parlamentowi i wnosiła aktywny wkład w działania podejmowane w celu rozwiązania konfliktu; apeluje do UE i jej państw członkowskich, by wzmocniły mandat EUMA, zwiększyły jej wielkość i przedłużyły jej czas trwania; wzywa władze Azerbejdżanu, by wyraziły zgodę na taką misję cywilną także po swojej stronie granicy;</w:t>
            </w:r>
          </w:p>
        </w:tc>
      </w:tr>
    </w:tbl>
    <w:p w14:paraId="5E345D7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9F1AF4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74439E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848</w:t>
      </w:r>
      <w:r w:rsidRPr="00271CCD">
        <w:rPr>
          <w:rStyle w:val="HideTWBExt"/>
          <w:b w:val="0"/>
        </w:rPr>
        <w:t>&lt;/NumAm&gt;</w:t>
      </w:r>
    </w:p>
    <w:p w14:paraId="2F6D0A9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Petras Auštrevičius, Dan Barna, Urmas Paet, Ilhan Kyuchyuk, Lucia Yar, Nathalie Loiseau</w:t>
      </w:r>
      <w:r w:rsidRPr="00271CCD">
        <w:rPr>
          <w:rStyle w:val="HideTWBExt"/>
          <w:b w:val="0"/>
        </w:rPr>
        <w:t>&lt;/Members&gt;</w:t>
      </w:r>
    </w:p>
    <w:p w14:paraId="053AF50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1D6E8A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CA84A1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9FBA41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E9AF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6B2A3D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D3B0B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2F67E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1E7941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4490D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76C16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wiceprzewodniczącego / wysokiego przedstawiciela, by postawił promowanie demokracji na pierwszym miejscu w ramach WPZiB oraz by zapewnił proaktywną rolę UE w tym względzie, opierając się na wnioskach wyciągniętych z wcześniejszych działań na rzecz wsparcia demokracji, w szczególności wspierających społeczeństwo obywatelskie, obrońców praw człowieka, krytyczne głosy, opozycję demokratyczną i media;</w:t>
            </w:r>
          </w:p>
        </w:tc>
      </w:tr>
    </w:tbl>
    <w:p w14:paraId="7C283AB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E61B04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5A3ACC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849</w:t>
      </w:r>
      <w:r w:rsidRPr="00271CCD">
        <w:rPr>
          <w:rStyle w:val="HideTWBExt"/>
          <w:b w:val="0"/>
        </w:rPr>
        <w:t>&lt;/NumAm&gt;</w:t>
      </w:r>
    </w:p>
    <w:p w14:paraId="73287FD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73BE7A9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D71879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76C51A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D77B9E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52F6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908917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2319E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A55DB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B1A438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C067B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5835F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podpisanie zaawansowanej umowy ramowej między UE a Chile oraz wzywa do szybkiej i pełnej ratyfikacji tej umowy; apeluje o poczynienie kolejnych kroków w kierunku podpisania i ratyfikacji układu o stowarzyszeniu między UE a Meksykiem; wzywa Komisję, by poczyniła zdecydowane postępy w pracach nad umową z Mercosurem;</w:t>
            </w:r>
          </w:p>
        </w:tc>
      </w:tr>
    </w:tbl>
    <w:p w14:paraId="699E72B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7EA4492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0FAC03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850</w:t>
      </w:r>
      <w:r w:rsidRPr="00271CCD">
        <w:rPr>
          <w:rStyle w:val="HideTWBExt"/>
          <w:b w:val="0"/>
        </w:rPr>
        <w:t>&lt;/NumAm&gt;</w:t>
      </w:r>
    </w:p>
    <w:p w14:paraId="7EAC2F0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Seán Kelly</w:t>
      </w:r>
      <w:r w:rsidRPr="00271CCD">
        <w:rPr>
          <w:rStyle w:val="HideTWBExt"/>
          <w:b w:val="0"/>
        </w:rPr>
        <w:t>&lt;/Members&gt;</w:t>
      </w:r>
    </w:p>
    <w:p w14:paraId="2E94285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4DC1F2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BA489B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BEB766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44FEB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65EE90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2A772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2916D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189169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1DF1E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D7093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postępy w kierunku umowy handlowej UE–Australia, która wzmocni stosunki z partnerem o zbieżnych poglądach w regionie Pacyfiku;</w:t>
            </w:r>
          </w:p>
        </w:tc>
      </w:tr>
    </w:tbl>
    <w:p w14:paraId="33354F2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F29E44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879E17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851</w:t>
      </w:r>
      <w:r w:rsidRPr="00271CCD">
        <w:rPr>
          <w:rStyle w:val="HideTWBExt"/>
          <w:b w:val="0"/>
        </w:rPr>
        <w:t>&lt;/NumAm&gt;</w:t>
      </w:r>
    </w:p>
    <w:p w14:paraId="66CC8D7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505B1B2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22D0DE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57BC20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09F193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FF96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C9F543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96388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046B9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ABAA86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6DD6B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D1CD3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potępia Azerbejdżan za ciągłe próby podważenia możliwości regionalnego pokoju i ciągłe groźby przeciwko Armenii; wzywa UE i jej państwa członkowskie do wyłączenia wszelkiej pomocy w zakresie bezpieczeństwa, technicznej lub finansowej dla Azerbejdżanu, w tym za pośrednictwem różnych instrumentów UE, która mogłaby przyczynić się do zwiększenia zdolności ofensywnych Azerbejdżanu lub zagrażać bezpieczeństwu, integralności terytorialnej i suwerenności Armenii;</w:t>
            </w:r>
          </w:p>
        </w:tc>
      </w:tr>
    </w:tbl>
    <w:p w14:paraId="15DC116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693570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D5505A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852</w:t>
      </w:r>
      <w:r w:rsidRPr="00271CCD">
        <w:rPr>
          <w:rStyle w:val="HideTWBExt"/>
          <w:b w:val="0"/>
        </w:rPr>
        <w:t>&lt;/NumAm&gt;</w:t>
      </w:r>
    </w:p>
    <w:p w14:paraId="41C73BF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1354AAF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2302BC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D0BA3B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DD994D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9589F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FA85E3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2F5E4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0E54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E1DDEF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33F97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F52F2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wyraża zaniepokojenie z powodu wzrostu przestępczości zorganizowanej i nielegalnego obrotu środkami odurzającymi w Ameryce Łacińskiej, co ma również wpływ na Unię Europejską; wzywa do znacznego zacieśnienia współpracy międzyregionalnej w zakresie walki z tymi problemami oraz do zapewnienia odpowiedniego finansowania;</w:t>
            </w:r>
          </w:p>
        </w:tc>
      </w:tr>
    </w:tbl>
    <w:p w14:paraId="5AFFFC6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2983D91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3FBC1D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853</w:t>
      </w:r>
      <w:r w:rsidRPr="00271CCD">
        <w:rPr>
          <w:rStyle w:val="HideTWBExt"/>
          <w:b w:val="0"/>
        </w:rPr>
        <w:t>&lt;/NumAm&gt;</w:t>
      </w:r>
    </w:p>
    <w:p w14:paraId="0C482C7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47DEEFD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EA46C7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4E2DFA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3F6832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AA3D1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B34DB4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1178C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536AC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62AB6D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CD952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DFC8E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uznaje Edmundo Gonzáleza Urrutię za prawowitego i demokratycznie wybranego prezydenta Wenezueli; uznaje również Marię Corinę Machado za przywódczynię sił demokratycznych w Wenezueli; przypomina, że oboje otrzymali Nagrodę im. Sacharowa za wolność myśli w 2024 r.; ponawia apel do UE i jej państw członkowskich o dołożenie wszelkich starań, aby prawowity i demokratycznie wybrany prezydent mógł objąć urząd 10 stycznia 2025 r., zgodnie z konstytucją Wenezueli;</w:t>
            </w:r>
          </w:p>
        </w:tc>
      </w:tr>
    </w:tbl>
    <w:p w14:paraId="1FB5DC3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1ECD9F4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9A0BAE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854</w:t>
      </w:r>
      <w:r w:rsidRPr="00271CCD">
        <w:rPr>
          <w:rStyle w:val="HideTWBExt"/>
          <w:b w:val="0"/>
        </w:rPr>
        <w:t>&lt;/NumAm&gt;</w:t>
      </w:r>
    </w:p>
    <w:p w14:paraId="563015D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0DC31A6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0D96CF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036F1E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B3194D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EA725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B83AAF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28533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0D9E6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6EC44A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41B66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FF084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ponawia swój apel do UE o zakończenie zależności od eksportu gazu z Azerbejdżanu; wzywa Komisję do zawieszenia protokołu ustaleń z 2022 r. w sprawie partnerstwa strategicznego w dziedzinie energii i podjęcia w tym zakresie odpowiednich działań oraz przeprowadzenia w końcu szczegółowego dochodzenia w sprawie rebrandingu rosyjskiego gazu jako azerbejdżańskiego do celów sprzedaży w Europie;</w:t>
            </w:r>
          </w:p>
        </w:tc>
      </w:tr>
    </w:tbl>
    <w:p w14:paraId="2111DC5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53E8EC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647E62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855</w:t>
      </w:r>
      <w:r w:rsidRPr="00271CCD">
        <w:rPr>
          <w:rStyle w:val="HideTWBExt"/>
          <w:b w:val="0"/>
        </w:rPr>
        <w:t>&lt;/NumAm&gt;</w:t>
      </w:r>
    </w:p>
    <w:p w14:paraId="3F55AAB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5482A65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3332C9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D43964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d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D1AB0F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8ABF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F29A2B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05074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5AE3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B9FA66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54106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0756F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34d.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do pełnego wdrożenia wszystkich postanowień wydanych przez Międzynarodowy Trybunał Sprawiedliwości, w tym postanowienia z 17 listopada 2023 r. wskazującego środki tymczasowe dotyczące bezpiecznego, niezakłóconego i szybkiego powrotu osób, które uciekły z Górskiego Karabachu; ponawia apel o przeprowadzenie niezależnych dochodzeń w sprawie nadużyć popełnianych przez siły azerbejdżańskie w Górskim Karabachu; ponownie wzywa władze Azerbejdżanu, aby umożliwiły ludności ormiańskiej bezpieczny powrót do Górskiego Karabachu, rzeczywiście zaangażowały się w kompleksowy i przejrzysty dialog z nią, udzieliły solidnych gwarancji ochrony jej praw, w tym praw do ziemi i własności, ochrony ich odrębnej tożsamości oraz praw obywatelskich, kulturowych, społecznych i religijnych, a także powstrzymały się od podburzającej retoryki, która mogłaby podżegać do dyskryminacji Ormian; wzywa władze Azerbejdżanu do uwolnienia wszystkich 23 armeńskich jeńców wojennych zatrzymanych po ponownym zaatakowaniu przez Azerbejdżan regionu Górskiego Karabachu; ponawia apel do instytucji UE i państw członkowskich o dalsze oferowanie Armenii pomocy w radzeniu sobie z uchodźcami z Górskiego Karabachu; w związku z tym wzywa UE do zaoferowania Armenii nowego pakietu pomocy, tak aby pomóc rządowi Armenii w zaspokojeniu potrzeb humanitarnych uchodźców; </w:t>
            </w:r>
          </w:p>
        </w:tc>
      </w:tr>
    </w:tbl>
    <w:p w14:paraId="26BECBF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0A40F8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93104D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856</w:t>
      </w:r>
      <w:r w:rsidRPr="00271CCD">
        <w:rPr>
          <w:rStyle w:val="HideTWBExt"/>
          <w:b w:val="0"/>
        </w:rPr>
        <w:t>&lt;/NumAm&gt;</w:t>
      </w:r>
    </w:p>
    <w:p w14:paraId="2893692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3A36983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B7B8BD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DB19B7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34 e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76451F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A5F99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F9F7F4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9819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DC75C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9490B7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E1B54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F46EB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34e.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regularne posiedzenia w formacie dialogu na temat polityki i bezpieczeństwa UE–Armenia, które stanowią kolejny kamień milowy współpracy w dziedzinie obrony i bezpieczeństwa między stronami; ponadto z zadowoleniem przyjmuje decyzję o przyjęciu pierwszego środka pomocy w ramach Europejskiego Instrumentu na rzecz Pokoju wspierającego armeńskie siły zbrojne i wzywa do dalszego zacieśniania współpracy między Armenią a UE w dziedzinie bezpieczeństwa i obrony; z zadowoleniem przyjmuje działania, które niektóre państwa członkowskie podjęły, by zapewnić Armenii wojskowe wsparcie obronne, i wzywa państwa członkowskie, by rozważyły podobne inicjatywy; z zadowoleniem przyjmuje nowy impuls w stosunkach dwustronnych między UE a Armenią, który jest silnie wspierany przez władze w Erywaniu; wzywa Komisję i Radę, by aktywnie wspierały dążenia Armenii do zacieśnienia współpracy z UE;</w:t>
            </w:r>
          </w:p>
        </w:tc>
      </w:tr>
    </w:tbl>
    <w:p w14:paraId="624AE1E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DC826F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A1BE43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857</w:t>
      </w:r>
      <w:r w:rsidRPr="00271CCD">
        <w:rPr>
          <w:rStyle w:val="HideTWBExt"/>
          <w:b w:val="0"/>
        </w:rPr>
        <w:t>&lt;/NumAm&gt;</w:t>
      </w:r>
    </w:p>
    <w:p w14:paraId="3B0F31C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50F670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93A14A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436841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F2E990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7615C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656AAD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1C00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2039D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068ED4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3EDF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wiceprzewodniczącego / wysokiego przedstawiciela, by za priorytet swojej kadencji uznał pracę z demokracjami o podobnych poglądach oraz by usystematyzował współpracę i konsultacje z demokratycznymi partnerami o podobnych poglądach w celu poprawy wspólnej gotowości i dostępu do zasobów reagowania kryzysowego;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2DE9A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4462A4B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754D81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8BAAC3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858</w:t>
      </w:r>
      <w:r w:rsidRPr="00271CCD">
        <w:rPr>
          <w:rStyle w:val="HideTWBExt"/>
          <w:b w:val="0"/>
        </w:rPr>
        <w:t>&lt;/NumAm&gt;</w:t>
      </w:r>
    </w:p>
    <w:p w14:paraId="7C6E4F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2EE78D4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422FB2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D0A3A1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53C817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63A1A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50F7B9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3EB1B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35191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644444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6191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wiceprzewodniczącego / wysokiego przedstawiciela, by za priorytet swojej kadencji uznał pracę z demokracjami o podobnych poglądach oraz by usystematyzował współpracę i konsultacje z demokratycznymi partnerami o podobnych poglądach w celu poprawy wspólnej gotowości i dostępu do zasobów reagowania kryzysowego;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FD662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13FD13E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EF1DEF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558C04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859</w:t>
      </w:r>
      <w:r w:rsidRPr="00271CCD">
        <w:rPr>
          <w:rStyle w:val="HideTWBExt"/>
          <w:b w:val="0"/>
        </w:rPr>
        <w:t>&lt;/NumAm&gt;</w:t>
      </w:r>
    </w:p>
    <w:p w14:paraId="08D495C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Merja Kyllönen</w:t>
      </w:r>
      <w:r w:rsidRPr="00271CCD">
        <w:rPr>
          <w:rStyle w:val="HideTWBExt"/>
          <w:b w:val="0"/>
        </w:rPr>
        <w:t>&lt;/Members&gt;</w:t>
      </w:r>
    </w:p>
    <w:p w14:paraId="5E83633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181FFF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346399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B5B8D8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1B536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69E7C2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52531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4A25F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9F21B1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0E73D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  <w:t>wzywa wiceprzewodniczącego / wysokiego przedstawiciela, by za priorytet swojej kadencji uznał pracę z demokracjami o podobnych poglądach oraz by usystematyzował współpracę i konsultacje z demokratycznymi partnerami o podobnych poglądach w celu poprawy wspólnej gotowości i dostępu do zasobów reagowania kryzysowego;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7F8A8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  <w:t>wzywa wiceprzewodniczącego / wysokiego przedstawiciela, by za priorytet swojej kadencji uznał pracę z demokracjami o podobnych poglądach oraz by usystematyzował współpracę i konsultacje z demokratycznymi partnerami o podobnych poglądach w celu poprawy wspólnej gotowości i dostępu do zasobów reagowania kryzysowego;</w:t>
            </w:r>
            <w:r w:rsidRPr="00271CCD">
              <w:rPr>
                <w:b/>
                <w:i/>
                <w:color w:val="000000" w:themeColor="text1"/>
              </w:rPr>
              <w:t xml:space="preserve"> wzywa w związku z tym UE do utrzymania istniejących kanałów komunikacji z różnymi zainteresowanymi stronami, analizowania nowych formatów oraz dalszego opracowywania kompleksowego zestawu narzędzi służących wzmocnieniu praw człowieka i demokracji na całym świecie;</w:t>
            </w:r>
          </w:p>
        </w:tc>
      </w:tr>
    </w:tbl>
    <w:p w14:paraId="7805DDC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41908E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A0B156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860</w:t>
      </w:r>
      <w:r w:rsidRPr="00271CCD">
        <w:rPr>
          <w:rStyle w:val="HideTWBExt"/>
          <w:b w:val="0"/>
        </w:rPr>
        <w:t>&lt;/NumAm&gt;</w:t>
      </w:r>
    </w:p>
    <w:p w14:paraId="764234F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64F7BCC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F12FE1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6AA3DE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18EE92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158B5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339FFB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2B27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5556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420E7D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13411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  <w:t>wzywa wiceprzewodniczącego / wysokiego przedstawiciela, by za priorytet swojej kadencji uznał pracę z demokracjami o podobnych poglądach oraz by usystematyzował współpracę i konsultacje z demokratycznymi partnerami o podobnych poglądach w celu poprawy wspólnej gotowości i dostępu do zasobów reagowania kryzysowego;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58E4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  <w:t>wzywa wiceprzewodniczącego / wysokiego przedstawiciela, by za priorytet swojej kadencji uznał pracę z demokracjami o podobnych poglądach oraz by usystematyzował współpracę i konsultacje z demokratycznymi partnerami o podobnych poglądach w celu poprawy wspólnej gotowości i dostępu do zasobów reagowania kryzysowego;</w:t>
            </w:r>
            <w:r w:rsidRPr="00271CCD">
              <w:rPr>
                <w:b/>
                <w:i/>
                <w:color w:val="000000" w:themeColor="text1"/>
              </w:rPr>
              <w:t xml:space="preserve"> powtarza w tym kontekście zalecenie dotyczące pogłębienia powiązań z organizacjami regionalnymi takimi jak ASEAN lub Unia Afrykańska w celu wzmocnienia ram bezpieczeństwa kooperatywnego;</w:t>
            </w:r>
          </w:p>
        </w:tc>
      </w:tr>
    </w:tbl>
    <w:p w14:paraId="3D6C013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377306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D05E8F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861</w:t>
      </w:r>
      <w:r w:rsidRPr="00271CCD">
        <w:rPr>
          <w:rStyle w:val="HideTWBExt"/>
          <w:b w:val="0"/>
        </w:rPr>
        <w:t>&lt;/NumAm&gt;</w:t>
      </w:r>
    </w:p>
    <w:p w14:paraId="06C7E37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Petras Auštrevičius, Dan Barna, Urmas Paet, Ilhan Kyuchyuk, Lucia Yar, Marie-Agnes Strack-Zimmermann, Nathalie Loiseau</w:t>
      </w:r>
      <w:r w:rsidRPr="00271CCD">
        <w:rPr>
          <w:rStyle w:val="HideTWBExt"/>
          <w:b w:val="0"/>
        </w:rPr>
        <w:t>&lt;/Members&gt;</w:t>
      </w:r>
    </w:p>
    <w:p w14:paraId="3D6D1C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DD7FD7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222E94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2C73A1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5B89E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CBA356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0C71E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7A73D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7069DD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9E87E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  <w:t>wzywa wiceprzewodniczącego / wysokiego przedstawiciela, by za priorytet swojej kadencji uznał pracę z demokracjami o podobnych poglądach oraz by usystematyzował współpracę i konsultacje z demokratycznymi partnerami o podobnych poglądach w celu poprawy wspólnej gotowości i dostępu do zasobów reagowania kryzysowego;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D0959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  <w:t xml:space="preserve">wzywa wiceprzewodniczącego / wysokiego przedstawiciela, by za priorytet swojej kadencji uznał pracę z demokracjami o podobnych poglądach oraz by usystematyzował współpracę i konsultacje z demokratycznymi partnerami o podobnych poglądach w celu </w:t>
            </w:r>
            <w:r w:rsidRPr="00271CCD">
              <w:rPr>
                <w:b/>
                <w:i/>
                <w:color w:val="000000" w:themeColor="text1"/>
              </w:rPr>
              <w:t xml:space="preserve">promowania demokracji, </w:t>
            </w:r>
            <w:r w:rsidRPr="00271CCD">
              <w:rPr>
                <w:color w:val="000000" w:themeColor="text1"/>
              </w:rPr>
              <w:t>poprawy wspólnej gotowości i dostępu do zasobów reagowania kryzysowego;</w:t>
            </w:r>
          </w:p>
        </w:tc>
      </w:tr>
    </w:tbl>
    <w:p w14:paraId="43E2037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0ACD01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14B288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862</w:t>
      </w:r>
      <w:r w:rsidRPr="00271CCD">
        <w:rPr>
          <w:rStyle w:val="HideTWBExt"/>
          <w:b w:val="0"/>
        </w:rPr>
        <w:t>&lt;/NumAm&gt;</w:t>
      </w:r>
    </w:p>
    <w:p w14:paraId="1B5E684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Hans Neuhoff</w:t>
      </w:r>
      <w:r w:rsidRPr="00271CCD">
        <w:rPr>
          <w:rStyle w:val="HideTWBExt"/>
          <w:b w:val="0"/>
        </w:rPr>
        <w:t>&lt;/Members&gt;</w:t>
      </w:r>
    </w:p>
    <w:p w14:paraId="0FD3769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E78351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498EDA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A59B1E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E2BC2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2BDF87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0B0DE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2099E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98DA94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F2694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  <w:t xml:space="preserve">wzywa wiceprzewodniczącego / wysokiego przedstawiciela, by za priorytet swojej kadencji uznał pracę z </w:t>
            </w:r>
            <w:r w:rsidRPr="00271CCD">
              <w:rPr>
                <w:b/>
                <w:i/>
                <w:color w:val="000000" w:themeColor="text1"/>
              </w:rPr>
              <w:t xml:space="preserve">demokracjami </w:t>
            </w:r>
            <w:r w:rsidRPr="00271CCD">
              <w:rPr>
                <w:color w:val="000000" w:themeColor="text1"/>
              </w:rPr>
              <w:t xml:space="preserve">o podobnych poglądach oraz by usystematyzował współpracę i konsultacje z </w:t>
            </w:r>
            <w:r w:rsidRPr="00271CCD">
              <w:rPr>
                <w:b/>
                <w:i/>
                <w:color w:val="000000" w:themeColor="text1"/>
              </w:rPr>
              <w:t>demokratycznymi</w:t>
            </w:r>
            <w:r w:rsidRPr="00271CCD">
              <w:rPr>
                <w:color w:val="000000" w:themeColor="text1"/>
              </w:rPr>
              <w:t xml:space="preserve"> partnerami o podobnych poglądach w celu poprawy wspólnej gotowości i dostępu do zasobów reagowania kryzysowego;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E173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35.</w:t>
            </w:r>
            <w:r w:rsidRPr="00271CCD">
              <w:rPr>
                <w:color w:val="000000" w:themeColor="text1"/>
              </w:rPr>
              <w:tab/>
              <w:t xml:space="preserve">wzywa wiceprzewodniczącego / wysokiego przedstawiciela, by za priorytet swojej kadencji uznał pracę z </w:t>
            </w:r>
            <w:r w:rsidRPr="00271CCD">
              <w:rPr>
                <w:b/>
                <w:i/>
                <w:color w:val="000000" w:themeColor="text1"/>
              </w:rPr>
              <w:t xml:space="preserve">partnerami </w:t>
            </w:r>
            <w:r w:rsidRPr="00271CCD">
              <w:rPr>
                <w:color w:val="000000" w:themeColor="text1"/>
              </w:rPr>
              <w:t>o podobnych poglądach oraz by usystematyzował współpracę i konsultacje z partnerami o podobnych poglądach w celu poprawy wspólnej gotowości i dostępu do zasobów reagowania kryzysowego;</w:t>
            </w:r>
          </w:p>
        </w:tc>
      </w:tr>
    </w:tbl>
    <w:p w14:paraId="1AA475F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{DE}</w:t>
      </w:r>
      <w:r w:rsidRPr="00271CCD">
        <w:rPr>
          <w:color w:val="000000" w:themeColor="text1"/>
        </w:rPr>
        <w:t>de</w:t>
      </w:r>
      <w:r w:rsidRPr="00271CCD">
        <w:rPr>
          <w:rStyle w:val="HideTWBExt"/>
        </w:rPr>
        <w:t>&lt;/Original&gt;</w:t>
      </w:r>
    </w:p>
    <w:p w14:paraId="324D744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46BB26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863</w:t>
      </w:r>
      <w:r w:rsidRPr="00271CCD">
        <w:rPr>
          <w:rStyle w:val="HideTWBExt"/>
          <w:b w:val="0"/>
        </w:rPr>
        <w:t>&lt;/NumAm&gt;</w:t>
      </w:r>
    </w:p>
    <w:p w14:paraId="32A73A5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5475BBD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3B36B8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531577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87B9C0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F52AE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F450BE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1CEC7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A9699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171CED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6069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  <w:t>jednocześnie wierzy, że ważne jest budowanie nowych sojuszy, między innymi z krajami w naszym sąsiedztwie, a także z krajami globalnego Południa, przy czym należy uwzględnić wzajemne potrzeby i interesy, co umożliwi rzeczywiste i zrównoważone partnerstwa;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97A3C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  <w:t>jednocześnie wierzy, że ważne jest budowanie nowych sojuszy, między innymi z krajami w naszym sąsiedztwie, a także z krajami globalnego Południa, przy czym należy uwzględnić wzajemne potrzeby i interesy, co umożliwi rzeczywiste i zrównoważone partnerstwa;</w:t>
            </w:r>
            <w:r w:rsidRPr="00271CCD">
              <w:rPr>
                <w:b/>
                <w:i/>
                <w:color w:val="000000" w:themeColor="text1"/>
              </w:rPr>
              <w:t xml:space="preserve"> zauważa, że Unia Europejska powinna być szczególnie zainteresowana ożywieniem partnerstwa z krajami Ameryki Łacińskiej i Karaibów;</w:t>
            </w:r>
          </w:p>
        </w:tc>
      </w:tr>
    </w:tbl>
    <w:p w14:paraId="361A1DD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2F7E9C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BFC1C7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864</w:t>
      </w:r>
      <w:r w:rsidRPr="00271CCD">
        <w:rPr>
          <w:rStyle w:val="HideTWBExt"/>
          <w:b w:val="0"/>
        </w:rPr>
        <w:t>&lt;/NumAm&gt;</w:t>
      </w:r>
    </w:p>
    <w:p w14:paraId="71DBE0B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Marco Tarquinio, Hana Jalloul Muro</w:t>
      </w:r>
      <w:r w:rsidRPr="00271CCD">
        <w:rPr>
          <w:rStyle w:val="HideTWBExt"/>
          <w:b w:val="0"/>
        </w:rPr>
        <w:t>&lt;/Members&gt;</w:t>
      </w:r>
    </w:p>
    <w:p w14:paraId="1B49634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972E36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789BD6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4A51E8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33147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24E2A7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91004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C4787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931019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F409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  <w:t>jednocześnie wierzy, że ważne jest budowanie nowych sojuszy, między innymi z krajami w naszym sąsiedztwie</w:t>
            </w:r>
            <w:r w:rsidRPr="00271CCD">
              <w:rPr>
                <w:b/>
                <w:i/>
                <w:color w:val="000000" w:themeColor="text1"/>
              </w:rPr>
              <w:t>, a także z krajami globalnego Południa, przy czym należy uwzględnić wzajemne potrzeby i interesy, co umożliwi rzeczywiste i zrównoważone partnerstwa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1EA1C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  <w:t>jednocześnie wierzy, że ważne jest budowanie nowych sojuszy, między innymi z krajami w naszym sąsiedztwie;</w:t>
            </w:r>
          </w:p>
        </w:tc>
      </w:tr>
    </w:tbl>
    <w:p w14:paraId="6816136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1F26C3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C11390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865</w:t>
      </w:r>
      <w:r w:rsidRPr="00271CCD">
        <w:rPr>
          <w:rStyle w:val="HideTWBExt"/>
          <w:b w:val="0"/>
        </w:rPr>
        <w:t>&lt;/NumAm&gt;</w:t>
      </w:r>
    </w:p>
    <w:p w14:paraId="6BC5343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</w:t>
      </w:r>
      <w:r w:rsidRPr="00271CCD">
        <w:rPr>
          <w:rStyle w:val="HideTWBExt"/>
          <w:b w:val="0"/>
        </w:rPr>
        <w:t>&lt;/Members&gt;</w:t>
      </w:r>
    </w:p>
    <w:p w14:paraId="0770A28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717133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B4820F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284E38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252EE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902377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189D5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57CA8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878471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6016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  <w:t>jednocześnie wierzy, że ważne jest budowanie nowych sojuszy, między innymi z krajami w naszym sąsiedztwie, a także z krajami globalnego Południa, przy czym należy uwzględnić wzajemne potrzeby i interesy, co umożliwi rzeczywiste i zrównoważone partnerstwa;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0C95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  <w:t xml:space="preserve">jednocześnie wierzy, że ważne jest budowanie nowych sojuszy, między innymi z krajami w naszym sąsiedztwie, a także z krajami globalnego Południa, </w:t>
            </w:r>
            <w:r w:rsidRPr="00271CCD">
              <w:rPr>
                <w:b/>
                <w:i/>
                <w:color w:val="000000" w:themeColor="text1"/>
              </w:rPr>
              <w:t xml:space="preserve">w oparciu o poszanowanie praw człowieka, </w:t>
            </w:r>
            <w:r w:rsidRPr="00271CCD">
              <w:rPr>
                <w:color w:val="000000" w:themeColor="text1"/>
              </w:rPr>
              <w:t>przy czym należy uwzględnić wzajemne potrzeby i interesy, co umożliwi rzeczywiste i zrównoważone partnerstwa;</w:t>
            </w:r>
          </w:p>
        </w:tc>
      </w:tr>
    </w:tbl>
    <w:p w14:paraId="694D65A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942698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88FE24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866</w:t>
      </w:r>
      <w:r w:rsidRPr="00271CCD">
        <w:rPr>
          <w:rStyle w:val="HideTWBExt"/>
          <w:b w:val="0"/>
        </w:rPr>
        <w:t>&lt;/NumAm&gt;</w:t>
      </w:r>
    </w:p>
    <w:p w14:paraId="12E76FB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Rihards Kols</w:t>
      </w:r>
      <w:r w:rsidRPr="00271CCD">
        <w:rPr>
          <w:rStyle w:val="HideTWBExt"/>
          <w:b w:val="0"/>
        </w:rPr>
        <w:t>&lt;/Members&gt;</w:t>
      </w:r>
    </w:p>
    <w:p w14:paraId="53B6923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E14C2D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D83910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EB1387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600BC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69001A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CF551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01225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9A901D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D5D6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jednocześnie wierzy, że ważne jest budowanie nowych sojuszy, między innymi z krajami w naszym sąsiedztwie, a także z krajami globalnego Południa, przy czym należy uwzględnić wzajemne potrzeby i interesy, co umożliwi rzeczywiste i</w:t>
            </w:r>
            <w:r w:rsidRPr="00271CCD">
              <w:rPr>
                <w:color w:val="000000" w:themeColor="text1"/>
              </w:rPr>
              <w:t xml:space="preserve"> zrównoważone partnerstwa;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14450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UE, aby ustanowiła nowe</w:t>
            </w:r>
            <w:r w:rsidRPr="00271CCD">
              <w:rPr>
                <w:color w:val="000000" w:themeColor="text1"/>
              </w:rPr>
              <w:t xml:space="preserve"> zrównoważone partnerstwa</w:t>
            </w:r>
            <w:r w:rsidRPr="00271CCD">
              <w:rPr>
                <w:b/>
                <w:i/>
                <w:color w:val="000000" w:themeColor="text1"/>
              </w:rPr>
              <w:t xml:space="preserve"> z krajami globalnego Południa i w sąsiedztwie w oparciu o wzajemne potrzeby gospodarcze i w zakresie bezpieczeństwa, nadając priorytet partnerstwom z demokratycznymi rządami i państwami wyrażającymi zobowiązanie do ochrony praw człowieka i prawa międzynarodowego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13B9AA2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4C20B8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15A617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867</w:t>
      </w:r>
      <w:r w:rsidRPr="00271CCD">
        <w:rPr>
          <w:rStyle w:val="HideTWBExt"/>
          <w:b w:val="0"/>
        </w:rPr>
        <w:t>&lt;/NumAm&gt;</w:t>
      </w:r>
    </w:p>
    <w:p w14:paraId="735A839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72767AB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64E8F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EF4620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D2F986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613B6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F2EB9D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F5BE8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AC2C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028D54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9D12E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  <w:t xml:space="preserve">jednocześnie wierzy, że ważne jest budowanie nowych sojuszy, między innymi z krajami w </w:t>
            </w:r>
            <w:r w:rsidRPr="00271CCD">
              <w:rPr>
                <w:b/>
                <w:i/>
                <w:color w:val="000000" w:themeColor="text1"/>
              </w:rPr>
              <w:t xml:space="preserve">naszym </w:t>
            </w:r>
            <w:r w:rsidRPr="00271CCD">
              <w:rPr>
                <w:color w:val="000000" w:themeColor="text1"/>
              </w:rPr>
              <w:t>sąsiedztwie, a także z krajami globalnego Południa, przy czym należy uwzględnić wzajemne potrzeby i interesy, co umożliwi rzeczywiste i zrównoważone partnerstwa;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EAE38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36.</w:t>
            </w:r>
            <w:r w:rsidRPr="00271CCD">
              <w:rPr>
                <w:color w:val="000000" w:themeColor="text1"/>
              </w:rPr>
              <w:tab/>
              <w:t>jednocześnie wierzy, że ważne jest budowanie nowych sojuszy</w:t>
            </w:r>
            <w:r w:rsidRPr="00271CCD">
              <w:rPr>
                <w:b/>
                <w:i/>
                <w:color w:val="000000" w:themeColor="text1"/>
              </w:rPr>
              <w:t xml:space="preserve"> w dobrej wierze</w:t>
            </w:r>
            <w:r w:rsidRPr="00271CCD">
              <w:rPr>
                <w:color w:val="000000" w:themeColor="text1"/>
              </w:rPr>
              <w:t>, między innymi z krajami w sąsiedztwie</w:t>
            </w:r>
            <w:r w:rsidRPr="00271CCD">
              <w:rPr>
                <w:b/>
                <w:i/>
                <w:color w:val="000000" w:themeColor="text1"/>
              </w:rPr>
              <w:t xml:space="preserve"> Europy</w:t>
            </w:r>
            <w:r w:rsidRPr="00271CCD">
              <w:rPr>
                <w:color w:val="000000" w:themeColor="text1"/>
              </w:rPr>
              <w:t>, a także z krajami globalnego Południa, przy czym należy uwzględnić wzajemne potrzeby i interesy, co umożliwi rzeczywiste i zrównoważone partnerstwa;</w:t>
            </w:r>
          </w:p>
        </w:tc>
      </w:tr>
    </w:tbl>
    <w:p w14:paraId="598A765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FEA728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E625C0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868</w:t>
      </w:r>
      <w:r w:rsidRPr="00271CCD">
        <w:rPr>
          <w:rStyle w:val="HideTWBExt"/>
          <w:b w:val="0"/>
        </w:rPr>
        <w:t>&lt;/NumAm&gt;</w:t>
      </w:r>
    </w:p>
    <w:p w14:paraId="6E7072B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6AEDED4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4B5E24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0B61A3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691C81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180C0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3318C5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64E5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E7F86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3EDD67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E1C84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CD7AD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potrzebę poprawy koordynacji między unijną polityką handlową, inwestycyjną, rozwojową oraz zagraniczną i bezpieczeństwa z zapewnieniem ich pełnego dostosowania do zobowiązań UE w zakresie praw człowieka i zrównoważonego rozwoju; zauważa, że umowy z globalnym Południem, w szczególności dotyczące surowców, powinny przyczyniać się do lokalnego rozwoju gospodarczego, a nie pogłębiać zależność i nadmierne wykorzystanie zasobów; podkreśla potrzebę wzmocnienia należytej staranności i zapewnienia przejrzystości w łańcuchach dostaw, zwłaszcza w sektorach obarczonych wysokim ryzykiem takich jak górnictwo, aby zagwarantować poszanowanie praw człowieka i ochronę środowiska na wszystkich poziomach produkcji i dostaw;</w:t>
            </w:r>
          </w:p>
        </w:tc>
      </w:tr>
    </w:tbl>
    <w:p w14:paraId="264A00C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00BBE5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63AC14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869</w:t>
      </w:r>
      <w:r w:rsidRPr="00271CCD">
        <w:rPr>
          <w:rStyle w:val="HideTWBExt"/>
          <w:b w:val="0"/>
        </w:rPr>
        <w:t>&lt;/NumAm&gt;</w:t>
      </w:r>
    </w:p>
    <w:p w14:paraId="57169EA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Marco Tarquinio, Hana Jalloul Muro</w:t>
      </w:r>
      <w:r w:rsidRPr="00271CCD">
        <w:rPr>
          <w:rStyle w:val="HideTWBExt"/>
          <w:b w:val="0"/>
        </w:rPr>
        <w:t>&lt;/Members&gt;</w:t>
      </w:r>
    </w:p>
    <w:p w14:paraId="19D089C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041E0A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A54F05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02BBA1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95FD8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5E3196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E2DD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80665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715FEE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518F2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EDC11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domaga się dalszego wzmocnienia naszych stosunków z globalnym Południem, biorąc pod uwagę wzajemne potrzeby i interesy w celu propagowania realnego i zrównoważonego partnerstwa; podkreśla, że UE powinna wzmocnić te stosunki, wspierając proaktywną i włączającą współpracę w różnych obszarach z tymi krajami jako równymi partnerami; podkreśla potrzebę przeanalizowania obaw geopolitycznych i geoekonomicznych globalnego Południa oraz ich wspólnego uwzględnienia;</w:t>
            </w:r>
          </w:p>
        </w:tc>
      </w:tr>
    </w:tbl>
    <w:p w14:paraId="31E0B27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42A80A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36AE4F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870</w:t>
      </w:r>
      <w:r w:rsidRPr="00271CCD">
        <w:rPr>
          <w:rStyle w:val="HideTWBExt"/>
          <w:b w:val="0"/>
        </w:rPr>
        <w:t>&lt;/NumAm&gt;</w:t>
      </w:r>
    </w:p>
    <w:p w14:paraId="76DE545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</w:t>
      </w:r>
      <w:r w:rsidRPr="00271CCD">
        <w:rPr>
          <w:rStyle w:val="HideTWBExt"/>
          <w:b w:val="0"/>
        </w:rPr>
        <w:t>&lt;/Members&gt;</w:t>
      </w:r>
    </w:p>
    <w:p w14:paraId="4A57209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B8A32A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FC6C6F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CD511F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B49A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26D54E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EEE1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105E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6ED7D1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5FDD4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B94DE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KRLD do całkowitego, weryfikowalnego i nieodwracalnego porzucenia programów dotyczących broni masowego rażenia i pocisków balistycznych; wzywa władze KRLD do zaprzestania trwających zbrodni przeciwko ludzkości i do rozpoczęcia procesu reform, w ramach którego wszystkie prawa człowieka będą przestrzegane i chronione;</w:t>
            </w:r>
          </w:p>
        </w:tc>
      </w:tr>
    </w:tbl>
    <w:p w14:paraId="0FE4B8B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48F2AE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0E9F1D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871</w:t>
      </w:r>
      <w:r w:rsidRPr="00271CCD">
        <w:rPr>
          <w:rStyle w:val="HideTWBExt"/>
          <w:b w:val="0"/>
        </w:rPr>
        <w:t>&lt;/NumAm&gt;</w:t>
      </w:r>
    </w:p>
    <w:p w14:paraId="69F0210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Marc Botenga, Rima Hassan</w:t>
      </w:r>
      <w:r w:rsidRPr="00271CCD">
        <w:rPr>
          <w:rStyle w:val="HideTWBExt"/>
          <w:b w:val="0"/>
        </w:rPr>
        <w:t>&lt;/Members&gt;</w:t>
      </w:r>
    </w:p>
    <w:p w14:paraId="3C2F9B1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{The Left}</w:t>
      </w:r>
      <w:r w:rsidRPr="00271CCD">
        <w:rPr>
          <w:color w:val="000000" w:themeColor="text1"/>
        </w:rPr>
        <w:t>w imieniu grupy The Left</w:t>
      </w:r>
      <w:r w:rsidRPr="00271CCD">
        <w:rPr>
          <w:rStyle w:val="HideTWBExt"/>
        </w:rPr>
        <w:t>&lt;/AuNomDe&gt;</w:t>
      </w:r>
    </w:p>
    <w:p w14:paraId="095D151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2FE465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FDCE8D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5CF3A2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DD88A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B7FDA8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F7478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7F0F6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F298FA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0738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8B96E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uważa za pozytywny coraz silniejszy globalny trend w kierunku niezaangażowania; wzywa UE i jej państwa członkowskie do opracowania proaktywnej, niezaangażowanej polityki zagranicznej; domaga się wyciągnięcia wniosków z procesu z Bandungu z 1955 r. i z utworzenia Ruchu Państw Niezaangażowanych;</w:t>
            </w:r>
          </w:p>
        </w:tc>
      </w:tr>
    </w:tbl>
    <w:p w14:paraId="0879328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C93CFE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10369A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872</w:t>
      </w:r>
      <w:r w:rsidRPr="00271CCD">
        <w:rPr>
          <w:rStyle w:val="HideTWBExt"/>
          <w:b w:val="0"/>
        </w:rPr>
        <w:t>&lt;/NumAm&gt;</w:t>
      </w:r>
    </w:p>
    <w:p w14:paraId="0AF8197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Roberto Vannacci</w:t>
      </w:r>
      <w:r w:rsidRPr="00271CCD">
        <w:rPr>
          <w:rStyle w:val="HideTWBExt"/>
          <w:b w:val="0"/>
        </w:rPr>
        <w:t>&lt;/Members&gt;</w:t>
      </w:r>
    </w:p>
    <w:p w14:paraId="6AF6754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BFDE65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67B088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A48ACF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01EF5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AD196E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01B9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CFD2A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AF7F58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97F3C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6F6EB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Egipt, Tunezja i Maroko są kluczowymi partnerami w walce z islamizmem i nielegalną imigracją; ma nadzieję na zawarcie i wzmocnienie partnerstw z tymi krajami;</w:t>
            </w:r>
          </w:p>
        </w:tc>
      </w:tr>
    </w:tbl>
    <w:p w14:paraId="6593A7C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6C97F4F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29009E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873</w:t>
      </w:r>
      <w:r w:rsidRPr="00271CCD">
        <w:rPr>
          <w:rStyle w:val="HideTWBExt"/>
          <w:b w:val="0"/>
        </w:rPr>
        <w:t>&lt;/NumAm&gt;</w:t>
      </w:r>
    </w:p>
    <w:p w14:paraId="6AD942E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2BE788A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C727A8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ED49E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35B3D6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D1C40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C23231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4F7CF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7A2D2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0CC93B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04D3E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41725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zwraca uwagę na potrzebę przeanalizowania alternatywnych podejść do sankcji międzynarodowych, które lepiej uwzględniają podstawowe przyczyny konfliktu i promują współpracę z krajami globalnego Południa; zachęca UE do wspierania inicjatyw, które ograniczają zależność od środków o charakterze karnym i nadają priorytet współpracy dyplomatycznej, zrównoważonemu rozwojowi i wzajemnemu partnerstwu gospodarczemu jako narzędziom utrzymania stabilności regionalnej;</w:t>
            </w:r>
          </w:p>
        </w:tc>
      </w:tr>
    </w:tbl>
    <w:p w14:paraId="134C26C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B7882D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2C109F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874</w:t>
      </w:r>
      <w:r w:rsidRPr="00271CCD">
        <w:rPr>
          <w:rStyle w:val="HideTWBExt"/>
          <w:b w:val="0"/>
        </w:rPr>
        <w:t>&lt;/NumAm&gt;</w:t>
      </w:r>
    </w:p>
    <w:p w14:paraId="62A7197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</w:t>
      </w:r>
      <w:r w:rsidRPr="00271CCD">
        <w:rPr>
          <w:rStyle w:val="HideTWBExt"/>
          <w:b w:val="0"/>
        </w:rPr>
        <w:t>&lt;/Members&gt;</w:t>
      </w:r>
    </w:p>
    <w:p w14:paraId="3F89164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9280A5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0218B1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85A832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E0CE6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94849D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7660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C24E7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4737A3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44F86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FA253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potępia destabilizujące praktyki Frontu Polisario, wspieranego przez reżim algierski, w Maghrebie, które zagrażają pokojowi i bezpieczeństwu w regionie Afryki Północnej i na innych obszarach; przypomina o pełnej suwerenności Maroka na terytorium Sahary Zachodniej;</w:t>
            </w:r>
          </w:p>
        </w:tc>
      </w:tr>
    </w:tbl>
    <w:p w14:paraId="0D25514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6BABD68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4704A6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875</w:t>
      </w:r>
      <w:r w:rsidRPr="00271CCD">
        <w:rPr>
          <w:rStyle w:val="HideTWBExt"/>
          <w:b w:val="0"/>
        </w:rPr>
        <w:t>&lt;/NumAm&gt;</w:t>
      </w:r>
    </w:p>
    <w:p w14:paraId="42E2962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09A7160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A041B4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A97306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B5F614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28054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13B371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242E5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11E2E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7FF13E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BE93B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361CE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krytyczne znaczenie zajęcia się kryzysem zadłużeniowym na globalnym Południu w celu promowania globalnej stabilności gospodarczej, który wiąże się z istotnymi konsekwencjami zarówno dla UE, jak i dotkniętych nim krajów; podkreśla, że UE posiada interes strategiczny w dokonywaniu postępów w zrównoważonym rozwoju, ograniczaniu ubóstwa i zapewnianiu równości na globalnym Południu, jako że te wysiłki przyczyniają się do długoterminowego pokoju i bezpieczeństwa światowego; domaga się inicjatyw opartych na współpracy między UE a krajami globalnego Południa w celu oceny kryzysu zadłużeniowego i zajęcia się nim, gdyż takie partnerstwa wzmacniają globalną współpracę w kierunku bardziej sprawiedliwego systemu finansowego, jednocześnie wzmacniając europejskie wpływy i wzajemną odporność w regionie;</w:t>
            </w:r>
          </w:p>
        </w:tc>
      </w:tr>
    </w:tbl>
    <w:p w14:paraId="6FAB137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1162C2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A35981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876</w:t>
      </w:r>
      <w:r w:rsidRPr="00271CCD">
        <w:rPr>
          <w:rStyle w:val="HideTWBExt"/>
          <w:b w:val="0"/>
        </w:rPr>
        <w:t>&lt;/NumAm&gt;</w:t>
      </w:r>
    </w:p>
    <w:p w14:paraId="75197D4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6DE7160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5450EA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54F8C6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d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A1F5DC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CA620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A248FD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CFD0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639A5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3B4643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AEEE9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4942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36d.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potrzebę wzmocnienia i pogłębienia przez Unię Europejską swojej współpracy z krajami arabskimi w odpowiedzi na pilne wyzwania geopolityczne, społeczne i gospodarcze, przed jakimi stoi region; podkreśla, że wzmocniona współpraca powinna nadawać priorytet kluczowym obszarom takim jak migracja, transformacja cyfrowa, bezpieczeństwo, zielona transformacja i wymiana kulturalna w celu budowania odpornego partnerstwa mogącego stawić czoła zarówno obecnym, jak i przyszłym wyzwaniom regionalnym; domaga się podejścia strategicznego, które dostosowuje współpracę z każdym krajem w celu promowania zrównoważonego rozwoju i wzajemnego zrozumienia;</w:t>
            </w:r>
          </w:p>
        </w:tc>
      </w:tr>
    </w:tbl>
    <w:p w14:paraId="1A76BB3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7F8661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68C77F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877</w:t>
      </w:r>
      <w:r w:rsidRPr="00271CCD">
        <w:rPr>
          <w:rStyle w:val="HideTWBExt"/>
          <w:b w:val="0"/>
        </w:rPr>
        <w:t>&lt;/NumAm&gt;</w:t>
      </w:r>
    </w:p>
    <w:p w14:paraId="25E2B58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055A55A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595CE0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F0E9A6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e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BD1299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45EE3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4E1664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35961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CBE37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A0A02D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1C9D4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AD2E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36e.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znaczenie Arabii Saudyjskiej, Zjednoczonych Emiratów Arabskich i krajów Zatoki Perskiej jako partnerów strategicznych UE w ramach partnerstwa między UE a krajami Zatoki Perskiej, dostrzegając ich krytyczną rolę w promowaniu regionalnej stabilności i rozwoju, podkreśla, że wzmocnienie współpracy z tymi krajami w ramach tego strategicznego partnerstwa umożliwiłoby UE osiąganie wspólnych celów oraz dostosowanie wspólnych stanowisk w trudnym otoczeniu geopolitycznym;</w:t>
            </w:r>
          </w:p>
        </w:tc>
      </w:tr>
    </w:tbl>
    <w:p w14:paraId="1D1CF0C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A4D5B2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E331D1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878</w:t>
      </w:r>
      <w:r w:rsidRPr="00271CCD">
        <w:rPr>
          <w:rStyle w:val="HideTWBExt"/>
          <w:b w:val="0"/>
        </w:rPr>
        <w:t>&lt;/NumAm&gt;</w:t>
      </w:r>
    </w:p>
    <w:p w14:paraId="79EF518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6D18340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492194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3E1E14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f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6AA93C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8BA0F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409E12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3D25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D860E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6F2918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0F2BD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12E54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36f.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dostrzega znaczenie zachowania i ochrony wartości demokratycznych; potępia rozpowszechnianie się mowy nienawiści i ataków na wolności jednostki i porządek międzynarodowy, zarówno w ramach europejskich instytucji, jak i za granicą, w tym w państwach członkowskich;</w:t>
            </w:r>
          </w:p>
        </w:tc>
      </w:tr>
    </w:tbl>
    <w:p w14:paraId="52C700B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772C6A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FD00B6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879</w:t>
      </w:r>
      <w:r w:rsidRPr="00271CCD">
        <w:rPr>
          <w:rStyle w:val="HideTWBExt"/>
          <w:b w:val="0"/>
        </w:rPr>
        <w:t>&lt;/NumAm&gt;</w:t>
      </w:r>
    </w:p>
    <w:p w14:paraId="4B5289A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387794C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E943AB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79E3C5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Śródtytuł 6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8BE209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7D29E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B788D8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F63E1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B8D96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3A71B3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9158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Wspieranie działań UE za granicą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AE3E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5CCC13A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C19CAA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9483CC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880</w:t>
      </w:r>
      <w:r w:rsidRPr="00271CCD">
        <w:rPr>
          <w:rStyle w:val="HideTWBExt"/>
          <w:b w:val="0"/>
        </w:rPr>
        <w:t>&lt;/NumAm&gt;</w:t>
      </w:r>
    </w:p>
    <w:p w14:paraId="334FE71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1B607C6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F912D3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F819BB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Śródtytuł 6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AD6299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F561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C4B293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07388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10CB1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38DA00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78D4E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Wspieranie działań</w:t>
            </w:r>
            <w:r w:rsidRPr="00271CCD">
              <w:rPr>
                <w:color w:val="000000" w:themeColor="text1"/>
              </w:rPr>
              <w:t xml:space="preserve"> UE za granicą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BBAE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Działania</w:t>
            </w:r>
            <w:r w:rsidRPr="00271CCD">
              <w:rPr>
                <w:color w:val="000000" w:themeColor="text1"/>
              </w:rPr>
              <w:t xml:space="preserve"> UE za granicą</w:t>
            </w:r>
          </w:p>
        </w:tc>
      </w:tr>
    </w:tbl>
    <w:p w14:paraId="0B413FA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132CC7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A46F17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881</w:t>
      </w:r>
      <w:r w:rsidRPr="00271CCD">
        <w:rPr>
          <w:rStyle w:val="HideTWBExt"/>
          <w:b w:val="0"/>
        </w:rPr>
        <w:t>&lt;/NumAm&gt;</w:t>
      </w:r>
    </w:p>
    <w:p w14:paraId="4EAABDC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Frías, António Tânger Corrêa</w:t>
      </w:r>
      <w:r w:rsidRPr="00271CCD">
        <w:rPr>
          <w:rStyle w:val="HideTWBExt"/>
          <w:b w:val="0"/>
        </w:rPr>
        <w:t>&lt;/Members&gt;</w:t>
      </w:r>
    </w:p>
    <w:p w14:paraId="073F105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96301B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646C6F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6C530B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4ADB1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6318FD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AD15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EEAC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EC7A05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8D44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A443B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wyłączna kompetencja w zakresie stosunków międzynarodowych należy do państw członkowskich;</w:t>
            </w:r>
          </w:p>
        </w:tc>
      </w:tr>
    </w:tbl>
    <w:p w14:paraId="0B5F456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0F58C4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AB4DB1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882</w:t>
      </w:r>
      <w:r w:rsidRPr="00271CCD">
        <w:rPr>
          <w:rStyle w:val="HideTWBExt"/>
          <w:b w:val="0"/>
        </w:rPr>
        <w:t>&lt;/NumAm&gt;</w:t>
      </w:r>
    </w:p>
    <w:p w14:paraId="4745FB3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62C2479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242307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0495A2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36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68E335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149B1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7411A8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4921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7504A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87A7A0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A41B1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B01DF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36a.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przyznaje, że wymóg jednomyślności zmusza państwa członkowskie do nieustannej pracy nad osiągnięciem kompromisu i jedności, co stanowi źródło politycznego wpływu UE na arenie światowej; zwraca jednak uwagę, że należy krytycznie ocenić kompromis między ideałem jedności a wysokimi kosztami jednomyślności pod względem wiarygodności, zwłaszcza mając na uwadze skuteczne funkcjonowanie rozszerzonej UE; ubolewa w tym kontekście, że poszczególne państwa członkowskie wykorzystywały swoje prawo weta do podważania porozumień, opóźnienia procesu decyzyjnego lub całkowitego udaremnienia wspólnej polityki; ubolewa, że potencjał szybkich, wydajnych i skutecznych działań zagranicznych oraz w dziedzinie bezpieczeństwa i obrony, przewidziany między innymi w klauzulach pomostowych TUE, wykorzystano jedynie w bardzo ograniczonym zakresie; ponawia swój apel do Rady o stopniowe przejście na głosowanie większością kwalifikowaną w przypadku decyzji w obszarach WPZiB, które nie mają wpływu na kwestie wojskowe lub obronne; uznaje obawy niektórych państw członkowskich, które obawiają się zmniejszenia możliwości wpływania na politykę zagraniczną i bezpieczeństwa na szczeblu UE; uznaje, że postępy czynione w kierunku stosowania głosowania większością kwalifikowaną mogą być jedynie stopniowe i opierać się na tworzeniu europejskiej kultury strategicznej;</w:t>
            </w:r>
          </w:p>
        </w:tc>
      </w:tr>
    </w:tbl>
    <w:p w14:paraId="6DA91F1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C1A6B1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C68C4A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883</w:t>
      </w:r>
      <w:r w:rsidRPr="00271CCD">
        <w:rPr>
          <w:rStyle w:val="HideTWBExt"/>
          <w:b w:val="0"/>
        </w:rPr>
        <w:t>&lt;/NumAm&gt;</w:t>
      </w:r>
    </w:p>
    <w:p w14:paraId="6A4C6C1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10DAB3A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129C6B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AB9EA5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227E3A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5F255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14270A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564DB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F07EE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89C3EE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8FB6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02845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7D26AF7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02725D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8D9590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884</w:t>
      </w:r>
      <w:r w:rsidRPr="00271CCD">
        <w:rPr>
          <w:rStyle w:val="HideTWBExt"/>
          <w:b w:val="0"/>
        </w:rPr>
        <w:t>&lt;/NumAm&gt;</w:t>
      </w:r>
    </w:p>
    <w:p w14:paraId="4538A7E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Marion Maréchal</w:t>
      </w:r>
      <w:r w:rsidRPr="00271CCD">
        <w:rPr>
          <w:rStyle w:val="HideTWBExt"/>
          <w:b w:val="0"/>
        </w:rPr>
        <w:t>&lt;/Members&gt;</w:t>
      </w:r>
    </w:p>
    <w:p w14:paraId="298EEED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B6E5DD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413CF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E11461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06E1C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BBFBF3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BAF1A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D5022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D8C741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17C4A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DEFC9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 xml:space="preserve"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przypomina, że polityka zagraniczna pozostaje suwerenną prerogatywą państw członkowskich, że zgodnie z traktatami zachowują one większość swoich uprawnień w tej dziedzinie oraz że większość decyzji dotyczących WPZiB jest podejmowana jednomyślnie;</w:t>
            </w:r>
          </w:p>
        </w:tc>
      </w:tr>
    </w:tbl>
    <w:p w14:paraId="604D496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1006BC9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93E81F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885</w:t>
      </w:r>
      <w:r w:rsidRPr="00271CCD">
        <w:rPr>
          <w:rStyle w:val="HideTWBExt"/>
          <w:b w:val="0"/>
        </w:rPr>
        <w:t>&lt;/NumAm&gt;</w:t>
      </w:r>
    </w:p>
    <w:p w14:paraId="7E0BF85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Hana Jalloul Muro</w:t>
      </w:r>
      <w:r w:rsidRPr="00271CCD">
        <w:rPr>
          <w:rStyle w:val="HideTWBExt"/>
          <w:b w:val="0"/>
        </w:rPr>
        <w:t>&lt;/Members&gt;</w:t>
      </w:r>
    </w:p>
    <w:p w14:paraId="2C4393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78EAF0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7DEA29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497192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11953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91866D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ACDEC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EAA06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5BED36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2EDEC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25AF3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podkreśla, że wiceprzewodniczący / wysoki przedstawiciel pełni rolę łącznika między WPZiB a stosunkami zewnętrznymi UE w celu zapewnienia najwyższego poziomu koordynacji i spójności działań zewnętrznych UE</w:t>
            </w:r>
            <w:r w:rsidRPr="00271CCD">
              <w:rPr>
                <w:b/>
                <w:i/>
                <w:color w:val="000000" w:themeColor="text1"/>
              </w:rPr>
              <w:t>; wzywa Komisję do wzmocnienia swojej koordynacji z ESDZ w tym obszarze, w tym przez zagwarantowanie pełnej zgodności z art. 3 ust. 2 i art. 9 decyzji w sprawie ESDZ, które mogą wymagać aktualizacji</w:t>
            </w:r>
            <w:r w:rsidRPr="00271CCD">
              <w:rPr>
                <w:color w:val="000000" w:themeColor="text1"/>
              </w:rPr>
              <w:t>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</w:t>
            </w:r>
          </w:p>
        </w:tc>
      </w:tr>
    </w:tbl>
    <w:p w14:paraId="44C0DFC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655821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7F202D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886</w:t>
      </w:r>
      <w:r w:rsidRPr="00271CCD">
        <w:rPr>
          <w:rStyle w:val="HideTWBExt"/>
          <w:b w:val="0"/>
        </w:rPr>
        <w:t>&lt;/NumAm&gt;</w:t>
      </w:r>
    </w:p>
    <w:p w14:paraId="7A648EE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Corrêa, Jordan Bardella, Hermann Tertsch, Matthieu Valet, Pierre-Romain Thionnet, Jorge Martín Frías</w:t>
      </w:r>
      <w:r w:rsidRPr="00271CCD">
        <w:rPr>
          <w:rStyle w:val="HideTWBExt"/>
          <w:b w:val="0"/>
        </w:rPr>
        <w:t>&lt;/Members&gt;</w:t>
      </w:r>
    </w:p>
    <w:p w14:paraId="7ECB441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6FF9F6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79277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3ABF07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EC134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8A2287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35F4F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04078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1F30CA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F7A70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podkreśla, że wiceprzewodniczący / wysoki przedstawiciel pełni rolę łącznika między WPZiB a stosunkami zewnętrznymi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 xml:space="preserve"> w celu zapewnienia najwyższego poziomu koordynacji i spójności działań zewnętrznych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>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</w:t>
            </w:r>
            <w:r w:rsidRPr="00271CCD">
              <w:rPr>
                <w:color w:val="000000" w:themeColor="text1"/>
              </w:rPr>
              <w:t xml:space="preserve"> zewnętrznych </w:t>
            </w:r>
            <w:r w:rsidRPr="00271CCD">
              <w:rPr>
                <w:b/>
                <w:i/>
                <w:color w:val="000000" w:themeColor="text1"/>
              </w:rPr>
              <w:t>i reprezentacji UE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CEFE0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zwraca uwagę na nadrzędność dyplomacji państw członkowskich nad dyplomacją samej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>; podkreśla, że rola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 xml:space="preserve"> w działaniach</w:t>
            </w:r>
            <w:r w:rsidRPr="00271CCD">
              <w:rPr>
                <w:color w:val="000000" w:themeColor="text1"/>
              </w:rPr>
              <w:t xml:space="preserve"> zewnętrznych </w:t>
            </w:r>
            <w:r w:rsidRPr="00271CCD">
              <w:rPr>
                <w:b/>
                <w:i/>
                <w:color w:val="000000" w:themeColor="text1"/>
              </w:rPr>
              <w:t>ma charakter instrumentalny oraz podlega roli państw członkowskich i zasadzie jednomyślności, bez własnego niezależnego mandatu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34396DE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A3963A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954672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887</w:t>
      </w:r>
      <w:r w:rsidRPr="00271CCD">
        <w:rPr>
          <w:rStyle w:val="HideTWBExt"/>
          <w:b w:val="0"/>
        </w:rPr>
        <w:t>&lt;/NumAm&gt;</w:t>
      </w:r>
    </w:p>
    <w:p w14:paraId="0606F67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Roberto Vannacci</w:t>
      </w:r>
      <w:r w:rsidRPr="00271CCD">
        <w:rPr>
          <w:rStyle w:val="HideTWBExt"/>
          <w:b w:val="0"/>
        </w:rPr>
        <w:t>&lt;/Members&gt;</w:t>
      </w:r>
    </w:p>
    <w:p w14:paraId="5429701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4BE2C2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EB0891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EE8BA5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87342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123ABF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41BDA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166B6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E0BC33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899A5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F3EE5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 xml:space="preserve"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podkreśla, że kwestie dyplomatyczne i obronne należą przede wszystkim do prerogatyw państw członkowskich UE;</w:t>
            </w:r>
          </w:p>
        </w:tc>
      </w:tr>
    </w:tbl>
    <w:p w14:paraId="744E057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7034FEF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A9933E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888</w:t>
      </w:r>
      <w:r w:rsidRPr="00271CCD">
        <w:rPr>
          <w:rStyle w:val="HideTWBExt"/>
          <w:b w:val="0"/>
        </w:rPr>
        <w:t>&lt;/NumAm&gt;</w:t>
      </w:r>
    </w:p>
    <w:p w14:paraId="5267E74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Nathalie Loiseau, Urmas Paet, Hilde Vautmans, Lucia Yar, Petras Auštrevičius</w:t>
      </w:r>
      <w:r w:rsidRPr="00271CCD">
        <w:rPr>
          <w:rStyle w:val="HideTWBExt"/>
          <w:b w:val="0"/>
        </w:rPr>
        <w:t>&lt;/Members&gt;</w:t>
      </w:r>
    </w:p>
    <w:p w14:paraId="7720638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097695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BB02DA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AF687A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D448B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1CBC1A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EA5D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EC642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835AF2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D008A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E85C9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 xml:space="preserve"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</w:t>
            </w:r>
            <w:r w:rsidRPr="00271CCD">
              <w:rPr>
                <w:b/>
                <w:i/>
                <w:color w:val="000000" w:themeColor="text1"/>
              </w:rPr>
              <w:t xml:space="preserve">ubolewa ponadto, że ten brak jasności osłabia strategiczną komunikację UE za granicą; </w:t>
            </w:r>
            <w:r w:rsidRPr="00271CCD">
              <w:rPr>
                <w:color w:val="000000" w:themeColor="text1"/>
              </w:rPr>
              <w:t>podkreśla konieczność jasnego zdefiniowania kompetencji wiceprzewodniczącego / wysokiego przedstawiciela, przewodniczącego Komisji oraz przewodniczącego Rady Europejskiej w zakresie działań zewnętrznych i reprezentacji UE;</w:t>
            </w:r>
          </w:p>
        </w:tc>
      </w:tr>
    </w:tbl>
    <w:p w14:paraId="6E8C526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841922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AF2BD3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889</w:t>
      </w:r>
      <w:r w:rsidRPr="00271CCD">
        <w:rPr>
          <w:rStyle w:val="HideTWBExt"/>
          <w:b w:val="0"/>
        </w:rPr>
        <w:t>&lt;/NumAm&gt;</w:t>
      </w:r>
    </w:p>
    <w:p w14:paraId="5D52B78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4958C01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CCE15B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923BB6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7CF323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D9925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9C3E3F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C5A34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1578B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F5BCDB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0E118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C3B0A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podkreśla, że wiceprzewodniczący / wysoki przedstawiciel pełni rolę łącznika między WPZiB a stosunkami zewnętrznymi UE w celu zapewnienia najwyższego poziomu koordynacji i spójności działań zewnętrznych UE; ubolewa jednak, że w niektórych przypadkach brakuje jasności co do zewnętrznej reprezentacji UE; podkreśla konieczność jasnego zdefiniowania kompetencji wiceprzewodniczącego / wysokiego przedstawiciela, przewodniczącego Komisji oraz przewodniczącego Rady Europejskiej w zakresie działań zewnętrznych i reprezentacji UE</w:t>
            </w:r>
            <w:r w:rsidRPr="00271CCD">
              <w:rPr>
                <w:b/>
                <w:i/>
                <w:color w:val="000000" w:themeColor="text1"/>
              </w:rPr>
              <w:t>, tak aby głos UE był spójny i postrzegany jako taki przez naszych partnerów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4FEF5B9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C998A9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77FA33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890</w:t>
      </w:r>
      <w:r w:rsidRPr="00271CCD">
        <w:rPr>
          <w:rStyle w:val="HideTWBExt"/>
          <w:b w:val="0"/>
        </w:rPr>
        <w:t>&lt;/NumAm&gt;</w:t>
      </w:r>
    </w:p>
    <w:p w14:paraId="36A545F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Rihards Kols</w:t>
      </w:r>
      <w:r w:rsidRPr="00271CCD">
        <w:rPr>
          <w:rStyle w:val="HideTWBExt"/>
          <w:b w:val="0"/>
        </w:rPr>
        <w:t>&lt;/Members&gt;</w:t>
      </w:r>
    </w:p>
    <w:p w14:paraId="7D7A6F3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D09AAA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6E4DDD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E27B85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FC07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918DD4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D818B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9951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98B981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ED014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</w:t>
            </w:r>
            <w:r w:rsidRPr="00271CCD">
              <w:rPr>
                <w:b/>
                <w:i/>
                <w:color w:val="000000" w:themeColor="text1"/>
              </w:rPr>
              <w:t>, że wiceprzewodniczący / wysoki przedstawiciel pełni rolę łącznika między</w:t>
            </w:r>
            <w:r w:rsidRPr="00271CCD">
              <w:rPr>
                <w:color w:val="000000" w:themeColor="text1"/>
              </w:rPr>
              <w:t xml:space="preserve"> WPZiB </w:t>
            </w:r>
            <w:r w:rsidRPr="00271CCD">
              <w:rPr>
                <w:b/>
                <w:i/>
                <w:color w:val="000000" w:themeColor="text1"/>
              </w:rPr>
              <w:t>a stosunkami zewnętrznymi UE w celu zapewnienia najwyższego poziomu koordynacji i spójności działań zewnętrznych UE; ubolewa jednak, że w niektórych przypadkach brakuje jasności co do zewnętrznej reprezentacji UE; podkreśla konieczność</w:t>
            </w:r>
            <w:r w:rsidRPr="00271CCD">
              <w:rPr>
                <w:color w:val="000000" w:themeColor="text1"/>
              </w:rPr>
              <w:t xml:space="preserve"> jasnego </w:t>
            </w:r>
            <w:r w:rsidRPr="00271CCD">
              <w:rPr>
                <w:b/>
                <w:i/>
                <w:color w:val="000000" w:themeColor="text1"/>
              </w:rPr>
              <w:t>zdefiniowania kompetencji</w:t>
            </w:r>
            <w:r w:rsidRPr="00271CCD">
              <w:rPr>
                <w:color w:val="000000" w:themeColor="text1"/>
              </w:rPr>
              <w:t xml:space="preserve"> wiceprzewodniczącego / wysokiego przedstawiciela, przewodniczącego Komisji oraz przewodniczącego Rady Europejskiej w zakresie działań </w:t>
            </w:r>
            <w:r w:rsidRPr="00271CCD">
              <w:rPr>
                <w:b/>
                <w:i/>
                <w:color w:val="000000" w:themeColor="text1"/>
              </w:rPr>
              <w:t xml:space="preserve">zewnętrznych i reprezentacji </w:t>
            </w:r>
            <w:r w:rsidRPr="00271CCD">
              <w:rPr>
                <w:color w:val="000000" w:themeColor="text1"/>
              </w:rPr>
              <w:t>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569B2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37.</w:t>
            </w:r>
            <w:r w:rsidRPr="00271CCD">
              <w:rPr>
                <w:color w:val="000000" w:themeColor="text1"/>
              </w:rPr>
              <w:tab/>
              <w:t>podkreśla</w:t>
            </w:r>
            <w:r w:rsidRPr="00271CCD">
              <w:rPr>
                <w:b/>
                <w:i/>
                <w:color w:val="000000" w:themeColor="text1"/>
              </w:rPr>
              <w:t xml:space="preserve"> potrzebę wzmocnienia roli wiceprzewodniczącego / wysokiego przedstawiciela jako głównego przedstawiciela UE w kwestiach</w:t>
            </w:r>
            <w:r w:rsidRPr="00271CCD">
              <w:rPr>
                <w:color w:val="000000" w:themeColor="text1"/>
              </w:rPr>
              <w:t xml:space="preserve"> WPZiB </w:t>
            </w:r>
            <w:r w:rsidRPr="00271CCD">
              <w:rPr>
                <w:b/>
                <w:i/>
                <w:color w:val="000000" w:themeColor="text1"/>
              </w:rPr>
              <w:t>oraz</w:t>
            </w:r>
            <w:r w:rsidRPr="00271CCD">
              <w:rPr>
                <w:color w:val="000000" w:themeColor="text1"/>
              </w:rPr>
              <w:t xml:space="preserve"> jasnego </w:t>
            </w:r>
            <w:r w:rsidRPr="00271CCD">
              <w:rPr>
                <w:b/>
                <w:i/>
                <w:color w:val="000000" w:themeColor="text1"/>
              </w:rPr>
              <w:t>określenia ról</w:t>
            </w:r>
            <w:r w:rsidRPr="00271CCD">
              <w:rPr>
                <w:color w:val="000000" w:themeColor="text1"/>
              </w:rPr>
              <w:t xml:space="preserve"> wiceprzewodniczącego / wysokiego przedstawiciela, przewodniczącego Komisji oraz przewodniczącego Rady Europejskiej w zakresie </w:t>
            </w:r>
            <w:r w:rsidRPr="00271CCD">
              <w:rPr>
                <w:b/>
                <w:i/>
                <w:color w:val="000000" w:themeColor="text1"/>
              </w:rPr>
              <w:t xml:space="preserve">zewnętrznej reprezentacji w celu zapewnienia jednolitych </w:t>
            </w:r>
            <w:r w:rsidRPr="00271CCD">
              <w:rPr>
                <w:color w:val="000000" w:themeColor="text1"/>
              </w:rPr>
              <w:t>działań UE</w:t>
            </w:r>
            <w:r w:rsidRPr="00271CCD">
              <w:rPr>
                <w:b/>
                <w:i/>
                <w:color w:val="000000" w:themeColor="text1"/>
              </w:rPr>
              <w:t xml:space="preserve"> za granicą; wzywa wysokiego przedstawiciela do nawiązania istotnej współpracy z parlamentami narodowymi, aby ułatwić ściślejsze dostosowanie priorytetów polityki zagranicznej i wzmocnienie legitymacji demokratycznej w państwach członkowskich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1B5576A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8B6B50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E99887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891</w:t>
      </w:r>
      <w:r w:rsidRPr="00271CCD">
        <w:rPr>
          <w:rStyle w:val="HideTWBExt"/>
          <w:b w:val="0"/>
        </w:rPr>
        <w:t>&lt;/NumAm&gt;</w:t>
      </w:r>
    </w:p>
    <w:p w14:paraId="531523B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Adam Bielan</w:t>
      </w:r>
      <w:r w:rsidRPr="00271CCD">
        <w:rPr>
          <w:rStyle w:val="HideTWBExt"/>
          <w:b w:val="0"/>
        </w:rPr>
        <w:t>&lt;/Members&gt;</w:t>
      </w:r>
    </w:p>
    <w:p w14:paraId="6D08A95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055DB8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8D3B15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D1E960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84F7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AAA413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E4AC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36C18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E4579B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949C2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7F88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bezpieczeństwo i obrona pozostają podstawową kompetencją państw członkowskich, a zasada jednomyślności służy jako ważne narzędzie znajdowania kompromisów i budowania solidarności między nimi w najważniejszych obszarach, co wzmacnia Unię i jej jedność oraz daje UE silniejszy mandat do działań globalnych; przypomina, że nawet w znacznie większej i bardziej zróżnicowanej organizacji, jaką jest NATO, decyzje podejmowane są na podstawie konsensusu; apeluje o większą gotowość do osiągania wspólnego stanowiska w sprawie zagrożeń przez pogłębienie solidarności, z przywróceniem szacunku do wszystkich państw członkowskich niezależnie od ich wielkości czy przynależności politycznej;</w:t>
            </w:r>
          </w:p>
        </w:tc>
      </w:tr>
    </w:tbl>
    <w:p w14:paraId="1A5BC0F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D07A3B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15A319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892</w:t>
      </w:r>
      <w:r w:rsidRPr="00271CCD">
        <w:rPr>
          <w:rStyle w:val="HideTWBExt"/>
          <w:b w:val="0"/>
        </w:rPr>
        <w:t>&lt;/NumAm&gt;</w:t>
      </w:r>
    </w:p>
    <w:p w14:paraId="1C2CC32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</w:t>
      </w:r>
      <w:r w:rsidRPr="00271CCD">
        <w:rPr>
          <w:rStyle w:val="HideTWBExt"/>
          <w:b w:val="0"/>
        </w:rPr>
        <w:t>&lt;/Members&gt;</w:t>
      </w:r>
    </w:p>
    <w:p w14:paraId="7C474E1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68C890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8727B6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645B74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4394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BF51B0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5D76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75100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892FBB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1A119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219D0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potrzebę promowania przez UE widoczności i skuteczności wysiłków w zakresie działań zewnętrznych i współpracy rozwojowej, także aby przeciwstawiać się postkolonialnej narracji mówiącej o podziale Północ-Południe; podkreśla jednak, że jednym z głównych wyzwań dla wiarygodności i zagranicznego wpływu UE jest brak jedności i spójności w ramach polityki zewnętrznej, co często prowadzi do postrzeganych podwójnych standardów; wzywa UE i jej państwa członkowskie do promowania większej spójności i dostosowania w swoich działaniach międzynarodowych, aby prezentować bardziej wiarygodne i pryncypialne stanowisko na całym świecie;</w:t>
            </w:r>
          </w:p>
        </w:tc>
      </w:tr>
    </w:tbl>
    <w:p w14:paraId="29CEE52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13A154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14D64F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893</w:t>
      </w:r>
      <w:r w:rsidRPr="00271CCD">
        <w:rPr>
          <w:rStyle w:val="HideTWBExt"/>
          <w:b w:val="0"/>
        </w:rPr>
        <w:t>&lt;/NumAm&gt;</w:t>
      </w:r>
    </w:p>
    <w:p w14:paraId="512867C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Eszter Lakos</w:t>
      </w:r>
      <w:r w:rsidRPr="00271CCD">
        <w:rPr>
          <w:rStyle w:val="HideTWBExt"/>
          <w:b w:val="0"/>
        </w:rPr>
        <w:t>&lt;/Members&gt;</w:t>
      </w:r>
    </w:p>
    <w:p w14:paraId="1621E84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DD9B5D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4224AE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00A11D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A0708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50CDCA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5AFEF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F3E10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89C172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78D57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A2336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potwierdza zasadnicze znaczenie odpowiednich wysiłków w zakresie komunikacji strategicznej w celu poprawy widoczności działań UE poza swoimi granicami; jest przekonany, że należy zwrócić szczególną uwagę na Bałkany Zachodnie, aby przeciwdziałać zagranicznym wpływom za pośrednictwem kampanii wprowadzających w błąd i dezinformacyjnych mających na celu przedstawienie Unii jako niewiarygodnego partnera, jednocześnie przedstawiając w zafałszowany sposób i gloryfikując działania i zaangażowanie reżimów autorytarnych;</w:t>
            </w:r>
          </w:p>
        </w:tc>
      </w:tr>
    </w:tbl>
    <w:p w14:paraId="3731B18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8753B6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3B53F9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894</w:t>
      </w:r>
      <w:r w:rsidRPr="00271CCD">
        <w:rPr>
          <w:rStyle w:val="HideTWBExt"/>
          <w:b w:val="0"/>
        </w:rPr>
        <w:t>&lt;/NumAm&gt;</w:t>
      </w:r>
    </w:p>
    <w:p w14:paraId="0B545D2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3E86023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36101DD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356D3B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5042BC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BA000A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10628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122CE9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46B27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9028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C90953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5C064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6A2EC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ESDZ, Komisję i państwa członkowskie do wykorzystania w pełni swojego zestawu narzędzi dyplomatycznych i instrumentów finansowych w celu wsparcia i ochrony obrońców praw człowieka przed groźbami i atakami ze strony podmiotów rządowych i pozarządowych, w tym przedsiębiorstw lub grup działających w ich imieniu, organizacji przestępczych i ugrupowań zbrojnych, a także przed zagrożeniami w sytuacjach konfliktu i przejściowych;</w:t>
            </w:r>
          </w:p>
        </w:tc>
      </w:tr>
    </w:tbl>
    <w:p w14:paraId="41B8C5B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886689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357978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895</w:t>
      </w:r>
      <w:r w:rsidRPr="00271CCD">
        <w:rPr>
          <w:rStyle w:val="HideTWBExt"/>
          <w:b w:val="0"/>
        </w:rPr>
        <w:t>&lt;/NumAm&gt;</w:t>
      </w:r>
    </w:p>
    <w:p w14:paraId="325D03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Francisco José Millán Mon</w:t>
      </w:r>
      <w:r w:rsidRPr="00271CCD">
        <w:rPr>
          <w:rStyle w:val="HideTWBExt"/>
          <w:b w:val="0"/>
        </w:rPr>
        <w:t>&lt;/Members&gt;</w:t>
      </w:r>
    </w:p>
    <w:p w14:paraId="3556E12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1084AE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62DEFB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307F4E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2D02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35C88C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4B3DA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87F8B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6B1416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F7F20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D48D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wysoki przedstawiciel Unii do spraw zagranicznych i polityki bezpieczeństwa oraz Rada Europejska zapewniają jednolitość, spójność i skuteczność działań Unii; podkreśla, jak ważne jest, by państwa członkowskie podejmowały zbieżne decyzje, wypracowując wspólne podejście, oraz by ich działania wzajemnie się wspierały;</w:t>
            </w:r>
          </w:p>
        </w:tc>
      </w:tr>
    </w:tbl>
    <w:p w14:paraId="292683E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{ES}</w:t>
      </w:r>
      <w:r w:rsidRPr="00271CCD">
        <w:rPr>
          <w:color w:val="000000" w:themeColor="text1"/>
        </w:rPr>
        <w:t>es</w:t>
      </w:r>
      <w:r w:rsidRPr="00271CCD">
        <w:rPr>
          <w:rStyle w:val="HideTWBExt"/>
        </w:rPr>
        <w:t>&lt;/Original&gt;</w:t>
      </w:r>
    </w:p>
    <w:p w14:paraId="3EEDFB0C" w14:textId="7D44EAE9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7170EB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896</w:t>
      </w:r>
      <w:r w:rsidRPr="00271CCD">
        <w:rPr>
          <w:rStyle w:val="HideTWBExt"/>
          <w:b w:val="0"/>
        </w:rPr>
        <w:t>&lt;/NumAm&gt;</w:t>
      </w:r>
    </w:p>
    <w:p w14:paraId="4A9D839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Jorge Martín Frías, Hermann Tertsch, Roberto Vannacci</w:t>
      </w:r>
      <w:r w:rsidRPr="00271CCD">
        <w:rPr>
          <w:rStyle w:val="HideTWBExt"/>
          <w:b w:val="0"/>
        </w:rPr>
        <w:t>&lt;/Members&gt;</w:t>
      </w:r>
    </w:p>
    <w:p w14:paraId="17CEE9C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7EBB65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8BFC84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3EC831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742CE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3867C9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6D36D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DE704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42AE57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67293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A4F3D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 xml:space="preserve">podkreśla, że należy utrzymać jednomyślność w Radzie w odniesieniu do wszystkich decyzji dotyczących polityki zagranicznej, </w:t>
            </w:r>
            <w:r w:rsidRPr="00271CCD">
              <w:rPr>
                <w:b/>
                <w:i/>
                <w:color w:val="000000" w:themeColor="text1"/>
              </w:rPr>
              <w:t>bezpieczeństwa i obrony;</w:t>
            </w:r>
          </w:p>
        </w:tc>
      </w:tr>
    </w:tbl>
    <w:p w14:paraId="5CB274E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453AA35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9BAAFB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897</w:t>
      </w:r>
      <w:r w:rsidRPr="00271CCD">
        <w:rPr>
          <w:rStyle w:val="HideTWBExt"/>
          <w:b w:val="0"/>
        </w:rPr>
        <w:t>&lt;/NumAm&gt;</w:t>
      </w:r>
    </w:p>
    <w:p w14:paraId="49F2E9A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Marc Botenga, Rima Hassan, Özlem Demirel</w:t>
      </w:r>
      <w:r w:rsidRPr="00271CCD">
        <w:rPr>
          <w:rStyle w:val="HideTWBExt"/>
          <w:b w:val="0"/>
        </w:rPr>
        <w:t>&lt;/Members&gt;</w:t>
      </w:r>
    </w:p>
    <w:p w14:paraId="06F96E2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{The Left}</w:t>
      </w:r>
      <w:r w:rsidRPr="00271CCD">
        <w:rPr>
          <w:color w:val="000000" w:themeColor="text1"/>
        </w:rPr>
        <w:t>w imieniu grupy The Left</w:t>
      </w:r>
      <w:r w:rsidRPr="00271CCD">
        <w:rPr>
          <w:rStyle w:val="HideTWBExt"/>
        </w:rPr>
        <w:t>&lt;/AuNomDe&gt;</w:t>
      </w:r>
    </w:p>
    <w:p w14:paraId="2A04800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9B0518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C35733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C82B32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924C3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19DFCE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1F721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6A0DB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710767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FB08D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8E4C4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zdecydowanie uważa, że dyplomacja zapobiega wojnom i kładzie im kres oraz powinna stanowić podstawową część działań UE;</w:t>
            </w:r>
          </w:p>
        </w:tc>
      </w:tr>
    </w:tbl>
    <w:p w14:paraId="0D9C873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8FB613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911F65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898</w:t>
      </w:r>
      <w:r w:rsidRPr="00271CCD">
        <w:rPr>
          <w:rStyle w:val="HideTWBExt"/>
          <w:b w:val="0"/>
        </w:rPr>
        <w:t>&lt;/NumAm&gt;</w:t>
      </w:r>
    </w:p>
    <w:p w14:paraId="1124BB2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492BB20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2C5AD7D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4165C1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8D8DA0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167073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30B39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56D1D6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8CB4E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03E4C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421E5E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0DFA9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27A1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do odgrywania wiodącej roli we wzmacnianiu wielostronnych partnerstw w zakresie globalnych priorytetów, w szczególności w dziedzinie demokracji, praw człowieka, równości płci i zmiany klimatu; podkreśla potrzebę dalszego rozwijania strategii regionalnych, w tym w zakresie działań w dziedzinie klimatu, praw człowieka i współpracy w dziedzinie bezpieczeństwa;</w:t>
            </w:r>
          </w:p>
        </w:tc>
      </w:tr>
    </w:tbl>
    <w:p w14:paraId="237C740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87D00F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1A04E1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899</w:t>
      </w:r>
      <w:r w:rsidRPr="00271CCD">
        <w:rPr>
          <w:rStyle w:val="HideTWBExt"/>
          <w:b w:val="0"/>
        </w:rPr>
        <w:t>&lt;/NumAm&gt;</w:t>
      </w:r>
    </w:p>
    <w:p w14:paraId="0DE0BDC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Marc Botenga, Rima Hassan</w:t>
      </w:r>
      <w:r w:rsidRPr="00271CCD">
        <w:rPr>
          <w:rStyle w:val="HideTWBExt"/>
          <w:b w:val="0"/>
        </w:rPr>
        <w:t>&lt;/Members&gt;</w:t>
      </w:r>
    </w:p>
    <w:p w14:paraId="01DCFA4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{The Left}</w:t>
      </w:r>
      <w:r w:rsidRPr="00271CCD">
        <w:rPr>
          <w:color w:val="000000" w:themeColor="text1"/>
        </w:rPr>
        <w:t>w imieniu grupy The Left</w:t>
      </w:r>
      <w:r w:rsidRPr="00271CCD">
        <w:rPr>
          <w:rStyle w:val="HideTWBExt"/>
        </w:rPr>
        <w:t>&lt;/AuNomDe&gt;</w:t>
      </w:r>
    </w:p>
    <w:p w14:paraId="157907E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F30C13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C70864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2CAB47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DD7B2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6A5B28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7A8B5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3FFBA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6C12D6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BE806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5061B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państwa członkowskie do refinansowania swoich organów dyplomatycznych, których fundusze zostały drastycznie zmniejszone w ostatnich latach; potępia osłabienie francuskich i belgijskich korpusów dyplomatycznych;</w:t>
            </w:r>
          </w:p>
        </w:tc>
      </w:tr>
    </w:tbl>
    <w:p w14:paraId="7BF6A6C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069C1A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6AA431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900</w:t>
      </w:r>
      <w:r w:rsidRPr="00271CCD">
        <w:rPr>
          <w:rStyle w:val="HideTWBExt"/>
          <w:b w:val="0"/>
        </w:rPr>
        <w:t>&lt;/NumAm&gt;</w:t>
      </w:r>
    </w:p>
    <w:p w14:paraId="2CDDD61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556B751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1678D94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534BA1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2D48F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37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EF410C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A2431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C73B94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34C39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413AA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B4D2D3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9719B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1EA7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37c.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UE i państwa członkowskie do skuteczniejszego zajęcia się obchodzeniem sankcji, ze skupieniem się między innymi na wzmocnieniu współpracy międzynarodowej w tym względzie;</w:t>
            </w:r>
          </w:p>
        </w:tc>
      </w:tr>
    </w:tbl>
    <w:p w14:paraId="2ACCDAE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FF742D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D0FFDC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901</w:t>
      </w:r>
      <w:r w:rsidRPr="00271CCD">
        <w:rPr>
          <w:rStyle w:val="HideTWBExt"/>
          <w:b w:val="0"/>
        </w:rPr>
        <w:t>&lt;/NumAm&gt;</w:t>
      </w:r>
    </w:p>
    <w:p w14:paraId="698790B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10C772A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E86570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2C5394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0F0920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341AB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B93087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DEF7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780CE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AA7F84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B90A0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do wzmocnienia ESDZ – zarówno jej siedziby głównej, jak i delegatur UE – poprzez zapewnienie odpowiednich zasobów finansowych i ludzkich, tak by UE była lepiej przygotowana na obecne i pojawiające się globalne wyzwania; wzywa wiceprzewodniczącego / wysokiego przedstawiciela do szybkiego przedstawienia wniosków dotyczących przyszłej struktury operacyjnej działań zewnętrznych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C1D8D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58ECD5F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0DA6A7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49F2BA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902</w:t>
      </w:r>
      <w:r w:rsidRPr="00271CCD">
        <w:rPr>
          <w:rStyle w:val="HideTWBExt"/>
          <w:b w:val="0"/>
        </w:rPr>
        <w:t>&lt;/NumAm&gt;</w:t>
      </w:r>
    </w:p>
    <w:p w14:paraId="495A03B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Hana Jalloul Muro</w:t>
      </w:r>
      <w:r w:rsidRPr="00271CCD">
        <w:rPr>
          <w:rStyle w:val="HideTWBExt"/>
          <w:b w:val="0"/>
        </w:rPr>
        <w:t>&lt;/Members&gt;</w:t>
      </w:r>
    </w:p>
    <w:p w14:paraId="1D4DC58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BA0509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03FBA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43BB6EB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D5E84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641BB2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E51CC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8DDC1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5EA70E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B645D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>wzywa do wzmocnienia ESDZ – zarówno jej siedziby głównej, jak i delegatur UE – poprzez zapewnienie odpowiednich zasobów finansowych i ludzkich, tak by UE była lepiej przygotowana na obecne i pojawiające się globalne wyzwania; wzywa wiceprzewodniczącego / wysokiego przedstawiciela do szybkiego przedstawienia wniosków dotyczących przyszłej struktury operacyjnej działań zewnętrznych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A27EE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 xml:space="preserve">wzywa do wzmocnienia ESDZ – zarówno jej siedziby głównej, jak i delegatur UE – poprzez zapewnienie odpowiednich zasobów finansowych i ludzkich, tak by UE była lepiej przygotowana na obecne i pojawiające się globalne wyzwania; </w:t>
            </w:r>
            <w:r w:rsidRPr="00271CCD">
              <w:rPr>
                <w:b/>
                <w:i/>
                <w:color w:val="000000" w:themeColor="text1"/>
              </w:rPr>
              <w:t xml:space="preserve">domaga się, by ESDZ była w stanie wybierać i rekrutować swój stały personel dyplomatyczny UE oraz by zapewniała sprawiedliwszą równowagę płci i podział geograficzny między państwami członkowskimi na wszystkich poziomach ESDZ; </w:t>
            </w:r>
            <w:r w:rsidRPr="00271CCD">
              <w:rPr>
                <w:color w:val="000000" w:themeColor="text1"/>
              </w:rPr>
              <w:t>wzywa wiceprzewodniczącego / wysokiego przedstawiciela do szybkiego przedstawienia wniosków dotyczących przyszłej struktury operacyjnej działań zewnętrznych UE</w:t>
            </w:r>
            <w:r w:rsidRPr="00271CCD">
              <w:rPr>
                <w:b/>
                <w:i/>
                <w:color w:val="000000" w:themeColor="text1"/>
              </w:rPr>
              <w:t xml:space="preserve"> oraz do uwzględnienia w pełni rezolucji PE podsumowującej działalność ESDZ i dotyczącej silniejszej pozycji UE na świecie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4DFA2EB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1DF632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836D5E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903</w:t>
      </w:r>
      <w:r w:rsidRPr="00271CCD">
        <w:rPr>
          <w:rStyle w:val="HideTWBExt"/>
          <w:b w:val="0"/>
        </w:rPr>
        <w:t>&lt;/NumAm&gt;</w:t>
      </w:r>
    </w:p>
    <w:p w14:paraId="1AB8E69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4274243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C9E7CF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72CFCE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170522B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EEF66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E63AE6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0D19A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9E1A4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0CE1E0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26624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 xml:space="preserve">wzywa do </w:t>
            </w:r>
            <w:r w:rsidRPr="00271CCD">
              <w:rPr>
                <w:b/>
                <w:i/>
                <w:color w:val="000000" w:themeColor="text1"/>
              </w:rPr>
              <w:t>wzmocnienia</w:t>
            </w:r>
            <w:r w:rsidRPr="00271CCD">
              <w:rPr>
                <w:color w:val="000000" w:themeColor="text1"/>
              </w:rPr>
              <w:t xml:space="preserve"> ESDZ</w:t>
            </w:r>
            <w:r w:rsidRPr="00271CCD">
              <w:rPr>
                <w:b/>
                <w:i/>
                <w:color w:val="000000" w:themeColor="text1"/>
              </w:rPr>
              <w:t xml:space="preserve"> –</w:t>
            </w:r>
            <w:r w:rsidRPr="00271CCD">
              <w:rPr>
                <w:color w:val="000000" w:themeColor="text1"/>
              </w:rPr>
              <w:t xml:space="preserve"> zarówno jej siedziby głównej, jak i delegatur UE</w:t>
            </w:r>
            <w:r w:rsidRPr="00271CCD">
              <w:rPr>
                <w:b/>
                <w:i/>
                <w:color w:val="000000" w:themeColor="text1"/>
              </w:rPr>
              <w:t xml:space="preserve"> – poprzez zapewnienie odpowiednich zasobów finansowych i ludzkich, tak by UE była lepiej przygotowana na obecne i pojawiające się globalne wyzwania; wzywa wiceprzewodniczącego / wysokiego przedstawiciela do szybkiego przedstawienia wniosków dotyczących przyszłej struktury operacyjnej działań zewnętrznych UE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46AB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 xml:space="preserve">wzywa do </w:t>
            </w:r>
            <w:r w:rsidRPr="00271CCD">
              <w:rPr>
                <w:b/>
                <w:i/>
                <w:color w:val="000000" w:themeColor="text1"/>
              </w:rPr>
              <w:t>zakończenia działalności</w:t>
            </w:r>
            <w:r w:rsidRPr="00271CCD">
              <w:rPr>
                <w:color w:val="000000" w:themeColor="text1"/>
              </w:rPr>
              <w:t xml:space="preserve"> ESDZ</w:t>
            </w:r>
            <w:r w:rsidRPr="00271CCD">
              <w:rPr>
                <w:b/>
                <w:i/>
                <w:color w:val="000000" w:themeColor="text1"/>
              </w:rPr>
              <w:t>,</w:t>
            </w:r>
            <w:r w:rsidRPr="00271CCD">
              <w:rPr>
                <w:color w:val="000000" w:themeColor="text1"/>
              </w:rPr>
              <w:t xml:space="preserve"> zarówno jej siedziby głównej, jak i delegatur UE;</w:t>
            </w:r>
          </w:p>
        </w:tc>
      </w:tr>
    </w:tbl>
    <w:p w14:paraId="2E62099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215ED9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7371FF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904</w:t>
      </w:r>
      <w:r w:rsidRPr="00271CCD">
        <w:rPr>
          <w:rStyle w:val="HideTWBExt"/>
          <w:b w:val="0"/>
        </w:rPr>
        <w:t>&lt;/NumAm&gt;</w:t>
      </w:r>
    </w:p>
    <w:p w14:paraId="18D1A85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3E32C26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C59C6B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B29ECC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12B8A1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6E010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C67860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CA47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1F21F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754606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CBCD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wzywa do wzmocnienia ESDZ – zarówno jej siedziby głównej, jak i delegatur UE – poprzez zapewnienie odpowiednich zasobów finansowych i ludzkich, tak by UE była lepiej przygotowana na obecne i pojawiające się globalne wyzwania; </w:t>
            </w:r>
            <w:r w:rsidRPr="00271CCD">
              <w:rPr>
                <w:color w:val="000000" w:themeColor="text1"/>
              </w:rPr>
              <w:t>wzywa wiceprzewodniczącego / wysokiego przedstawiciela do szybkiego przedstawienia wniosków dotyczących przyszłej struktury operacyjnej działań zewnętrznych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34595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>wzywa wiceprzewodniczącego / wysokiego przedstawiciela do szybkiego przedstawienia wniosków dotyczących przyszłej struktury operacyjnej działań zewnętrznych UE;</w:t>
            </w:r>
          </w:p>
        </w:tc>
      </w:tr>
    </w:tbl>
    <w:p w14:paraId="3B025A2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449801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60AFBB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905</w:t>
      </w:r>
      <w:r w:rsidRPr="00271CCD">
        <w:rPr>
          <w:rStyle w:val="HideTWBExt"/>
          <w:b w:val="0"/>
        </w:rPr>
        <w:t>&lt;/NumAm&gt;</w:t>
      </w:r>
    </w:p>
    <w:p w14:paraId="4E67263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Adam Bielan</w:t>
      </w:r>
      <w:r w:rsidRPr="00271CCD">
        <w:rPr>
          <w:rStyle w:val="HideTWBExt"/>
          <w:b w:val="0"/>
        </w:rPr>
        <w:t>&lt;/Members&gt;</w:t>
      </w:r>
    </w:p>
    <w:p w14:paraId="6631250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66667B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1A5C01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733CCB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C6AEF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CF3A66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417A4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FD8C1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F40756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437D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>wzywa do wzmocnienia ESDZ – zarówno jej siedziby głównej, jak i delegatur UE – poprzez zapewnienie odpowiednich zasobów finansowych i ludzkich, tak by UE była lepiej przygotowana na obecne i pojawiające się globalne wyzwania; wzywa wiceprzewodniczącego / wysokiego przedstawiciela do szybkiego przedstawienia wniosków dotyczących przyszłej struktury operacyjnej działań zewnętrznych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E9B8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 xml:space="preserve">wzywa do wzmocnienia ESDZ – zarówno jej siedziby głównej, jak i delegatur UE – poprzez zapewnienie odpowiednich zasobów finansowych i ludzkich, tak by UE była lepiej przygotowana na obecne i pojawiające się globalne wyzwania; </w:t>
            </w:r>
            <w:r w:rsidRPr="00271CCD">
              <w:rPr>
                <w:b/>
                <w:i/>
                <w:color w:val="000000" w:themeColor="text1"/>
              </w:rPr>
              <w:t xml:space="preserve">domaga się lepszej reprezentacji geograficznej państw członkowskich podczas mianowania szefów delegatur UE; </w:t>
            </w:r>
            <w:r w:rsidRPr="00271CCD">
              <w:rPr>
                <w:color w:val="000000" w:themeColor="text1"/>
              </w:rPr>
              <w:t>wzywa wiceprzewodniczącego / wysokiego przedstawiciela do szybkiego przedstawienia wniosków dotyczących przyszłej struktury operacyjnej działań zewnętrznych UE;</w:t>
            </w:r>
          </w:p>
        </w:tc>
      </w:tr>
    </w:tbl>
    <w:p w14:paraId="76E4226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909395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A79DB5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906</w:t>
      </w:r>
      <w:r w:rsidRPr="00271CCD">
        <w:rPr>
          <w:rStyle w:val="HideTWBExt"/>
          <w:b w:val="0"/>
        </w:rPr>
        <w:t>&lt;/NumAm&gt;</w:t>
      </w:r>
    </w:p>
    <w:p w14:paraId="5FE0E89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Sebastiaan Stöteler</w:t>
      </w:r>
      <w:r w:rsidRPr="00271CCD">
        <w:rPr>
          <w:rStyle w:val="HideTWBExt"/>
          <w:b w:val="0"/>
        </w:rPr>
        <w:t>&lt;/Members&gt;</w:t>
      </w:r>
    </w:p>
    <w:p w14:paraId="5248652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E5CDFF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C08979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D9FC80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AC50A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6A8854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C888F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3AFA7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C6AE12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0E801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wzywa do wzmocnienia ESDZ – zarówno jej siedziby głównej, jak i delegatur UE – poprzez zapewnienie odpowiednich zasobów finansowych i ludzkich, tak by UE była lepiej przygotowana na obecne i pojawiające się globalne wyzwania; </w:t>
            </w:r>
            <w:r w:rsidRPr="00271CCD">
              <w:rPr>
                <w:color w:val="000000" w:themeColor="text1"/>
              </w:rPr>
              <w:t>wzywa wiceprzewodniczącego / wysokiego przedstawiciela do szybkiego przedstawienia wniosków dotyczących przyszłej struktury operacyjnej działań zewnętrznych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53BC4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>wzywa wiceprzewodniczącego / wysokiego przedstawiciela do szybkiego przedstawienia wniosków dotyczących przyszłej struktury operacyjnej działań zewnętrznych UE;</w:t>
            </w:r>
            <w:r w:rsidRPr="00271CCD">
              <w:rPr>
                <w:b/>
                <w:i/>
                <w:color w:val="000000" w:themeColor="text1"/>
              </w:rPr>
              <w:t xml:space="preserve"> podkreśla, Że dyplomacja UE nie może zastąpić polityki zagranicznej państw członkowskich;</w:t>
            </w:r>
          </w:p>
        </w:tc>
      </w:tr>
    </w:tbl>
    <w:p w14:paraId="7B4CB4E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8C558B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D70ECF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907</w:t>
      </w:r>
      <w:r w:rsidRPr="00271CCD">
        <w:rPr>
          <w:rStyle w:val="HideTWBExt"/>
          <w:b w:val="0"/>
        </w:rPr>
        <w:t>&lt;/NumAm&gt;</w:t>
      </w:r>
    </w:p>
    <w:p w14:paraId="0040D5D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Mariusz Kamiński, Michał Dworczyk</w:t>
      </w:r>
      <w:r w:rsidRPr="00271CCD">
        <w:rPr>
          <w:rStyle w:val="HideTWBExt"/>
          <w:b w:val="0"/>
        </w:rPr>
        <w:t>&lt;/Members&gt;</w:t>
      </w:r>
    </w:p>
    <w:p w14:paraId="525885D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{ECR}</w:t>
      </w:r>
      <w:r w:rsidRPr="00271CCD">
        <w:rPr>
          <w:color w:val="000000" w:themeColor="text1"/>
        </w:rPr>
        <w:t>w imieniu grupy ECR</w:t>
      </w:r>
      <w:r w:rsidRPr="00271CCD">
        <w:rPr>
          <w:rStyle w:val="HideTWBExt"/>
        </w:rPr>
        <w:t>&lt;/AuNomDe&gt;</w:t>
      </w:r>
    </w:p>
    <w:p w14:paraId="2912DF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401C1B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271649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E0A1A6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2CF04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7CB915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A38FA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AAFE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6D4AD8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31DE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>wzywa do wzmocnienia ESDZ – zarówno jej siedziby głównej, jak i delegatur UE – poprzez zapewnienie odpowiednich zasobów finansowych i ludzkich, tak by UE była lepiej przygotowana na obecne i pojawiające się globalne wyzwania; wzywa wiceprzewodniczącego / wysokiego przedstawiciela do szybkiego przedstawienia wniosków dotyczących przyszłej struktury operacyjnej działań zewnętrznych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EE1CD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>wzywa do wzmocnienia ESDZ – zarówno jej siedziby głównej, jak i delegatur UE – poprzez zapewnienie odpowiednich zasobów finansowych i ludzkich, tak by UE była lepiej przygotowana na obecne i pojawiające się globalne wyzwania; wzywa wiceprzewodniczącego / wysokiego przedstawiciela do szybkiego przedstawienia wniosków dotyczących przyszłej struktury operacyjnej działań zewnętrznych UE;</w:t>
            </w:r>
            <w:r w:rsidRPr="00271CCD">
              <w:rPr>
                <w:b/>
                <w:i/>
                <w:color w:val="000000" w:themeColor="text1"/>
              </w:rPr>
              <w:t xml:space="preserve"> wzywa wiceprzewodniczącego / wysokiego przedstawiciela do osiągnięcia równowagi geograficznej w ESDZ, w szczególności na wyższych szczeblach;</w:t>
            </w:r>
          </w:p>
        </w:tc>
      </w:tr>
    </w:tbl>
    <w:p w14:paraId="781317C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F84C69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2A087C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908</w:t>
      </w:r>
      <w:r w:rsidRPr="00271CCD">
        <w:rPr>
          <w:rStyle w:val="HideTWBExt"/>
          <w:b w:val="0"/>
        </w:rPr>
        <w:t>&lt;/NumAm&gt;</w:t>
      </w:r>
    </w:p>
    <w:p w14:paraId="638639F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Alexander Sell</w:t>
      </w:r>
      <w:r w:rsidRPr="00271CCD">
        <w:rPr>
          <w:rStyle w:val="HideTWBExt"/>
          <w:b w:val="0"/>
        </w:rPr>
        <w:t>&lt;/Members&gt;</w:t>
      </w:r>
    </w:p>
    <w:p w14:paraId="2F6A433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AA1BCA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9CFD99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BB7F86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DB5E2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3F35B3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C05E8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F7513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457032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FFE5B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do wzmocnienia</w:t>
            </w:r>
            <w:r w:rsidRPr="00271CCD">
              <w:rPr>
                <w:color w:val="000000" w:themeColor="text1"/>
              </w:rPr>
              <w:t xml:space="preserve"> ESDZ</w:t>
            </w:r>
            <w:r w:rsidRPr="00271CCD">
              <w:rPr>
                <w:b/>
                <w:i/>
                <w:color w:val="000000" w:themeColor="text1"/>
              </w:rPr>
              <w:t xml:space="preserve"> – zarówno jej siedziby głównej, jak i delegatur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 xml:space="preserve"> – poprzez zapewnienie odpowiednich zasobów finansowych i ludzkich, tak by UE była lepiej przygotowana na obecne i pojawiające się globalne wyzwania</w:t>
            </w:r>
            <w:r w:rsidRPr="00271CCD">
              <w:rPr>
                <w:color w:val="000000" w:themeColor="text1"/>
              </w:rPr>
              <w:t>; wzywa wiceprzewodniczącego / wysokiego przedstawiciela do szybkiego przedstawienia wniosków dotyczących przyszłej struktury operacyjnej działań zewnętrznych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1D4E7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zaleca uproszczone podejście do finansowania</w:t>
            </w:r>
            <w:r w:rsidRPr="00271CCD">
              <w:rPr>
                <w:color w:val="000000" w:themeColor="text1"/>
              </w:rPr>
              <w:t xml:space="preserve"> ESDZ</w:t>
            </w:r>
            <w:r w:rsidRPr="00271CCD">
              <w:rPr>
                <w:b/>
                <w:i/>
                <w:color w:val="000000" w:themeColor="text1"/>
              </w:rPr>
              <w:t>, ze skupieniem się na zasadniczych misjach i unikaniem nadmiernych przydziałów, które mogą obciążyć budżet</w:t>
            </w:r>
            <w:r w:rsidRPr="00271CCD">
              <w:rPr>
                <w:color w:val="000000" w:themeColor="text1"/>
              </w:rPr>
              <w:t xml:space="preserve"> UE; wzywa wiceprzewodniczącego / wysokiego przedstawiciela do szybkiego przedstawienia wniosków dotyczących przyszłej struktury operacyjnej działań zewnętrznych UE;</w:t>
            </w:r>
          </w:p>
        </w:tc>
      </w:tr>
    </w:tbl>
    <w:p w14:paraId="0921525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E61165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2B0A0C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909</w:t>
      </w:r>
      <w:r w:rsidRPr="00271CCD">
        <w:rPr>
          <w:rStyle w:val="HideTWBExt"/>
          <w:b w:val="0"/>
        </w:rPr>
        <w:t>&lt;/NumAm&gt;</w:t>
      </w:r>
    </w:p>
    <w:p w14:paraId="1D15041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Roberto Vannacci</w:t>
      </w:r>
      <w:r w:rsidRPr="00271CCD">
        <w:rPr>
          <w:rStyle w:val="HideTWBExt"/>
          <w:b w:val="0"/>
        </w:rPr>
        <w:t>&lt;/Members&gt;</w:t>
      </w:r>
    </w:p>
    <w:p w14:paraId="4A4B456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4B2E9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EC3CFB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307239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05151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14060C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ED4AF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60FFC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80EA22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CDD86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 xml:space="preserve">wzywa do wzmocnienia ESDZ – zarówno jej siedziby głównej, jak i delegatur UE –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poprzez zapewnienie odpowiednich zasobów finansowych i ludzkich,</w:t>
            </w:r>
            <w:r w:rsidRPr="00271CCD">
              <w:rPr>
                <w:b/>
                <w:bCs/>
                <w:color w:val="000000" w:themeColor="text1"/>
              </w:rPr>
              <w:t xml:space="preserve"> </w:t>
            </w:r>
            <w:r w:rsidRPr="00271CCD">
              <w:rPr>
                <w:color w:val="000000" w:themeColor="text1"/>
              </w:rPr>
              <w:t>tak by UE była lepiej przygotowana na obecne i pojawiające się globalne wyzwania; wzywa wiceprzewodniczącego / wysokiego przedstawiciela do szybkiego przedstawienia wniosków dotyczących przyszłej struktury operacyjnej działań zewnętrznych UE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F4027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38.</w:t>
            </w:r>
            <w:r w:rsidRPr="00271CCD">
              <w:rPr>
                <w:color w:val="000000" w:themeColor="text1"/>
              </w:rPr>
              <w:tab/>
              <w:t>wzywa do wzmocnienia ESDZ – zarówno jej siedziby głównej, jak i delegatur UE – tak by UE była lepiej przygotowana na obecne i pojawiające się globalne wyzwania; wzywa wiceprzewodniczącego / wysokiego przedstawiciela do szybkiego przedstawienia wniosków dotyczących przyszłej struktury operacyjnej działań zewnętrznych UE</w:t>
            </w:r>
          </w:p>
        </w:tc>
      </w:tr>
    </w:tbl>
    <w:p w14:paraId="146EE09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7CAA224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0BB2CC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910</w:t>
      </w:r>
      <w:r w:rsidRPr="00271CCD">
        <w:rPr>
          <w:rStyle w:val="HideTWBExt"/>
          <w:b w:val="0"/>
        </w:rPr>
        <w:t>&lt;/NumAm&gt;</w:t>
      </w:r>
    </w:p>
    <w:p w14:paraId="27B159A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59CA596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2D5A18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8A34C1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64CD39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AA7B6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14271B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5F2CE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9EE2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AB3DB2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12272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7474D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wiceprzewodniczącego / wysokiego przedstawiciela do promowania przekonującej, trwałej i ukierunkowanej narracji demokratycznej, która wykazuje, że demokracja przynosi korzyści jednostkom i społeczeństwom na całym świecie oraz jest w stanie stawić opór autokratycznym naciskom i wpływom; ubolewa nad faktem, że Chińska Republika Ludowa, Rosja, Iran i inne reżimy totalitarne lub autorytarne wykorzystują manipulację informacjami i wrogą ingerencję jako integralne instrumenty do wywierania presji na instytucje wielostronne oraz wartości i normy demokratyczne, do erozji kontroli nad nadużywaniem władzy, do zwiększenia częstotliwości i nasilenia naruszeń praw człowieka, do ograniczania przestrzeni dla społeczeństwa obywatelskiego, niezależnych mediów i demokratycznych ruchów opozycyjnych oraz do szerzenia antyzachodniej dezinformacji;</w:t>
            </w:r>
          </w:p>
        </w:tc>
      </w:tr>
    </w:tbl>
    <w:p w14:paraId="50EB996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969A2C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CE19DE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911</w:t>
      </w:r>
      <w:r w:rsidRPr="00271CCD">
        <w:rPr>
          <w:rStyle w:val="HideTWBExt"/>
          <w:b w:val="0"/>
        </w:rPr>
        <w:t>&lt;/NumAm&gt;</w:t>
      </w:r>
    </w:p>
    <w:p w14:paraId="6674B52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Andrey Kovatchev</w:t>
      </w:r>
      <w:r w:rsidRPr="00271CCD">
        <w:rPr>
          <w:rStyle w:val="HideTWBExt"/>
          <w:b w:val="0"/>
        </w:rPr>
        <w:t>&lt;/Members&gt;</w:t>
      </w:r>
    </w:p>
    <w:p w14:paraId="2656CFD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B70652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1E5D1F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AE05B8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B535D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4EFFA3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3B71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3A28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D5C497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5F585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CD03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Komisję i ESDZ do zwiększenia wysiłków w zwalczaniu zagranicznych manipulacji informacjami i ingerencji w informacje; popiera zobowiązanie do ustanowienia „europejskiej tarczy demokracji” w celu wykrywania, śledzenia i usuwania kłamliwych treści w internecie, a tym samym wzmocnienia zdolności UE do przeciwdziałania zagranicznym manipulacjom informacjami i ingerencjom w informacje oraz zwiększenia swojego wsparcia dla ochrony demokracji w państwach trzecich, w szczególności w sąsiedztwie UE; wzywa ESDZ i delegatury UE w państwach trzecich do dalszego wzmocnienia ich odpowiednich zdolności do zwalczania dezinformacji i propagandy powiązanych z ESDZ UE oraz przeciwdziałania im;</w:t>
            </w:r>
          </w:p>
        </w:tc>
      </w:tr>
    </w:tbl>
    <w:p w14:paraId="487BF7C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6DD966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68D1ED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912</w:t>
      </w:r>
      <w:r w:rsidRPr="00271CCD">
        <w:rPr>
          <w:rStyle w:val="HideTWBExt"/>
          <w:b w:val="0"/>
        </w:rPr>
        <w:t>&lt;/NumAm&gt;</w:t>
      </w:r>
    </w:p>
    <w:p w14:paraId="6EE4233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Hana Jalloul Muro</w:t>
      </w:r>
      <w:r w:rsidRPr="00271CCD">
        <w:rPr>
          <w:rStyle w:val="HideTWBExt"/>
          <w:b w:val="0"/>
        </w:rPr>
        <w:t>&lt;/Members&gt;</w:t>
      </w:r>
    </w:p>
    <w:p w14:paraId="41281FB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B5694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386938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3238CD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D71A9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B3D37B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DFBFB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CBC47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E73C01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90291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84887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potrzebę określenia sposobów dostępu do ESDZ dla osób kończących Europejską Akademię Dyplomatyczną i umożliwienia im wejścia na stałe do jej personelu; domaga się, by wspomniana Akademia obejmowała Europejczyków, którzy nie są dyplomatami państw członkowskich i którzy ukończyli studia wyższe dotyczące systemu ich wyboru, rekrutacji i szkolenia; podkreśla znaczenie zapewnienia, by Akademii przydzielono wystarczające zasoby, w tym zasoby ludzkie;</w:t>
            </w:r>
          </w:p>
        </w:tc>
      </w:tr>
    </w:tbl>
    <w:p w14:paraId="499C955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71AB8F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63E3C2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913</w:t>
      </w:r>
      <w:r w:rsidRPr="00271CCD">
        <w:rPr>
          <w:rStyle w:val="HideTWBExt"/>
          <w:b w:val="0"/>
        </w:rPr>
        <w:t>&lt;/NumAm&gt;</w:t>
      </w:r>
    </w:p>
    <w:p w14:paraId="2C95A5F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Nathalie Loiseau, Urmas Paet, Hilde Vautmans, Lucia Yar, Petras Auštrevičius</w:t>
      </w:r>
      <w:r w:rsidRPr="00271CCD">
        <w:rPr>
          <w:rStyle w:val="HideTWBExt"/>
          <w:b w:val="0"/>
        </w:rPr>
        <w:t>&lt;/Members&gt;</w:t>
      </w:r>
    </w:p>
    <w:p w14:paraId="040DB94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D8873A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6CA091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8F0999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CA8F8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189884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40F92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A2B86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4AC0C7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3E20F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83E31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informacje o wszelkich działaniach Unii podejmowanych w południowym i wschodnim sąsiedztwie, a w szczególności w Ukrainie i Mołdawii, powinny być odpowiednio przekazywane, aby zapewnić widoczność działań UE i zapobiegać wrogiej retoryce rozpowszechnianej przez podmioty zagraniczne w celu szerzenia bezprawnej antyunijnej narracji;</w:t>
            </w:r>
          </w:p>
        </w:tc>
      </w:tr>
    </w:tbl>
    <w:p w14:paraId="4767685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51B423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9C55AF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914</w:t>
      </w:r>
      <w:r w:rsidRPr="00271CCD">
        <w:rPr>
          <w:rStyle w:val="HideTWBExt"/>
          <w:b w:val="0"/>
        </w:rPr>
        <w:t>&lt;/NumAm&gt;</w:t>
      </w:r>
    </w:p>
    <w:p w14:paraId="433F141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</w:t>
      </w:r>
      <w:r w:rsidRPr="00271CCD">
        <w:rPr>
          <w:rStyle w:val="HideTWBExt"/>
          <w:b w:val="0"/>
        </w:rPr>
        <w:t>&lt;/Members&gt;</w:t>
      </w:r>
    </w:p>
    <w:p w14:paraId="65F27AD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25F64B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0A6CB4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190615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D1D2C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BE1EC6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F3AEF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BD11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1CC387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37CF9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22A97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wyraża ubolewanie z powodu nadmiernego używania języka angielskiego przez ESDZ w jej komunikatach; wzywa do używania języka francuskiego na równi z językiem angielskim w komunikatach ESDZ;</w:t>
            </w:r>
          </w:p>
        </w:tc>
      </w:tr>
    </w:tbl>
    <w:p w14:paraId="629FC95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26FC9FD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23098E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915</w:t>
      </w:r>
      <w:r w:rsidRPr="00271CCD">
        <w:rPr>
          <w:rStyle w:val="HideTWBExt"/>
          <w:b w:val="0"/>
        </w:rPr>
        <w:t>&lt;/NumAm&gt;</w:t>
      </w:r>
    </w:p>
    <w:p w14:paraId="0D67072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4489205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BAB12B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CF986D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81FE08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5CA5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F7BA5B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F5064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FF12A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BB7CA3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90A8C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A8CC7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powtarza, że UE i jej państwa członkowskie muszą w większym stopniu uwzględniać wsparcie demokracji w programowaniu instrumentów finansowych UE, i w tym kontekście podkreśla, że należy zapewnić właściwym delegaturom Unii odpowiednie środki, aby mogły zintensyfikować działania w zakresie dyplomacji publicznej i rozwijać zdolności w zakresie komunikacji strategicznej z myślą o zwalczaniu dezinformacji i propagandy;</w:t>
            </w:r>
          </w:p>
        </w:tc>
      </w:tr>
    </w:tbl>
    <w:p w14:paraId="24D57E8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D6456D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63A0B4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916</w:t>
      </w:r>
      <w:r w:rsidRPr="00271CCD">
        <w:rPr>
          <w:rStyle w:val="HideTWBExt"/>
          <w:b w:val="0"/>
        </w:rPr>
        <w:t>&lt;/NumAm&gt;</w:t>
      </w:r>
    </w:p>
    <w:p w14:paraId="2BD02F3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Hana Jalloul Muro</w:t>
      </w:r>
      <w:r w:rsidRPr="00271CCD">
        <w:rPr>
          <w:rStyle w:val="HideTWBExt"/>
          <w:b w:val="0"/>
        </w:rPr>
        <w:t>&lt;/Members&gt;</w:t>
      </w:r>
    </w:p>
    <w:p w14:paraId="6CAF107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318734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C0AA1E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DCC9F8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F1656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EADCE3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1AA5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C13F7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5BDA11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CC0CB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11678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ponawia swój apel o ustanowienie systemu automatycznego i ciągłego przepływu informacji wywiadowczych z państw członkowskich do ESDZ na temat problemów związanych z polityką zagraniczną i bezpieczeństwem występujących poza Unią; wzywa do ulepszania protokołów bezpieczeństwa służb pracujących na danych wywiadowczych lub z informacjami szczególnie chronionymi;</w:t>
            </w:r>
          </w:p>
        </w:tc>
      </w:tr>
    </w:tbl>
    <w:p w14:paraId="16D9397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67F0CE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B1D8B0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917</w:t>
      </w:r>
      <w:r w:rsidRPr="00271CCD">
        <w:rPr>
          <w:rStyle w:val="HideTWBExt"/>
          <w:b w:val="0"/>
        </w:rPr>
        <w:t>&lt;/NumAm&gt;</w:t>
      </w:r>
    </w:p>
    <w:p w14:paraId="376B5C1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2CB8C26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706163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F90574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38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9F137B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70802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F88FEF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F2BEA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889A0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29BD92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A9309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B96D1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38c.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realizację projektu pilotażowego zatytułowanego „W kierunku utworzenia Europejskiej Akademii Dyplomatycznej”; wzywa do utworzenia stałej struktury dysponującej niezbędnymi zasobami; apeluje o zbadanie sposobów dostępu absolwentów tej Akademii do ESDZ i podjęcie decyzji w tej sprawie, co może przyczynić się do pełnego rozwoju autonomicznej dyplomacji UE kształtowanej przez wspólną kulturę dyplomatyczną z perspektywy UE; ponownie apeluje do Komisji o utworzenie stałego programu szkoleń stacjonarnych w zakresie działań zewnętrznych UE i WPZiB dla młodszych dyplomatów z krajów kandydujących do UE;</w:t>
            </w:r>
          </w:p>
        </w:tc>
      </w:tr>
    </w:tbl>
    <w:p w14:paraId="6FE6DBD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68C170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49E90D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918</w:t>
      </w:r>
      <w:r w:rsidRPr="00271CCD">
        <w:rPr>
          <w:rStyle w:val="HideTWBExt"/>
          <w:b w:val="0"/>
        </w:rPr>
        <w:t>&lt;/NumAm&gt;</w:t>
      </w:r>
    </w:p>
    <w:p w14:paraId="222751E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597E2E4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8C1994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62229F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6BF6C1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AF9A4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0ED74E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A197D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A56B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A5E576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A9EA1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86C5C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204D05A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5DDD63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1E5469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919</w:t>
      </w:r>
      <w:r w:rsidRPr="00271CCD">
        <w:rPr>
          <w:rStyle w:val="HideTWBExt"/>
          <w:b w:val="0"/>
        </w:rPr>
        <w:t>&lt;/NumAm&gt;</w:t>
      </w:r>
    </w:p>
    <w:p w14:paraId="43D25C3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78293EE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15F7E0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772EFD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ECC856B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6708E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B83256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27201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0680A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9AC030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3F590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47559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16FC4C8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8119B7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B3D554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920</w:t>
      </w:r>
      <w:r w:rsidRPr="00271CCD">
        <w:rPr>
          <w:rStyle w:val="HideTWBExt"/>
          <w:b w:val="0"/>
        </w:rPr>
        <w:t>&lt;/NumAm&gt;</w:t>
      </w:r>
    </w:p>
    <w:p w14:paraId="5AFD61C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459CF91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20CD37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119CD4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04E830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E5147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2CBBA3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066C8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F4D7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C6F650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B32CE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CEE68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  <w:r w:rsidRPr="00271CCD">
              <w:rPr>
                <w:b/>
                <w:i/>
                <w:color w:val="000000" w:themeColor="text1"/>
              </w:rPr>
              <w:t xml:space="preserve"> jest zaniepokojony informacjami, że szereg projektów Global Gateway jest wdrażanych przez chińskie przedsiębiorstwa w bezpośredniej sprzeczności z celami i założeniami inicjatywy, które obejmują wzmocnienie bezpieczeństwa gospodarczego UE oraz promowanie rozwoju gospodarczego i wzajemnie korzystnych partnerstw z państwami trzecimi; domaga się niezwłocznego przeprowadzenia dochodzenia i wyeliminowania wszystkich chińskich przedsiębiorstw zaangażowanych w Global Gateway;</w:t>
            </w:r>
          </w:p>
        </w:tc>
      </w:tr>
    </w:tbl>
    <w:p w14:paraId="48835AB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23B050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044C58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921</w:t>
      </w:r>
      <w:r w:rsidRPr="00271CCD">
        <w:rPr>
          <w:rStyle w:val="HideTWBExt"/>
          <w:b w:val="0"/>
        </w:rPr>
        <w:t>&lt;/NumAm&gt;</w:t>
      </w:r>
    </w:p>
    <w:p w14:paraId="195A076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2DDB203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A70768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77F5BD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5B736B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F29E7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77AE4D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BF13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227F4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D718C2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AA28E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F112F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  <w:r w:rsidRPr="00271CCD">
              <w:rPr>
                <w:b/>
                <w:i/>
                <w:color w:val="000000" w:themeColor="text1"/>
              </w:rPr>
              <w:t xml:space="preserve"> przypomina, że Global Gateway należy rozumieć jako strategiczną koncepcję, która obejmuje politykę zagraniczną, gospodarczą i politykę rozwoju; podkreśla w tym kontekście, że koordynacja z międzynarodowymi instytucjami finansowymi, jasno określone zaangażowanie sektora prywatnego i dostosowana do potrzeb komunikacja strategiczna mają zasadnicze znaczenie dla osiągnięcia pożądanej skali instrumentu;</w:t>
            </w:r>
          </w:p>
        </w:tc>
      </w:tr>
    </w:tbl>
    <w:p w14:paraId="6819DE9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37D832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E299E9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922</w:t>
      </w:r>
      <w:r w:rsidRPr="00271CCD">
        <w:rPr>
          <w:rStyle w:val="HideTWBExt"/>
          <w:b w:val="0"/>
        </w:rPr>
        <w:t>&lt;/NumAm&gt;</w:t>
      </w:r>
    </w:p>
    <w:p w14:paraId="4DB6353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Robert Biedroń, Sven Mikser, Marco Tarquinio</w:t>
      </w:r>
      <w:r w:rsidRPr="00271CCD">
        <w:rPr>
          <w:rStyle w:val="HideTWBExt"/>
          <w:b w:val="0"/>
        </w:rPr>
        <w:t>&lt;/Members&gt;</w:t>
      </w:r>
    </w:p>
    <w:p w14:paraId="62244C8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598D72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3837DA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3F357A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79A67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3497D3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758AC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593B6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BA609F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5699A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51653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</w:t>
            </w:r>
            <w:r w:rsidRPr="00271CCD">
              <w:rPr>
                <w:b/>
                <w:i/>
                <w:color w:val="000000" w:themeColor="text1"/>
              </w:rPr>
              <w:t xml:space="preserve"> bez uszczerbku dla podstawowego celu polityki rozwojowej UE, a mianowicie eliminacji ubóstwa, jak zapisano w art. 208 TFUE, z zapewnieniem, by wszystkie środki finansowe w ramach ISWMR – „Globalny wymiar Europy” były wykorzystywane zgodnie z zasadami zawartymi w rozporządzeniu i z celem promowania osiągnięcia celów zrównoważonego rozwoju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0BD907A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0081B2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A54077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923</w:t>
      </w:r>
      <w:r w:rsidRPr="00271CCD">
        <w:rPr>
          <w:rStyle w:val="HideTWBExt"/>
          <w:b w:val="0"/>
        </w:rPr>
        <w:t>&lt;/NumAm&gt;</w:t>
      </w:r>
    </w:p>
    <w:p w14:paraId="44AFFB2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Hana Jalloul Muro</w:t>
      </w:r>
      <w:r w:rsidRPr="00271CCD">
        <w:rPr>
          <w:rStyle w:val="HideTWBExt"/>
          <w:b w:val="0"/>
        </w:rPr>
        <w:t>&lt;/Members&gt;</w:t>
      </w:r>
    </w:p>
    <w:p w14:paraId="2E4328F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1865F3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B00C87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9DD719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17F34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6AA767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5AA20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0735D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6A5EF4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0886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CCCB7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  <w:r w:rsidRPr="00271CCD">
              <w:rPr>
                <w:b/>
                <w:i/>
                <w:color w:val="000000" w:themeColor="text1"/>
              </w:rPr>
              <w:t xml:space="preserve"> podkreśla potrzebę wsparcia przez UE rozwiązań alternatywnych, takich jak partnerstwo na rzecz globalnej infrastruktury i inwestycji, korytarz gospodarczy Indie – Bliski Wschód – Europa czy korytarz Lobito;</w:t>
            </w:r>
          </w:p>
        </w:tc>
      </w:tr>
    </w:tbl>
    <w:p w14:paraId="06D9D50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DCE640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30EC54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924</w:t>
      </w:r>
      <w:r w:rsidRPr="00271CCD">
        <w:rPr>
          <w:rStyle w:val="HideTWBExt"/>
          <w:b w:val="0"/>
        </w:rPr>
        <w:t>&lt;/NumAm&gt;</w:t>
      </w:r>
    </w:p>
    <w:p w14:paraId="58B3809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795949D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171C7C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509995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21EB15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4BC70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6B057F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85CB4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D4C5A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F61B2D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2C4C1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6FFDA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>wzywa Komisję, aby skutecznie i szybko wykorzystała strategię Global Gateway jako zrównoważoną alternatywę dla chińskiej koncepcji „Jeden pas i jeden szlak” oraz jako instrument służący zwiększeniu obecności i widoczności UE na całym świecie;</w:t>
            </w:r>
            <w:r w:rsidRPr="00271CCD">
              <w:rPr>
                <w:b/>
                <w:i/>
                <w:color w:val="000000" w:themeColor="text1"/>
              </w:rPr>
              <w:t xml:space="preserve"> zauważa, że europejskie inwestycje i pomoc powinny koncentrować się na wspólnych celach na najbardziej odpowiednim poziomie działań i być wyraźnie widoczne w krajach przyjmujących;</w:t>
            </w:r>
          </w:p>
        </w:tc>
      </w:tr>
    </w:tbl>
    <w:p w14:paraId="421712D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A3B6E9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4BF7F7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925</w:t>
      </w:r>
      <w:r w:rsidRPr="00271CCD">
        <w:rPr>
          <w:rStyle w:val="HideTWBExt"/>
          <w:b w:val="0"/>
        </w:rPr>
        <w:t>&lt;/NumAm&gt;</w:t>
      </w:r>
    </w:p>
    <w:p w14:paraId="0188F1E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Mariusz Kamiński, Adam Bielan, Michał Dworczyk</w:t>
      </w:r>
      <w:r w:rsidRPr="00271CCD">
        <w:rPr>
          <w:rStyle w:val="HideTWBExt"/>
          <w:b w:val="0"/>
        </w:rPr>
        <w:t>&lt;/Members&gt;</w:t>
      </w:r>
    </w:p>
    <w:p w14:paraId="7DB4512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{ECR}</w:t>
      </w:r>
      <w:r w:rsidRPr="00271CCD">
        <w:rPr>
          <w:color w:val="000000" w:themeColor="text1"/>
        </w:rPr>
        <w:t>w imieniu grupy ECR</w:t>
      </w:r>
      <w:r w:rsidRPr="00271CCD">
        <w:rPr>
          <w:rStyle w:val="HideTWBExt"/>
        </w:rPr>
        <w:t>&lt;/AuNomDe&gt;</w:t>
      </w:r>
    </w:p>
    <w:p w14:paraId="099A2E2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AE912E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A86795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505AD0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E8CCC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FE3A38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CC271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4314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AFDD13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04212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 xml:space="preserve">wzywa Komisję, aby skutecznie i szybko wykorzystała strategię Global Gateway jako zrównoważoną alternatywę dla chińskiej koncepcji „Jeden pas i jeden szlak” oraz jako instrument służący zwiększeniu obecności i widoczności UE </w:t>
            </w:r>
            <w:r w:rsidRPr="00271CCD">
              <w:rPr>
                <w:b/>
                <w:i/>
                <w:color w:val="000000" w:themeColor="text1"/>
              </w:rPr>
              <w:t>na całym świecie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78526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 xml:space="preserve">wzywa Komisję, aby skutecznie i szybko wykorzystała strategię Global Gateway jako zrównoważoną alternatywę dla chińskiej koncepcji „Jeden pas i jeden szlak” oraz jako instrument służący </w:t>
            </w:r>
            <w:r w:rsidRPr="00271CCD">
              <w:rPr>
                <w:b/>
                <w:i/>
                <w:color w:val="000000" w:themeColor="text1"/>
              </w:rPr>
              <w:t xml:space="preserve">wsparciu krajów rozwijających się, wzmocnieniu ich więzi z Europą i </w:t>
            </w:r>
            <w:r w:rsidRPr="00271CCD">
              <w:rPr>
                <w:color w:val="000000" w:themeColor="text1"/>
              </w:rPr>
              <w:t xml:space="preserve">zwiększeniu </w:t>
            </w:r>
            <w:r w:rsidRPr="00271CCD">
              <w:rPr>
                <w:b/>
                <w:i/>
                <w:color w:val="000000" w:themeColor="text1"/>
              </w:rPr>
              <w:t xml:space="preserve">globalnej </w:t>
            </w:r>
            <w:r w:rsidRPr="00271CCD">
              <w:rPr>
                <w:color w:val="000000" w:themeColor="text1"/>
              </w:rPr>
              <w:t xml:space="preserve">obecności i widoczności UE </w:t>
            </w:r>
            <w:r w:rsidRPr="00271CCD">
              <w:rPr>
                <w:b/>
                <w:i/>
                <w:color w:val="000000" w:themeColor="text1"/>
              </w:rPr>
              <w:t>z korzyścią zarówno dla interesów UE, jak i szerszych celów międzynarodowych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36512EB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37ABBC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29FF97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926</w:t>
      </w:r>
      <w:r w:rsidRPr="00271CCD">
        <w:rPr>
          <w:rStyle w:val="HideTWBExt"/>
          <w:b w:val="0"/>
        </w:rPr>
        <w:t>&lt;/NumAm&gt;</w:t>
      </w:r>
    </w:p>
    <w:p w14:paraId="6E31AF8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Rihards Kols</w:t>
      </w:r>
      <w:r w:rsidRPr="00271CCD">
        <w:rPr>
          <w:rStyle w:val="HideTWBExt"/>
          <w:b w:val="0"/>
        </w:rPr>
        <w:t>&lt;/Members&gt;</w:t>
      </w:r>
    </w:p>
    <w:p w14:paraId="0328C15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D8CF51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3A3B48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C16F2A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514D8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3F3D28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7D1A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E1C29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578BB7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E1836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 xml:space="preserve">wzywa Komisję, aby </w:t>
            </w:r>
            <w:r w:rsidRPr="00271CCD">
              <w:rPr>
                <w:b/>
                <w:i/>
                <w:color w:val="000000" w:themeColor="text1"/>
              </w:rPr>
              <w:t>skutecznie i szybko wykorzystała strategię</w:t>
            </w:r>
            <w:r w:rsidRPr="00271CCD">
              <w:rPr>
                <w:color w:val="000000" w:themeColor="text1"/>
              </w:rPr>
              <w:t xml:space="preserve"> Global Gateway jako </w:t>
            </w:r>
            <w:r w:rsidRPr="00271CCD">
              <w:rPr>
                <w:b/>
                <w:i/>
                <w:color w:val="000000" w:themeColor="text1"/>
              </w:rPr>
              <w:t>zrównoważoną alternatywę</w:t>
            </w:r>
            <w:r w:rsidRPr="00271CCD">
              <w:rPr>
                <w:color w:val="000000" w:themeColor="text1"/>
              </w:rPr>
              <w:t xml:space="preserve"> dla chińskiej koncepcji „Jeden pas i jeden szlak”</w:t>
            </w:r>
            <w:r w:rsidRPr="00271CCD">
              <w:rPr>
                <w:b/>
                <w:i/>
                <w:color w:val="000000" w:themeColor="text1"/>
              </w:rPr>
              <w:t xml:space="preserve"> oraz jako instrument służący zwiększeniu obecności i widoczności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 xml:space="preserve"> na całym świecie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7ADCE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 xml:space="preserve">wzywa Komisję, aby </w:t>
            </w:r>
            <w:r w:rsidRPr="00271CCD">
              <w:rPr>
                <w:b/>
                <w:i/>
                <w:color w:val="000000" w:themeColor="text1"/>
              </w:rPr>
              <w:t>nadała priorytet wdrożeniu strategii</w:t>
            </w:r>
            <w:r w:rsidRPr="00271CCD">
              <w:rPr>
                <w:color w:val="000000" w:themeColor="text1"/>
              </w:rPr>
              <w:t xml:space="preserve"> Global Gateway jako </w:t>
            </w:r>
            <w:r w:rsidRPr="00271CCD">
              <w:rPr>
                <w:b/>
                <w:i/>
                <w:color w:val="000000" w:themeColor="text1"/>
              </w:rPr>
              <w:t>solidnej, zrównoważonej alternatywy</w:t>
            </w:r>
            <w:r w:rsidRPr="00271CCD">
              <w:rPr>
                <w:color w:val="000000" w:themeColor="text1"/>
              </w:rPr>
              <w:t xml:space="preserve"> dla chińskiej koncepcji „Jeden pas i jeden szlak”</w:t>
            </w:r>
            <w:r w:rsidRPr="00271CCD">
              <w:rPr>
                <w:b/>
                <w:i/>
                <w:color w:val="000000" w:themeColor="text1"/>
              </w:rPr>
              <w:t>, wzmacniając obecność</w:t>
            </w:r>
            <w:r w:rsidRPr="00271CCD">
              <w:rPr>
                <w:color w:val="000000" w:themeColor="text1"/>
              </w:rPr>
              <w:t xml:space="preserve"> UE</w:t>
            </w:r>
            <w:r w:rsidRPr="00271CCD">
              <w:rPr>
                <w:b/>
                <w:i/>
                <w:color w:val="000000" w:themeColor="text1"/>
              </w:rPr>
              <w:t>, inwestycje w infrastrukturę i widoczność w strategicznych regionach, w szczególności w Azji Środkowej, Afryce i Ameryce Łacińskiej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13BCBD9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AC313C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44E8E9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927</w:t>
      </w:r>
      <w:r w:rsidRPr="00271CCD">
        <w:rPr>
          <w:rStyle w:val="HideTWBExt"/>
          <w:b w:val="0"/>
        </w:rPr>
        <w:t>&lt;/NumAm&gt;</w:t>
      </w:r>
    </w:p>
    <w:p w14:paraId="54BFF7A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Marc Botenga, Rima Hassan</w:t>
      </w:r>
      <w:r w:rsidRPr="00271CCD">
        <w:rPr>
          <w:rStyle w:val="HideTWBExt"/>
          <w:b w:val="0"/>
        </w:rPr>
        <w:t>&lt;/Members&gt;</w:t>
      </w:r>
    </w:p>
    <w:p w14:paraId="638C136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{The Left}</w:t>
      </w:r>
      <w:r w:rsidRPr="00271CCD">
        <w:rPr>
          <w:color w:val="000000" w:themeColor="text1"/>
        </w:rPr>
        <w:t>w imieniu grupy The Left</w:t>
      </w:r>
      <w:r w:rsidRPr="00271CCD">
        <w:rPr>
          <w:rStyle w:val="HideTWBExt"/>
        </w:rPr>
        <w:t>&lt;/AuNomDe&gt;</w:t>
      </w:r>
    </w:p>
    <w:p w14:paraId="0FD286C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A8876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036E4E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7ACC64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F8CBB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CB18B5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ECDD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B47E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DF7290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3B1AB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 xml:space="preserve">wzywa Komisję, aby skutecznie i szybko wykorzystała strategię Global Gateway jako </w:t>
            </w:r>
            <w:r w:rsidRPr="00271CCD">
              <w:rPr>
                <w:b/>
                <w:i/>
                <w:color w:val="000000" w:themeColor="text1"/>
              </w:rPr>
              <w:t>zrównoważoną alternatywę dla chińskiej koncepcji „Jeden pas i jeden szlak” oraz jako instrument służący zwiększeniu obecności i widoczności UE na całym świecie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D9CD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39.</w:t>
            </w:r>
            <w:r w:rsidRPr="00271CCD">
              <w:rPr>
                <w:color w:val="000000" w:themeColor="text1"/>
              </w:rPr>
              <w:tab/>
              <w:t xml:space="preserve">wzywa Komisję, aby skutecznie i szybko wykorzystała strategię Global Gateway jako </w:t>
            </w:r>
            <w:r w:rsidRPr="00271CCD">
              <w:rPr>
                <w:b/>
                <w:i/>
                <w:color w:val="000000" w:themeColor="text1"/>
              </w:rPr>
              <w:t>sposób zapewniania wkładu w suwerenny rozwój krajów globalnego Południa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0DED65C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7666FB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C249DF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928</w:t>
      </w:r>
      <w:r w:rsidRPr="00271CCD">
        <w:rPr>
          <w:rStyle w:val="HideTWBExt"/>
          <w:b w:val="0"/>
        </w:rPr>
        <w:t>&lt;/NumAm&gt;</w:t>
      </w:r>
    </w:p>
    <w:p w14:paraId="13CBEA7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10ED93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54F7D6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58B922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C6F2DF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725D3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E1C608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464C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DA272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3E8BBD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B0DE3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49810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39a.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ostrzega, że pogorszenie się środowiska bezpieczeństwa w Europie i na całym świecie wymaga pilnego zastanowienia się, w jaki sposób ograniczyć zależność UE od przeciwników takich jak Chiny; podkreśla, że należy zapobiegać transferom powstających technologii wrażliwych i kluczowych produktów podwójnego zastosowania, zwłaszcza tych, które są krytyczne z punktu widzenia bezpieczeństwa i obronności Unii, do budzących obawy miejsc, które realizują strategie zintegrowania gospodarki cywilnej i obronnej lub współpracują przy ich realizacji; ponadto wzywa instytucje UE i państwa członkowskie do wzmocnienia współpracy z parterami transatlantyckimi i innymi partnerami o zbieżnych poglądach w zakresie ochrony zarówno technologii krytycznych, jak i infrastruktury krytycznej;</w:t>
            </w:r>
          </w:p>
        </w:tc>
      </w:tr>
    </w:tbl>
    <w:p w14:paraId="627B426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DB0648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7C6A4B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929</w:t>
      </w:r>
      <w:r w:rsidRPr="00271CCD">
        <w:rPr>
          <w:rStyle w:val="HideTWBExt"/>
          <w:b w:val="0"/>
        </w:rPr>
        <w:t>&lt;/NumAm&gt;</w:t>
      </w:r>
    </w:p>
    <w:p w14:paraId="1AA9449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Carlo Fidanza, Alberico Gambino, Adam Bielan</w:t>
      </w:r>
      <w:r w:rsidRPr="00271CCD">
        <w:rPr>
          <w:rStyle w:val="HideTWBExt"/>
          <w:b w:val="0"/>
        </w:rPr>
        <w:t>&lt;/Members&gt;</w:t>
      </w:r>
    </w:p>
    <w:p w14:paraId="6ABA0F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F01EF9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85103F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730D31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11F6A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43E261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1EF27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47D83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03A0C9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8537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B5DF0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39a.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Komisję do wdrożenia dostosowanych do potrzeb partnerstw z kluczowymi państwami trzecimi pochodzenia i tranzytu, z wykorzystaniem wszystkich polityk i instrumentów, jakimi dysponuje UE, aby osiągnąć konkretne rezultaty tworzące i wspierające zachęty gospodarcze na rzecz potencjału w ich krajach pochodzenia oraz wspierające rozwój państw trzecich, aby zająć się podstawowymi przyczynami migracji nieuregulowanej; wkłady państw członkowskich w te partnerstwa – dyplomatyczne, techniczne i finansowe – będą miały zasadnicze znaczenie w osiąganiu rezultatów;</w:t>
            </w:r>
          </w:p>
        </w:tc>
      </w:tr>
    </w:tbl>
    <w:p w14:paraId="4E02299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4016D4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971E1C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930</w:t>
      </w:r>
      <w:r w:rsidRPr="00271CCD">
        <w:rPr>
          <w:rStyle w:val="HideTWBExt"/>
          <w:b w:val="0"/>
        </w:rPr>
        <w:t>&lt;/NumAm&gt;</w:t>
      </w:r>
    </w:p>
    <w:p w14:paraId="20EF6E1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1C5EC69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AF45F3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BF5F08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452388B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19A81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656096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5023B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76B04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0C4455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B3C4A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8C2DC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39a.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apeluje o dalsze wyjaśnienie funkcjonowania, formatu reprezentacji i rozliczalności podejścia „Drużyny Europy” w trosce o skuteczną alokację zasobów i uniknięcie powielania działań w unijnej polityce zagranicznej i bezpieczeństwa UE; podkreśla, że Parlament jest częścią „Drużyny Europy” i powinien być odpowiednio traktowany;</w:t>
            </w:r>
          </w:p>
        </w:tc>
      </w:tr>
    </w:tbl>
    <w:p w14:paraId="74A4061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38AC67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8C67F0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931</w:t>
      </w:r>
      <w:r w:rsidRPr="00271CCD">
        <w:rPr>
          <w:rStyle w:val="HideTWBExt"/>
          <w:b w:val="0"/>
        </w:rPr>
        <w:t>&lt;/NumAm&gt;</w:t>
      </w:r>
    </w:p>
    <w:p w14:paraId="12052D2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6BA20EA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319F71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627F02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65CBC4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353C7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9070EB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B0BC7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B5A6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2EDA3C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CC1CE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7EB4D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39b.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znaczenie ochrony technologii krytycznych i infrastruktury krytycznej jako podstawowego filaru europejskiego bezpieczeństwa; ponawia swój apel do Komisji o podzielenie się z Parlamentem szczegółową analizą ryzyka powiązanego z niewłaściwym użyciem technologii takich jak półprzewodniki, obliczenia kwantowe, łańcuchy bloków, przestrzeń kosmiczna, sztuczna inteligencja i biotechnologie (w tym genomika) przez naszych przeciwników, a także proponowanym wykazem działań UE w tej dziedzinie zgodnie z unijną strategią bezpieczeństwa gospodarczego;</w:t>
            </w:r>
          </w:p>
        </w:tc>
      </w:tr>
    </w:tbl>
    <w:p w14:paraId="51B00DA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A08F17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EF9B11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932</w:t>
      </w:r>
      <w:r w:rsidRPr="00271CCD">
        <w:rPr>
          <w:rStyle w:val="HideTWBExt"/>
          <w:b w:val="0"/>
        </w:rPr>
        <w:t>&lt;/NumAm&gt;</w:t>
      </w:r>
    </w:p>
    <w:p w14:paraId="0C0AA52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Miriam Lexmann</w:t>
      </w:r>
      <w:r w:rsidRPr="00271CCD">
        <w:rPr>
          <w:rStyle w:val="HideTWBExt"/>
          <w:b w:val="0"/>
        </w:rPr>
        <w:t>&lt;/Members&gt;</w:t>
      </w:r>
    </w:p>
    <w:p w14:paraId="0F6EAA0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37E893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863E5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39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D8C460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B6DB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512A95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66E71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BB21F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1C9BB3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F759A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8315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39c.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unijną strategię bezpieczeństwa gospodarczego, która zwraca uwagę na wzajemne powiązania między bezpieczeństwem wewnętrznym i zewnętrznym a technologią, która musi być powiązana z WPZiB; wyraża zaniepokojenie rolą chińskich przedsiębiorstw takich jak BGI w gromadzeniu danych genetycznych obywateli europejskich; zauważa, że pod płaszczykiem badań naukowych i rozwoju takie dane mogłyby być niewłaściwie użyte przez naszych przeciwników; wzywa UE i jej państwa członkowskie do wykluczenia dostawców obarczonych wysokim ryzykiem takich jak BGI ze swojej infrastruktury krytycznej, w tym sektora opieki zdrowotnej i genomiki, a także z programów badawczych;</w:t>
            </w:r>
          </w:p>
        </w:tc>
      </w:tr>
    </w:tbl>
    <w:p w14:paraId="4320C47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B1DD0A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EDD1D0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933</w:t>
      </w:r>
      <w:r w:rsidRPr="00271CCD">
        <w:rPr>
          <w:rStyle w:val="HideTWBExt"/>
          <w:b w:val="0"/>
        </w:rPr>
        <w:t>&lt;/NumAm&gt;</w:t>
      </w:r>
    </w:p>
    <w:p w14:paraId="13AECA8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339CF0C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6CE5B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593BA6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45F109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63D7E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E15ADD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B350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FD7F9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275AA9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BAB1B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40.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Parlament odgrywa fundamentalną rolę w WPZiB i wnosi do niej szczególny wkład dzięki swojej dyplomacji parlamentarnej oraz odrębnym instrumentom, kanałom i kontaktom;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3FFA6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371D472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93F922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075A85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934</w:t>
      </w:r>
      <w:r w:rsidRPr="00271CCD">
        <w:rPr>
          <w:rStyle w:val="HideTWBExt"/>
          <w:b w:val="0"/>
        </w:rPr>
        <w:t>&lt;/NumAm&gt;</w:t>
      </w:r>
    </w:p>
    <w:p w14:paraId="1CC78BB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2E46AB5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828F31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60381B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E52A31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933B3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F4CD57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4860F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BD680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74ABD5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A733C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40.</w:t>
            </w:r>
            <w:r w:rsidRPr="00271CCD">
              <w:rPr>
                <w:color w:val="000000" w:themeColor="text1"/>
              </w:rPr>
              <w:tab/>
              <w:t>przypomina, że Parlament odgrywa fundamentalną rolę w WPZiB i wnosi do niej szczególny wkład dzięki swojej dyplomacji parlamentarnej oraz odrębnym instrumentom, kanałom i kontaktom;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79BCC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40.</w:t>
            </w:r>
            <w:r w:rsidRPr="00271CCD">
              <w:rPr>
                <w:color w:val="000000" w:themeColor="text1"/>
              </w:rPr>
              <w:tab/>
              <w:t>przypomina, że Parlament odgrywa fundamentalną rolę w WPZiB i wnosi do niej szczególny wkład dzięki swojej dyplomacji parlamentarnej oraz odrębnym instrumentom, kanałom i kontaktom</w:t>
            </w:r>
            <w:r w:rsidRPr="00271CCD">
              <w:rPr>
                <w:b/>
                <w:i/>
                <w:color w:val="000000" w:themeColor="text1"/>
              </w:rPr>
              <w:t>, w tym programom wspierającym demokrację, Komisji Spraw Zagranicznych, regularnym dialogom parlamentarnym lub oficjalnym delegacjom; podkreśla, że dyplomacja parlamentarna ma duży potencjał angażowania kluczowych podmiotów politycznych i wspierania demokratycznych rządów; podkreśla w szczególności wartość dodaną dyplomacji parlamentarnej podczas rosyjskiej wojny napastniczej przeciwko Ukrainie i w tym kontekście podkreśla cenną współpracę na szczeblu politycznym i technicznym między Radą Najwyższą Ukrainy a Parlamentem Europejskim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594F4CD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242D90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C7ADF9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935</w:t>
      </w:r>
      <w:r w:rsidRPr="00271CCD">
        <w:rPr>
          <w:rStyle w:val="HideTWBExt"/>
          <w:b w:val="0"/>
        </w:rPr>
        <w:t>&lt;/NumAm&gt;</w:t>
      </w:r>
    </w:p>
    <w:p w14:paraId="60DFA47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Sebastiaan Stöteler</w:t>
      </w:r>
      <w:r w:rsidRPr="00271CCD">
        <w:rPr>
          <w:rStyle w:val="HideTWBExt"/>
          <w:b w:val="0"/>
        </w:rPr>
        <w:t>&lt;/Members&gt;</w:t>
      </w:r>
    </w:p>
    <w:p w14:paraId="7EB5BE4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D50869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548846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90034C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0C680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2F83F4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68F4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E2E1A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F5C18D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A05ED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40.</w:t>
            </w:r>
            <w:r w:rsidRPr="00271CCD">
              <w:rPr>
                <w:color w:val="000000" w:themeColor="text1"/>
              </w:rPr>
              <w:tab/>
              <w:t xml:space="preserve">przypomina, że Parlament odgrywa </w:t>
            </w:r>
            <w:r w:rsidRPr="00271CCD">
              <w:rPr>
                <w:b/>
                <w:i/>
                <w:color w:val="000000" w:themeColor="text1"/>
              </w:rPr>
              <w:t>fundamentalną</w:t>
            </w:r>
            <w:r w:rsidRPr="00271CCD">
              <w:rPr>
                <w:color w:val="000000" w:themeColor="text1"/>
              </w:rPr>
              <w:t xml:space="preserve"> rolę w WPZiB i wnosi do niej szczególny wkład dzięki swojej dyplomacji parlamentarnej oraz odrębnym instrumentom, kanałom i kontaktom;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62FBA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40.</w:t>
            </w:r>
            <w:r w:rsidRPr="00271CCD">
              <w:rPr>
                <w:color w:val="000000" w:themeColor="text1"/>
              </w:rPr>
              <w:tab/>
              <w:t xml:space="preserve">przypomina, że Parlament odgrywa </w:t>
            </w:r>
            <w:r w:rsidRPr="00271CCD">
              <w:rPr>
                <w:b/>
                <w:i/>
                <w:color w:val="000000" w:themeColor="text1"/>
              </w:rPr>
              <w:t>konsultacyjną</w:t>
            </w:r>
            <w:r w:rsidRPr="00271CCD">
              <w:rPr>
                <w:color w:val="000000" w:themeColor="text1"/>
              </w:rPr>
              <w:t xml:space="preserve"> rolę w WPZiB i wnosi do niej szczególny wkład dzięki swojej dyplomacji parlamentarnej oraz odrębnym instrumentom, kanałom i kontaktom;</w:t>
            </w:r>
          </w:p>
        </w:tc>
      </w:tr>
    </w:tbl>
    <w:p w14:paraId="6B31E9A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4DD03E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651570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936</w:t>
      </w:r>
      <w:r w:rsidRPr="00271CCD">
        <w:rPr>
          <w:rStyle w:val="HideTWBExt"/>
          <w:b w:val="0"/>
        </w:rPr>
        <w:t>&lt;/NumAm&gt;</w:t>
      </w:r>
    </w:p>
    <w:p w14:paraId="0984AC0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41C7F4B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F02D89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B3C95E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9F26A7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4F0EA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55DFFE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EC62C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96419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027ECF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2F7C3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40.</w:t>
            </w:r>
            <w:r w:rsidRPr="00271CCD">
              <w:rPr>
                <w:color w:val="000000" w:themeColor="text1"/>
              </w:rPr>
              <w:tab/>
              <w:t xml:space="preserve">przypomina, że Parlament odgrywa fundamentalną rolę w </w:t>
            </w:r>
            <w:r w:rsidRPr="00271CCD">
              <w:rPr>
                <w:b/>
                <w:i/>
                <w:color w:val="000000" w:themeColor="text1"/>
              </w:rPr>
              <w:t>WPZiB i wnosi do niej szczególny wkład dzięki swojej dyplomacji parlamentarnej oraz odrębnym instrumentom, kanałom i kontaktom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BE0DE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40.</w:t>
            </w:r>
            <w:r w:rsidRPr="00271CCD">
              <w:rPr>
                <w:color w:val="000000" w:themeColor="text1"/>
              </w:rPr>
              <w:tab/>
              <w:t xml:space="preserve">przypomina, że Parlament odgrywa fundamentalną rolę w </w:t>
            </w:r>
            <w:r w:rsidRPr="00271CCD">
              <w:rPr>
                <w:b/>
                <w:i/>
                <w:color w:val="000000" w:themeColor="text1"/>
              </w:rPr>
              <w:t>nadzorowaniu organów UE, w tym pełniących kluczowe funkcje w dziedzinie spraw zagranicznych, a także w faktycznym prowadzeniu działań zewnętrznych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36B9E93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533B82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177BCD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937</w:t>
      </w:r>
      <w:r w:rsidRPr="00271CCD">
        <w:rPr>
          <w:rStyle w:val="HideTWBExt"/>
          <w:b w:val="0"/>
        </w:rPr>
        <w:t>&lt;/NumAm&gt;</w:t>
      </w:r>
    </w:p>
    <w:p w14:paraId="799463A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4CBF54C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32369B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09BB07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225235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CE231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C7DC29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98F5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8D6C3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6C8FA6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9DF1D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apeluje o dalszy rozwój dyplomacji prewencyjnej UE, w tym mediacji i dialogu na rzecz pokoju, jako proaktywnego narzędzia polityki zagranicznej; wzywa ESDZ do przeprowadzenia analizy doświadczeń;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52C12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473AA68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0130E2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AD1C7B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938</w:t>
      </w:r>
      <w:r w:rsidRPr="00271CCD">
        <w:rPr>
          <w:rStyle w:val="HideTWBExt"/>
          <w:b w:val="0"/>
        </w:rPr>
        <w:t>&lt;/NumAm&gt;</w:t>
      </w:r>
    </w:p>
    <w:p w14:paraId="2CE832B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Marco Tarquinio, Hana Jalloul Muro</w:t>
      </w:r>
      <w:r w:rsidRPr="00271CCD">
        <w:rPr>
          <w:rStyle w:val="HideTWBExt"/>
          <w:b w:val="0"/>
        </w:rPr>
        <w:t>&lt;/Members&gt;</w:t>
      </w:r>
    </w:p>
    <w:p w14:paraId="62EE88E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406451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F94822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C3B94B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52F2D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9FED8B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C55D0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8F2EA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0AFE40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CC1EC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pokoju, jako proaktywnego narzędzia polityki zagranicznej; wzywa ESDZ do przeprowadzenia analizy doświadczeń;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654C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pokoju, jako proaktywnego narzędzia polityki zagranicznej</w:t>
            </w:r>
            <w:r w:rsidRPr="00271CCD">
              <w:rPr>
                <w:b/>
                <w:i/>
                <w:color w:val="000000" w:themeColor="text1"/>
              </w:rPr>
              <w:t>, a także o wzmocnienie narzędzi i zwiększenie zasobów ESDZ w tym względzie, w szczególności WPBiO i działu reagowania kryzysowego; domaga się włączenia unijnych narzędzi dyplomacji prewencyjnej do strukturalnych mechanizmów i działań zapobiegawczych, takich jak na przykład porozumienia polityczne między różnymi podmiotami zaangażowanymi w konflikty, dialogi krajowe na rzecz pojednania, budowania pokoju i sprawiedliwości okresu przejściowego, a także komisje prawdy i pojednania</w:t>
            </w:r>
            <w:r w:rsidRPr="00271CCD">
              <w:rPr>
                <w:color w:val="000000" w:themeColor="text1"/>
              </w:rPr>
              <w:t>; wzywa ESDZ do przeprowadzenia analizy doświadczeń</w:t>
            </w:r>
            <w:r w:rsidRPr="00271CCD">
              <w:rPr>
                <w:b/>
                <w:i/>
                <w:color w:val="000000" w:themeColor="text1"/>
              </w:rPr>
              <w:t>, w szczególności dotyczących konfliktu w Strefie Gazy i Libanie</w:t>
            </w:r>
            <w:r w:rsidRPr="00271CCD">
              <w:rPr>
                <w:color w:val="000000" w:themeColor="text1"/>
              </w:rPr>
              <w:t xml:space="preserve">; </w:t>
            </w:r>
            <w:r w:rsidRPr="00271CCD">
              <w:rPr>
                <w:b/>
                <w:i/>
                <w:color w:val="000000" w:themeColor="text1"/>
              </w:rPr>
              <w:t>zwraca uwagę na wykorzystanie drogi sądowej w międzynarodowym sądzie lub trybunale, takim jak MTK lub Międzynarodowy Trybunał Prawa Morza, jako metody dyplomacji prewencyjnej;</w:t>
            </w:r>
          </w:p>
        </w:tc>
      </w:tr>
    </w:tbl>
    <w:p w14:paraId="36CC038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BAF950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78667F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939</w:t>
      </w:r>
      <w:r w:rsidRPr="00271CCD">
        <w:rPr>
          <w:rStyle w:val="HideTWBExt"/>
          <w:b w:val="0"/>
        </w:rPr>
        <w:t>&lt;/NumAm&gt;</w:t>
      </w:r>
    </w:p>
    <w:p w14:paraId="5A4E73E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Merja Kyllönen</w:t>
      </w:r>
      <w:r w:rsidRPr="00271CCD">
        <w:rPr>
          <w:rStyle w:val="HideTWBExt"/>
          <w:b w:val="0"/>
        </w:rPr>
        <w:t>&lt;/Members&gt;</w:t>
      </w:r>
    </w:p>
    <w:p w14:paraId="0EC209B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4FC6BC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2C0970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99FA3B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6DBAA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20BF1F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57882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0F2BB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5F7F35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4DF08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pokoju, jako proaktywnego narzędzia polityki zagranicznej; wzywa ESDZ do przeprowadzenia analizy doświadczeń;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10A78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pokoju, jako proaktywnego narzędzia polityki zagranicznej; wzywa ESDZ do przeprowadzenia analizy doświadczeń;</w:t>
            </w:r>
            <w:r w:rsidRPr="00271CCD">
              <w:rPr>
                <w:b/>
                <w:i/>
                <w:color w:val="000000" w:themeColor="text1"/>
              </w:rPr>
              <w:t xml:space="preserve"> w pełni popiera działalność specjalnego przedstawiciela UE ds. praw człowieka polegającą na przyczynianiu się do widoczności i spójności działań UE na rzecz praw człowieka w jej stosunkach zewnętrznych; podkreśla centralną rolę specjalnego przedstawiciela UE ds. praw człowieka w promowaniu i ochronie praw człowieka i pokoju przez UE poprzez współpracę z państwami trzecimi i partnerami o podobnych poglądach; podkreśla potrzebę ścisłej współpracy między specjalnym przedstawicielem UE ds. praw człowieka a innymi specjalnymi przedstawicielami UE i specjalnymi wysłannikami w celu dalszej poprawy tej spójności i wzywa do zapewnienia większej widoczności roli SPUE ds. praw człowieka; wzywa do wspierania specjalnego przedstawiciela UE ds. praw człowieka w jego pracy zwiększonymi zasobami;</w:t>
            </w:r>
          </w:p>
        </w:tc>
      </w:tr>
    </w:tbl>
    <w:p w14:paraId="343FDA1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09DF9F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280779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940</w:t>
      </w:r>
      <w:r w:rsidRPr="00271CCD">
        <w:rPr>
          <w:rStyle w:val="HideTWBExt"/>
          <w:b w:val="0"/>
        </w:rPr>
        <w:t>&lt;/NumAm&gt;</w:t>
      </w:r>
    </w:p>
    <w:p w14:paraId="6578908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5D4D7F7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12075D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55673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E654CA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99FBF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40A56B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3AE64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A2224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6EE59A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AD583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</w:t>
            </w:r>
            <w:r w:rsidRPr="00271CCD">
              <w:rPr>
                <w:b/>
                <w:i/>
                <w:color w:val="000000" w:themeColor="text1"/>
              </w:rPr>
              <w:t>, jako proaktywnego narzędzia polityki zagranicznej</w:t>
            </w:r>
            <w:r w:rsidRPr="00271CCD">
              <w:rPr>
                <w:color w:val="000000" w:themeColor="text1"/>
              </w:rPr>
              <w:t>; wzywa ESDZ do przeprowadzenia analizy doświadczeń;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1CFBA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</w:t>
            </w:r>
            <w:r w:rsidRPr="00271CCD">
              <w:rPr>
                <w:b/>
                <w:i/>
                <w:color w:val="000000" w:themeColor="text1"/>
              </w:rPr>
              <w:t xml:space="preserve"> jako proaktywnego narzędzia polityki zagranicznej w celu unikania konfliktu między stronami trzecimi oraz prowadzenia mediacji i wspierania ich w znajdowaniu pokojowych rozwiązań</w:t>
            </w:r>
            <w:r w:rsidRPr="00271CCD">
              <w:rPr>
                <w:color w:val="000000" w:themeColor="text1"/>
              </w:rPr>
              <w:t>, w tym mediacji i dialogu na rzecz pokoju</w:t>
            </w:r>
            <w:r w:rsidRPr="00271CCD">
              <w:rPr>
                <w:b/>
                <w:i/>
                <w:color w:val="000000" w:themeColor="text1"/>
              </w:rPr>
              <w:t>; zauważa, że wcześniejsze wysiłki dyplomatyczne doprowadziły do pojawienia się szkodliwych podmiotów trzecich, które zmniejszyły wpływ UE na całym świecie</w:t>
            </w:r>
            <w:r w:rsidRPr="00271CCD">
              <w:rPr>
                <w:color w:val="000000" w:themeColor="text1"/>
              </w:rPr>
              <w:t>; wzywa ESDZ do przeprowadzenia analizy doświadczeń</w:t>
            </w:r>
            <w:r w:rsidRPr="00271CCD">
              <w:rPr>
                <w:b/>
                <w:i/>
                <w:color w:val="000000" w:themeColor="text1"/>
              </w:rPr>
              <w:t xml:space="preserve"> oraz do przeanalizowania wcześniejszych europejskich wysiłków dyplomatycznych i ich wyników, a także pracy specjalnych przedstawicieli i specjalnych wysłanników</w:t>
            </w:r>
            <w:r w:rsidRPr="00271CCD">
              <w:rPr>
                <w:color w:val="000000" w:themeColor="text1"/>
              </w:rPr>
              <w:t xml:space="preserve">; </w:t>
            </w:r>
            <w:r w:rsidRPr="00271CCD">
              <w:rPr>
                <w:b/>
                <w:i/>
                <w:color w:val="000000" w:themeColor="text1"/>
              </w:rPr>
              <w:t>w ramach odnowionego podejścia do dyplomacji prewencyjnej domaga się lepszego zrozumienia lokalnego, historycznego, kulturalnego i religijnego kontekstu w celu dostosowania przesłania UE do kontekstu lokalnego, tak aby UE była postrzegana jako wiarygodny partner;</w:t>
            </w:r>
          </w:p>
        </w:tc>
      </w:tr>
    </w:tbl>
    <w:p w14:paraId="40F259C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C6ACF4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C4B920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941</w:t>
      </w:r>
      <w:r w:rsidRPr="00271CCD">
        <w:rPr>
          <w:rStyle w:val="HideTWBExt"/>
          <w:b w:val="0"/>
        </w:rPr>
        <w:t>&lt;/NumAm&gt;</w:t>
      </w:r>
    </w:p>
    <w:p w14:paraId="1A2D75A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5D07451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7AF31AE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B5C516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FAAF67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E5078B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BD1EB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403B80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5138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BCBB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AF199C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B7980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pokoju, jako proaktywnego narzędzia polityki zagranicznej; wzywa ESDZ do przeprowadzenia analizy doświadczeń;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FC97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pokoju, jako proaktywnego narzędzia polityki zagranicznej; wzywa ESDZ do przeprowadzenia analizy doświadczeń;</w:t>
            </w:r>
            <w:r w:rsidRPr="00271CCD">
              <w:rPr>
                <w:b/>
                <w:i/>
                <w:color w:val="000000" w:themeColor="text1"/>
              </w:rPr>
              <w:t xml:space="preserve"> podkreśla pilną potrzebę wzmocnienia i podwojenia odpowiedniego budżetu UE w ramach ISWMR oraz zdecydowanego zintensyfikowania działań UE w zakresie mediacji, dialogu i pojednania w celu uwzględnienia wysokiego zapotrzebowania na takie środki i podejścia w różnych regionach i krajach, w szczególności na Bliskim Wschodzie, w regionie Sahelu, Afryce Wschodniej, regionie Kaukazu itd.;</w:t>
            </w:r>
          </w:p>
        </w:tc>
      </w:tr>
    </w:tbl>
    <w:p w14:paraId="31A61BC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C844DA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DDFC99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942</w:t>
      </w:r>
      <w:r w:rsidRPr="00271CCD">
        <w:rPr>
          <w:rStyle w:val="HideTWBExt"/>
          <w:b w:val="0"/>
        </w:rPr>
        <w:t>&lt;/NumAm&gt;</w:t>
      </w:r>
    </w:p>
    <w:p w14:paraId="6D46C73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Ioan-Rareş Bogdan</w:t>
      </w:r>
      <w:r w:rsidRPr="00271CCD">
        <w:rPr>
          <w:rStyle w:val="HideTWBExt"/>
          <w:b w:val="0"/>
        </w:rPr>
        <w:t>&lt;/Members&gt;</w:t>
      </w:r>
    </w:p>
    <w:p w14:paraId="4F550C0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CBC39C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C02103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ACA950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35D8C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29CA1D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C4DB2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175EC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32FD0A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F94D8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</w:t>
            </w:r>
            <w:r w:rsidRPr="00271CCD">
              <w:rPr>
                <w:b/>
                <w:i/>
                <w:color w:val="000000" w:themeColor="text1"/>
              </w:rPr>
              <w:t xml:space="preserve"> i</w:t>
            </w:r>
            <w:r w:rsidRPr="00271CCD">
              <w:rPr>
                <w:color w:val="000000" w:themeColor="text1"/>
              </w:rPr>
              <w:t xml:space="preserve"> dialogu na rzecz pokoju, jako proaktywnego narzędzia polityki zagranicznej; wzywa ESDZ do przeprowadzenia analizy doświadczeń;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0537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 xml:space="preserve">apeluje o dalszy rozwój </w:t>
            </w:r>
            <w:r w:rsidRPr="00271CCD">
              <w:rPr>
                <w:b/>
                <w:i/>
                <w:color w:val="000000" w:themeColor="text1"/>
              </w:rPr>
              <w:t xml:space="preserve">i wzmocnienie </w:t>
            </w:r>
            <w:r w:rsidRPr="00271CCD">
              <w:rPr>
                <w:color w:val="000000" w:themeColor="text1"/>
              </w:rPr>
              <w:t>dyplomacji prewencyjnej UE, w tym mediacji</w:t>
            </w:r>
            <w:r w:rsidRPr="00271CCD">
              <w:rPr>
                <w:b/>
                <w:i/>
                <w:color w:val="000000" w:themeColor="text1"/>
              </w:rPr>
              <w:t>,</w:t>
            </w:r>
            <w:r w:rsidRPr="00271CCD">
              <w:rPr>
                <w:color w:val="000000" w:themeColor="text1"/>
              </w:rPr>
              <w:t xml:space="preserve"> dialogu na rzecz pokoju</w:t>
            </w:r>
            <w:r w:rsidRPr="00271CCD">
              <w:rPr>
                <w:b/>
                <w:i/>
                <w:color w:val="000000" w:themeColor="text1"/>
              </w:rPr>
              <w:t xml:space="preserve"> i zdolności zapobiegania konfliktom</w:t>
            </w:r>
            <w:r w:rsidRPr="00271CCD">
              <w:rPr>
                <w:color w:val="000000" w:themeColor="text1"/>
              </w:rPr>
              <w:t xml:space="preserve">, jako proaktywnego narzędzia polityki zagranicznej; wzywa ESDZ do przeprowadzenia </w:t>
            </w:r>
            <w:r w:rsidRPr="00271CCD">
              <w:rPr>
                <w:b/>
                <w:i/>
                <w:color w:val="000000" w:themeColor="text1"/>
              </w:rPr>
              <w:t xml:space="preserve">kompleksowej </w:t>
            </w:r>
            <w:r w:rsidRPr="00271CCD">
              <w:rPr>
                <w:color w:val="000000" w:themeColor="text1"/>
              </w:rPr>
              <w:t>analizy doświadczeń</w:t>
            </w:r>
            <w:r w:rsidRPr="00271CCD">
              <w:rPr>
                <w:b/>
                <w:i/>
                <w:color w:val="000000" w:themeColor="text1"/>
              </w:rPr>
              <w:t xml:space="preserve"> w celu oceny wysiłków dyplomatycznych, określenia obszarów do poprawy i włączenia najlepszych praktyk do przyszłych inicjatyw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2C6391B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2DB1D6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163E71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943</w:t>
      </w:r>
      <w:r w:rsidRPr="00271CCD">
        <w:rPr>
          <w:rStyle w:val="HideTWBExt"/>
          <w:b w:val="0"/>
        </w:rPr>
        <w:t>&lt;/NumAm&gt;</w:t>
      </w:r>
    </w:p>
    <w:p w14:paraId="60A636F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6398D15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8A2F3D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E71F3D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49AC89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A3A26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F08EB6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0F6F3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2ADA6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CB4AE9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3B5CF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pokoju, jako proaktywnego narzędzia polityki zagranicznej;</w:t>
            </w:r>
            <w:r w:rsidRPr="00271CCD">
              <w:rPr>
                <w:b/>
                <w:i/>
                <w:color w:val="000000" w:themeColor="text1"/>
              </w:rPr>
              <w:t xml:space="preserve"> wzywa ESDZ do przeprowadzenia analizy doświadczeń;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69DFA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41.</w:t>
            </w:r>
            <w:r w:rsidRPr="00271CCD">
              <w:rPr>
                <w:color w:val="000000" w:themeColor="text1"/>
              </w:rPr>
              <w:tab/>
              <w:t>apeluje o dalszy rozwój dyplomacji prewencyjnej UE, w tym mediacji i dialogu na rzecz pokoju, jako proaktywnego narzędzia polityki zagranicznej;</w:t>
            </w:r>
          </w:p>
        </w:tc>
      </w:tr>
    </w:tbl>
    <w:p w14:paraId="7A9A391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98DBCB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030A7E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944</w:t>
      </w:r>
      <w:r w:rsidRPr="00271CCD">
        <w:rPr>
          <w:rStyle w:val="HideTWBExt"/>
          <w:b w:val="0"/>
        </w:rPr>
        <w:t>&lt;/NumAm&gt;</w:t>
      </w:r>
    </w:p>
    <w:p w14:paraId="35A5FDA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Marco Tarquinio, Hana Jalloul Muro</w:t>
      </w:r>
      <w:r w:rsidRPr="00271CCD">
        <w:rPr>
          <w:rStyle w:val="HideTWBExt"/>
          <w:b w:val="0"/>
        </w:rPr>
        <w:t>&lt;/Members&gt;</w:t>
      </w:r>
    </w:p>
    <w:p w14:paraId="3C015E2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B86515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AEA650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DD13BE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324D6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0B1BA3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F480B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FB888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69FD21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42F1D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4538C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41a.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domaga się, by suwerenność cyfrowa UE była jednym z priorytetów działań zewnętrznych w nadchodzących latach; wzywa do opracowania jasnej i ambitnej strategii cyfrowej UE, która przyczynia się do zapewniania jej autonomii i ochrony jej interesów strategicznych w tym obszarze, od gwarantowania strategicznych materiałów i towarów po przyjmowanie norm międzynarodowych; podkreśla, że strategia powinna uwzględniać wyzwania dla transformacji cyfrowej i zielonej transformacji w UE; z zadowoleniem przyjmuje sieć dyplomacji cyfrowej i rozważa potrzebę instytucjonalizacji jej prac w drodze ustanowienia specjalnego przedstawiciela Unii Europejskiej ds. dyplomacji cyfrowej; domaga się utworzenia ośrodków „UE na rzecz AI” w celu rozwoju inicjatyw i promowania współpracy w tym obszarze;</w:t>
            </w:r>
          </w:p>
        </w:tc>
      </w:tr>
    </w:tbl>
    <w:p w14:paraId="5C4B346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C26969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17A41A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945</w:t>
      </w:r>
      <w:r w:rsidRPr="00271CCD">
        <w:rPr>
          <w:rStyle w:val="HideTWBExt"/>
          <w:b w:val="0"/>
        </w:rPr>
        <w:t>&lt;/NumAm&gt;</w:t>
      </w:r>
    </w:p>
    <w:p w14:paraId="1A3597C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150DA88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806419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30E365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D9E5A8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465E5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325763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3602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8CAF1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A698F4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35282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52F40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41a.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krytyczne znaczenie zwiększania równowagi płci w polityce zagranicznej UE jako kluczowego czynnika w promowaniu włączającej i skutecznej dyplomacji; dostrzega zobowiązanie UE do zapewniania równouprawnienia płci oraz wdrażania Agendy ONZ dotyczącej kobiet, pokoju i bezpieczeństwa, dodatkowo wzmocnionej rozszerzeniem unijnego planu działania na rzecz równouprawnienia płci i wzmocnienia pozycji kobiet w działaniach zewnętrznych do 2027 r.; zwraca uwagę na wysiłki UE za pośrednictwem ESDZ i Komisji w zakresie włączenia przywództwa ukierunkowanego na aspekt płci do wszystkich działań dyplomatycznych, zwiększenia rozliczalności oraz zapewnienia ciągłego uwzględniania perspektywy płci w dialogach politycznych, polityce bezpieczeństwa i dyskusjach na temat praw człowieka z krajami partnerskimi i organizacjami regionalnymi;</w:t>
            </w:r>
          </w:p>
        </w:tc>
      </w:tr>
    </w:tbl>
    <w:p w14:paraId="2EAAA0F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2EDD51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E17397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946</w:t>
      </w:r>
      <w:r w:rsidRPr="00271CCD">
        <w:rPr>
          <w:rStyle w:val="HideTWBExt"/>
          <w:b w:val="0"/>
        </w:rPr>
        <w:t>&lt;/NumAm&gt;</w:t>
      </w:r>
    </w:p>
    <w:p w14:paraId="0C0367B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Marco Tarquinio, Hana Jalloul Muro</w:t>
      </w:r>
      <w:r w:rsidRPr="00271CCD">
        <w:rPr>
          <w:rStyle w:val="HideTWBExt"/>
          <w:b w:val="0"/>
        </w:rPr>
        <w:t>&lt;/Members&gt;</w:t>
      </w:r>
    </w:p>
    <w:p w14:paraId="79AE8BD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838292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D8E7F1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EF33FE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ADDC8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F2BCF6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E8491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495AC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EBDAFD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C0266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8D95E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41b.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domaga się wzmocnienia dyplomacji kulturalnej i międzynarodowych stosunków kulturalnych jako istotnego instrumentu na rzecz pokoju i uwzględniania globalnych wyzwań; wzywa UE do zwiększenia wsparcia UE dla sektora kreatywnego i artystycznego w państwach trzecich, w tym pomocy w budowaniu potencjału; domaga się promowania współtworzenia kultury z państwami trzecimi, w tym przez wspieranie wymiany kulturalnej i spotkań związanych z kulturą; w tym względzie podkreśla potrzebę wzmocnienia StratCom ESDZ; z zadowoleniem przyjmuje nadchodzące uczestnictwo UE w Wystawie Światowej w Osace oraz popiera uczynienie z tego stałej praktyki, a także jej obecność na międzynarodowych targach książek;</w:t>
            </w:r>
          </w:p>
        </w:tc>
      </w:tr>
    </w:tbl>
    <w:p w14:paraId="6E109A6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E0081E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73AAA7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947</w:t>
      </w:r>
      <w:r w:rsidRPr="00271CCD">
        <w:rPr>
          <w:rStyle w:val="HideTWBExt"/>
          <w:b w:val="0"/>
        </w:rPr>
        <w:t>&lt;/NumAm&gt;</w:t>
      </w:r>
    </w:p>
    <w:p w14:paraId="40A9550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Hana Jalloul Muro</w:t>
      </w:r>
      <w:r w:rsidRPr="00271CCD">
        <w:rPr>
          <w:rStyle w:val="HideTWBExt"/>
          <w:b w:val="0"/>
        </w:rPr>
        <w:t>&lt;/Members&gt;</w:t>
      </w:r>
    </w:p>
    <w:p w14:paraId="3B2F5B7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2D586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495D04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41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013105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638C8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E36152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7297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AE426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CD96F2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73C3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2CB2F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41c.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potrzebę liczenia się przez UE z koniecznymi informacjami z pierwszej ręki na temat globalnych problemów występujących poza jej granicami w świetle rosnących wyzwań geopolitycznych i kryzysu na całym świecie; w związku z tym wzywa do wzmocnienia INTCEN, Centrum Reagowania Kryzysowego ESDZ i Centrum Satelitarnego przez zwiększenie ich zasobów kadrowych i finansowych oraz ich zdolności;</w:t>
            </w:r>
          </w:p>
        </w:tc>
      </w:tr>
    </w:tbl>
    <w:p w14:paraId="6C8B61A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A2DF5A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632AD7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948</w:t>
      </w:r>
      <w:r w:rsidRPr="00271CCD">
        <w:rPr>
          <w:rStyle w:val="HideTWBExt"/>
          <w:b w:val="0"/>
        </w:rPr>
        <w:t>&lt;/NumAm&gt;</w:t>
      </w:r>
    </w:p>
    <w:p w14:paraId="6134D5B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42F8A00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71F393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3E3515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35E205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B5613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81E20E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B826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963FE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7B71EE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E17A0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14957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17290C2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CC459F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60446D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949</w:t>
      </w:r>
      <w:r w:rsidRPr="00271CCD">
        <w:rPr>
          <w:rStyle w:val="HideTWBExt"/>
          <w:b w:val="0"/>
        </w:rPr>
        <w:t>&lt;/NumAm&gt;</w:t>
      </w:r>
    </w:p>
    <w:p w14:paraId="4D1E691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22B2800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4E6833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A453D7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F34699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5489B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CA1A34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C337C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3F54B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EAFE56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01E0D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1B704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7D01944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0A2A0D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B5F649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950</w:t>
      </w:r>
      <w:r w:rsidRPr="00271CCD">
        <w:rPr>
          <w:rStyle w:val="HideTWBExt"/>
          <w:b w:val="0"/>
        </w:rPr>
        <w:t>&lt;/NumAm&gt;</w:t>
      </w:r>
    </w:p>
    <w:p w14:paraId="75A2CB6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Marco Tarquinio, Hana Jalloul Muro</w:t>
      </w:r>
      <w:r w:rsidRPr="00271CCD">
        <w:rPr>
          <w:rStyle w:val="HideTWBExt"/>
          <w:b w:val="0"/>
        </w:rPr>
        <w:t>&lt;/Members&gt;</w:t>
      </w:r>
    </w:p>
    <w:p w14:paraId="0161DA0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1F60D9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7744B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A9A649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90871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64C8F0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14D9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DA932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85AB7F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1787B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BE233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  <w:r w:rsidRPr="00271CCD">
              <w:rPr>
                <w:b/>
                <w:i/>
                <w:color w:val="000000" w:themeColor="text1"/>
              </w:rPr>
              <w:t xml:space="preserve"> podkreśla, że istotne jest, aby specjalni przedstawiciele UE dysponowali szerokim i elastycznym mandatem umożliwiającym dostosowywanie się do zmieniających się okoliczności geopolitycznych, aby promować politykę i interesy UE w określonych regionach i krajach oraz odgrywać aktywną rolę w działaniach w dziedzinie dyplomacji prewencyjnej;</w:t>
            </w:r>
          </w:p>
        </w:tc>
      </w:tr>
    </w:tbl>
    <w:p w14:paraId="2B518D8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2AE357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A59520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951</w:t>
      </w:r>
      <w:r w:rsidRPr="00271CCD">
        <w:rPr>
          <w:rStyle w:val="HideTWBExt"/>
          <w:b w:val="0"/>
        </w:rPr>
        <w:t>&lt;/NumAm&gt;</w:t>
      </w:r>
    </w:p>
    <w:p w14:paraId="4FADAE3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Ioan-Rareş Bogdan</w:t>
      </w:r>
      <w:r w:rsidRPr="00271CCD">
        <w:rPr>
          <w:rStyle w:val="HideTWBExt"/>
          <w:b w:val="0"/>
        </w:rPr>
        <w:t>&lt;/Members&gt;</w:t>
      </w:r>
    </w:p>
    <w:p w14:paraId="55023B3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1A5A94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B5B166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65D861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6531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70B4A0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F300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122B1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527FF9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23A50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E665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  <w:r w:rsidRPr="00271CCD">
              <w:rPr>
                <w:b/>
                <w:i/>
                <w:color w:val="000000" w:themeColor="text1"/>
              </w:rPr>
              <w:t xml:space="preserve"> podkreśla znaczenie przydzielenia specjalnym przedstawicielom UE wystarczających zasobów umożliwiających im skuteczną współpracę z przywódcami politycznymi, społeczeństwem obywatelskim i organizacjami międzynarodowymi w celu promowania zaufania i ułatwiania konstruktywnego dialogu;</w:t>
            </w:r>
          </w:p>
        </w:tc>
      </w:tr>
    </w:tbl>
    <w:p w14:paraId="4A84958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B6A125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7BBBA2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952</w:t>
      </w:r>
      <w:r w:rsidRPr="00271CCD">
        <w:rPr>
          <w:rStyle w:val="HideTWBExt"/>
          <w:b w:val="0"/>
        </w:rPr>
        <w:t>&lt;/NumAm&gt;</w:t>
      </w:r>
    </w:p>
    <w:p w14:paraId="47E0A08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0F7AAC9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703BDF0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3E7853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3EDF35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ECD4F3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9CDCB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2B8B3E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6419D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401D8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47577C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D9ACA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C194C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  <w:r w:rsidRPr="00271CCD">
              <w:rPr>
                <w:b/>
                <w:i/>
                <w:color w:val="000000" w:themeColor="text1"/>
              </w:rPr>
              <w:t xml:space="preserve"> podkreśla potrzebę wzmocnienia komunikacji strategicznej i prac UE nad zwalczaniem dezinformacji za pomocą szczególnych zasobów i biur w regionach i krajach o znaczeniu strategicznym;</w:t>
            </w:r>
          </w:p>
        </w:tc>
      </w:tr>
    </w:tbl>
    <w:p w14:paraId="4980CCD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D3EE26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043334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953</w:t>
      </w:r>
      <w:r w:rsidRPr="00271CCD">
        <w:rPr>
          <w:rStyle w:val="HideTWBExt"/>
          <w:b w:val="0"/>
        </w:rPr>
        <w:t>&lt;/NumAm&gt;</w:t>
      </w:r>
    </w:p>
    <w:p w14:paraId="4D13327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Vasile Dîncu</w:t>
      </w:r>
      <w:r w:rsidRPr="00271CCD">
        <w:rPr>
          <w:rStyle w:val="HideTWBExt"/>
          <w:b w:val="0"/>
        </w:rPr>
        <w:t>&lt;/Members&gt;</w:t>
      </w:r>
    </w:p>
    <w:p w14:paraId="7484BD6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361EF2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F209EE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A38939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7E02A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3BCBD3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83CAC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07C92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83A5F7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42EA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6F0C5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42.</w:t>
            </w:r>
            <w:r w:rsidRPr="00271CCD">
              <w:rPr>
                <w:color w:val="000000" w:themeColor="text1"/>
              </w:rPr>
              <w:tab/>
              <w:t>potwierdza rolę specjalnych przedstawicieli UE, którzy promują politykę i interesy UE w konkretnych regionach i krajach oraz odgrywają ważną rolę w rozwijaniu silniejszej i skuteczniejszej WPZiB, ponieważ zapewniają UE aktywną obecność polityczną w kluczowych krajach i regionach oraz są „twarzą” i „głosem” UE i jej polityk;</w:t>
            </w:r>
            <w:r w:rsidRPr="00271CCD">
              <w:rPr>
                <w:b/>
                <w:i/>
                <w:color w:val="000000" w:themeColor="text1"/>
              </w:rPr>
              <w:t xml:space="preserve"> nalega, że mianowanie nowych specjalnych przedstawicieli UE powinno mieć miejsce dopiero po wysłuchaniu w Parlamencie Europejskim;</w:t>
            </w:r>
          </w:p>
        </w:tc>
      </w:tr>
    </w:tbl>
    <w:p w14:paraId="026D58F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7FA8B1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071C5C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954</w:t>
      </w:r>
      <w:r w:rsidRPr="00271CCD">
        <w:rPr>
          <w:rStyle w:val="HideTWBExt"/>
          <w:b w:val="0"/>
        </w:rPr>
        <w:t>&lt;/NumAm&gt;</w:t>
      </w:r>
    </w:p>
    <w:p w14:paraId="17BE178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Mariusz Kamiński, Adam Bielan</w:t>
      </w:r>
      <w:r w:rsidRPr="00271CCD">
        <w:rPr>
          <w:rStyle w:val="HideTWBExt"/>
          <w:b w:val="0"/>
        </w:rPr>
        <w:t>&lt;/Members&gt;</w:t>
      </w:r>
    </w:p>
    <w:p w14:paraId="729A3A0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{ECR}</w:t>
      </w:r>
      <w:r w:rsidRPr="00271CCD">
        <w:rPr>
          <w:color w:val="000000" w:themeColor="text1"/>
        </w:rPr>
        <w:t>w imieniu grupy ECR</w:t>
      </w:r>
      <w:r w:rsidRPr="00271CCD">
        <w:rPr>
          <w:rStyle w:val="HideTWBExt"/>
        </w:rPr>
        <w:t>&lt;/AuNomDe&gt;</w:t>
      </w:r>
    </w:p>
    <w:p w14:paraId="21B165D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D9D3C5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4203E1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42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6EBA2D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FA5DC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D90AC1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D1B60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418B7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A392701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720B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1DBF1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42a.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dostrzega szkodliwy wpływ, jaki korupcja może wywierać na cele polityki zagranicznej i bezpieczeństwa UE; domaga się strategii uwzględniających ryzyko, jakie stwarza dla stabilności, rządzenia i pokoju; podkreśla, że korupcja podważa legalność rządów partnerów, osłabia zaufanie międzynarodowe do wysiłków w zakresie rozwoju i odbudowy, osłabia rządy, zasila konflikty, wzmacnia pozycję wrogich podmiotów – w tym grup powstańczych i przywódców wojskowych – oraz wzmacnia poparcie dla terroryzmu; wzywa wiceprzewodniczącego / wysokiego przedstawiciela do zaproponowania kompleksowych środków w celu zapobiegania tym zagrożeniom dla interesów UE, a także globalnego dobrobytu i stabilności, oraz przeciwdziałania im, w szczególności we wschodnim i południowym sąsiedztwie UE;</w:t>
            </w:r>
          </w:p>
        </w:tc>
      </w:tr>
    </w:tbl>
    <w:p w14:paraId="2D9A340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FCB6C4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1AB820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955</w:t>
      </w:r>
      <w:r w:rsidRPr="00271CCD">
        <w:rPr>
          <w:rStyle w:val="HideTWBExt"/>
          <w:b w:val="0"/>
        </w:rPr>
        <w:t>&lt;/NumAm&gt;</w:t>
      </w:r>
    </w:p>
    <w:p w14:paraId="4BA86DA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1782BBF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D70C91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ADF6E9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42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83D5C4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A18A2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C4D4B9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09B11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DA7F2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7A0E59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5AD2A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510E5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42a.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odnowienie na jeden rok mandatu EUFOR ALTHEA w Bośni i Hercegowinie przez Radę Bezpieczeństwa ONZ; to przedłużenie stanowi wyraźny komunikat i odzwierciedla wspólne zobowiązania całej sceny politycznej w Bośni i Hercegowinie do ochrony pokoju i bezpieczeństwa we współpracy z UE;</w:t>
            </w:r>
          </w:p>
        </w:tc>
      </w:tr>
    </w:tbl>
    <w:p w14:paraId="7295C47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69E58E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368C35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956</w:t>
      </w:r>
      <w:r w:rsidRPr="00271CCD">
        <w:rPr>
          <w:rStyle w:val="HideTWBExt"/>
          <w:b w:val="0"/>
        </w:rPr>
        <w:t>&lt;/NumAm&gt;</w:t>
      </w:r>
    </w:p>
    <w:p w14:paraId="451A902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271A420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563D00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1313D7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236E15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0FE7A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421F02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6E864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21AE2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3A6F4E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6923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43.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misje i operacje UE za granicą mające na celu promowanie pokoju, bezpieczeństwa i postępu w Europie i na świecie; wzywa wysokiego przedstawiciela / wiceprzewodniczącego do: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23E22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  <w:tr w:rsidR="002C22FB" w:rsidRPr="00271CCD" w14:paraId="00A451A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0D8DB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 współpracy z Bośnią i Hercegowiną, Kosowem, NATO i innymi zainteresowanymi partnerami, aby umożliwić solidnym siłom policyjnym realizację wszystkich kluczowych zadań związanych z bezpieczeństwem wewnętrznym w Bośni i Hercegowinie oraz Kosowie od 2026 r., a także do przygotowania wniosków dotyczących niezbędnych misji WPZiB, które mają zostać rozpoczęte w 2025 r., z wykorzystaniem unijnej zdolności szybkiego rozmieszczania jako zapobiegawczego wzmocnienia wojskowego; przypomina, że wydatki na te środki, w tym wydatki na utrzymanie w gotowości zdolności szybkiego rozmieszczania, powinny być pokrywane z budżetu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1A85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</w:tr>
      <w:tr w:rsidR="002C22FB" w:rsidRPr="00271CCD" w14:paraId="62E344D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DD15B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 współpracy z Cyprem, Turcją, Zjednoczonym Królestwem i ONZ w celu wdrożenia konkretnych środków na rzecz demilitaryzacji strefy buforowej na Cyprze i poprawy bezpieczeństwa na wyspie, zarówno społeczności Greków cypryjskich, jak i społeczności Turków cypryjskich;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95C63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</w:tr>
      <w:tr w:rsidR="002C22FB" w:rsidRPr="00271CCD" w14:paraId="5887681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D5B44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 ponownego poparcia prac prowadzonych obecnie przez unijną misję policyjną i praworządnościową na okupowanych terytoriach palestyńskich (EUPOL COPPS) oraz Misję UE ds. Szkolenia i Kontroli (EU BAM) na przejściu granicznym w Rafah na rzecz wspierania władz palestyńskich w reformowaniu sektora bezpieczeństwa i wymiaru sprawiedliwości oraz w zintegrowanym zarządzaniu granicami;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726B3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</w:tr>
    </w:tbl>
    <w:p w14:paraId="5DB0BE7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08827C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CA90EC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957</w:t>
      </w:r>
      <w:r w:rsidRPr="00271CCD">
        <w:rPr>
          <w:rStyle w:val="HideTWBExt"/>
          <w:b w:val="0"/>
        </w:rPr>
        <w:t>&lt;/NumAm&gt;</w:t>
      </w:r>
    </w:p>
    <w:p w14:paraId="3CA9141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Rihards Kols</w:t>
      </w:r>
      <w:r w:rsidRPr="00271CCD">
        <w:rPr>
          <w:rStyle w:val="HideTWBExt"/>
          <w:b w:val="0"/>
        </w:rPr>
        <w:t>&lt;/Members&gt;</w:t>
      </w:r>
    </w:p>
    <w:p w14:paraId="3D75168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FEE97F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F48541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wprowadzenie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E46922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CED82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0CC728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60C68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AD922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74520B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1894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43.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podkreśla misje i operacje UE za granicą mające na celu promowanie pokoju, bezpieczeństwa i postępu w Europie i na świecie; </w:t>
            </w:r>
            <w:r w:rsidRPr="00271CCD">
              <w:rPr>
                <w:color w:val="000000" w:themeColor="text1"/>
              </w:rPr>
              <w:t>wzywa wysokiego przedstawiciela / wiceprzewodniczącego do</w:t>
            </w:r>
            <w:r w:rsidRPr="00271CCD">
              <w:rPr>
                <w:b/>
                <w:i/>
                <w:color w:val="000000" w:themeColor="text1"/>
              </w:rP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0BDDB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43.</w:t>
            </w:r>
            <w:r w:rsidRPr="00271CCD">
              <w:rPr>
                <w:color w:val="000000" w:themeColor="text1"/>
              </w:rPr>
              <w:tab/>
              <w:t>wzywa wysokiego przedstawiciela / wiceprzewodniczącego do</w:t>
            </w:r>
            <w:r w:rsidRPr="00271CCD">
              <w:rPr>
                <w:b/>
                <w:i/>
                <w:color w:val="000000" w:themeColor="text1"/>
              </w:rPr>
              <w:t xml:space="preserve"> wykorzystania doświadczeń związanych z udanymi działaniami ewakuacyjnymi w Sudanie, wzmocnienia mechanizmów ochrony konsularnej oraz opracowania strategii przeciwdziałania atakom hybrydowym na wschodnią granicę UE, w szczególności obejmującym instrumentalizację migracji jako taktyki destabilizującej państwa członkowskie i wywierającej presję polityczną;</w:t>
            </w:r>
          </w:p>
        </w:tc>
      </w:tr>
    </w:tbl>
    <w:p w14:paraId="22054D5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07517A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A05824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958</w:t>
      </w:r>
      <w:r w:rsidRPr="00271CCD">
        <w:rPr>
          <w:rStyle w:val="HideTWBExt"/>
          <w:b w:val="0"/>
        </w:rPr>
        <w:t>&lt;/NumAm&gt;</w:t>
      </w:r>
    </w:p>
    <w:p w14:paraId="106362E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4FD585C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D7A82B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FF60C6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wprowadzenie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ADA56C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47E99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298B3F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40A86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8843A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CCE41E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CD11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43.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misje i operacje UE za granicą mające na celu promowanie pokoju, bezpieczeństwa i postępu w Europie i na świecie; wzywa</w:t>
            </w:r>
            <w:r w:rsidRPr="00271CCD">
              <w:rPr>
                <w:color w:val="000000" w:themeColor="text1"/>
              </w:rPr>
              <w:t xml:space="preserve"> wysokiego przedstawiciela / wiceprzewodniczącego do: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2E285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43.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odnotowuje trwające prace</w:t>
            </w:r>
            <w:r w:rsidRPr="00271CCD">
              <w:rPr>
                <w:color w:val="000000" w:themeColor="text1"/>
              </w:rPr>
              <w:t xml:space="preserve"> wysokiego przedstawiciela / wiceprzewodniczącego </w:t>
            </w:r>
            <w:r w:rsidRPr="00271CCD">
              <w:rPr>
                <w:b/>
                <w:i/>
                <w:color w:val="000000" w:themeColor="text1"/>
              </w:rPr>
              <w:t xml:space="preserve">w odniesieniu </w:t>
            </w:r>
            <w:r w:rsidRPr="00271CCD">
              <w:rPr>
                <w:color w:val="000000" w:themeColor="text1"/>
              </w:rPr>
              <w:t>do:</w:t>
            </w:r>
          </w:p>
        </w:tc>
      </w:tr>
    </w:tbl>
    <w:p w14:paraId="0FC44DB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8E6EBF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3E7C54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959</w:t>
      </w:r>
      <w:r w:rsidRPr="00271CCD">
        <w:rPr>
          <w:rStyle w:val="HideTWBExt"/>
          <w:b w:val="0"/>
        </w:rPr>
        <w:t>&lt;/NumAm&gt;</w:t>
      </w:r>
    </w:p>
    <w:p w14:paraId="0D87134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11FA406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885E4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3AAFC7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wprowadzenie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EFDA1E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A4EBF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7CF0C9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37CFD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2E21A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935635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2EAC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43.</w:t>
            </w:r>
            <w:r w:rsidRPr="00271CCD">
              <w:rPr>
                <w:color w:val="000000" w:themeColor="text1"/>
              </w:rPr>
              <w:tab/>
              <w:t>podkreśla misje i operacje UE za granicą mające na celu promowanie pokoju, bezpieczeństwa i postępu w Europie i na świecie;</w:t>
            </w:r>
            <w:r w:rsidRPr="00271CCD">
              <w:rPr>
                <w:b/>
                <w:i/>
                <w:color w:val="000000" w:themeColor="text1"/>
              </w:rPr>
              <w:t xml:space="preserve"> wzywa wysokiego przedstawiciela / wiceprzewodniczącego do: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9599A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43.</w:t>
            </w:r>
            <w:r w:rsidRPr="00271CCD">
              <w:rPr>
                <w:color w:val="000000" w:themeColor="text1"/>
              </w:rPr>
              <w:tab/>
              <w:t>podkreśla misje i operacje UE za granicą mające na celu promowanie pokoju, bezpieczeństwa i postępu w Europie i na świecie;</w:t>
            </w:r>
          </w:p>
        </w:tc>
      </w:tr>
    </w:tbl>
    <w:p w14:paraId="5030736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DC8AAE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5D36A2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960</w:t>
      </w:r>
      <w:r w:rsidRPr="00271CCD">
        <w:rPr>
          <w:rStyle w:val="HideTWBExt"/>
          <w:b w:val="0"/>
        </w:rPr>
        <w:t>&lt;/NumAm&gt;</w:t>
      </w:r>
    </w:p>
    <w:p w14:paraId="1A9B32B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Hans Neuhoff</w:t>
      </w:r>
      <w:r w:rsidRPr="00271CCD">
        <w:rPr>
          <w:rStyle w:val="HideTWBExt"/>
          <w:b w:val="0"/>
        </w:rPr>
        <w:t>&lt;/Members&gt;</w:t>
      </w:r>
    </w:p>
    <w:p w14:paraId="4EF4FE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7D46FE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BD5F75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pierwsze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5C8162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7E993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AB8A3E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062A0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8775A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DEF122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6111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współpracy z Bośnią i Hercegowiną, Kosowem, NATO i innymi zainteresowanymi partnerami, aby umożliwić solidnym siłom policyjnym realizację wszystkich kluczowych zadań związanych z bezpieczeństwem wewnętrznym w Bośni i Hercegowinie oraz Kosowie od 2026 r., a także do przygotowania wniosków dotyczących niezbędnych misji WPZiB, które mają zostać rozpoczęte w 2025 r., z wykorzystaniem unijnej zdolności szybkiego rozmieszczania jako zapobiegawczego wzmocnienia wojskowego; przypomina, że wydatki na te środki, w tym wydatki na utrzymanie w gotowości zdolności szybkiego rozmieszczania, powinny być pokrywane z budżetu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A969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0797C44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{DE}</w:t>
      </w:r>
      <w:r w:rsidRPr="00271CCD">
        <w:rPr>
          <w:color w:val="000000" w:themeColor="text1"/>
        </w:rPr>
        <w:t>de</w:t>
      </w:r>
      <w:r w:rsidRPr="00271CCD">
        <w:rPr>
          <w:rStyle w:val="HideTWBExt"/>
        </w:rPr>
        <w:t>&lt;/Original&gt;</w:t>
      </w:r>
    </w:p>
    <w:p w14:paraId="09C72153" w14:textId="00BB14CF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2EBDF2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961</w:t>
      </w:r>
      <w:r w:rsidRPr="00271CCD">
        <w:rPr>
          <w:rStyle w:val="HideTWBExt"/>
          <w:b w:val="0"/>
        </w:rPr>
        <w:t>&lt;/NumAm&gt;</w:t>
      </w:r>
    </w:p>
    <w:p w14:paraId="1DDDEF0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6627E16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2FEB13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FE1566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31A54B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BDB6C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31A556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321CC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86954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D34E32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4A631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współpracy z Bośnią i Hercegowiną, Kosowem, NATO i innymi zainteresowanymi partnerami, aby umożliwić solidnym siłom policyjnym realizację wszystkich kluczowych zadań związanych z bezpieczeństwem wewnętrznym w Bośni i Hercegowinie oraz Kosowie od 2026 r., a także do przygotowania wniosków dotyczących niezbędnych misji WPZiB, które mają zostać rozpoczęte w 2025 r., z wykorzystaniem unijnej zdolności szybkiego rozmieszczania jako zapobiegawczego wzmocnienia wojskowego; przypomina, że wydatki na te środki, w tym wydatki na utrzymanie w gotowości zdolności szybkiego rozmieszczania, powinny być pokrywane z budżetu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C88F7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50FC4DD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A4289F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E7416F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962</w:t>
      </w:r>
      <w:r w:rsidRPr="00271CCD">
        <w:rPr>
          <w:rStyle w:val="HideTWBExt"/>
          <w:b w:val="0"/>
        </w:rPr>
        <w:t>&lt;/NumAm&gt;</w:t>
      </w:r>
    </w:p>
    <w:p w14:paraId="16A1A0A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von der Schulenburg</w:t>
      </w:r>
      <w:r w:rsidRPr="00271CCD">
        <w:rPr>
          <w:rStyle w:val="HideTWBExt"/>
          <w:b w:val="0"/>
        </w:rPr>
        <w:t>&lt;/Members&gt;</w:t>
      </w:r>
    </w:p>
    <w:p w14:paraId="519DE75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1C19E7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BE8561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3B606C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3B0ED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4EDCE5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EFFF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1EBAB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CC5BA1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1244A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współpracy z Bośnią i Hercegowiną, Kosowem, NATO i innymi zainteresowanymi partnerami, aby umożliwić solidnym siłom policyjnym realizację wszystkich kluczowych zadań związanych z bezpieczeństwem wewnętrznym w Bośni i Hercegowinie oraz Kosowie od 2026 r., a także do przygotowania wniosków dotyczących niezbędnych misji WPZiB, które mają zostać rozpoczęte w 2025 r., z wykorzystaniem unijnej zdolności szybkiego rozmieszczania jako zapobiegawczego wzmocnienia wojskowego; przypomina, że wydatki na te środki, w tym wydatki na utrzymanie w gotowości zdolności szybkiego rozmieszczania, powinny być pokrywane z budżetu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E0EBD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28816D7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0850FE9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F3BBA6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963</w:t>
      </w:r>
      <w:r w:rsidRPr="00271CCD">
        <w:rPr>
          <w:rStyle w:val="HideTWBExt"/>
          <w:b w:val="0"/>
        </w:rPr>
        <w:t>&lt;/NumAm&gt;</w:t>
      </w:r>
    </w:p>
    <w:p w14:paraId="016B4A1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0C05A56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4FA631F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5D87B4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CFE5C8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8F9823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2FE1E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CCF403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04DC5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8581B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1C11F1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DEA6C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współpracy z Bośnią i Hercegowiną, Kosowem, NATO i innymi zainteresowanymi partnerami, aby umożliwić solidnym siłom policyjnym realizację wszystkich kluczowych zadań związanych z bezpieczeństwem wewnętrznym w Bośni i Hercegowinie oraz Kosowie od 2026 r., a także do przygotowania wniosków dotyczących niezbędnych misji WPZiB, które mają zostać rozpoczęte w 2025 r., z wykorzystaniem</w:t>
            </w:r>
            <w:r w:rsidRPr="00271CCD">
              <w:rPr>
                <w:color w:val="000000" w:themeColor="text1"/>
              </w:rPr>
              <w:t xml:space="preserve"> unijnej zdolności szybkiego rozmieszczania</w:t>
            </w:r>
            <w:r w:rsidRPr="00271CCD">
              <w:rPr>
                <w:b/>
                <w:i/>
                <w:color w:val="000000" w:themeColor="text1"/>
              </w:rPr>
              <w:t xml:space="preserve"> jako zapobiegawczego wzmocnienia wojskowego</w:t>
            </w:r>
            <w:r w:rsidRPr="00271CCD">
              <w:rPr>
                <w:color w:val="000000" w:themeColor="text1"/>
              </w:rPr>
              <w:t>;</w:t>
            </w:r>
            <w:r w:rsidRPr="00271CCD">
              <w:rPr>
                <w:b/>
                <w:i/>
                <w:color w:val="000000" w:themeColor="text1"/>
              </w:rPr>
              <w:t xml:space="preserve"> przypomina, że wydatki na te środki, w tym wydatki na utrzymanie w gotowości zdolności szybkiego rozmieszczania, powinny być pokrywane z budżetu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B0768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ustanowienia</w:t>
            </w:r>
            <w:r w:rsidRPr="00271CCD">
              <w:rPr>
                <w:color w:val="000000" w:themeColor="text1"/>
              </w:rPr>
              <w:t xml:space="preserve"> unijnej zdolności szybkiego rozmieszczania;</w:t>
            </w:r>
          </w:p>
        </w:tc>
      </w:tr>
    </w:tbl>
    <w:p w14:paraId="28D3B39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C9C8A3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825980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964</w:t>
      </w:r>
      <w:r w:rsidRPr="00271CCD">
        <w:rPr>
          <w:rStyle w:val="HideTWBExt"/>
          <w:b w:val="0"/>
        </w:rPr>
        <w:t>&lt;/NumAm&gt;</w:t>
      </w:r>
    </w:p>
    <w:p w14:paraId="2545CEA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0215F0E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EC6A62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5E10BC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09E7194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8D811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79FC8E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77F7E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6E618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4A0B25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EB892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>współpracy z Bośnią i Hercegowiną, Kosowem, NATO i innymi zainteresowanymi partnerami</w:t>
            </w:r>
            <w:r w:rsidRPr="00271CCD">
              <w:rPr>
                <w:b/>
                <w:i/>
                <w:color w:val="000000" w:themeColor="text1"/>
              </w:rPr>
              <w:t>, aby umożliwić solidnym siłom policyjnym realizację wszystkich kluczowych zadań związanych z bezpieczeństwem wewnętrznym</w:t>
            </w:r>
            <w:r w:rsidRPr="00271CCD">
              <w:rPr>
                <w:color w:val="000000" w:themeColor="text1"/>
              </w:rPr>
              <w:t xml:space="preserve"> w Bośni i Hercegowinie oraz Kosowie</w:t>
            </w:r>
            <w:r w:rsidRPr="00271CCD">
              <w:rPr>
                <w:b/>
                <w:i/>
                <w:color w:val="000000" w:themeColor="text1"/>
              </w:rPr>
              <w:t xml:space="preserve"> od 2026 r.</w:t>
            </w:r>
            <w:r w:rsidRPr="00271CCD">
              <w:rPr>
                <w:color w:val="000000" w:themeColor="text1"/>
              </w:rPr>
              <w:t>, a także do przygotowania wniosków dotyczących niezbędnych misji WPZiB, które mają zostać rozpoczęte w 2025 r.</w:t>
            </w:r>
            <w:r w:rsidRPr="00271CCD">
              <w:rPr>
                <w:b/>
                <w:i/>
                <w:color w:val="000000" w:themeColor="text1"/>
              </w:rPr>
              <w:t>, z wykorzystaniem unijnej zdolności szybkiego rozmieszczania jako zapobiegawczego wzmocnienia wojskowego</w:t>
            </w:r>
            <w:r w:rsidRPr="00271CCD">
              <w:rPr>
                <w:color w:val="000000" w:themeColor="text1"/>
              </w:rPr>
              <w:t>;</w:t>
            </w:r>
            <w:r w:rsidRPr="00271CCD">
              <w:rPr>
                <w:b/>
                <w:i/>
                <w:color w:val="000000" w:themeColor="text1"/>
              </w:rPr>
              <w:t xml:space="preserve"> przypomina, że wydatki na te środki, w tym wydatki na utrzymanie w gotowości zdolności szybkiego rozmieszczania, powinny być pokrywane z budżetu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FA912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>współpracy z Bośnią i Hercegowiną, Kosowem, NATO i innymi zainteresowanymi partnerami w Bośni i Hercegowinie oraz Kosowie, a także do przygotowania wniosków dotyczących niezbędnych misji WPZiB, które mają zostać rozpoczęte w 2025 r.;</w:t>
            </w:r>
          </w:p>
        </w:tc>
      </w:tr>
    </w:tbl>
    <w:p w14:paraId="03E737A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84FFA4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70D2E2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965</w:t>
      </w:r>
      <w:r w:rsidRPr="00271CCD">
        <w:rPr>
          <w:rStyle w:val="HideTWBExt"/>
          <w:b w:val="0"/>
        </w:rPr>
        <w:t>&lt;/NumAm&gt;</w:t>
      </w:r>
    </w:p>
    <w:p w14:paraId="3FAF47D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4263A62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3EAC02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FD952C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BBA138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4A981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28D347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8C2C7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18AF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EA9F99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22BA7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współpracy z Bośnią i Hercegowiną, Kosowem, NATO i innymi zainteresowanymi partnerami, aby umożliwić solidnym siłom policyjnym realizację wszystkich kluczowych zadań związanych z bezpieczeństwem wewnętrznym w Bośni i Hercegowinie oraz Kosowie od 2026 r., a także do </w:t>
            </w:r>
            <w:r w:rsidRPr="00271CCD">
              <w:rPr>
                <w:color w:val="000000" w:themeColor="text1"/>
              </w:rPr>
              <w:t>przygotowania wniosków dotyczących niezbędnych misji</w:t>
            </w:r>
            <w:r w:rsidRPr="00271CCD">
              <w:rPr>
                <w:b/>
                <w:i/>
                <w:color w:val="000000" w:themeColor="text1"/>
              </w:rPr>
              <w:t xml:space="preserve"> WPZiB</w:t>
            </w:r>
            <w:r w:rsidRPr="00271CCD">
              <w:rPr>
                <w:color w:val="000000" w:themeColor="text1"/>
              </w:rPr>
              <w:t>, które mają zostać rozpoczęte w 2025 r., z wykorzystaniem unijnej zdolności szybkiego rozmieszczania jako zapobiegawczego wzmocnienia wojskowego; przypomina, że wydatki na te środki, w tym wydatki na utrzymanie w gotowości zdolności szybkiego rozmieszczania, powinny być pokrywane z budżetu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58E73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>przygotowania wniosków dotyczących niezbędnych misji, które mają zostać rozpoczęte w 2025 r., z wykorzystaniem unijnej zdolności szybkiego rozmieszczania jako zapobiegawczego wzmocnienia wojskowego; przypomina, że wydatki na te środki, w tym wydatki na utrzymanie w gotowości zdolności szybkiego rozmieszczania, powinny być pokrywane z budżetu UE;</w:t>
            </w:r>
          </w:p>
        </w:tc>
      </w:tr>
    </w:tbl>
    <w:p w14:paraId="29D84DC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A2C88C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4AD1AB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966</w:t>
      </w:r>
      <w:r w:rsidRPr="00271CCD">
        <w:rPr>
          <w:rStyle w:val="HideTWBExt"/>
          <w:b w:val="0"/>
        </w:rPr>
        <w:t>&lt;/NumAm&gt;</w:t>
      </w:r>
    </w:p>
    <w:p w14:paraId="5FE7F1E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Thijs Reuten, Nacho Sánchez Amor</w:t>
      </w:r>
      <w:r w:rsidRPr="00271CCD">
        <w:rPr>
          <w:rStyle w:val="HideTWBExt"/>
          <w:b w:val="0"/>
        </w:rPr>
        <w:t>&lt;/Members&gt;</w:t>
      </w:r>
    </w:p>
    <w:p w14:paraId="6037B63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456DFA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3D005C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1 a (nowe)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EC8946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7A8EE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11AF1C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0EEB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035D3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F8348E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BB068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59C8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przygotowania ukierunkowanych sankcji wobec podmiotów destabilizujących w Bośni i Hercegowinie, w tym zagrażających jej suwerenności i integralności terytorialnej, zwłaszcza wobec Milorada Dodika; reagowania każdorazowo na retorykę secesjonistyczną w odniesieniu do Bośni i Hercegowiny oraz na wszystkie formy negowania ludobójstwa i gloryfikacji skazanych zbrodniarzy wojennych w regionie; domaga się, by państwa członkowskie wezwały Bośnię i Hercegowinę do przestrzegania wszystkich odpowiednich orzeczeń ETPC w sprawie jej dyskryminacyjnego systemu wyborczego, w tym orzeczenia w sprawie Kovačević, oraz do wdrożenia reformy konstytucyjnej i wyborczej; wzywa Komisję i państwa członkowskie do wezwania wysokiego przedstawiciela Christiana Schmidta, by powstrzymał się od dalszych ingerencji w postępowanie sądowe w tej sprawie;</w:t>
            </w:r>
          </w:p>
        </w:tc>
      </w:tr>
    </w:tbl>
    <w:p w14:paraId="7A8FA50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3BB97D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49FC04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967</w:t>
      </w:r>
      <w:r w:rsidRPr="00271CCD">
        <w:rPr>
          <w:rStyle w:val="HideTWBExt"/>
          <w:b w:val="0"/>
        </w:rPr>
        <w:t>&lt;/NumAm&gt;</w:t>
      </w:r>
    </w:p>
    <w:p w14:paraId="5FA12E9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Costas Mavrides, Yannis Maniatis</w:t>
      </w:r>
      <w:r w:rsidRPr="00271CCD">
        <w:rPr>
          <w:rStyle w:val="HideTWBExt"/>
          <w:b w:val="0"/>
        </w:rPr>
        <w:t>&lt;/Members&gt;</w:t>
      </w:r>
    </w:p>
    <w:p w14:paraId="4585A19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295CB7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7AA8BD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CBC7F1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C460A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02B0D1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49DC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06926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8722E2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A355B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współpracy z Cyprem, Turcją, Zjednoczonym Królestwem i ONZ w celu wdrożenia konkretnych środków na rzecz demilitaryzacji strefy buforowej na Cyprze i poprawy bezpieczeństwa na wyspie, zarówno społeczności Greków cypryjskich, jak i społeczności Turków cypryjskich;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1B7C0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0F62441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7DA4A9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1F35D3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968</w:t>
      </w:r>
      <w:r w:rsidRPr="00271CCD">
        <w:rPr>
          <w:rStyle w:val="HideTWBExt"/>
          <w:b w:val="0"/>
        </w:rPr>
        <w:t>&lt;/NumAm&gt;</w:t>
      </w:r>
    </w:p>
    <w:p w14:paraId="604B9D9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Loucas Fourlas</w:t>
      </w:r>
      <w:r w:rsidRPr="00271CCD">
        <w:rPr>
          <w:rStyle w:val="HideTWBExt"/>
          <w:b w:val="0"/>
        </w:rPr>
        <w:t>&lt;/Members&gt;</w:t>
      </w:r>
    </w:p>
    <w:p w14:paraId="4FE8CE0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134DE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458F1A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C93E6F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3B7F6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C977EE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115DE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4BAF7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1EA647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EC954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współpracy z Cyprem, Turcją, Zjednoczonym Królestwem i ONZ w celu wdrożenia konkretnych środków na rzecz demilitaryzacji strefy buforowej na Cyprze i poprawy bezpieczeństwa na wyspie, zarówno społeczności Greków cypryjskich, jak i społeczności Turków cypryjskich;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27761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181DED39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F22671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9340F0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969</w:t>
      </w:r>
      <w:r w:rsidRPr="00271CCD">
        <w:rPr>
          <w:rStyle w:val="HideTWBExt"/>
          <w:b w:val="0"/>
        </w:rPr>
        <w:t>&lt;/NumAm&gt;</w:t>
      </w:r>
    </w:p>
    <w:p w14:paraId="2D30A69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3E744AD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E6825B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C7B06B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B3015F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BD674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CBAE17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C7724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80DE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4B87D8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67633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współpracy z Cyprem, Turcją, Zjednoczonym Królestwem i ONZ w celu wdrożenia konkretnych środków na rzecz demilitaryzacji strefy buforowej na Cyprze i poprawy bezpieczeństwa na wyspie, zarówno społeczności Greków cypryjskich, jak i społeczności Turków cypryjskich;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5696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74B3EB2C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551E17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9F3089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970</w:t>
      </w:r>
      <w:r w:rsidRPr="00271CCD">
        <w:rPr>
          <w:rStyle w:val="HideTWBExt"/>
          <w:b w:val="0"/>
        </w:rPr>
        <w:t>&lt;/NumAm&gt;</w:t>
      </w:r>
    </w:p>
    <w:p w14:paraId="1B9C545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Geadis Geadi, Emmanouil Fragkos, Afroditi Latinopoulou, Fernand Kartheiser, Charlie Weimers, Nikolaos Anadiotis</w:t>
      </w:r>
      <w:r w:rsidRPr="00271CCD">
        <w:rPr>
          <w:rStyle w:val="HideTWBExt"/>
          <w:b w:val="0"/>
        </w:rPr>
        <w:t>&lt;/Members&gt;</w:t>
      </w:r>
    </w:p>
    <w:p w14:paraId="575CEAF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2AE0F1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A86DD8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848155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EC24A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474239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681E8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66D13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F3AA23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8602B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 xml:space="preserve">– współpracy z Cyprem, Turcją, Zjednoczonym Królestwem i ONZ w celu </w:t>
            </w:r>
            <w:r w:rsidRPr="00271CCD">
              <w:rPr>
                <w:b/>
                <w:i/>
                <w:color w:val="000000" w:themeColor="text1"/>
              </w:rPr>
              <w:t>wdrożenia konkretnych środków na rzecz demilitaryzacji strefy buforowej na Cyprze i poprawy bezpieczeństwa na wyspie, zarówno społeczności Greków cypryjskich, jak i społeczności Turków cypryjskich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22FC6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 współpracy z Cyprem</w:t>
            </w:r>
            <w:r w:rsidRPr="00271CCD">
              <w:rPr>
                <w:b/>
                <w:i/>
                <w:color w:val="000000" w:themeColor="text1"/>
              </w:rPr>
              <w:t>, Grecją</w:t>
            </w:r>
            <w:r w:rsidRPr="00271CCD">
              <w:rPr>
                <w:color w:val="000000" w:themeColor="text1"/>
              </w:rPr>
              <w:t xml:space="preserve">, Turcją, Zjednoczonym Królestwem i ONZ w celu </w:t>
            </w:r>
            <w:r w:rsidRPr="00271CCD">
              <w:rPr>
                <w:b/>
                <w:i/>
                <w:color w:val="000000" w:themeColor="text1"/>
              </w:rPr>
              <w:t>znalezienia wykonalnego, praktycznego i przede wszystkim demokratycznego rozwiązania dla kwestii cypryjskiej, które nie będzie legitymizowało fait accompli, co Turcja chce osiągnąć przemocą, i które nie będzie obejmować segregacji rasowej, terytorialnej lub innej, jako że stoi ona zupełnie w sprzeczności z Unią Europejską i rozdziałem 1 Karty Narodów Zjednoczonych, w którym dąży się do zapewnienia, „by wszyscy bez różnicy rasy, płci, języka lub wyznania korzystali z praw człowieka i podstawowych wolności”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276CD51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{EL}</w:t>
      </w:r>
      <w:r w:rsidRPr="00271CCD">
        <w:rPr>
          <w:color w:val="000000" w:themeColor="text1"/>
        </w:rPr>
        <w:t>el</w:t>
      </w:r>
      <w:r w:rsidRPr="00271CCD">
        <w:rPr>
          <w:rStyle w:val="HideTWBExt"/>
        </w:rPr>
        <w:t>&lt;/Original&gt;</w:t>
      </w:r>
    </w:p>
    <w:p w14:paraId="1537C26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017AFB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971</w:t>
      </w:r>
      <w:r w:rsidRPr="00271CCD">
        <w:rPr>
          <w:rStyle w:val="HideTWBExt"/>
          <w:b w:val="0"/>
        </w:rPr>
        <w:t>&lt;/NumAm&gt;</w:t>
      </w:r>
    </w:p>
    <w:p w14:paraId="27BD3A4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Jordan Bardella, Pierre-Romain Thionnet, Matthieu Valet, Jorge Martín Frías, Hermann Tertsch, Roberto Vannacci</w:t>
      </w:r>
      <w:r w:rsidRPr="00271CCD">
        <w:rPr>
          <w:rStyle w:val="HideTWBExt"/>
          <w:b w:val="0"/>
        </w:rPr>
        <w:t>&lt;/Members&gt;</w:t>
      </w:r>
    </w:p>
    <w:p w14:paraId="2171891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BA6046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B04190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BAC93C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41A03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18D9F4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AD466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3B25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25A9F2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24414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>współpracy z Cyprem, Turcją, Zjednoczonym Królestwem i ONZ w celu wdrożenia konkretnych środków na rzecz demilitaryzacji strefy buforowej na Cyprze i poprawy bezpieczeństwa na wyspie, zarówno społeczności Greków cypryjskich, jak i społeczności Turków cypryjskich;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EA375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 xml:space="preserve">współpracy z Cyprem, Turcją, Zjednoczonym Królestwem i ONZ w celu wdrożenia konkretnych środków na rzecz demilitaryzacji strefy buforowej na Cyprze i poprawy bezpieczeństwa na wyspie, zarówno społeczności Greków cypryjskich, jak i społeczności Turków cypryjskich; </w:t>
            </w:r>
            <w:r w:rsidRPr="00271CCD">
              <w:rPr>
                <w:b/>
                <w:bCs/>
                <w:i/>
                <w:iCs/>
                <w:color w:val="000000" w:themeColor="text1"/>
              </w:rPr>
              <w:t>popiera społeczność Greków cypryjskich, która ucierpiała z powodu nieuzasadnionej aneksji jej terytorium przez Turcję, która jest członkiem NATO i krajem kandydującym do UE;</w:t>
            </w:r>
          </w:p>
        </w:tc>
      </w:tr>
    </w:tbl>
    <w:p w14:paraId="5998C07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{FR}</w:t>
      </w:r>
      <w:r w:rsidRPr="00271CCD">
        <w:rPr>
          <w:color w:val="000000" w:themeColor="text1"/>
        </w:rPr>
        <w:t>fr</w:t>
      </w:r>
      <w:r w:rsidRPr="00271CCD">
        <w:rPr>
          <w:rStyle w:val="HideTWBExt"/>
        </w:rPr>
        <w:t>&lt;/Original&gt;</w:t>
      </w:r>
    </w:p>
    <w:p w14:paraId="6F6C4569" w14:textId="1D12705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133C66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972</w:t>
      </w:r>
      <w:r w:rsidRPr="00271CCD">
        <w:rPr>
          <w:rStyle w:val="HideTWBExt"/>
          <w:b w:val="0"/>
        </w:rPr>
        <w:t>&lt;/NumAm&gt;</w:t>
      </w:r>
    </w:p>
    <w:p w14:paraId="6A5013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Emmanouil Fragkos, Galato Alexandraki, Geadis Geadi</w:t>
      </w:r>
      <w:r w:rsidRPr="00271CCD">
        <w:rPr>
          <w:rStyle w:val="HideTWBExt"/>
          <w:b w:val="0"/>
        </w:rPr>
        <w:t>&lt;/Members&gt;</w:t>
      </w:r>
    </w:p>
    <w:p w14:paraId="1CFC553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75E6E8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CC336C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FCD563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19C5F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B9C276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298D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5E1D7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11B523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092D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 xml:space="preserve">– </w:t>
            </w:r>
            <w:r w:rsidRPr="00271CCD">
              <w:rPr>
                <w:b/>
                <w:i/>
                <w:color w:val="000000" w:themeColor="text1"/>
              </w:rPr>
              <w:t>współpracy z Cyprem, Turcją, Zjednoczonym Królestwem i ONZ</w:t>
            </w:r>
            <w:r w:rsidRPr="00271CCD">
              <w:rPr>
                <w:color w:val="000000" w:themeColor="text1"/>
              </w:rPr>
              <w:t xml:space="preserve"> w celu wdrożenia </w:t>
            </w:r>
            <w:r w:rsidRPr="00271CCD">
              <w:rPr>
                <w:b/>
                <w:i/>
                <w:color w:val="000000" w:themeColor="text1"/>
              </w:rPr>
              <w:t>konkretnych środków na rzecz demilitaryzacji strefy buforowej na Cyprze i poprawy bezpieczeństwa na wyspie, zarówno społeczności Greków cypryjskich, jak i społeczności Turków cypryjskich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2DA4E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 xml:space="preserve">– </w:t>
            </w:r>
            <w:r w:rsidRPr="00271CCD">
              <w:rPr>
                <w:b/>
                <w:i/>
                <w:color w:val="000000" w:themeColor="text1"/>
              </w:rPr>
              <w:t>wywierania nacisku</w:t>
            </w:r>
            <w:r w:rsidRPr="00271CCD">
              <w:rPr>
                <w:color w:val="000000" w:themeColor="text1"/>
              </w:rPr>
              <w:t xml:space="preserve"> w celu wdrożenia </w:t>
            </w:r>
            <w:r w:rsidRPr="00271CCD">
              <w:rPr>
                <w:b/>
                <w:i/>
                <w:color w:val="000000" w:themeColor="text1"/>
              </w:rPr>
              <w:t>rezolucji Rady Bezpieczeństwa ONZ w sprawie Cypru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102EA35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{EL}</w:t>
      </w:r>
      <w:r w:rsidRPr="00271CCD">
        <w:rPr>
          <w:color w:val="000000" w:themeColor="text1"/>
        </w:rPr>
        <w:t>el</w:t>
      </w:r>
      <w:r w:rsidRPr="00271CCD">
        <w:rPr>
          <w:rStyle w:val="HideTWBExt"/>
        </w:rPr>
        <w:t>&lt;/Original&gt;</w:t>
      </w:r>
    </w:p>
    <w:p w14:paraId="683DD8E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14AE88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973</w:t>
      </w:r>
      <w:r w:rsidRPr="00271CCD">
        <w:rPr>
          <w:rStyle w:val="HideTWBExt"/>
          <w:b w:val="0"/>
        </w:rPr>
        <w:t>&lt;/NumAm&gt;</w:t>
      </w:r>
    </w:p>
    <w:p w14:paraId="61C89C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Sebastian Tynkkynen</w:t>
      </w:r>
      <w:r w:rsidRPr="00271CCD">
        <w:rPr>
          <w:rStyle w:val="HideTWBExt"/>
          <w:b w:val="0"/>
        </w:rPr>
        <w:t>&lt;/Members&gt;</w:t>
      </w:r>
    </w:p>
    <w:p w14:paraId="6815951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F06C06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10FBF6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94BB38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2DBA2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2FF4D5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3211F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E7E9C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115324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47776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 współpracy z Cyprem, Turcją, Zjednoczonym Królestwem i ONZ w celu wdrożenia konkretnych środków na rzecz demilitaryzacji strefy buforowej na Cyprze i poprawy bezpieczeństwa na wyspie, zarówno społeczności Greków cypryjskich, jak i społeczności Turków cypryjskich;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BC47A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 współpracy z Cyprem, Turcją, Zjednoczonym Królestwem i ONZ w celu wdrożenia konkretnych środków na rzecz demilitaryzacji strefy buforowej na Cyprze i poprawy bezpieczeństwa na wyspie, zarówno społeczności Greków cypryjskich, jak i społeczności Turków cypryjskich</w:t>
            </w:r>
            <w:r w:rsidRPr="00271CCD">
              <w:rPr>
                <w:b/>
                <w:i/>
                <w:color w:val="000000" w:themeColor="text1"/>
              </w:rPr>
              <w:t xml:space="preserve"> oraz podjęcia działań, aby położyć kres tureckiej okupacji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05367D2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{FI}</w:t>
      </w:r>
      <w:r w:rsidRPr="00271CCD">
        <w:rPr>
          <w:color w:val="000000" w:themeColor="text1"/>
        </w:rPr>
        <w:t>fi</w:t>
      </w:r>
      <w:r w:rsidRPr="00271CCD">
        <w:rPr>
          <w:rStyle w:val="HideTWBExt"/>
        </w:rPr>
        <w:t>&lt;/Original&gt;</w:t>
      </w:r>
    </w:p>
    <w:p w14:paraId="166BECD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BEB93F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974</w:t>
      </w:r>
      <w:r w:rsidRPr="00271CCD">
        <w:rPr>
          <w:rStyle w:val="HideTWBExt"/>
          <w:b w:val="0"/>
        </w:rPr>
        <w:t>&lt;/NumAm&gt;</w:t>
      </w:r>
    </w:p>
    <w:p w14:paraId="4797A67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Nathalie Loiseau, Hilde Vautmans, Lucia Yar, Petras Auštrevičius</w:t>
      </w:r>
      <w:r w:rsidRPr="00271CCD">
        <w:rPr>
          <w:rStyle w:val="HideTWBExt"/>
          <w:b w:val="0"/>
        </w:rPr>
        <w:t>&lt;/Members&gt;</w:t>
      </w:r>
    </w:p>
    <w:p w14:paraId="1FDA37A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196481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D58008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 a (nowe)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0B00AF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183B8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0CCB7B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A0D78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7857C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7D0EFF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212A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82324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dalszego zwiększenia liczby obserwatorów rozmieszczanych w ramach misji cywilnej UE w Armenii (EUMA) po armeńskiej stronie międzynarodowej granicy z Azerbejdżanem oraz powtórzenia apeli do Azerbejdżanu o współpracę z misją i zaprzestanie nagonki wobec niej;</w:t>
            </w:r>
          </w:p>
        </w:tc>
      </w:tr>
    </w:tbl>
    <w:p w14:paraId="6592CCD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BC851F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FA1607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975</w:t>
      </w:r>
      <w:r w:rsidRPr="00271CCD">
        <w:rPr>
          <w:rStyle w:val="HideTWBExt"/>
          <w:b w:val="0"/>
        </w:rPr>
        <w:t>&lt;/NumAm&gt;</w:t>
      </w:r>
    </w:p>
    <w:p w14:paraId="7CFE3C1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Michael Gahler, Andrey Kovatchev</w:t>
      </w:r>
      <w:r w:rsidRPr="00271CCD">
        <w:rPr>
          <w:rStyle w:val="HideTWBExt"/>
          <w:b w:val="0"/>
        </w:rPr>
        <w:t>&lt;/Members&gt;</w:t>
      </w:r>
    </w:p>
    <w:p w14:paraId="4055666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745471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7C626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2 a (nowe)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76C9F7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BA76C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F7AFCB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2D8D6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95F8E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437213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3D5B1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DD133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współpracy z Australią, Nową Zelandią, Republiką Korei, Japonią, Tajwanem i państwami członkowskimi ASEAN w celu wspierania pokoju i bezpieczeństwa w regionach Indo-Pacyfiku i Azji Południowo-Wschodniej;</w:t>
            </w:r>
          </w:p>
        </w:tc>
      </w:tr>
    </w:tbl>
    <w:p w14:paraId="1201F49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011859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0FA76D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976</w:t>
      </w:r>
      <w:r w:rsidRPr="00271CCD">
        <w:rPr>
          <w:rStyle w:val="HideTWBExt"/>
          <w:b w:val="0"/>
        </w:rPr>
        <w:t>&lt;/NumAm&gt;</w:t>
      </w:r>
    </w:p>
    <w:p w14:paraId="13ACF05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6C8E01B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EE4B2D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6AD57D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C1429F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FB15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0799D7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9A686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A53F4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F9F136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B0F8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ponownego poparcia prac prowadzonych obecnie przez unijną misję policyjną i praworządnościową na okupowanych terytoriach palestyńskich (EUPOL COPPS) oraz Misję UE ds. Szkolenia i Kontroli (EU BAM) na przejściu granicznym w Rafah na rzecz wspierania władz palestyńskich w reformowaniu sektora bezpieczeństwa i wymiaru sprawiedliwości oraz w zintegrowanym zarządzaniu granicami;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AEE54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34B8809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5299B0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6AC9E4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977</w:t>
      </w:r>
      <w:r w:rsidRPr="00271CCD">
        <w:rPr>
          <w:rStyle w:val="HideTWBExt"/>
          <w:b w:val="0"/>
        </w:rPr>
        <w:t>&lt;/NumAm&gt;</w:t>
      </w:r>
    </w:p>
    <w:p w14:paraId="1741F3B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Nathalie Loiseau, Hilde Vautmans, Lucia Yar, Petras Auštrevičius</w:t>
      </w:r>
      <w:r w:rsidRPr="00271CCD">
        <w:rPr>
          <w:rStyle w:val="HideTWBExt"/>
          <w:b w:val="0"/>
        </w:rPr>
        <w:t>&lt;/Members&gt;</w:t>
      </w:r>
    </w:p>
    <w:p w14:paraId="582ED9F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86BCA1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A33CE0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824A36B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7308C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37499A1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9E13A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4574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1F43F1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368BB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 xml:space="preserve">ponownego </w:t>
            </w:r>
            <w:r w:rsidRPr="00271CCD">
              <w:rPr>
                <w:color w:val="000000" w:themeColor="text1"/>
              </w:rPr>
              <w:t xml:space="preserve">poparcia </w:t>
            </w:r>
            <w:r w:rsidRPr="00271CCD">
              <w:rPr>
                <w:b/>
                <w:i/>
                <w:color w:val="000000" w:themeColor="text1"/>
              </w:rPr>
              <w:t>prac prowadzonych obecnie przez unijną misję policyjną i praworządnościową na okupowanych terytoriach palestyńskich (</w:t>
            </w:r>
            <w:r w:rsidRPr="00271CCD">
              <w:rPr>
                <w:color w:val="000000" w:themeColor="text1"/>
              </w:rPr>
              <w:t>EUPOL COPPS</w:t>
            </w:r>
            <w:r w:rsidRPr="00271CCD">
              <w:rPr>
                <w:b/>
                <w:i/>
                <w:color w:val="000000" w:themeColor="text1"/>
              </w:rPr>
              <w:t>) oraz Misję UE ds. Szkolenia i Kontroli (</w:t>
            </w:r>
            <w:r w:rsidRPr="00271CCD">
              <w:rPr>
                <w:color w:val="000000" w:themeColor="text1"/>
              </w:rPr>
              <w:t>EU BAM</w:t>
            </w:r>
            <w:r w:rsidRPr="00271CCD">
              <w:rPr>
                <w:b/>
                <w:i/>
                <w:color w:val="000000" w:themeColor="text1"/>
              </w:rPr>
              <w:t>) na przejściu granicznym w</w:t>
            </w:r>
            <w:r w:rsidRPr="00271CCD">
              <w:rPr>
                <w:color w:val="000000" w:themeColor="text1"/>
              </w:rPr>
              <w:t xml:space="preserve"> Rafah</w:t>
            </w:r>
            <w:r w:rsidRPr="00271CCD">
              <w:rPr>
                <w:b/>
                <w:i/>
                <w:color w:val="000000" w:themeColor="text1"/>
              </w:rPr>
              <w:t xml:space="preserve"> na rzecz wspierania władz palestyńskich w reformowaniu sektora bezpieczeństwa i wymiaru sprawiedliwości oraz w zintegrowanym zarządzaniu granicami</w:t>
            </w:r>
            <w:r w:rsidRPr="00271CCD">
              <w:rPr>
                <w:color w:val="000000" w:themeColor="text1"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9B616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 xml:space="preserve">poparcia </w:t>
            </w:r>
            <w:r w:rsidRPr="00271CCD">
              <w:rPr>
                <w:b/>
                <w:i/>
                <w:color w:val="000000" w:themeColor="text1"/>
              </w:rPr>
              <w:t xml:space="preserve">zwiększonej roli dwóch misji cywilnych UE w dziedzinie WPBiO </w:t>
            </w:r>
            <w:r w:rsidRPr="00271CCD">
              <w:rPr>
                <w:color w:val="000000" w:themeColor="text1"/>
              </w:rPr>
              <w:t xml:space="preserve">EUPOL COPPS </w:t>
            </w:r>
            <w:r w:rsidRPr="00271CCD">
              <w:rPr>
                <w:b/>
                <w:i/>
                <w:color w:val="000000" w:themeColor="text1"/>
              </w:rPr>
              <w:t>i</w:t>
            </w:r>
            <w:r w:rsidRPr="00271CCD">
              <w:rPr>
                <w:color w:val="000000" w:themeColor="text1"/>
              </w:rPr>
              <w:t xml:space="preserve"> EU BAM Rafah</w:t>
            </w:r>
            <w:r w:rsidRPr="00271CCD">
              <w:rPr>
                <w:b/>
                <w:i/>
                <w:color w:val="000000" w:themeColor="text1"/>
              </w:rPr>
              <w:t>, zgodnie z konkluzjami Rady Europejskiej z 21 i 22 marca 2024 r. przypominającymi, że mogą one odegrać ważną rolę w oparciu o zasadę rozwiązania dwupaństwowego i dla przetrwania przyszłego państwa palestyńskiego, w udziale w ułatwianiu dostarczania pomocy humanitarnej do Strefy Gazy, w poprawie skuteczności Palestyńskiej Władzy Narodowej na Zachodnim Brzegu oraz w przygotowaniu jej powrotu do Strefy Gazy; podkreśla w szczególności potrzebę stworzenia koniecznych warunków do pełnej reaktywacji EU BAM Rafah, aby umożliwić jej działanie jako neutralnej strony trzeciej na przejściu granicznym w Rafah, w koordynacji z Palestyńską Władzą Narodową, a także władzami Izraela i Egiptu; oczekuje, że wzmocnienie zakresu i mandatu EUPOL COPPS i EU BAM Rafah w terenie zostanie włączone jako kluczowy priorytet przyszłej strategii UE na rzecz Bliskiego Wschodu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62249E8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1E1BC9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F7D516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978</w:t>
      </w:r>
      <w:r w:rsidRPr="00271CCD">
        <w:rPr>
          <w:rStyle w:val="HideTWBExt"/>
          <w:b w:val="0"/>
        </w:rPr>
        <w:t>&lt;/NumAm&gt;</w:t>
      </w:r>
    </w:p>
    <w:p w14:paraId="75A9B07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Merja Kyllönen</w:t>
      </w:r>
      <w:r w:rsidRPr="00271CCD">
        <w:rPr>
          <w:rStyle w:val="HideTWBExt"/>
          <w:b w:val="0"/>
        </w:rPr>
        <w:t>&lt;/Members&gt;</w:t>
      </w:r>
    </w:p>
    <w:p w14:paraId="09E2C3D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B7F81B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59F4FC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45820EB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C51F8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09D130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F38FC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E02FF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2A61BB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F0273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>ponownego poparcia prac prowadzonych obecnie przez unijną misję policyjną i praworządnościową na okupowanych terytoriach palestyńskich (EUPOL COPPS) oraz Misję UE ds. Szkolenia i Kontroli (EU BAM) na przejściu granicznym w Rafah na rzecz wspierania władz palestyńskich w reformowaniu sektora bezpieczeństwa i wymiaru sprawiedliwości oraz w zintegrowanym zarządzaniu granicami;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1D7F3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>ponownego poparcia prac prowadzonych obecnie przez unijną misję policyjną i praworządnościową na okupowanych terytoriach palestyńskich (EUPOL COPPS) oraz Misję UE ds. Szkolenia i Kontroli (EU BAM) na przejściu granicznym w Rafah na rzecz wspierania władz palestyńskich w reformowaniu sektora bezpieczeństwa i wymiaru sprawiedliwości oraz w zintegrowanym zarządzaniu granicami;</w:t>
            </w:r>
            <w:r w:rsidRPr="00271CCD">
              <w:rPr>
                <w:b/>
                <w:i/>
                <w:color w:val="000000" w:themeColor="text1"/>
              </w:rPr>
              <w:t xml:space="preserve"> podkreśla ważną rolę dialogu dotyczącego praw człowieka w ramach unijnego zestawu narzędzi dotyczących praw człowieka oraz jego rolę jako kluczowego narzędzia wdrażania planu działania UE w zakresie praw człowieka i demokracji; podkreśla, że te dialogi powinny uwzględniać ogólną sytuację w zakresie praw człowieka i demokracji z odpowiednimi krajami i pomagać w wytyczeniu drogi na przyszłość; </w:t>
            </w:r>
          </w:p>
        </w:tc>
      </w:tr>
    </w:tbl>
    <w:p w14:paraId="198271A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C4E1D2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3CD3A5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979</w:t>
      </w:r>
      <w:r w:rsidRPr="00271CCD">
        <w:rPr>
          <w:rStyle w:val="HideTWBExt"/>
          <w:b w:val="0"/>
        </w:rPr>
        <w:t>&lt;/NumAm&gt;</w:t>
      </w:r>
    </w:p>
    <w:p w14:paraId="7344F92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Emmanouil Kefalogiannis</w:t>
      </w:r>
      <w:r w:rsidRPr="00271CCD">
        <w:rPr>
          <w:rStyle w:val="HideTWBExt"/>
          <w:b w:val="0"/>
        </w:rPr>
        <w:t>&lt;/Members&gt;</w:t>
      </w:r>
    </w:p>
    <w:p w14:paraId="3816E7D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1C9166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A6DF59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3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987C15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7473B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28DE09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11179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31F1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0E4AC6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E1CA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>ponownego poparcia prac prowadzonych obecnie przez unijną misję policyjną i praworządnościową na okupowanych terytoriach palestyńskich (EUPOL COPPS) oraz Misję UE ds. Szkolenia i Kontroli (EU BAM) na przejściu granicznym w Rafah na rzecz wspierania władz palestyńskich w reformowaniu sektora bezpieczeństwa i wymiaru sprawiedliwości oraz w zintegrowanym zarządzaniu granicami;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CD3E8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  <w:t>ponownego poparcia prac prowadzonych obecnie przez unijną misję policyjną i praworządnościową na okupowanych terytoriach palestyńskich (EUPOL COPPS) oraz Misję UE ds. Szkolenia i Kontroli (EU BAM) na przejściu granicznym w Rafah na rzecz wspierania władz palestyńskich w reformowaniu sektora bezpieczeństwa i wymiaru sprawiedliwości oraz w zintegrowanym zarządzaniu granicami;</w:t>
            </w:r>
            <w:r w:rsidRPr="00271CCD">
              <w:rPr>
                <w:b/>
                <w:i/>
                <w:color w:val="000000" w:themeColor="text1"/>
              </w:rPr>
              <w:t xml:space="preserve"> ponownie wyraża poparcie dla planu Komisji dotyczącego nadzwyczajnego wsparcia finansowego dla Palestyńskiej Władzy Narodowej mającego na celu jej reformę, odbudowę, odporność i skuteczne rządzenie;</w:t>
            </w:r>
          </w:p>
        </w:tc>
      </w:tr>
    </w:tbl>
    <w:p w14:paraId="4FB7438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4A5CCB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FB6097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980</w:t>
      </w:r>
      <w:r w:rsidRPr="00271CCD">
        <w:rPr>
          <w:rStyle w:val="HideTWBExt"/>
          <w:b w:val="0"/>
        </w:rPr>
        <w:t>&lt;/NumAm&gt;</w:t>
      </w:r>
    </w:p>
    <w:p w14:paraId="5595CC8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Andrey Kovatchev</w:t>
      </w:r>
      <w:r w:rsidRPr="00271CCD">
        <w:rPr>
          <w:rStyle w:val="HideTWBExt"/>
          <w:b w:val="0"/>
        </w:rPr>
        <w:t>&lt;/Members&gt;</w:t>
      </w:r>
    </w:p>
    <w:p w14:paraId="6ED36C7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FF612B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E39A4F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3 a (nowe)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A048CF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7A7C6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856C16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A07CA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DAF0D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FE87E3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46369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A995E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promowania kontynuacji cywilnej misji Unii Europejskiej w Armenii (EUMA) oraz wezwania władz Azerbejdżanu do zezwolenia na obecność EUMA także po swojej stronie granicy;</w:t>
            </w:r>
          </w:p>
        </w:tc>
      </w:tr>
    </w:tbl>
    <w:p w14:paraId="653F89E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19B49E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CF905D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981</w:t>
      </w:r>
      <w:r w:rsidRPr="00271CCD">
        <w:rPr>
          <w:rStyle w:val="HideTWBExt"/>
          <w:b w:val="0"/>
        </w:rPr>
        <w:t>&lt;/NumAm&gt;</w:t>
      </w:r>
    </w:p>
    <w:p w14:paraId="086295A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Christophe Gomart</w:t>
      </w:r>
      <w:r w:rsidRPr="00271CCD">
        <w:rPr>
          <w:rStyle w:val="HideTWBExt"/>
          <w:b w:val="0"/>
        </w:rPr>
        <w:t>&lt;/Members&gt;</w:t>
      </w:r>
    </w:p>
    <w:p w14:paraId="4913DB2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9CAEC1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8D0ED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43 – tiret 3 a (nowe)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5D61AE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446B5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8B1928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D3024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0A7ED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3109C3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4EAE9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8BB7A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–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nałożenia sankcji na Azerbejdżan, który jest odpowiedzialny za czystki etniczne Ormian w Górskim Karabachu;</w:t>
            </w:r>
          </w:p>
        </w:tc>
      </w:tr>
    </w:tbl>
    <w:p w14:paraId="6F45C61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2CC5D1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06EA70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982</w:t>
      </w:r>
      <w:r w:rsidRPr="00271CCD">
        <w:rPr>
          <w:rStyle w:val="HideTWBExt"/>
          <w:b w:val="0"/>
        </w:rPr>
        <w:t>&lt;/NumAm&gt;</w:t>
      </w:r>
    </w:p>
    <w:p w14:paraId="400AE39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António Tânger Corrêa</w:t>
      </w:r>
      <w:r w:rsidRPr="00271CCD">
        <w:rPr>
          <w:rStyle w:val="HideTWBExt"/>
          <w:b w:val="0"/>
        </w:rPr>
        <w:t>&lt;/Members&gt;</w:t>
      </w:r>
    </w:p>
    <w:p w14:paraId="7CC9806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94FCEE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5C0511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7460CE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F4113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F4E211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68E4A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1907D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19730E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58378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wiceprzewodniczącego / wysokiego przedstawiciela do wykorzystania doświadczeń związanych z udanymi działaniami ewakuacyjnymi w Sudanie i ze zwiększoną ochroną konsularną oraz do działania na rzecz kompleksowego systemu ochrony obywateli UE za granicą;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56736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203B137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5675D8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1D3DBA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983</w:t>
      </w:r>
      <w:r w:rsidRPr="00271CCD">
        <w:rPr>
          <w:rStyle w:val="HideTWBExt"/>
          <w:b w:val="0"/>
        </w:rPr>
        <w:t>&lt;/NumAm&gt;</w:t>
      </w:r>
    </w:p>
    <w:p w14:paraId="679F1C8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Marco Tarquinio, Hana Jalloul Muro</w:t>
      </w:r>
      <w:r w:rsidRPr="00271CCD">
        <w:rPr>
          <w:rStyle w:val="HideTWBExt"/>
          <w:b w:val="0"/>
        </w:rPr>
        <w:t>&lt;/Members&gt;</w:t>
      </w:r>
    </w:p>
    <w:p w14:paraId="5E15EC5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A1981A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F8FC3A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D253CF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51AB4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5BD0C6D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A12FC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2503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A8BED5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928A6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44.</w:t>
            </w:r>
            <w:r w:rsidRPr="00271CCD">
              <w:rPr>
                <w:color w:val="000000" w:themeColor="text1"/>
              </w:rPr>
              <w:tab/>
              <w:t>wzywa wiceprzewodniczącego / wysokiego przedstawiciela do wykorzystania doświadczeń związanych z udanymi działaniami ewakuacyjnymi w Sudanie i ze zwiększoną ochroną konsularną oraz do działania na rzecz kompleksowego systemu ochrony obywateli UE za granicą;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3DB2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44.</w:t>
            </w:r>
            <w:r w:rsidRPr="00271CCD">
              <w:rPr>
                <w:color w:val="000000" w:themeColor="text1"/>
              </w:rPr>
              <w:tab/>
              <w:t>wzywa wiceprzewodniczącego / wysokiego przedstawiciela do wykorzystania doświadczeń związanych z udanymi działaniami ewakuacyjnymi w Sudanie i ze zwiększoną ochroną konsularną oraz do działania na rzecz kompleksowego systemu ochrony obywateli UE za granicą;</w:t>
            </w:r>
            <w:r w:rsidRPr="00271CCD">
              <w:rPr>
                <w:b/>
                <w:i/>
                <w:color w:val="000000" w:themeColor="text1"/>
              </w:rPr>
              <w:t xml:space="preserve"> podkreśla, że wpływ ciągłych kryzysów i konfliktów na całym świecie może wiązać się z ryzykiem przeciążenia ochrony lub pomocy konsularnej państw członkowskich oraz wzywa w tym względzie do wzmocnienia zdolności i zasobów Centrum Reagowania Kryzysowego ESDZ i Unijnego Mechanizmu Ochrony Ludności;</w:t>
            </w:r>
          </w:p>
        </w:tc>
      </w:tr>
    </w:tbl>
    <w:p w14:paraId="651D11F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7466E1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6C21B7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984</w:t>
      </w:r>
      <w:r w:rsidRPr="00271CCD">
        <w:rPr>
          <w:rStyle w:val="HideTWBExt"/>
          <w:b w:val="0"/>
        </w:rPr>
        <w:t>&lt;/NumAm&gt;</w:t>
      </w:r>
    </w:p>
    <w:p w14:paraId="0FA5A1C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603BBE4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6EFFC77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5931A7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76BD83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F04BAC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51C52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4558A0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EA08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E0A63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0759AA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9C5C7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44.</w:t>
            </w:r>
            <w:r w:rsidRPr="00271CCD">
              <w:rPr>
                <w:color w:val="000000" w:themeColor="text1"/>
              </w:rPr>
              <w:tab/>
              <w:t>wzywa wiceprzewodniczącego / wysokiego przedstawiciela do wykorzystania doświadczeń związanych z udanymi działaniami ewakuacyjnymi w Sudanie i ze zwiększoną ochroną konsularną oraz do działania na rzecz kompleksowego systemu ochrony obywateli UE za granicą;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9551F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44.</w:t>
            </w:r>
            <w:r w:rsidRPr="00271CCD">
              <w:rPr>
                <w:color w:val="000000" w:themeColor="text1"/>
              </w:rPr>
              <w:tab/>
              <w:t>wzywa wiceprzewodniczącego / wysokiego przedstawiciela do wykorzystania doświadczeń związanych z udanymi działaniami ewakuacyjnymi w Sudanie i ze zwiększoną ochroną konsularną oraz do działania na rzecz kompleksowego systemu ochrony obywateli UE za granicą</w:t>
            </w:r>
            <w:r w:rsidRPr="00271CCD">
              <w:rPr>
                <w:b/>
                <w:i/>
                <w:color w:val="000000" w:themeColor="text1"/>
              </w:rPr>
              <w:t>, a także lokalnego personelu delegatur UE oraz misji i operacji WPZiB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0ABA445F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6DDAC3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07B9D3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985</w:t>
      </w:r>
      <w:r w:rsidRPr="00271CCD">
        <w:rPr>
          <w:rStyle w:val="HideTWBExt"/>
          <w:b w:val="0"/>
        </w:rPr>
        <w:t>&lt;/NumAm&gt;</w:t>
      </w:r>
    </w:p>
    <w:p w14:paraId="414AD6A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6F1929F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336CDC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240C70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A2098B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500D3C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8F3C1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025BB7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C99DE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BCFF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18FB81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515A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6B75B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wysiłki UE jako światowego lidera w walce ze zmianą klimatu oraz zachęca Komisję i Europejską Służbę Działań Zewnętrznych (ESDZ) do zaproponowania nowych inicjatyw, takich jak uzewnętrznienie Europejskiego Zielonego Ładu; uważa, że wdrażanie Europejskiego Zielonego Ładu będzie miało istotne skutki geopolityczne i wpłynie na stosunki UE z niektórymi spośród jej partnerów oraz że UE powinna wspierać ambitne cele redukcji emisji CO2 w krajach trzecich, a także podkreśla, że dyplomacja na rzecz klimatu powinna odgrywać kluczową rolę; podkreśla znaczenie odporności gospodarczej i budowania zgodnych z wymogami paryskimi gospodarek o obniżonej emisyjności; podkreśla, że inwestycje w konektywność muszą skupiać się na odporności gospodarczej i dekarbonizacji gospodarki zgodnej z porozumieniem klimatycznym z Paryża;</w:t>
            </w:r>
          </w:p>
        </w:tc>
      </w:tr>
    </w:tbl>
    <w:p w14:paraId="0196E0B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4379E7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3BA8EB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986</w:t>
      </w:r>
      <w:r w:rsidRPr="00271CCD">
        <w:rPr>
          <w:rStyle w:val="HideTWBExt"/>
          <w:b w:val="0"/>
        </w:rPr>
        <w:t>&lt;/NumAm&gt;</w:t>
      </w:r>
    </w:p>
    <w:p w14:paraId="1702015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Adam Bielan</w:t>
      </w:r>
      <w:r w:rsidRPr="00271CCD">
        <w:rPr>
          <w:rStyle w:val="HideTWBExt"/>
          <w:b w:val="0"/>
        </w:rPr>
        <w:t>&lt;/Members&gt;</w:t>
      </w:r>
    </w:p>
    <w:p w14:paraId="42FA153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F0C91B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03EA57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54B5DF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5EC8D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252345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5F696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5B442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27D133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AE622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F7E0E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znaczenie ochrony granic zewnętrznych UE i wzywa UE do rozważenia zawieszenia funduszy do czasu zawarcia przez państwo będące beneficjentem umów umożliwiających powrót nielegalnych migrantów z państw członkowskich; wzywa UE do zwiększenia zasobów i zacieśnienia współpracy z partnerami takimi jak Europol, Interpol, Eurojust, Frontex, ale także z krajami pochodzenia, tranzytu i przyjmującymi migrantów o nieuregulowanym statusie w celu wzmocnienia działań w zakresie zwalczania przemytu ludzi przez Morze Śródziemne i Białoruś oraz rozbicia siatek przestępczych wykorzystywanych do handlu ludźmi;</w:t>
            </w:r>
          </w:p>
        </w:tc>
      </w:tr>
    </w:tbl>
    <w:p w14:paraId="53569EC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D1575C2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891582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987</w:t>
      </w:r>
      <w:r w:rsidRPr="00271CCD">
        <w:rPr>
          <w:rStyle w:val="HideTWBExt"/>
          <w:b w:val="0"/>
        </w:rPr>
        <w:t>&lt;/NumAm&gt;</w:t>
      </w:r>
    </w:p>
    <w:p w14:paraId="5AF0C5C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Andrey Kovatchev</w:t>
      </w:r>
      <w:r w:rsidRPr="00271CCD">
        <w:rPr>
          <w:rStyle w:val="HideTWBExt"/>
          <w:b w:val="0"/>
        </w:rPr>
        <w:t>&lt;/Members&gt;</w:t>
      </w:r>
    </w:p>
    <w:p w14:paraId="61DF96A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9A2F26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B398D8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E318F8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F6DAB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523C42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5CCB5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F2C95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7B7D23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2833F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5EDFA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władze Azerbejdżanu, aby umożliwiły ludności ormiańskiej bezpieczny powrót do Górskiego Karabachu w ramach gwarancji międzynarodowych i w obecności społeczności międzynarodowej; domaga się ochrony ormiańskiego dziedzictwa kulturowego, historycznego i religijnego w Górskim Karabachu zgodnie ze standardami UNESCO i międzynarodowymi zobowiązaniami Azerbejdżanu;</w:t>
            </w:r>
          </w:p>
        </w:tc>
      </w:tr>
    </w:tbl>
    <w:p w14:paraId="5208E7D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AB3FF9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8C5AF1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988</w:t>
      </w:r>
      <w:r w:rsidRPr="00271CCD">
        <w:rPr>
          <w:rStyle w:val="HideTWBExt"/>
          <w:b w:val="0"/>
        </w:rPr>
        <w:t>&lt;/NumAm&gt;</w:t>
      </w:r>
    </w:p>
    <w:p w14:paraId="12DA211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Vasile Dîncu</w:t>
      </w:r>
      <w:r w:rsidRPr="00271CCD">
        <w:rPr>
          <w:rStyle w:val="HideTWBExt"/>
          <w:b w:val="0"/>
        </w:rPr>
        <w:t>&lt;/Members&gt;</w:t>
      </w:r>
    </w:p>
    <w:p w14:paraId="5534BAE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2F4508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1C1D52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67440A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1B4D6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BC3FDC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E12C4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C389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6B98DAC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B9DF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183BC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potrzebę zwiększenia finansowania na rzecz Europejskiego Funduszu Obronnego w celu wsparcia wspólnych badań naukowych, technologii i innowacji w dziedzinie obrony; zauważa, że ograniczy to zależność UE od zewnętrznych dostawców rozwiązań w zakresie obrony, w szczególności w sektorach krytycznych takich jak cyberobrona, przemysł lotniczy i kosmiczny oraz sztuczna inteligencja dla zastosowań wojskowych;</w:t>
            </w:r>
          </w:p>
        </w:tc>
      </w:tr>
    </w:tbl>
    <w:p w14:paraId="677CAD3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50D030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7CF5F1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989</w:t>
      </w:r>
      <w:r w:rsidRPr="00271CCD">
        <w:rPr>
          <w:rStyle w:val="HideTWBExt"/>
          <w:b w:val="0"/>
        </w:rPr>
        <w:t>&lt;/NumAm&gt;</w:t>
      </w:r>
    </w:p>
    <w:p w14:paraId="797F535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Marco Tarquinio, Hana Jalloul Muro</w:t>
      </w:r>
      <w:r w:rsidRPr="00271CCD">
        <w:rPr>
          <w:rStyle w:val="HideTWBExt"/>
          <w:b w:val="0"/>
        </w:rPr>
        <w:t>&lt;/Members&gt;</w:t>
      </w:r>
    </w:p>
    <w:p w14:paraId="24ACF89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ACA67F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202584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1D1CA2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01597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FDD333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44FC2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8B4B8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A9F205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028F3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3DCAF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UE i jej państwa członkowskie, by przedstawiły solidne wnioski dotyczące uzyskania samodzielnego i stałego członkostwa Unii we wszystkich forach wielostronnych, w tym w Radzie Bezpieczeństwa ONZ, aby zwiększyć podmiotowość, spójność i wiarygodność UE na świecie;</w:t>
            </w:r>
          </w:p>
        </w:tc>
      </w:tr>
    </w:tbl>
    <w:p w14:paraId="45A9A56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83BC9A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A2ECF1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990</w:t>
      </w:r>
      <w:r w:rsidRPr="00271CCD">
        <w:rPr>
          <w:rStyle w:val="HideTWBExt"/>
          <w:b w:val="0"/>
        </w:rPr>
        <w:t>&lt;/NumAm&gt;</w:t>
      </w:r>
    </w:p>
    <w:p w14:paraId="50CA9D2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Ivaylo Valchev</w:t>
      </w:r>
      <w:r w:rsidRPr="00271CCD">
        <w:rPr>
          <w:rStyle w:val="HideTWBExt"/>
          <w:b w:val="0"/>
        </w:rPr>
        <w:t>&lt;/Members&gt;</w:t>
      </w:r>
    </w:p>
    <w:p w14:paraId="07FB190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6FB65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55E93D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3FAED91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5A1C4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8E9BED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78822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251D8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CF03560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A59C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62F8D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domaga się wdrożenia solidniejszej polityki ukierunkowanej na migrację nieuregulowaną przed dotarciem do granic zewnętrznych Unii Europejskiej, we współpracy z krajami pochodzenia i tranzytu doświadczającymi presji migracyjnych;</w:t>
            </w:r>
          </w:p>
        </w:tc>
      </w:tr>
    </w:tbl>
    <w:p w14:paraId="263CA0C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EF0EAB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93FB6A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991</w:t>
      </w:r>
      <w:r w:rsidRPr="00271CCD">
        <w:rPr>
          <w:rStyle w:val="HideTWBExt"/>
          <w:b w:val="0"/>
        </w:rPr>
        <w:t>&lt;/NumAm&gt;</w:t>
      </w:r>
    </w:p>
    <w:p w14:paraId="0C4E813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</w:t>
      </w:r>
      <w:r w:rsidRPr="00271CCD">
        <w:rPr>
          <w:rStyle w:val="HideTWBExt"/>
          <w:b w:val="0"/>
        </w:rPr>
        <w:t>&lt;/Members&gt;</w:t>
      </w:r>
    </w:p>
    <w:p w14:paraId="3AC06B2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2DAC1C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D47F11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7DC26C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F9C3D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FB63E5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C8F91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07A0F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170B9F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82E5C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B4D58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Komisję i ESDZ do prowadzenia prokobiecej polityki zagranicznej i bezpieczeństwa z naszymi partnerami, zgodnie ze sprawozdaniem Parlamentu Europejskiego w sprawie trzeciego unijnego planu działania w sprawie równości płci;</w:t>
            </w:r>
          </w:p>
        </w:tc>
      </w:tr>
    </w:tbl>
    <w:p w14:paraId="6C9C1B3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BCCF3E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0A256E7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992</w:t>
      </w:r>
      <w:r w:rsidRPr="00271CCD">
        <w:rPr>
          <w:rStyle w:val="HideTWBExt"/>
          <w:b w:val="0"/>
        </w:rPr>
        <w:t>&lt;/NumAm&gt;</w:t>
      </w:r>
    </w:p>
    <w:p w14:paraId="6EEC7DB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Marc Botenga, Rima Hassan, Özlem Demirel</w:t>
      </w:r>
      <w:r w:rsidRPr="00271CCD">
        <w:rPr>
          <w:rStyle w:val="HideTWBExt"/>
          <w:b w:val="0"/>
        </w:rPr>
        <w:t>&lt;/Members&gt;</w:t>
      </w:r>
    </w:p>
    <w:p w14:paraId="019F85E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{The Left}</w:t>
      </w:r>
      <w:r w:rsidRPr="00271CCD">
        <w:rPr>
          <w:color w:val="000000" w:themeColor="text1"/>
        </w:rPr>
        <w:t>w imieniu grupy The Left</w:t>
      </w:r>
      <w:r w:rsidRPr="00271CCD">
        <w:rPr>
          <w:rStyle w:val="HideTWBExt"/>
        </w:rPr>
        <w:t>&lt;/AuNomDe&gt;</w:t>
      </w:r>
    </w:p>
    <w:p w14:paraId="5FE0218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472ACC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E5C36B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E9DCCC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AB3F0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CC6D3A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C4E07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E3A1E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76B19C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B2014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E91F8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wiceprzewodniczącego / wysokiego przedstawiciela do dążenia do bezpieczeństwa zbiorowego zainspirowanego procesem helsińskim z 1975 r. w celu zagwarantowania pokoju i bezpieczeństwa na całym kontynencie europejskim;</w:t>
            </w:r>
          </w:p>
        </w:tc>
      </w:tr>
    </w:tbl>
    <w:p w14:paraId="22C855F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A977FF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62A224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993</w:t>
      </w:r>
      <w:r w:rsidRPr="00271CCD">
        <w:rPr>
          <w:rStyle w:val="HideTWBExt"/>
          <w:b w:val="0"/>
        </w:rPr>
        <w:t>&lt;/NumAm&gt;</w:t>
      </w:r>
    </w:p>
    <w:p w14:paraId="7970F1A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</w:t>
      </w:r>
      <w:r w:rsidRPr="00271CCD">
        <w:rPr>
          <w:rStyle w:val="HideTWBExt"/>
          <w:b w:val="0"/>
        </w:rPr>
        <w:t>&lt;/Members&gt;</w:t>
      </w:r>
    </w:p>
    <w:p w14:paraId="7CF4606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62402B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E88636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7DA303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5AEA46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56B6EF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78449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ECF47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68C9E7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8D6B0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50244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przyznaje, że region Arktyki ma istotne znaczenie strategiczne i geopolityczne ze względu na nowe szlaki morskie, bogate zasoby naturalne i możliwości rozwoju gospodarczego wynikające z globalnego ocieplenia, a jednocześnie jest coraz bardziej kwestionowany; uważa za niepokojący wzrost aktywności i zainteresowania reżimów autorytarnych, w tym Rosji i Chin, Arktyką; podkreśla znaczenie zachowania bezpieczeństwa, stabilności i współpracy w Arktyce; zwraca uwagę, że region ten musi pozostać wolny od napięć militarnych i eksploatacji zasobów naturalnych, przy jednoczesnym poszanowaniu praw rdzennej ludności; przypomina o potrzebie włączenia polityki UE wobec Arktyki do WPBiO i zaangażowania się w skuteczną współpracę z NATO; wzywa do regularnego poruszania kwestii Arktyki na posiedzeniach Komitetu Politycznego i Bezpieczeństwa oraz Rady;</w:t>
            </w:r>
          </w:p>
        </w:tc>
      </w:tr>
    </w:tbl>
    <w:p w14:paraId="1BA8BF6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3C2DF4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F30EAC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994</w:t>
      </w:r>
      <w:r w:rsidRPr="00271CCD">
        <w:rPr>
          <w:rStyle w:val="HideTWBExt"/>
          <w:b w:val="0"/>
        </w:rPr>
        <w:t>&lt;/NumAm&gt;</w:t>
      </w:r>
    </w:p>
    <w:p w14:paraId="52ABBEF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Vasile Dîncu</w:t>
      </w:r>
      <w:r w:rsidRPr="00271CCD">
        <w:rPr>
          <w:rStyle w:val="HideTWBExt"/>
          <w:b w:val="0"/>
        </w:rPr>
        <w:t>&lt;/Members&gt;</w:t>
      </w:r>
    </w:p>
    <w:p w14:paraId="21CAE2E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F7070F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7AAAFE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92CD04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2A708F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F08C7B0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3FF635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5401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EC5C9A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E1852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DF75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podkreśla konieczność dalszego rozszerzenia inicjatyw PESCO w celu poprawy mobilności wojskowej, zdolności do cyberobrony i wspólnej infrastruktury obronnej UE, skupiając się na rozwoju kluczowych systemów obrony takich jak bezzałogowe statki powietrzne, obrona przeciwrakietowa i zdolności morskie, z zapewnieniem, by państwa członkowskie UE mogły wspólnie bronić się przed pojawiającymi się zagrożeniami;</w:t>
            </w:r>
          </w:p>
        </w:tc>
      </w:tr>
    </w:tbl>
    <w:p w14:paraId="04D5BC60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6A8650D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2DA1E9B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995</w:t>
      </w:r>
      <w:r w:rsidRPr="00271CCD">
        <w:rPr>
          <w:rStyle w:val="HideTWBExt"/>
          <w:b w:val="0"/>
        </w:rPr>
        <w:t>&lt;/NumAm&gt;</w:t>
      </w:r>
    </w:p>
    <w:p w14:paraId="54D4CF4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</w:t>
      </w:r>
      <w:r w:rsidRPr="00271CCD">
        <w:rPr>
          <w:rStyle w:val="HideTWBExt"/>
          <w:b w:val="0"/>
        </w:rPr>
        <w:t>&lt;/Members&gt;</w:t>
      </w:r>
    </w:p>
    <w:p w14:paraId="03211F7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8C0694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8929A5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9046C2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38B1A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62B98B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5B9C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50E8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1CEEB45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8EF42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3A760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 zadowoleniem przyjmuje pierwszy szczyt Wspólnej Rady UE–RWPZ, który odbył się 16 października 2024 r.; ubolewa jednak, że kwestie praw człowieka zostały jedynie w niewielkim stopniu ujęte we wspólnym oświadczeniu ze szczytu; wzywa UE i państwa członkowskie do dalszego podkreślania poszanowania praw człowieka i równości płci, a także stopniowego dostosowywania wartości, w szczególności sprzeciwu wobec rosyjskiej wojny napastniczej przeciwko Ukrainie i jej konsekwencji;</w:t>
            </w:r>
          </w:p>
        </w:tc>
      </w:tr>
    </w:tbl>
    <w:p w14:paraId="0A24922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807C51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7FB799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996</w:t>
      </w:r>
      <w:r w:rsidRPr="00271CCD">
        <w:rPr>
          <w:rStyle w:val="HideTWBExt"/>
          <w:b w:val="0"/>
        </w:rPr>
        <w:t>&lt;/NumAm&gt;</w:t>
      </w:r>
    </w:p>
    <w:p w14:paraId="05755D1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Vasile Dîncu</w:t>
      </w:r>
      <w:r w:rsidRPr="00271CCD">
        <w:rPr>
          <w:rStyle w:val="HideTWBExt"/>
          <w:b w:val="0"/>
        </w:rPr>
        <w:t>&lt;/Members&gt;</w:t>
      </w:r>
    </w:p>
    <w:p w14:paraId="028037B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BE5EF2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F13665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c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4B9001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49B53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DF1F40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45482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EDB2D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FE21A5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BDDA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2339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44c.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domaga się wzmocnienia obecności i wpływu UE w swoim bezpośrednim sąsiedztwie, w szczególności na Bałkanach Zachodnich, w Europie Wschodniej i w regionie Morza Śródziemnego za pomocą pomocy gospodarczej, współpracy w dziedzinie bezpieczeństwa i współpracy dyplomatycznej, dając UE możliwość ochrony swoich interesów, promowania stabilności i propagowania swoich wartości na całym świecie;</w:t>
            </w:r>
          </w:p>
        </w:tc>
      </w:tr>
    </w:tbl>
    <w:p w14:paraId="001990C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FD461A8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1EE512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997</w:t>
      </w:r>
      <w:r w:rsidRPr="00271CCD">
        <w:rPr>
          <w:rStyle w:val="HideTWBExt"/>
          <w:b w:val="0"/>
        </w:rPr>
        <w:t>&lt;/NumAm&gt;</w:t>
      </w:r>
    </w:p>
    <w:p w14:paraId="5EACFD5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Tarquinio, Vasile Dîncu</w:t>
      </w:r>
      <w:r w:rsidRPr="00271CCD">
        <w:rPr>
          <w:rStyle w:val="HideTWBExt"/>
          <w:b w:val="0"/>
        </w:rPr>
        <w:t>&lt;/Members&gt;</w:t>
      </w:r>
    </w:p>
    <w:p w14:paraId="2D7F01D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C7660C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46BC40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d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54C1FE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C25A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1917835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6FA96A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C34DE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860F23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D4D8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5386A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44d.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UE do zwiększenia wsparcia dla społeczeństwa obywatelskiego i obrońców praw człowieka w naszych krajach partnerskich w świetle kurczącej się przestrzeni dla społeczeństwa obywatelskiego na całym świecie;</w:t>
            </w:r>
          </w:p>
        </w:tc>
      </w:tr>
    </w:tbl>
    <w:p w14:paraId="6A38B0A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BDE930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69FB01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998</w:t>
      </w:r>
      <w:r w:rsidRPr="00271CCD">
        <w:rPr>
          <w:rStyle w:val="HideTWBExt"/>
          <w:b w:val="0"/>
        </w:rPr>
        <w:t>&lt;/NumAm&gt;</w:t>
      </w:r>
    </w:p>
    <w:p w14:paraId="17340CC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Maniatis, Marco Tarquinio</w:t>
      </w:r>
      <w:r w:rsidRPr="00271CCD">
        <w:rPr>
          <w:rStyle w:val="HideTWBExt"/>
          <w:b w:val="0"/>
        </w:rPr>
        <w:t>&lt;/Members&gt;</w:t>
      </w:r>
    </w:p>
    <w:p w14:paraId="42DBB3C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18D49B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452AD1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44 e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C130E53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C6B4CE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7F943F4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19734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6893C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AC9EA9D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B0D69C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25F8E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44e.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wyraża poważne zaniepokojenie nasilającymi się atakami na prawa osób LGBTIQ na całym świecie, ponieważ osoby LGBTIQ nadal doświadczają dyskryminacji i przemocy, również w krajach, w których pomimo pewnych postępów te z trudem wywalczone prawa ulegają obecnie regresowi, np. przez wrogą retorykę wybranych polityków, znaczny wzrost przemocy na tle homofobicznym i tworzenie tzw. stref wolnych od LGBTIQ;</w:t>
            </w:r>
          </w:p>
        </w:tc>
      </w:tr>
    </w:tbl>
    <w:p w14:paraId="2F3A744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08ADF1E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937ADA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999</w:t>
      </w:r>
      <w:r w:rsidRPr="00271CCD">
        <w:rPr>
          <w:rStyle w:val="HideTWBExt"/>
          <w:b w:val="0"/>
        </w:rPr>
        <w:t>&lt;/NumAm&gt;</w:t>
      </w:r>
    </w:p>
    <w:p w14:paraId="680EB05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168F17F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A9791A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3BBD0F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919E7B0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4B9182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C67065F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DA455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A41FDB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3EB943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6C675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45.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uważa, że istnieje potrzeba silniejszego zinstytucjonalizowanego nadzoru parlamentarnego nad działaniami zewnętrznymi UE, w tym regularnego i terminowego, ale bezpiecznego dostępu do informacji poufnych;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C5661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4FA203D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579D3E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FD6470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1000</w:t>
      </w:r>
      <w:r w:rsidRPr="00271CCD">
        <w:rPr>
          <w:rStyle w:val="HideTWBExt"/>
          <w:b w:val="0"/>
        </w:rPr>
        <w:t>&lt;/NumAm&gt;</w:t>
      </w:r>
    </w:p>
    <w:p w14:paraId="0A70F56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Adam Bielan</w:t>
      </w:r>
      <w:r w:rsidRPr="00271CCD">
        <w:rPr>
          <w:rStyle w:val="HideTWBExt"/>
          <w:b w:val="0"/>
        </w:rPr>
        <w:t>&lt;/Members&gt;</w:t>
      </w:r>
    </w:p>
    <w:p w14:paraId="2A821F2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CF19BE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BF759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586138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24957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12F1DC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A8D99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B0801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875756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96BF0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45.</w:t>
            </w:r>
            <w:r w:rsidRPr="00271CCD">
              <w:rPr>
                <w:color w:val="000000" w:themeColor="text1"/>
              </w:rPr>
              <w:tab/>
              <w:t>uważa, że istnieje potrzeba silniejszego zinstytucjonalizowanego nadzoru parlamentarnego nad działaniami zewnętrznymi UE, w tym regularnego i terminowego, ale bezpiecznego dostępu do informacji poufnych;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A3D1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45.</w:t>
            </w:r>
            <w:r w:rsidRPr="00271CCD">
              <w:rPr>
                <w:color w:val="000000" w:themeColor="text1"/>
              </w:rPr>
              <w:tab/>
              <w:t>uważa, że istnieje potrzeba silniejszego zinstytucjonalizowanego nadzoru parlamentarnego nad działaniami zewnętrznymi UE, w tym regularnego i terminowego, ale bezpiecznego dostępu do informacji poufnych;</w:t>
            </w:r>
            <w:r w:rsidRPr="00271CCD">
              <w:rPr>
                <w:b/>
                <w:i/>
                <w:color w:val="000000" w:themeColor="text1"/>
              </w:rPr>
              <w:t xml:space="preserve"> podkreśla potrzebę uzyskiwania obszerniejszych informacji zwrotnych od ESDZ na temat działań (i skutków) podejmowanych przez służbę w celu wywiązania się z zaleceń PE określonych w rezolucjach w sprawie spraw zagranicznych;</w:t>
            </w:r>
          </w:p>
        </w:tc>
      </w:tr>
    </w:tbl>
    <w:p w14:paraId="7D254A5A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1AA2546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D8A309E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1001</w:t>
      </w:r>
      <w:r w:rsidRPr="00271CCD">
        <w:rPr>
          <w:rStyle w:val="HideTWBExt"/>
          <w:b w:val="0"/>
        </w:rPr>
        <w:t>&lt;/NumAm&gt;</w:t>
      </w:r>
    </w:p>
    <w:p w14:paraId="1977FCA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Željana Zovko</w:t>
      </w:r>
      <w:r w:rsidRPr="00271CCD">
        <w:rPr>
          <w:rStyle w:val="HideTWBExt"/>
          <w:b w:val="0"/>
        </w:rPr>
        <w:t>&lt;/Members&gt;</w:t>
      </w:r>
    </w:p>
    <w:p w14:paraId="2B23A78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1DE7CE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F6A466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45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03575B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1B4511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C713B1A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F2C85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BEAF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7112FC87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F53194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45.</w:t>
            </w:r>
            <w:r w:rsidRPr="00271CCD">
              <w:rPr>
                <w:color w:val="000000" w:themeColor="text1"/>
              </w:rPr>
              <w:tab/>
              <w:t>uważa, że istnieje potrzeba silniejszego zinstytucjonalizowanego nadzoru parlamentarnego nad działaniami zewnętrznymi UE, w tym regularnego i terminowego, ale bezpiecznego dostępu do informacji poufnych;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7BF28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45.</w:t>
            </w:r>
            <w:r w:rsidRPr="00271CCD">
              <w:rPr>
                <w:color w:val="000000" w:themeColor="text1"/>
              </w:rPr>
              <w:tab/>
              <w:t>uważa, że istnieje potrzeba silniejszego zinstytucjonalizowanego nadzoru parlamentarnego nad działaniami zewnętrznymi UE, w tym regularnego i terminowego, ale bezpiecznego dostępu do informacji poufnych</w:t>
            </w:r>
            <w:r w:rsidRPr="00271CCD">
              <w:rPr>
                <w:b/>
                <w:i/>
                <w:color w:val="000000" w:themeColor="text1"/>
              </w:rPr>
              <w:t xml:space="preserve"> i briefingów Parlamentu Europejskiego</w:t>
            </w:r>
            <w:r w:rsidRPr="00271CCD">
              <w:rPr>
                <w:color w:val="000000" w:themeColor="text1"/>
              </w:rPr>
              <w:t>;</w:t>
            </w:r>
          </w:p>
        </w:tc>
      </w:tr>
    </w:tbl>
    <w:p w14:paraId="006EB3B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1F04F7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54B07B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1002</w:t>
      </w:r>
      <w:r w:rsidRPr="00271CCD">
        <w:rPr>
          <w:rStyle w:val="HideTWBExt"/>
          <w:b w:val="0"/>
        </w:rPr>
        <w:t>&lt;/NumAm&gt;</w:t>
      </w:r>
    </w:p>
    <w:p w14:paraId="5A742EA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Sebastiaan Stöteler</w:t>
      </w:r>
      <w:r w:rsidRPr="00271CCD">
        <w:rPr>
          <w:rStyle w:val="HideTWBExt"/>
          <w:b w:val="0"/>
        </w:rPr>
        <w:t>&lt;/Members&gt;</w:t>
      </w:r>
    </w:p>
    <w:p w14:paraId="362FA76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D35B3E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04328B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46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86372D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7EBE9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2CF5E6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3A5C5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F5E14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0762CD6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66069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46.</w:t>
            </w:r>
            <w:r w:rsidRPr="00271CCD">
              <w:rPr>
                <w:color w:val="000000" w:themeColor="text1"/>
              </w:rPr>
              <w:tab/>
              <w:t xml:space="preserve">podkreśla, że w ramach WPZiB, która obejmuje WPBiO, Parlament Europejski wykonuje swoją funkcję budżetową wspólnie z Radą; przypomina, że sprawuje również kontrolę polityczną nad tymi strategiami politycznymi </w:t>
            </w:r>
            <w:r w:rsidRPr="00271CCD">
              <w:rPr>
                <w:b/>
                <w:i/>
                <w:color w:val="000000" w:themeColor="text1"/>
              </w:rPr>
              <w:t xml:space="preserve">oraz jest konsultowany na ich temat </w:t>
            </w:r>
            <w:r w:rsidRPr="00271CCD">
              <w:rPr>
                <w:color w:val="000000" w:themeColor="text1"/>
              </w:rPr>
              <w:t>zgodnie z art. 36 TUE;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18836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46.</w:t>
            </w:r>
            <w:r w:rsidRPr="00271CCD">
              <w:rPr>
                <w:color w:val="000000" w:themeColor="text1"/>
              </w:rPr>
              <w:tab/>
              <w:t>podkreśla, że w ramach WPZiB, która obejmuje WPBiO, Parlament Europejski wykonuje swoją funkcję budżetową wspólnie z Radą; przypomina, że sprawuje również kontrolę polityczną nad tymi strategiami politycznymi zgodnie z art. 36 TUE;</w:t>
            </w:r>
          </w:p>
        </w:tc>
      </w:tr>
    </w:tbl>
    <w:p w14:paraId="10A2D17B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14B16F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A370D3F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1003</w:t>
      </w:r>
      <w:r w:rsidRPr="00271CCD">
        <w:rPr>
          <w:rStyle w:val="HideTWBExt"/>
          <w:b w:val="0"/>
        </w:rPr>
        <w:t>&lt;/NumAm&gt;</w:t>
      </w:r>
    </w:p>
    <w:p w14:paraId="0D04112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7012511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09BDD65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2D4B28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4D1C69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6B62E10E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BCC87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C7B6F7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60CAE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4BA4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D95CD1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70061F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47.</w:t>
            </w:r>
            <w:r w:rsidRPr="00271CCD">
              <w:rPr>
                <w:color w:val="000000" w:themeColor="text1"/>
              </w:rPr>
              <w:tab/>
              <w:t>przypomina, że wszystkie wydatki na WPZiB i WPBiO powinny być pokrywane z budżetu UE, chyba że Rada postanowi inaczej w poszczególnych przypadkach lub gdy wydatki dotyczą operacji mających wpływ na kwestie wojskowe lub obronne;</w:t>
            </w:r>
            <w:r w:rsidRPr="00271CCD">
              <w:rPr>
                <w:b/>
                <w:i/>
                <w:color w:val="000000" w:themeColor="text1"/>
              </w:rPr>
              <w:t xml:space="preserve"> uznaje, że do Rady należy ustalenie, czy działanie UE za granicą jest operacją mającą wpływ na kwestie wojskowe lub obronne; podkreśla, że we wszystkich innych przypadkach decyzji dotyczących WPZiB lub WPBiO wiążących się z wydatkami Rada powinna rozważyć pokrycie wydatków z budżetu Unii;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A7773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47.</w:t>
            </w:r>
            <w:r w:rsidRPr="00271CCD">
              <w:rPr>
                <w:color w:val="000000" w:themeColor="text1"/>
              </w:rPr>
              <w:tab/>
              <w:t>przypomina, że wszystkie wydatki na WPZiB i WPBiO powinny być pokrywane z budżetu UE, chyba że Rada postanowi inaczej w poszczególnych przypadkach lub gdy wydatki dotyczą operacji mających wpływ na kwestie wojskowe lub obronne;</w:t>
            </w:r>
          </w:p>
        </w:tc>
      </w:tr>
    </w:tbl>
    <w:p w14:paraId="36EA40E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3C8AB5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654FF98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1004</w:t>
      </w:r>
      <w:r w:rsidRPr="00271CCD">
        <w:rPr>
          <w:rStyle w:val="HideTWBExt"/>
          <w:b w:val="0"/>
        </w:rPr>
        <w:t>&lt;/NumAm&gt;</w:t>
      </w:r>
    </w:p>
    <w:p w14:paraId="55DE1B5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Sebastiaan Stöteler</w:t>
      </w:r>
      <w:r w:rsidRPr="00271CCD">
        <w:rPr>
          <w:rStyle w:val="HideTWBExt"/>
          <w:b w:val="0"/>
        </w:rPr>
        <w:t>&lt;/Members&gt;</w:t>
      </w:r>
    </w:p>
    <w:p w14:paraId="44CCEB5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46D750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62F29C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47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166610B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631695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56BCDA3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9B49D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6C9A6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5DD9B3E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BCC1D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47.</w:t>
            </w:r>
            <w:r w:rsidRPr="00271CCD">
              <w:rPr>
                <w:color w:val="000000" w:themeColor="text1"/>
              </w:rPr>
              <w:tab/>
              <w:t>przypomina, że wszystkie wydatki na WPZiB i WPBiO powinny być pokrywane z budżetu UE, chyba że Rada postanowi inaczej w poszczególnych przypadkach lub gdy wydatki dotyczą operacji mających wpływ na kwestie wojskowe lub obronne; uznaje, że do Rady należy ustalenie, czy działanie UE za granicą jest operacją mającą wpływ na kwestie wojskowe lub obronne;</w:t>
            </w:r>
            <w:r w:rsidRPr="00271CCD">
              <w:rPr>
                <w:b/>
                <w:i/>
                <w:color w:val="000000" w:themeColor="text1"/>
              </w:rPr>
              <w:t xml:space="preserve"> podkreśla, że we wszystkich innych przypadkach decyzji dotyczących WPZiB lub WPBiO wiążących się z wydatkami Rada powinna rozważyć pokrycie wydatków z budżetu Unii;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5A7A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47.</w:t>
            </w:r>
            <w:r w:rsidRPr="00271CCD">
              <w:rPr>
                <w:color w:val="000000" w:themeColor="text1"/>
              </w:rPr>
              <w:tab/>
              <w:t>przypomina, że wszystkie wydatki na WPZiB i WPBiO powinny być pokrywane z budżetu UE, chyba że Rada postanowi inaczej w poszczególnych przypadkach lub gdy wydatki dotyczą operacji mających wpływ na kwestie wojskowe lub obronne; uznaje, że do Rady należy ustalenie, czy działanie UE za granicą jest operacją mającą wpływ na kwestie wojskowe lub obronne;</w:t>
            </w:r>
          </w:p>
        </w:tc>
      </w:tr>
    </w:tbl>
    <w:p w14:paraId="319970B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686ECF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33D6E3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1005</w:t>
      </w:r>
      <w:r w:rsidRPr="00271CCD">
        <w:rPr>
          <w:rStyle w:val="HideTWBExt"/>
          <w:b w:val="0"/>
        </w:rPr>
        <w:t>&lt;/NumAm&gt;</w:t>
      </w:r>
    </w:p>
    <w:p w14:paraId="16B9856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663E8E9C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08F1F59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567E33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D85BA9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47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384AE4D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4BA8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14EE121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1F90F9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9617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FCF439B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38C4B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E04BF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47a.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 treść pkt 1 lit. m) swojego zalecenia z 8 czerwca 2022 r. dla Rady i Wiceprzewodniczącego Komisji / Wysokiego Przedstawiciela Unii do Spraw Zagranicznych i Polityki Bezpieczeństwa w sprawie polityki zagranicznej, bezpieczeństwa i obrony UE po napaści Rosji na Ukrainę i swoje wezwanie do pilnego zainicjowania debaty w celu ustanowienia kolejnego pozabudżetowego instrumentu finansowego, który dotyczyłby wszystkich aspektów zdolności wojskowych na szczeblu UE, od prac badawczo-rozwojowych opartych na współpracy i wspólnych zamówień po wspólną konserwację, szkolenia i bezpieczeństwo dostaw;</w:t>
            </w:r>
          </w:p>
        </w:tc>
      </w:tr>
    </w:tbl>
    <w:p w14:paraId="5D617B5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7FC5468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01BDA93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1006</w:t>
      </w:r>
      <w:r w:rsidRPr="00271CCD">
        <w:rPr>
          <w:rStyle w:val="HideTWBExt"/>
          <w:b w:val="0"/>
        </w:rPr>
        <w:t>&lt;/NumAm&gt;</w:t>
      </w:r>
    </w:p>
    <w:p w14:paraId="679CFA9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0C464DBF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0021588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A4DF91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C5A2DE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47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57E85B5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A05F8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BBA269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DC304C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35884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0E64DE4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67907B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E6A7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47b.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ubolewa nad faktem, że budżet WPBiO na cywilne misje w dziedzinie WPBiO w okresie od wieloletnich ram finansowych (WRF) na lata 2014–2020 do wieloletnich ram finansowych na lata 2021–2027 wzrósł jedynie nieznacznie (z poziomu wyjściowego wynoszącego ok. 350 mln EUR rocznie), a jednocześnie zwiększyła się liczba i zakres misji, środowisko bezpieczeństwa stało się bardziej wymagające i wzrosły koszty działań; w związku z tym wzywa państwa członkowskie do znacznego zwiększenia środków na budżet WPZiB przy jednoczesnym zapewnieniu efektywnego wykorzystania środków przeznaczonych na cywilne misje w dziedzinie WPBiO, aby mieć pewność, że pozwalają one reagować na sytuacje kryzysowe i nieprzewidziane wydarzenia;</w:t>
            </w:r>
          </w:p>
        </w:tc>
      </w:tr>
    </w:tbl>
    <w:p w14:paraId="6E46D953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F0C398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A967081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1007</w:t>
      </w:r>
      <w:r w:rsidRPr="00271CCD">
        <w:rPr>
          <w:rStyle w:val="HideTWBExt"/>
          <w:b w:val="0"/>
        </w:rPr>
        <w:t>&lt;/NumAm&gt;</w:t>
      </w:r>
    </w:p>
    <w:p w14:paraId="3866DEB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5D7BE0F5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7472113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70B284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214CF6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C391A3A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64C728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FDBEBB8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B014F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20FEC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69C19A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EEC53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48.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zaznacza, że decyzje dotyczące WPZiB lub WPBiO wiążące się z wydatkami zawsze stanowią podstawowy wybór dla tych strategii politycznych; wzywa wiceprzewodniczącego / wysokiego przedstawiciela, by konsultował się z Parlamentem Europejskim przed przedstawieniem takich wniosków dotyczących decyzji w sprawie WPZiB lub WPBiO;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11955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2D91FC95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493A7D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9734F4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1008</w:t>
      </w:r>
      <w:r w:rsidRPr="00271CCD">
        <w:rPr>
          <w:rStyle w:val="HideTWBExt"/>
          <w:b w:val="0"/>
        </w:rPr>
        <w:t>&lt;/NumAm&gt;</w:t>
      </w:r>
    </w:p>
    <w:p w14:paraId="37B621A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Rihards Kols</w:t>
      </w:r>
      <w:r w:rsidRPr="00271CCD">
        <w:rPr>
          <w:rStyle w:val="HideTWBExt"/>
          <w:b w:val="0"/>
        </w:rPr>
        <w:t>&lt;/Members&gt;</w:t>
      </w:r>
    </w:p>
    <w:p w14:paraId="6136C87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0DB6005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1A379B1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48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CFBB8F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49B0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5C285A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F518F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CB2E7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2718D2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E9CF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48.</w:t>
            </w:r>
            <w:r w:rsidRPr="00271CCD">
              <w:rPr>
                <w:color w:val="000000" w:themeColor="text1"/>
              </w:rPr>
              <w:tab/>
              <w:t xml:space="preserve">zaznacza, że decyzje dotyczące WPZiB lub WPBiO wiążące się z wydatkami </w:t>
            </w:r>
            <w:r w:rsidRPr="00271CCD">
              <w:rPr>
                <w:b/>
                <w:i/>
                <w:color w:val="000000" w:themeColor="text1"/>
              </w:rPr>
              <w:t>zawsze stanowią podstawowy wybór dla tych strategii politycznych</w:t>
            </w:r>
            <w:r w:rsidRPr="00271CCD">
              <w:rPr>
                <w:color w:val="000000" w:themeColor="text1"/>
              </w:rPr>
              <w:t xml:space="preserve">; wzywa wiceprzewodniczącego / wysokiego przedstawiciela, by konsultował się z Parlamentem Europejskim przed </w:t>
            </w:r>
            <w:r w:rsidRPr="00271CCD">
              <w:rPr>
                <w:b/>
                <w:i/>
                <w:color w:val="000000" w:themeColor="text1"/>
              </w:rPr>
              <w:t>przedstawieniem takich wniosków dotyczących</w:t>
            </w:r>
            <w:r w:rsidRPr="00271CCD">
              <w:rPr>
                <w:color w:val="000000" w:themeColor="text1"/>
              </w:rPr>
              <w:t xml:space="preserve"> decyzji w sprawie WPZiB lub WPBiO;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28207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48.</w:t>
            </w:r>
            <w:r w:rsidRPr="00271CCD">
              <w:rPr>
                <w:color w:val="000000" w:themeColor="text1"/>
              </w:rPr>
              <w:tab/>
              <w:t xml:space="preserve">zaznacza, że decyzje dotyczące WPZiB lub WPBiO wiążące się z wydatkami </w:t>
            </w:r>
            <w:r w:rsidRPr="00271CCD">
              <w:rPr>
                <w:b/>
                <w:i/>
                <w:color w:val="000000" w:themeColor="text1"/>
              </w:rPr>
              <w:t>muszą podlegać nadzorowi parlamentarnemu</w:t>
            </w:r>
            <w:r w:rsidRPr="00271CCD">
              <w:rPr>
                <w:color w:val="000000" w:themeColor="text1"/>
              </w:rPr>
              <w:t xml:space="preserve">; wzywa wiceprzewodniczącego / wysokiego przedstawiciela, by konsultował się z Parlamentem Europejskim przed </w:t>
            </w:r>
            <w:r w:rsidRPr="00271CCD">
              <w:rPr>
                <w:b/>
                <w:i/>
                <w:color w:val="000000" w:themeColor="text1"/>
              </w:rPr>
              <w:t>zaproponowaniem</w:t>
            </w:r>
            <w:r w:rsidRPr="00271CCD">
              <w:rPr>
                <w:color w:val="000000" w:themeColor="text1"/>
              </w:rPr>
              <w:t xml:space="preserve"> decyzji w sprawie WPZiB lub WPBiO</w:t>
            </w:r>
            <w:r w:rsidRPr="00271CCD">
              <w:rPr>
                <w:b/>
                <w:i/>
                <w:color w:val="000000" w:themeColor="text1"/>
              </w:rPr>
              <w:t>, z zapewnieniem przejrzystości i odpowiedzialności zgodnie z art. 36 TUE</w:t>
            </w:r>
            <w:r w:rsidRPr="00271CCD">
              <w:rPr>
                <w:color w:val="000000" w:themeColor="text1"/>
              </w:rPr>
              <w:t xml:space="preserve">; </w:t>
            </w:r>
            <w:r w:rsidRPr="00271CCD">
              <w:rPr>
                <w:b/>
                <w:i/>
                <w:color w:val="000000" w:themeColor="text1"/>
              </w:rPr>
              <w:t>zaleca prowadzenie zorganizowanych dialogów między wysokim przedstawicielem a parlamentami narodowymi w celu zapewnienia odpowiedzialności zarówno na szczeblu UE, jak i krajowym;</w:t>
            </w:r>
          </w:p>
        </w:tc>
      </w:tr>
    </w:tbl>
    <w:p w14:paraId="294105E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E8C6EF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45CA1FE6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1009</w:t>
      </w:r>
      <w:r w:rsidRPr="00271CCD">
        <w:rPr>
          <w:rStyle w:val="HideTWBExt"/>
          <w:b w:val="0"/>
        </w:rPr>
        <w:t>&lt;/NumAm&gt;</w:t>
      </w:r>
    </w:p>
    <w:p w14:paraId="763693C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26D0B966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30655233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3A0F47B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73E30F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49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8CE439C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EA0BA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F38B81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04A31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2A1DE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BA89A9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BEAA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49.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sprawowanie przez Parlament Europejski funkcji budżetowej jest nierozerwalnie związane z jego funkcją w zakresie kontroli politycznej i konsultacji; przypomina, że w art. 36 TUE ustanowiono szczególne stosunki między wiceprzewodniczącym / wysokim przedstawicielem a Parlamentem Europejskim, co jest warunkiem wstępnym wykonywania tych funkcji przez Parlament, oraz że wiceprzewodniczący / wysoki przedstawiciel powinien wspierać Parlament w tym zakresie;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66ED40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skreśla się</w:t>
            </w:r>
          </w:p>
        </w:tc>
      </w:tr>
    </w:tbl>
    <w:p w14:paraId="7E3EC9A6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49CAD3C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137DDFFC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1010</w:t>
      </w:r>
      <w:r w:rsidRPr="00271CCD">
        <w:rPr>
          <w:rStyle w:val="HideTWBExt"/>
          <w:b w:val="0"/>
        </w:rPr>
        <w:t>&lt;/NumAm&gt;</w:t>
      </w:r>
    </w:p>
    <w:p w14:paraId="5F06881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Alice Teodorescu Måwe</w:t>
      </w:r>
      <w:r w:rsidRPr="00271CCD">
        <w:rPr>
          <w:rStyle w:val="HideTWBExt"/>
          <w:b w:val="0"/>
        </w:rPr>
        <w:t>&lt;/Members&gt;</w:t>
      </w:r>
    </w:p>
    <w:p w14:paraId="18A0718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E308D0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79F33D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49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392476F9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9480F9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4192067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F4EFD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A312E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3DBF75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FCEC4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00557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49a.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Komisję, by zakazała przekazywania unijnych funduszy osobom lub organizacjom powiązanym z ruchami terrorystycznymi lub ruchami islamistycznymi bądź innymi ruchami ekstremistycznymi, które stoją w sprzeczności z podstawowymi wartościami UE, a ponadto wzmocniła mechanizmy nadzoru i kontroli, tak aby środki finansowe UE w żadnych okolicznościach nie były przekazywane na działania, projekty lub literaturę nawołujące do przemocy lub nienawiści, na przykład antysemityzmu; uważa, że ograniczenie to powinno mieć także zastosowanie do finansowania przez UE osób trzecich, które bezpośrednio lub pośrednio przyczyniają się do finansowania takich podmiotów lub działań;</w:t>
            </w:r>
          </w:p>
        </w:tc>
      </w:tr>
    </w:tbl>
    <w:p w14:paraId="18ABE214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{SV}</w:t>
      </w:r>
      <w:r w:rsidRPr="00271CCD">
        <w:rPr>
          <w:color w:val="000000" w:themeColor="text1"/>
        </w:rPr>
        <w:t>sv</w:t>
      </w:r>
      <w:r w:rsidRPr="00271CCD">
        <w:rPr>
          <w:rStyle w:val="HideTWBExt"/>
        </w:rPr>
        <w:t>&lt;/Original&gt;</w:t>
      </w:r>
    </w:p>
    <w:p w14:paraId="150CD23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58899E4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1011</w:t>
      </w:r>
      <w:r w:rsidRPr="00271CCD">
        <w:rPr>
          <w:rStyle w:val="HideTWBExt"/>
          <w:b w:val="0"/>
        </w:rPr>
        <w:t>&lt;/NumAm&gt;</w:t>
      </w:r>
    </w:p>
    <w:p w14:paraId="32893C7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David McAllister</w:t>
      </w:r>
      <w:r w:rsidRPr="00271CCD">
        <w:rPr>
          <w:rStyle w:val="HideTWBExt"/>
          <w:b w:val="0"/>
        </w:rPr>
        <w:t>&lt;/Members&gt;</w:t>
      </w:r>
    </w:p>
    <w:p w14:paraId="55E1900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9600F0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052C496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49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11995B6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086BBB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7E8EF65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914A7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E2D84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6ECD14CF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DB223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F7C1A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49a.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ubolewa nad faktem, że budżet WPZiB na cywilne misje w dziedzinie WPBiO między wieloletnimi ramami finansowymi (WRF) na lata 2014–2020 a wieloletnimi ramami finansowymi na lata 2021–2027 wzrósł jedynie nieznacznie, chociaż zwieszono liczbę misji i wykonywanych w ich ramach zadań, środowisko bezpieczeństwa stało się bardziej wymagające i wzrosły koszty działań;</w:t>
            </w:r>
          </w:p>
        </w:tc>
      </w:tr>
    </w:tbl>
    <w:p w14:paraId="4CA42DAD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1793604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879E06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1012</w:t>
      </w:r>
      <w:r w:rsidRPr="00271CCD">
        <w:rPr>
          <w:rStyle w:val="HideTWBExt"/>
          <w:b w:val="0"/>
        </w:rPr>
        <w:t>&lt;/NumAm&gt;</w:t>
      </w:r>
    </w:p>
    <w:p w14:paraId="36A2547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Alice Teodorescu Måwe</w:t>
      </w:r>
      <w:r w:rsidRPr="00271CCD">
        <w:rPr>
          <w:rStyle w:val="HideTWBExt"/>
          <w:b w:val="0"/>
        </w:rPr>
        <w:t>&lt;/Members&gt;</w:t>
      </w:r>
    </w:p>
    <w:p w14:paraId="0C8E2D0C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562EF77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F89745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49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EEB451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41B5E0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279D141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660B7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7932C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37F8D1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7B6F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D376C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49b.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opowiada się za zwiększeniem warunkowości pomocy; uważa, że w przypadkach, w których okazało się, że fundusze unijne były niewłaściwie wykorzystane lub były wykorzystane do celów sprzecznych z podstawowymi wartościami UE, pomoc należy zawsze wstrzymywać, ograniczać lub co najmniej uzależniać od warunków lub kontrolować w bardziej rygorystyczny sposób.</w:t>
            </w:r>
          </w:p>
        </w:tc>
      </w:tr>
    </w:tbl>
    <w:p w14:paraId="6F54E0C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{SV}</w:t>
      </w:r>
      <w:r w:rsidRPr="00271CCD">
        <w:rPr>
          <w:color w:val="000000" w:themeColor="text1"/>
        </w:rPr>
        <w:t>sv</w:t>
      </w:r>
      <w:r w:rsidRPr="00271CCD">
        <w:rPr>
          <w:rStyle w:val="HideTWBExt"/>
        </w:rPr>
        <w:t>&lt;/Original&gt;</w:t>
      </w:r>
    </w:p>
    <w:p w14:paraId="7C004927" w14:textId="47DC8358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22C2C095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1013</w:t>
      </w:r>
      <w:r w:rsidRPr="00271CCD">
        <w:rPr>
          <w:rStyle w:val="HideTWBExt"/>
          <w:b w:val="0"/>
        </w:rPr>
        <w:t>&lt;/NumAm&gt;</w:t>
      </w:r>
    </w:p>
    <w:p w14:paraId="2462D71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Merja Kyllönen</w:t>
      </w:r>
      <w:r w:rsidRPr="00271CCD">
        <w:rPr>
          <w:rStyle w:val="HideTWBExt"/>
          <w:b w:val="0"/>
        </w:rPr>
        <w:t>&lt;/Members&gt;</w:t>
      </w:r>
    </w:p>
    <w:p w14:paraId="7EE35C3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735553F0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2B82139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50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8718D0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36C6B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0C36BC6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B403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1C856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5816AB5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E76CA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50.</w:t>
            </w:r>
            <w:r w:rsidRPr="00271CCD">
              <w:rPr>
                <w:color w:val="000000" w:themeColor="text1"/>
              </w:rPr>
              <w:tab/>
              <w:t>wzywa Komisję, by przedstawiła wnioski dotyczące kolejnych WRF w pierwszym półroczu 2025 r., aby zapewnić wystarczająco dużo czasu na negocjowanie programów; podkreśla, że nomenklatura budżetowa powinna być bardziej szczegółowa zarówno w Instrumencie Sąsiedztwa oraz Współpracy Międzynarodowej i Rozwojowej, jak i w Instrumencie Pomocy Przedakcesyjnej, co umożliwi władzy budżetowej ustalanie priorytetów politycznych i geograficznych w ramach rocznej procedury budżetowej;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4102D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50.</w:t>
            </w:r>
            <w:r w:rsidRPr="00271CCD">
              <w:rPr>
                <w:color w:val="000000" w:themeColor="text1"/>
              </w:rPr>
              <w:tab/>
              <w:t>wzywa Komisję, by przedstawiła wnioski dotyczące kolejnych WRF w pierwszym półroczu 2025 r., aby zapewnić wystarczająco dużo czasu na negocjowanie programów; podkreśla, że nomenklatura budżetowa powinna być bardziej szczegółowa zarówno w Instrumencie Sąsiedztwa oraz Współpracy Międzynarodowej i Rozwojowej, jak i w Instrumencie Pomocy Przedakcesyjnej, co umożliwi władzy budżetowej ustalanie priorytetów politycznych i geograficznych w ramach rocznej procedury budżetowej;</w:t>
            </w:r>
            <w:r w:rsidRPr="00271CCD">
              <w:rPr>
                <w:b/>
                <w:i/>
                <w:color w:val="000000" w:themeColor="text1"/>
              </w:rPr>
              <w:t xml:space="preserve"> podkreśla krytyczne znaczenie bezpośredniego wsparcia społeczeństwa obywatelskiego i osób wyrażających rozbieżne opinie, w szczególności w obecnym klimacie rosnących napięć globalnych i represji w coraz większej liczbie krajów, w połączeniu z poważnymi cięciami finansowania dla tych organizacji;</w:t>
            </w:r>
          </w:p>
        </w:tc>
      </w:tr>
    </w:tbl>
    <w:p w14:paraId="78B86CD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6346971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0E57CF7A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1014</w:t>
      </w:r>
      <w:r w:rsidRPr="00271CCD">
        <w:rPr>
          <w:rStyle w:val="HideTWBExt"/>
          <w:b w:val="0"/>
        </w:rPr>
        <w:t>&lt;/NumAm&gt;</w:t>
      </w:r>
    </w:p>
    <w:p w14:paraId="59BF250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Hannah Neumann</w:t>
      </w:r>
      <w:r w:rsidRPr="00271CCD">
        <w:rPr>
          <w:rStyle w:val="HideTWBExt"/>
          <w:b w:val="0"/>
        </w:rPr>
        <w:t>&lt;/Members&gt;</w:t>
      </w:r>
    </w:p>
    <w:p w14:paraId="14FD6A99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&lt;AuNomDe&gt;</w:t>
      </w:r>
      <w:r w:rsidRPr="00271CCD">
        <w:rPr>
          <w:rStyle w:val="HideTWBInt"/>
        </w:rPr>
        <w:t>{Greens/EFA}</w:t>
      </w:r>
      <w:r w:rsidRPr="00271CCD">
        <w:rPr>
          <w:color w:val="000000" w:themeColor="text1"/>
        </w:rPr>
        <w:t>w imieniu grupy Verts/ALE</w:t>
      </w:r>
      <w:r w:rsidRPr="00271CCD">
        <w:rPr>
          <w:rStyle w:val="HideTWBExt"/>
        </w:rPr>
        <w:t>&lt;/AuNomDe&gt;</w:t>
      </w:r>
    </w:p>
    <w:p w14:paraId="58EF214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68DBCB3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53103946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50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4F6C61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721E07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667787B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1A2823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82A10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321790D8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85EDB5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50.</w:t>
            </w:r>
            <w:r w:rsidRPr="00271CCD">
              <w:rPr>
                <w:color w:val="000000" w:themeColor="text1"/>
              </w:rPr>
              <w:tab/>
              <w:t xml:space="preserve">wzywa Komisję, by przedstawiła wnioski dotyczące kolejnych WRF w pierwszym półroczu 2025 r., aby zapewnić wystarczająco dużo czasu na negocjowanie programów; podkreśla, że nomenklatura budżetowa powinna być bardziej szczegółowa </w:t>
            </w:r>
            <w:r w:rsidRPr="00271CCD">
              <w:rPr>
                <w:b/>
                <w:i/>
                <w:color w:val="000000" w:themeColor="text1"/>
              </w:rPr>
              <w:t xml:space="preserve">zarówno </w:t>
            </w:r>
            <w:r w:rsidRPr="00271CCD">
              <w:rPr>
                <w:color w:val="000000" w:themeColor="text1"/>
              </w:rPr>
              <w:t xml:space="preserve">w Instrumencie Sąsiedztwa oraz Współpracy Międzynarodowej i Rozwojowej, </w:t>
            </w:r>
            <w:r w:rsidRPr="00271CCD">
              <w:rPr>
                <w:b/>
                <w:i/>
                <w:color w:val="000000" w:themeColor="text1"/>
              </w:rPr>
              <w:t>jak</w:t>
            </w:r>
            <w:r w:rsidRPr="00271CCD">
              <w:rPr>
                <w:color w:val="000000" w:themeColor="text1"/>
              </w:rPr>
              <w:t xml:space="preserve"> i w Instrumencie Pomocy Przedakcesyjnej, co umożliwi władzy budżetowej ustalanie priorytetów politycznych i geograficznych w ramach rocznej procedury budżetowej;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FD2F97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50.</w:t>
            </w:r>
            <w:r w:rsidRPr="00271CCD">
              <w:rPr>
                <w:color w:val="000000" w:themeColor="text1"/>
              </w:rPr>
              <w:tab/>
              <w:t xml:space="preserve">wzywa Komisję, by przedstawiła wnioski dotyczące kolejnych WRF w pierwszym półroczu 2025 r., aby zapewnić wystarczająco dużo czasu na negocjowanie programów; podkreśla, że nomenklatura budżetowa powinna być bardziej szczegółowa w Instrumencie Sąsiedztwa oraz Współpracy Międzynarodowej i Rozwojowej, </w:t>
            </w:r>
            <w:r w:rsidRPr="00271CCD">
              <w:rPr>
                <w:b/>
                <w:i/>
                <w:color w:val="000000" w:themeColor="text1"/>
              </w:rPr>
              <w:t>WPZiB</w:t>
            </w:r>
            <w:r w:rsidRPr="00271CCD">
              <w:rPr>
                <w:color w:val="000000" w:themeColor="text1"/>
              </w:rPr>
              <w:t xml:space="preserve"> i w Instrumencie Pomocy Przedakcesyjnej, co umożliwi władzy budżetowej ustalanie priorytetów politycznych i geograficznych w ramach rocznej procedury budżetowej;</w:t>
            </w:r>
          </w:p>
        </w:tc>
      </w:tr>
    </w:tbl>
    <w:p w14:paraId="4D1C71E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74A970A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3D8FE1D4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1015</w:t>
      </w:r>
      <w:r w:rsidRPr="00271CCD">
        <w:rPr>
          <w:rStyle w:val="HideTWBExt"/>
          <w:b w:val="0"/>
        </w:rPr>
        <w:t>&lt;/NumAm&gt;</w:t>
      </w:r>
    </w:p>
    <w:p w14:paraId="53D7653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Marco Tarquinio, Hana Jalloul Muro</w:t>
      </w:r>
      <w:r w:rsidRPr="00271CCD">
        <w:rPr>
          <w:rStyle w:val="HideTWBExt"/>
          <w:b w:val="0"/>
        </w:rPr>
        <w:t>&lt;/Members&gt;</w:t>
      </w:r>
    </w:p>
    <w:p w14:paraId="0953021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50830F28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4EE9483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50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06F97E0F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84929D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377B85E2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65C3F1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1ABAC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C249FAA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CC0E0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434E6D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50a.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przypomina, że ESDZ jest strukturalnie niedofinansowana i nie powinna podlegać takim samym ograniczeniom jak inne instytucje w odniesieniu do podejścia do budżetu administracyjnego; wyraża głębokie zaniepokojenie poważnymi i dalekosiężnymi negatywnymi skutkami tych wspomnianych kwestii budżetowych dla działań zewnętrznych UE i wyników instytucji UE w tym obszarze; zwraca uwagę na coraz większą odpowiedzialność przydzieloną ESDZ przez instytucje UE, w tym Radę i Parlament; przyznaje, że brak działań mających na celu poprawę obecnej sytuacji budżetowej ESDZ może wywrzeć poważny wpływ na stosunki UE z państwami trzecimi; przypomina o braku budżetu operacyjnego ESDZ oraz wzywa do przeanalizowania jego skutków i alternatyw;</w:t>
            </w:r>
          </w:p>
        </w:tc>
      </w:tr>
    </w:tbl>
    <w:p w14:paraId="440DFE18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67D9C78B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C56DD00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1016</w:t>
      </w:r>
      <w:r w:rsidRPr="00271CCD">
        <w:rPr>
          <w:rStyle w:val="HideTWBExt"/>
          <w:b w:val="0"/>
        </w:rPr>
        <w:t>&lt;/NumAm&gt;</w:t>
      </w:r>
    </w:p>
    <w:p w14:paraId="2B69532B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Hana Jalloul Muro</w:t>
      </w:r>
      <w:r w:rsidRPr="00271CCD">
        <w:rPr>
          <w:rStyle w:val="HideTWBExt"/>
          <w:b w:val="0"/>
        </w:rPr>
        <w:t>&lt;/Members&gt;</w:t>
      </w:r>
    </w:p>
    <w:p w14:paraId="02A8705E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12EB6E2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CEDF49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50 a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7582251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F93A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5CD4F17C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D51F4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1C8988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2CBABCE3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40FC08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11C4E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50a.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domaga się wzmocnienia specjalnej linii budżetowej dla działań w ramach polityki zagranicznej konkretnie na rzecz równouprawnienia płci oraz Agendy ONZ dotyczącej kobiet, pokoju i bezpieczeństwa w celu zapewnienia spójnego finansowania inicjatyw, które promują przywództwo ukierunkowane na aspekt płci, chronią prawa kobiet oraz zwalczają przemoc seksualną i przemoc ze względu na płeć w sytuacjach konfliktu i pokonfliktowych; podkreśla, że takie finansowanie ma zasadnicze znaczenie dla wsparcia lokalnych organizacji społeczeństwa obywatelskiego, zapewniając wsparcie ukierunkowane na osobach, które doświadczyły przemocy uwarunkowanej płcią, oraz włączając perspektywę płci do wysiłków UE w zakresie dyplomacji i bezpieczeństwa;</w:t>
            </w:r>
          </w:p>
        </w:tc>
      </w:tr>
    </w:tbl>
    <w:p w14:paraId="12ED1F71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2DDBF6C3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79047722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1017</w:t>
      </w:r>
      <w:r w:rsidRPr="00271CCD">
        <w:rPr>
          <w:rStyle w:val="HideTWBExt"/>
          <w:b w:val="0"/>
        </w:rPr>
        <w:t>&lt;/NumAm&gt;</w:t>
      </w:r>
    </w:p>
    <w:p w14:paraId="3B5B55F4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Nacho Sánchez Amor, Sven Mikser, Alessandra Moretti, Yannis Maniatis, Vasile Dîncu, Marco Tarquinio, Hana Jalloul Muro</w:t>
      </w:r>
      <w:r w:rsidRPr="00271CCD">
        <w:rPr>
          <w:rStyle w:val="HideTWBExt"/>
          <w:b w:val="0"/>
        </w:rPr>
        <w:t>&lt;/Members&gt;</w:t>
      </w:r>
    </w:p>
    <w:p w14:paraId="39FD3C3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42FB19B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36173DC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50 b (nowy)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4E31CBD7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A8E3A4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604872E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5D8F6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4137BF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154A1409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C2E606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FF46C1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b/>
                <w:i/>
                <w:color w:val="000000" w:themeColor="text1"/>
              </w:rPr>
              <w:t>50b.</w:t>
            </w:r>
            <w:r w:rsidRPr="00271CCD">
              <w:rPr>
                <w:color w:val="000000" w:themeColor="text1"/>
              </w:rPr>
              <w:tab/>
            </w:r>
            <w:r w:rsidRPr="00271CCD">
              <w:rPr>
                <w:b/>
                <w:i/>
                <w:color w:val="000000" w:themeColor="text1"/>
              </w:rPr>
              <w:t>wzywa Komisję do włączenia do swojego wniosku dotyczącego następnych WRF solidnych zdolności i zasobów na rzecz działań zewnętrznych UE, z uwzględnieniem coraz bardziej wymagającej areny międzynarodowej; w tym względzie przypomina, że kluczowe znaczenie ma dalsze wzmocnienie naszego wsparcia na rzecz praw człowieka, demokracji i rozwoju w państwach trzecich, gdyż świat demokratyczny jest bezpieczniejszym światem; podkreśla, że należy dodatkowo zwiększyć zasoby dla dyplomacji cyfrowej UE, biorąc pod uwagę obecny kontekst szybkich postępów tec</w:t>
            </w:r>
            <w:bookmarkStart w:id="0" w:name="_GoBack"/>
            <w:bookmarkEnd w:id="0"/>
            <w:r w:rsidRPr="00271CCD">
              <w:rPr>
                <w:b/>
                <w:i/>
                <w:color w:val="000000" w:themeColor="text1"/>
              </w:rPr>
              <w:t>hnologicznych i konkurencji geopolitycznej; nalega na wzmocnienie „zielonej dyplomacji” i zielonej transformacji, jako jednego z priorytetów UE, względem państw trzecich za pośrednictwem działań zewnętrznych UE;</w:t>
            </w:r>
          </w:p>
        </w:tc>
      </w:tr>
    </w:tbl>
    <w:p w14:paraId="55EF6067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B524607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60E2DFD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1018</w:t>
      </w:r>
      <w:r w:rsidRPr="00271CCD">
        <w:rPr>
          <w:rStyle w:val="HideTWBExt"/>
          <w:b w:val="0"/>
        </w:rPr>
        <w:t>&lt;/NumAm&gt;</w:t>
      </w:r>
    </w:p>
    <w:p w14:paraId="49072225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Sven Mikser, Lucia Annunziata, Nicola Zingaretti, Thijs Reuten, Alessandra Moretti, Giorgio Gori, Tobias Cremer, Yannis Maniatis</w:t>
      </w:r>
      <w:r w:rsidRPr="00271CCD">
        <w:rPr>
          <w:rStyle w:val="HideTWBExt"/>
          <w:b w:val="0"/>
        </w:rPr>
        <w:t>&lt;/Members&gt;</w:t>
      </w:r>
    </w:p>
    <w:p w14:paraId="31B5BA1D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3B1A7C1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717D59F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51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59516418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F09A03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663934B6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79C210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16B562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02241D0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A8083A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51.</w:t>
            </w:r>
            <w:r w:rsidRPr="00271CCD">
              <w:rPr>
                <w:color w:val="000000" w:themeColor="text1"/>
              </w:rPr>
              <w:tab/>
              <w:t xml:space="preserve">podkreśla, że każda poruszona powyżej kwestia wymaga odpowiedniej reakcji ze strony </w:t>
            </w:r>
            <w:r w:rsidRPr="00271CCD">
              <w:rPr>
                <w:b/>
                <w:i/>
                <w:color w:val="000000" w:themeColor="text1"/>
              </w:rPr>
              <w:t>Komisji</w:t>
            </w:r>
            <w:r w:rsidRPr="00271CCD">
              <w:rPr>
                <w:color w:val="000000" w:themeColor="text1"/>
              </w:rPr>
              <w:t>; wzywa wiceprzewodniczącego / wysokiego przedstawiciela do szybkiego i pisemnego ustosunkowania się do apeli, wniosków i obaw Parlamentu; uważa, że oświadczenia ustne na posiedzeniach komisji lub na posiedzeniu plenarnym mogą stanowić wystarczającą odpowiedź jedynie w wyjątkowych lub pilnych przypadkach; podkreśla, że w obecnym trudnym kontekście geopolitycznym ścisła współpraca i partnerstwo między Parlamentem Europejskim a wiceprzewodniczącym / wysokim przedstawicielem mają strategiczne znaczenie; oczekuje bardziej systematycznej wymiany informacji przed przyjęciem mandatów i strategii WPZiB oraz lepszego przepływu informacji na temat negocjowania i wdrażania umów międzynarodowych, a także protokołów ustaleń; oczekuje ponadto, że Parlament będzie skutecznie uwzględniany we wszystkich zewnętrznych strategiach politycznych i działaniach UE</w:t>
            </w:r>
            <w:r w:rsidRPr="00271CCD">
              <w:rPr>
                <w:b/>
                <w:i/>
                <w:color w:val="000000" w:themeColor="text1"/>
              </w:rPr>
              <w:t xml:space="preserve"> jako integralny podmiot Drużyny Europy</w:t>
            </w:r>
            <w:r w:rsidRPr="00271CCD">
              <w:rPr>
                <w:color w:val="000000" w:themeColor="text1"/>
              </w:rPr>
              <w:t>, co pozwoli zmobilizować dyplomację parlamentarną w celu wsparcia wysiłków wiceprzewodniczącego / wysokiego przedstawiciela;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50784E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51.</w:t>
            </w:r>
            <w:r w:rsidRPr="00271CCD">
              <w:rPr>
                <w:color w:val="000000" w:themeColor="text1"/>
              </w:rPr>
              <w:tab/>
              <w:t>podkreśla, że każda poruszona powyżej kwestia wymaga odpowiedniej reakcji ze strony władzy wykonawczej; wzywa wiceprzewodniczącego / wysokiego przedstawiciela do szybkiego i pisemnego ustosunkowania się do apeli, wniosków i obaw Parlamentu; uważa, że oświadczenia ustne na posiedzeniach komisji lub na posiedzeniu plenarnym mogą stanowić wystarczającą odpowiedź jedynie w wyjątkowych lub pilnych przypadkach; podkreśla, że w obecnym trudnym kontekście geopolitycznym ścisła współpraca i partnerstwo między Parlamentem Europejskim a wiceprzewodniczącym / wysokim przedstawicielem mają strategiczne znaczenie; oczekuje bardziej systematycznej wymiany informacji przed przyjęciem mandatów i strategii WPZiB oraz lepszego przepływu informacji na temat negocjowania i wdrażania umów międzynarodowych, a także protokołów ustaleń; oczekuje ponadto, że Parlament będzie skutecznie uwzględniany we wszystkich zewnętrznych strategiach politycznych i działaniach UE, co pozwoli zmobilizować dyplomację parlamentarną w celu wsparcia wysiłków wiceprzewodniczącego / wysokiego przedstawiciela;</w:t>
            </w:r>
          </w:p>
        </w:tc>
      </w:tr>
    </w:tbl>
    <w:p w14:paraId="3E7992F2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590710C0" w14:textId="77777777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</w:t>
      </w:r>
    </w:p>
    <w:p w14:paraId="62393B09" w14:textId="77777777" w:rsidR="002C22FB" w:rsidRPr="00271CCD" w:rsidRDefault="002C22FB" w:rsidP="002C22FB">
      <w:pPr>
        <w:pStyle w:val="AmNumberTabs"/>
        <w:rPr>
          <w:color w:val="000000" w:themeColor="text1"/>
        </w:rPr>
      </w:pPr>
      <w:r w:rsidRPr="00271CCD">
        <w:rPr>
          <w:rStyle w:val="HideTWBExt"/>
          <w:b w:val="0"/>
        </w:rPr>
        <w:t>&lt;Amend&gt;</w:t>
      </w:r>
      <w:r w:rsidRPr="00271CCD">
        <w:rPr>
          <w:color w:val="000000" w:themeColor="text1"/>
        </w:rPr>
        <w:t>Poprawka</w:t>
      </w:r>
      <w:r w:rsidRPr="00271CCD">
        <w:rPr>
          <w:color w:val="000000" w:themeColor="text1"/>
        </w:rPr>
        <w:tab/>
      </w:r>
      <w:r w:rsidRPr="00271CCD">
        <w:rPr>
          <w:color w:val="000000" w:themeColor="text1"/>
        </w:rPr>
        <w:tab/>
      </w:r>
      <w:r w:rsidRPr="00271CCD">
        <w:rPr>
          <w:rStyle w:val="HideTWBExt"/>
          <w:b w:val="0"/>
        </w:rPr>
        <w:t>&lt;NumAm&gt;</w:t>
      </w:r>
      <w:r w:rsidRPr="00271CCD">
        <w:rPr>
          <w:color w:val="000000" w:themeColor="text1"/>
        </w:rPr>
        <w:t>1019</w:t>
      </w:r>
      <w:r w:rsidRPr="00271CCD">
        <w:rPr>
          <w:rStyle w:val="HideTWBExt"/>
          <w:b w:val="0"/>
        </w:rPr>
        <w:t>&lt;/NumAm&gt;</w:t>
      </w:r>
    </w:p>
    <w:p w14:paraId="489ABBE2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&lt;RepeatBlock-By&gt;&lt;Members&gt;</w:t>
      </w:r>
      <w:r w:rsidRPr="00271CCD">
        <w:rPr>
          <w:color w:val="000000" w:themeColor="text1"/>
        </w:rPr>
        <w:t>Hermann Tertsch, Jorge Martín Frías</w:t>
      </w:r>
      <w:r w:rsidRPr="00271CCD">
        <w:rPr>
          <w:rStyle w:val="HideTWBExt"/>
          <w:b w:val="0"/>
        </w:rPr>
        <w:t>&lt;/Members&gt;</w:t>
      </w:r>
    </w:p>
    <w:p w14:paraId="7326B15A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&lt;/RepeatBlock-By&gt;</w:t>
      </w:r>
    </w:p>
    <w:p w14:paraId="2E6ECB3F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&lt;DocAmend&gt;</w:t>
      </w:r>
      <w:r w:rsidRPr="00271CCD">
        <w:rPr>
          <w:color w:val="000000" w:themeColor="text1"/>
        </w:rPr>
        <w:t>Projekt rezolucji</w:t>
      </w:r>
      <w:r w:rsidRPr="00271CCD">
        <w:rPr>
          <w:rStyle w:val="HideTWBExt"/>
          <w:b w:val="0"/>
        </w:rPr>
        <w:t>&lt;/DocAmend&gt;</w:t>
      </w:r>
    </w:p>
    <w:p w14:paraId="6B780BF9" w14:textId="77777777" w:rsidR="002C22FB" w:rsidRPr="00271CCD" w:rsidRDefault="002C22FB" w:rsidP="002C22FB">
      <w:pPr>
        <w:pStyle w:val="NormalBold"/>
        <w:rPr>
          <w:color w:val="000000" w:themeColor="text1"/>
        </w:rPr>
      </w:pPr>
      <w:r w:rsidRPr="00271CCD">
        <w:rPr>
          <w:rStyle w:val="HideTWBExt"/>
          <w:b w:val="0"/>
        </w:rPr>
        <w:t>&lt;Article&gt;</w:t>
      </w:r>
      <w:r w:rsidRPr="00271CCD">
        <w:rPr>
          <w:color w:val="000000" w:themeColor="text1"/>
        </w:rPr>
        <w:t>Ustęp 51</w:t>
      </w:r>
      <w:r w:rsidRPr="00271CCD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C22FB" w:rsidRPr="00271CCD" w14:paraId="2648EAA2" w14:textId="77777777" w:rsidTr="007A1192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70325C" w14:textId="77777777" w:rsidR="002C22FB" w:rsidRPr="00271CCD" w:rsidRDefault="002C22FB" w:rsidP="007A1192">
            <w:pPr>
              <w:rPr>
                <w:color w:val="000000" w:themeColor="text1"/>
              </w:rPr>
            </w:pPr>
          </w:p>
        </w:tc>
      </w:tr>
      <w:tr w:rsidR="002C22FB" w:rsidRPr="00271CCD" w14:paraId="434FCF49" w14:textId="77777777" w:rsidTr="007A1192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5E2264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5A327D" w14:textId="77777777" w:rsidR="002C22FB" w:rsidRPr="00271CCD" w:rsidRDefault="002C22FB" w:rsidP="007A1192">
            <w:pPr>
              <w:pStyle w:val="AmColumnHeading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Poprawka</w:t>
            </w:r>
          </w:p>
        </w:tc>
      </w:tr>
      <w:tr w:rsidR="002C22FB" w:rsidRPr="00271CCD" w14:paraId="45F76D22" w14:textId="77777777" w:rsidTr="007A1192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CFF052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51.</w:t>
            </w:r>
            <w:r w:rsidRPr="00271CCD">
              <w:rPr>
                <w:color w:val="000000" w:themeColor="text1"/>
              </w:rPr>
              <w:tab/>
              <w:t xml:space="preserve">podkreśla, że każda poruszona powyżej kwestia wymaga odpowiedniej reakcji ze strony </w:t>
            </w:r>
            <w:r w:rsidRPr="00271CCD">
              <w:rPr>
                <w:b/>
                <w:i/>
                <w:color w:val="000000" w:themeColor="text1"/>
              </w:rPr>
              <w:t>władzy wykonawczej</w:t>
            </w:r>
            <w:r w:rsidRPr="00271CCD">
              <w:rPr>
                <w:color w:val="000000" w:themeColor="text1"/>
              </w:rPr>
              <w:t>; wzywa wiceprzewodniczącego / wysokiego przedstawiciela do szybkiego i pisemnego ustosunkowania się do apeli, wniosków i obaw Parlamentu; uważa, że oświadczenia ustne na posiedzeniach komisji lub na posiedzeniu plenarnym mogą stanowić wystarczającą odpowiedź jedynie w wyjątkowych lub pilnych przypadkach; podkreśla, że w obecnym trudnym kontekście geopolitycznym ścisła współpraca i partnerstwo między Parlamentem Europejskim a wiceprzewodniczącym / wysokim przedstawicielem mają strategiczne znaczenie; oczekuje bardziej systematycznej wymiany informacji przed przyjęciem mandatów i strategii WPZiB oraz lepszego przepływu informacji na temat negocjowania i wdrażania umów międzynarodowych, a także protokołów ustaleń; oczekuje ponadto, że Parlament będzie skutecznie uwzględniany we wszystkich zewnętrznych strategiach politycznych i działaniach UE jako integralny podmiot Drużyny Europy, co pozwoli zmobilizować dyplomację parlamentarną w celu wsparcia wysiłków wiceprzewodniczącego / wysokiego przedstawiciela;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435A99" w14:textId="77777777" w:rsidR="002C22FB" w:rsidRPr="00271CCD" w:rsidRDefault="002C22FB" w:rsidP="007A1192">
            <w:pPr>
              <w:pStyle w:val="Normal6a"/>
              <w:rPr>
                <w:color w:val="000000" w:themeColor="text1"/>
              </w:rPr>
            </w:pPr>
            <w:r w:rsidRPr="00271CCD">
              <w:rPr>
                <w:color w:val="000000" w:themeColor="text1"/>
              </w:rPr>
              <w:t>51.</w:t>
            </w:r>
            <w:r w:rsidRPr="00271CCD">
              <w:rPr>
                <w:color w:val="000000" w:themeColor="text1"/>
              </w:rPr>
              <w:tab/>
              <w:t xml:space="preserve">podkreśla, że każda poruszona powyżej kwestia wymaga odpowiedniej reakcji ze strony </w:t>
            </w:r>
            <w:r w:rsidRPr="00271CCD">
              <w:rPr>
                <w:b/>
                <w:i/>
                <w:color w:val="000000" w:themeColor="text1"/>
              </w:rPr>
              <w:t>Komisji</w:t>
            </w:r>
            <w:r w:rsidRPr="00271CCD">
              <w:rPr>
                <w:color w:val="000000" w:themeColor="text1"/>
              </w:rPr>
              <w:t>; wzywa wiceprzewodniczącego / wysokiego przedstawiciela do szybkiego i pisemnego ustosunkowania się do apeli, wniosków i obaw Parlamentu; uważa, że oświadczenia ustne na posiedzeniach komisji lub na posiedzeniu plenarnym mogą stanowić wystarczającą odpowiedź jedynie w wyjątkowych lub pilnych przypadkach; podkreśla, że w obecnym trudnym kontekście geopolitycznym ścisła współpraca i partnerstwo między Parlamentem Europejskim a wiceprzewodniczącym / wysokim przedstawicielem mają strategiczne znaczenie; oczekuje bardziej systematycznej wymiany informacji przed przyjęciem mandatów i strategii WPZiB oraz lepszego przepływu informacji na temat negocjowania i wdrażania umów międzynarodowych, a także protokołów ustaleń; oczekuje ponadto, że Parlament będzie skutecznie uwzględniany we wszystkich zewnętrznych strategiach politycznych i działaniach UE jako integralny podmiot Drużyny Europy, co pozwoli zmobilizować dyplomację parlamentarną w celu wsparcia wysiłków wiceprzewodniczącego / wysokiego przedstawiciela;</w:t>
            </w:r>
          </w:p>
        </w:tc>
      </w:tr>
    </w:tbl>
    <w:p w14:paraId="40228B1E" w14:textId="77777777" w:rsidR="002C22FB" w:rsidRPr="00271CCD" w:rsidRDefault="002C22FB" w:rsidP="002C22FB">
      <w:pPr>
        <w:pStyle w:val="AmOrLang"/>
        <w:rPr>
          <w:color w:val="000000" w:themeColor="text1"/>
        </w:rPr>
      </w:pPr>
      <w:r w:rsidRPr="00271CCD">
        <w:rPr>
          <w:color w:val="000000" w:themeColor="text1"/>
        </w:rPr>
        <w:t xml:space="preserve">Or. </w:t>
      </w:r>
      <w:r w:rsidRPr="00271CCD">
        <w:rPr>
          <w:rStyle w:val="HideTWBExt"/>
        </w:rPr>
        <w:t>&lt;Original&gt;</w:t>
      </w:r>
      <w:r w:rsidRPr="00271CCD">
        <w:rPr>
          <w:rStyle w:val="HideTWBInt"/>
        </w:rPr>
        <w:t>{EN}</w:t>
      </w:r>
      <w:r w:rsidRPr="00271CCD">
        <w:rPr>
          <w:color w:val="000000" w:themeColor="text1"/>
        </w:rPr>
        <w:t>en</w:t>
      </w:r>
      <w:r w:rsidRPr="00271CCD">
        <w:rPr>
          <w:rStyle w:val="HideTWBExt"/>
        </w:rPr>
        <w:t>&lt;/Original&gt;</w:t>
      </w:r>
    </w:p>
    <w:p w14:paraId="3BB28E5D" w14:textId="461E6AE2" w:rsidR="002C22FB" w:rsidRPr="00271CCD" w:rsidRDefault="002C22FB" w:rsidP="002C22FB">
      <w:pPr>
        <w:rPr>
          <w:color w:val="000000" w:themeColor="text1"/>
        </w:rPr>
      </w:pPr>
      <w:r w:rsidRPr="00271CCD">
        <w:rPr>
          <w:rStyle w:val="HideTWBExt"/>
        </w:rPr>
        <w:t>&lt;/Amend&gt;&lt;/RepeatBlock-Amend&gt;</w:t>
      </w:r>
    </w:p>
    <w:p w14:paraId="1548C720" w14:textId="46DE41FA" w:rsidR="00794E41" w:rsidRPr="00271CCD" w:rsidRDefault="00794E41" w:rsidP="002C22FB">
      <w:pPr>
        <w:rPr>
          <w:color w:val="000000" w:themeColor="text1"/>
        </w:rPr>
      </w:pPr>
    </w:p>
    <w:sectPr w:rsidR="00794E41" w:rsidRPr="00271CCD" w:rsidSect="001129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5" w:h="16837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3A787" w14:textId="77777777" w:rsidR="00DC2DE0" w:rsidRPr="00DC2DE0" w:rsidRDefault="00DC2DE0">
      <w:r w:rsidRPr="00DC2DE0">
        <w:separator/>
      </w:r>
    </w:p>
  </w:endnote>
  <w:endnote w:type="continuationSeparator" w:id="0">
    <w:p w14:paraId="496882BD" w14:textId="77777777" w:rsidR="00DC2DE0" w:rsidRPr="00DC2DE0" w:rsidRDefault="00DC2DE0">
      <w:r w:rsidRPr="00DC2DE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C6428" w14:textId="5C4EEFDC" w:rsidR="00AD3D9F" w:rsidRPr="00271CCD" w:rsidRDefault="00AD3D9F" w:rsidP="00BE6658">
    <w:pPr>
      <w:pStyle w:val="EPFooter"/>
      <w:rPr>
        <w:lang w:val="de-DE"/>
      </w:rPr>
    </w:pPr>
    <w:r w:rsidRPr="00271CCD">
      <w:rPr>
        <w:lang w:val="de-DE"/>
      </w:rPr>
      <w:t>PE</w:t>
    </w:r>
    <w:r w:rsidRPr="00271CCD">
      <w:rPr>
        <w:rStyle w:val="HideTWBExt"/>
        <w:lang w:val="de-DE"/>
      </w:rPr>
      <w:t>&lt;NoPE&gt;</w:t>
    </w:r>
    <w:r w:rsidR="00F00EA5" w:rsidRPr="00271CCD">
      <w:rPr>
        <w:lang w:val="de-DE"/>
      </w:rPr>
      <w:t>765.314</w:t>
    </w:r>
    <w:r w:rsidRPr="00271CCD">
      <w:rPr>
        <w:rStyle w:val="HideTWBExt"/>
        <w:lang w:val="de-DE"/>
      </w:rPr>
      <w:t>&lt;/NoPE&gt;&lt;Version&gt;</w:t>
    </w:r>
    <w:r w:rsidR="00DC2DE0" w:rsidRPr="00271CCD">
      <w:rPr>
        <w:lang w:val="de-DE"/>
      </w:rPr>
      <w:t>v</w:t>
    </w:r>
    <w:r w:rsidR="00F00EA5" w:rsidRPr="00271CCD">
      <w:rPr>
        <w:lang w:val="de-DE"/>
      </w:rPr>
      <w:t>01-00</w:t>
    </w:r>
    <w:r w:rsidRPr="00271CCD">
      <w:rPr>
        <w:rStyle w:val="HideTWBExt"/>
        <w:lang w:val="de-DE"/>
      </w:rPr>
      <w:t>&lt;/Version&gt;</w:t>
    </w:r>
    <w:r w:rsidRPr="00271CCD">
      <w:rPr>
        <w:lang w:val="de-DE"/>
      </w:rPr>
      <w:tab/>
    </w:r>
    <w:r w:rsidR="001C108E" w:rsidRPr="00DC2DE0">
      <w:fldChar w:fldCharType="begin"/>
    </w:r>
    <w:r w:rsidR="001C108E" w:rsidRPr="00271CCD">
      <w:rPr>
        <w:lang w:val="de-DE"/>
      </w:rPr>
      <w:instrText xml:space="preserve"> PAGE </w:instrText>
    </w:r>
    <w:r w:rsidR="001C108E" w:rsidRPr="00DC2DE0">
      <w:fldChar w:fldCharType="separate"/>
    </w:r>
    <w:r w:rsidR="00C663AB">
      <w:rPr>
        <w:noProof/>
        <w:lang w:val="de-DE"/>
      </w:rPr>
      <w:t>152</w:t>
    </w:r>
    <w:r w:rsidR="001C108E" w:rsidRPr="00DC2DE0">
      <w:fldChar w:fldCharType="end"/>
    </w:r>
    <w:r w:rsidR="001C108E" w:rsidRPr="00271CCD">
      <w:rPr>
        <w:lang w:val="de-DE"/>
      </w:rPr>
      <w:t>/</w:t>
    </w:r>
    <w:r w:rsidR="0011298B" w:rsidRPr="00DC2DE0">
      <w:fldChar w:fldCharType="begin"/>
    </w:r>
    <w:r w:rsidR="0011298B" w:rsidRPr="00271CCD">
      <w:rPr>
        <w:lang w:val="de-DE"/>
      </w:rPr>
      <w:instrText xml:space="preserve"> NUMPAGES </w:instrText>
    </w:r>
    <w:r w:rsidR="0011298B" w:rsidRPr="00DC2DE0">
      <w:fldChar w:fldCharType="separate"/>
    </w:r>
    <w:r w:rsidR="00C663AB">
      <w:rPr>
        <w:noProof/>
        <w:lang w:val="de-DE"/>
      </w:rPr>
      <w:t>152</w:t>
    </w:r>
    <w:r w:rsidR="0011298B" w:rsidRPr="00DC2DE0">
      <w:fldChar w:fldCharType="end"/>
    </w:r>
    <w:r w:rsidRPr="00271CCD">
      <w:rPr>
        <w:lang w:val="de-DE"/>
      </w:rPr>
      <w:tab/>
    </w:r>
    <w:r w:rsidRPr="00271CCD">
      <w:rPr>
        <w:rStyle w:val="HideTWBExt"/>
        <w:lang w:val="de-DE"/>
      </w:rPr>
      <w:t>&lt;PathFdR&gt;</w:t>
    </w:r>
    <w:r w:rsidR="00F00EA5" w:rsidRPr="00271CCD">
      <w:rPr>
        <w:lang w:val="de-DE"/>
      </w:rPr>
      <w:t>AM\1309978PL.docx</w:t>
    </w:r>
    <w:r w:rsidRPr="00271CCD">
      <w:rPr>
        <w:rStyle w:val="HideTWBExt"/>
        <w:lang w:val="de-DE"/>
      </w:rPr>
      <w:t>&lt;/PathFdR&gt;</w:t>
    </w:r>
  </w:p>
  <w:p w14:paraId="425B35F6" w14:textId="1915582F" w:rsidR="00AD3D9F" w:rsidRPr="00DC2DE0" w:rsidRDefault="005E5FA1">
    <w:pPr>
      <w:pStyle w:val="EPFooter2"/>
    </w:pPr>
    <w:r w:rsidRPr="00DC2DE0">
      <w:fldChar w:fldCharType="begin"/>
    </w:r>
    <w:r w:rsidRPr="00DC2DE0">
      <w:instrText xml:space="preserve"> DOCPROPERTY "&lt;Extension&gt;" </w:instrText>
    </w:r>
    <w:r w:rsidRPr="00DC2DE0">
      <w:fldChar w:fldCharType="separate"/>
    </w:r>
    <w:r w:rsidR="00271CCD">
      <w:t>PL</w:t>
    </w:r>
    <w:r w:rsidRPr="00DC2DE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27878" w14:textId="723AC25E" w:rsidR="00AD3D9F" w:rsidRPr="00271CCD" w:rsidRDefault="00AD3D9F" w:rsidP="00BE6658">
    <w:pPr>
      <w:pStyle w:val="EPFooter"/>
      <w:rPr>
        <w:lang w:val="de-DE"/>
      </w:rPr>
    </w:pPr>
    <w:r w:rsidRPr="00271CCD">
      <w:rPr>
        <w:rStyle w:val="HideTWBExt"/>
        <w:lang w:val="de-DE"/>
      </w:rPr>
      <w:t>&lt;PathFdR&gt;</w:t>
    </w:r>
    <w:r w:rsidR="00F00EA5" w:rsidRPr="00271CCD">
      <w:rPr>
        <w:lang w:val="de-DE"/>
      </w:rPr>
      <w:t>AM\1309978PL.docx</w:t>
    </w:r>
    <w:r w:rsidRPr="00271CCD">
      <w:rPr>
        <w:rStyle w:val="HideTWBExt"/>
        <w:lang w:val="de-DE"/>
      </w:rPr>
      <w:t>&lt;/PathFdR&gt;</w:t>
    </w:r>
    <w:r w:rsidRPr="00271CCD">
      <w:rPr>
        <w:lang w:val="de-DE"/>
      </w:rPr>
      <w:tab/>
    </w:r>
    <w:r w:rsidR="001C108E" w:rsidRPr="00DC2DE0">
      <w:fldChar w:fldCharType="begin"/>
    </w:r>
    <w:r w:rsidR="001C108E" w:rsidRPr="00271CCD">
      <w:rPr>
        <w:lang w:val="de-DE"/>
      </w:rPr>
      <w:instrText xml:space="preserve"> PAGE </w:instrText>
    </w:r>
    <w:r w:rsidR="001C108E" w:rsidRPr="00DC2DE0">
      <w:fldChar w:fldCharType="separate"/>
    </w:r>
    <w:r w:rsidR="00C663AB">
      <w:rPr>
        <w:noProof/>
        <w:lang w:val="de-DE"/>
      </w:rPr>
      <w:t>151</w:t>
    </w:r>
    <w:r w:rsidR="001C108E" w:rsidRPr="00DC2DE0">
      <w:fldChar w:fldCharType="end"/>
    </w:r>
    <w:r w:rsidR="001C108E" w:rsidRPr="00271CCD">
      <w:rPr>
        <w:lang w:val="de-DE"/>
      </w:rPr>
      <w:t>/</w:t>
    </w:r>
    <w:r w:rsidR="0011298B" w:rsidRPr="00DC2DE0">
      <w:fldChar w:fldCharType="begin"/>
    </w:r>
    <w:r w:rsidR="0011298B" w:rsidRPr="00271CCD">
      <w:rPr>
        <w:lang w:val="de-DE"/>
      </w:rPr>
      <w:instrText xml:space="preserve"> NUMPAGES </w:instrText>
    </w:r>
    <w:r w:rsidR="0011298B" w:rsidRPr="00DC2DE0">
      <w:fldChar w:fldCharType="separate"/>
    </w:r>
    <w:r w:rsidR="00C663AB">
      <w:rPr>
        <w:noProof/>
        <w:lang w:val="de-DE"/>
      </w:rPr>
      <w:t>152</w:t>
    </w:r>
    <w:r w:rsidR="0011298B" w:rsidRPr="00DC2DE0">
      <w:fldChar w:fldCharType="end"/>
    </w:r>
    <w:r w:rsidRPr="00271CCD">
      <w:rPr>
        <w:lang w:val="de-DE"/>
      </w:rPr>
      <w:tab/>
      <w:t>PE</w:t>
    </w:r>
    <w:r w:rsidRPr="00271CCD">
      <w:rPr>
        <w:rStyle w:val="HideTWBExt"/>
        <w:lang w:val="de-DE"/>
      </w:rPr>
      <w:t>&lt;NoPE&gt;</w:t>
    </w:r>
    <w:r w:rsidR="00F00EA5" w:rsidRPr="00271CCD">
      <w:rPr>
        <w:lang w:val="de-DE"/>
      </w:rPr>
      <w:t>765.314</w:t>
    </w:r>
    <w:r w:rsidRPr="00271CCD">
      <w:rPr>
        <w:rStyle w:val="HideTWBExt"/>
        <w:lang w:val="de-DE"/>
      </w:rPr>
      <w:t>&lt;/NoPE&gt;&lt;Version&gt;</w:t>
    </w:r>
    <w:r w:rsidR="00DC2DE0" w:rsidRPr="00271CCD">
      <w:rPr>
        <w:lang w:val="de-DE"/>
      </w:rPr>
      <w:t>v</w:t>
    </w:r>
    <w:r w:rsidR="00F00EA5" w:rsidRPr="00271CCD">
      <w:rPr>
        <w:lang w:val="de-DE"/>
      </w:rPr>
      <w:t>01-00</w:t>
    </w:r>
    <w:r w:rsidRPr="00271CCD">
      <w:rPr>
        <w:rStyle w:val="HideTWBExt"/>
        <w:lang w:val="de-DE"/>
      </w:rPr>
      <w:t>&lt;/Version&gt;</w:t>
    </w:r>
  </w:p>
  <w:p w14:paraId="09146B6A" w14:textId="409FA0CC" w:rsidR="00AD3D9F" w:rsidRPr="00DC2DE0" w:rsidRDefault="001C108E">
    <w:pPr>
      <w:pStyle w:val="EPFooter2"/>
    </w:pPr>
    <w:r w:rsidRPr="00271CCD">
      <w:rPr>
        <w:lang w:val="de-DE"/>
      </w:rPr>
      <w:tab/>
    </w:r>
    <w:r w:rsidR="00AD3D9F" w:rsidRPr="00271CCD">
      <w:rPr>
        <w:lang w:val="de-DE"/>
      </w:rPr>
      <w:tab/>
    </w:r>
    <w:r w:rsidR="005E5FA1" w:rsidRPr="00DC2DE0">
      <w:fldChar w:fldCharType="begin"/>
    </w:r>
    <w:r w:rsidR="005E5FA1" w:rsidRPr="00DC2DE0">
      <w:instrText xml:space="preserve"> DOCPROPERTY "&lt;Extension&gt;" </w:instrText>
    </w:r>
    <w:r w:rsidR="005E5FA1" w:rsidRPr="00DC2DE0">
      <w:fldChar w:fldCharType="separate"/>
    </w:r>
    <w:r w:rsidR="00271CCD">
      <w:t>PL</w:t>
    </w:r>
    <w:r w:rsidR="005E5FA1" w:rsidRPr="00DC2DE0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D40FB" w14:textId="423A2728" w:rsidR="00AD3D9F" w:rsidRPr="00271CCD" w:rsidRDefault="00AD3D9F" w:rsidP="00BE6658">
    <w:pPr>
      <w:pStyle w:val="EPFooter"/>
      <w:rPr>
        <w:lang w:val="de-DE"/>
      </w:rPr>
    </w:pPr>
    <w:r w:rsidRPr="00271CCD">
      <w:rPr>
        <w:rStyle w:val="HideTWBExt"/>
        <w:lang w:val="de-DE"/>
      </w:rPr>
      <w:t>&lt;PathFdR&gt;</w:t>
    </w:r>
    <w:r w:rsidR="00F00EA5" w:rsidRPr="00271CCD">
      <w:rPr>
        <w:lang w:val="de-DE"/>
      </w:rPr>
      <w:t>AM\1309978PL.docx</w:t>
    </w:r>
    <w:r w:rsidRPr="00271CCD">
      <w:rPr>
        <w:rStyle w:val="HideTWBExt"/>
        <w:lang w:val="de-DE"/>
      </w:rPr>
      <w:t>&lt;/PathFdR&gt;</w:t>
    </w:r>
    <w:r w:rsidRPr="00271CCD">
      <w:rPr>
        <w:lang w:val="de-DE"/>
      </w:rPr>
      <w:tab/>
    </w:r>
    <w:r w:rsidRPr="00271CCD">
      <w:rPr>
        <w:lang w:val="de-DE"/>
      </w:rPr>
      <w:tab/>
      <w:t>PE</w:t>
    </w:r>
    <w:r w:rsidRPr="00271CCD">
      <w:rPr>
        <w:rStyle w:val="HideTWBExt"/>
        <w:lang w:val="de-DE"/>
      </w:rPr>
      <w:t>&lt;NoPE&gt;</w:t>
    </w:r>
    <w:r w:rsidR="00F00EA5" w:rsidRPr="00271CCD">
      <w:rPr>
        <w:lang w:val="de-DE"/>
      </w:rPr>
      <w:t>765.314</w:t>
    </w:r>
    <w:r w:rsidRPr="00271CCD">
      <w:rPr>
        <w:rStyle w:val="HideTWBExt"/>
        <w:lang w:val="de-DE"/>
      </w:rPr>
      <w:t>&lt;/NoPE&gt;&lt;Version&gt;</w:t>
    </w:r>
    <w:r w:rsidR="00DC2DE0" w:rsidRPr="00271CCD">
      <w:rPr>
        <w:lang w:val="de-DE"/>
      </w:rPr>
      <w:t>v</w:t>
    </w:r>
    <w:r w:rsidR="00F00EA5" w:rsidRPr="00271CCD">
      <w:rPr>
        <w:lang w:val="de-DE"/>
      </w:rPr>
      <w:t>01-00</w:t>
    </w:r>
    <w:r w:rsidRPr="00271CCD">
      <w:rPr>
        <w:rStyle w:val="HideTWBExt"/>
        <w:lang w:val="de-DE"/>
      </w:rPr>
      <w:t>&lt;/Version&gt;</w:t>
    </w:r>
  </w:p>
  <w:p w14:paraId="0682A172" w14:textId="6E1A80E4" w:rsidR="00AD3D9F" w:rsidRPr="00DC2DE0" w:rsidRDefault="005E5FA1" w:rsidP="00CF4E9D">
    <w:pPr>
      <w:pStyle w:val="EPFooter2"/>
      <w:tabs>
        <w:tab w:val="clear" w:pos="4535"/>
        <w:tab w:val="center" w:pos="4536"/>
      </w:tabs>
    </w:pPr>
    <w:r w:rsidRPr="00DC2DE0">
      <w:fldChar w:fldCharType="begin"/>
    </w:r>
    <w:r w:rsidRPr="00DC2DE0">
      <w:instrText xml:space="preserve"> DOCPROPERTY "&lt;Extension&gt;" </w:instrText>
    </w:r>
    <w:r w:rsidRPr="00DC2DE0">
      <w:fldChar w:fldCharType="separate"/>
    </w:r>
    <w:r w:rsidR="00271CCD">
      <w:t>PL</w:t>
    </w:r>
    <w:r w:rsidRPr="00DC2DE0">
      <w:fldChar w:fldCharType="end"/>
    </w:r>
    <w:r w:rsidR="00AD3D9F" w:rsidRPr="00DC2DE0">
      <w:tab/>
    </w:r>
    <w:r w:rsidR="00F00EA5">
      <w:rPr>
        <w:b w:val="0"/>
        <w:i/>
        <w:color w:val="C0C0C0"/>
        <w:sz w:val="22"/>
        <w:szCs w:val="22"/>
      </w:rPr>
      <w:t>Zjednoczona w różnorodności</w:t>
    </w:r>
    <w:r w:rsidR="00AD3D9F" w:rsidRPr="00DC2DE0">
      <w:tab/>
    </w:r>
    <w:r w:rsidRPr="00DC2DE0">
      <w:fldChar w:fldCharType="begin"/>
    </w:r>
    <w:r w:rsidRPr="00DC2DE0">
      <w:instrText xml:space="preserve"> DOCPROPERTY "&lt;Extension&gt;" </w:instrText>
    </w:r>
    <w:r w:rsidRPr="00DC2DE0">
      <w:fldChar w:fldCharType="separate"/>
    </w:r>
    <w:r w:rsidR="00271CCD">
      <w:t>PL</w:t>
    </w:r>
    <w:r w:rsidRPr="00DC2DE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39514" w14:textId="77777777" w:rsidR="00DC2DE0" w:rsidRPr="00DC2DE0" w:rsidRDefault="00DC2DE0">
      <w:r w:rsidRPr="00DC2DE0">
        <w:separator/>
      </w:r>
    </w:p>
  </w:footnote>
  <w:footnote w:type="continuationSeparator" w:id="0">
    <w:p w14:paraId="42FAB8CB" w14:textId="77777777" w:rsidR="00DC2DE0" w:rsidRPr="00DC2DE0" w:rsidRDefault="00DC2DE0">
      <w:r w:rsidRPr="00DC2DE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CAB9A" w14:textId="77777777" w:rsidR="002C22FB" w:rsidRDefault="002C22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06ED5" w14:textId="77777777" w:rsidR="002C22FB" w:rsidRDefault="002C22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2CE13" w14:textId="77777777" w:rsidR="002C22FB" w:rsidRDefault="002C22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" w15:restartNumberingAfterBreak="0">
    <w:nsid w:val="0B6B413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2" w15:restartNumberingAfterBreak="0">
    <w:nsid w:val="1A2118C2"/>
    <w:multiLevelType w:val="multilevel"/>
    <w:tmpl w:val="13680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3" w15:restartNumberingAfterBreak="0">
    <w:nsid w:val="26B2409D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5" w15:restartNumberingAfterBreak="0">
    <w:nsid w:val="4C51729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6" w15:restartNumberingAfterBreak="0">
    <w:nsid w:val="71FF0C87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mirrorMargins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0"/>
  <w:activeWritingStyle w:appName="MSWord" w:lang="de-DE" w:vendorID="64" w:dllVersion="131078" w:nlCheck="1" w:checkStyle="0"/>
  <w:activeWritingStyle w:appName="MSWord" w:lang="it-IT" w:vendorID="64" w:dllVersion="131078" w:nlCheck="1" w:checkStyle="0"/>
  <w:activeWritingStyle w:appName="MSWord" w:lang="pt-PT" w:vendorID="64" w:dllVersion="131078" w:nlCheck="1" w:checkStyle="0"/>
  <w:activeWritingStyle w:appName="MSWord" w:lang="fi-FI" w:vendorID="64" w:dllVersion="131078" w:nlCheck="1" w:checkStyle="0"/>
  <w:activeWritingStyle w:appName="MSWord" w:lang="en-GB" w:vendorID="64" w:dllVersion="131078" w:nlCheck="1" w:checkStyle="1"/>
  <w:activeWritingStyle w:appName="MSWord" w:lang="fr-FR" w:vendorID="9" w:dllVersion="512" w:checkStyle="0"/>
  <w:activeWritingStyle w:appName="MSWord" w:lang="pl-PL" w:vendorID="12" w:dllVersion="512" w:checkStyle="1"/>
  <w:activeWritingStyle w:appName="MSWord" w:lang="sv-SE" w:vendorID="22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PLURMNU" w:val=" 1"/>
    <w:docVar w:name="COMKEY" w:val="AFET"/>
    <w:docVar w:name="LastEditedSection" w:val=" 1"/>
    <w:docVar w:name="LW_DocType" w:val="NORMAL"/>
    <w:docVar w:name="RepeatBlock-AmendPL" w:val="{\rtf1\adeflang1025\ansi\ansicpg1252\uc1\adeff0\deff0\stshfdbch0\stshfloch0\stshfhich0\stshfbi0\deflang1033\deflangfe2052\themelang2057\themelangfe2052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nil\fcharset134\fprq2{\*\panose 02010600030101010101}DengXian Light{\*\falt \'b5\'c8\'cf\'df Light};}{\fhimajor\f31502\fbidi \fswiss\fcharset0\fprq2{\*\panose 020f0302020204030204}Calibri Light;}_x000d__x000a_{\fbimajor\f31503\fbidi \fswiss\fcharset222\fprq2 DokChampa;}{\flominor\f31504\fbidi \froman\fcharset0\fprq2{\*\panose 02020603050405020304}Times New Roman;}_x000d__x000a_{\fdbminor\f31505\fbidi \fnil\fcharset134\fprq2{\*\panose 02010600030101010101}DengXian{\*\falt \'b5\'c8\'cf\'df};}{\fhiminor\f31506\fbidi \fswiss\fcharset0\fprq2{\*\panose 020f0502020204030204}Calibri;}_x000d__x000a_{\fbiminor\f31507\fbidi \fswiss\fcharset222\fprq2 DokChampa;}{\f1419\fbidi \froman\fcharset238\fprq2 Times New Roman CE;}{\f1420\fbidi \froman\fcharset204\fprq2 Times New Roman Cyr;}{\f1422\fbidi \froman\fcharset161\fprq2 Times New Roman Greek;}_x000d__x000a_{\f1423\fbidi \froman\fcharset162\fprq2 Times New Roman Tur;}{\f1424\fbidi \froman\fcharset177\fprq2 Times New Roman (Hebrew);}{\f1425\fbidi \froman\fcharset178\fprq2 Times New Roman (Arabic);}_x000d__x000a_{\f1426\fbidi \froman\fcharset186\fprq2 Times New Roman Baltic;}{\f1427\fbidi \froman\fcharset163\fprq2 Times New Roman (Vietnamese);}{\f1429\fbidi \fswiss\fcharset238\fprq2 Arial CE;}{\f1430\fbidi \fswiss\fcharset204\fprq2 Arial Cyr;}_x000d__x000a_{\f1432\fbidi \fswiss\fcharset161\fprq2 Arial Greek;}{\f1433\fbidi \fswiss\fcharset162\fprq2 Arial Tur;}{\f1434\fbidi \fswiss\fcharset177\fprq2 Arial (Hebrew);}{\f1435\fbidi \fswiss\fcharset178\fprq2 Arial (Arabic);}_x000d__x000a_{\f1436\fbidi \fswiss\fcharset186\fprq2 Arial Baltic;}{\f1437\fbidi \fswiss\fcharset163\fprq2 Arial (Vietnamese);}{\f1759\fbidi \froman\fcharset238\fprq2 Cambria Math CE;}{\f1760\fbidi \froman\fcharset204\fprq2 Cambria Math Cyr;}_x000d__x000a_{\f1762\fbidi \froman\fcharset161\fprq2 Cambria Math Greek;}{\f1763\fbidi \froman\fcharset162\fprq2 Cambria Math Tur;}{\f1766\fbidi \froman\fcharset186\fprq2 Cambria Math Baltic;}{\f176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_x000d__x000a_{\fdbmajor\f31520\fbidi \fnil\fcharset0\fprq2 DengXian Light Western{\*\falt \'b5\'c8\'cf\'df Light};}{\fdbmajor\f31518\fbidi \fnil\fcharset238\fprq2 DengXian Light CE{\*\falt \'b5\'c8\'cf\'df Light};}_x000d__x000a_{\fdbmajor\f31519\fbidi \fnil\fcharset204\fprq2 DengXian Light Cyr{\*\falt \'b5\'c8\'cf\'df Light};}{\fdbmajor\f31521\fbidi \fnil\fcharset161\fprq2 DengXian Light Greek{\*\falt \'b5\'c8\'cf\'df Light};}_x000d__x000a_{\fhimajor\f31528\fbidi \fswiss\fcharset238\fprq2 Calibri Light CE;}{\fhimajor\f31529\fbidi \fswiss\fcharset204\fprq2 Calibri Light Cyr;}{\fhimajor\f31531\fbidi \fswiss\fcharset161\fprq2 Calibri Light Greek;}_x000d__x000a_{\fhimajor\f31532\fbidi \fswiss\fcharset162\fprq2 Calibri Light Tur;}{\fhimajor\f31533\fbidi \fswiss\fcharset177\fprq2 Calibri Light (Hebrew);}{\fhimajor\f31534\fbidi \fswiss\fcharset178\fprq2 Calibri Light (Arabic);}_x000d__x000a_{\fhimajor\f31535\fbidi \fswiss\fcharset186\fprq2 Calibri Light Baltic;}{\fhimajor\f31536\fbidi \fswiss\fcharset163\fprq2 Calibri Light (Vietnamese);}{\fbimajor\f31540\fbidi \fswiss\fcharset0\fprq2 DokChampa;}_x000d__x000a_{\flominor\f31548\fbidi \froman\fcharset238\fprq2 Times New Roman CE;}{\flominor\f31549\fbidi \froman\fcharset204\fprq2 Times New Roman Cyr;}{\flominor\f31551\fbidi \froman\fcharset161\fprq2 Times New Roman Greek;}_x000d__x000a_{\flominor\f31552\fbidi \froman\fcharset162\fprq2 Times New Roman Tur;}{\flominor\f31553\fbidi \froman\fcharset177\fprq2 Times New Roman (Hebrew);}{\flominor\f31554\fbidi \froman\fcharset178\fprq2 Times New Roman (Arabic);}_x000d__x000a_{\flominor\f31555\fbidi \froman\fcharset186\fprq2 Times New Roman Baltic;}{\flominor\f31556\fbidi \froman\fcharset163\fprq2 Times New Roman (Vietnamese);}{\fdbminor\f31560\fbidi \fnil\fcharset0\fprq2 DengXian Western{\*\falt \'b5\'c8\'cf\'df};}_x000d__x000a_{\fdbminor\f31558\fbidi \fnil\fcharset238\fprq2 DengXian CE{\*\falt \'b5\'c8\'cf\'df};}{\fdbminor\f31559\fbidi \fnil\fcharset204\fprq2 DengXian Cyr{\*\falt \'b5\'c8\'cf\'df};}_x000d__x000a_{\fdbminor\f31561\fbidi \fnil\fcharset161\fprq2 DengXian Greek{\*\falt \'b5\'c8\'cf\'df};}{\fhiminor\f31568\fbidi \fswiss\fcharset238\fprq2 Calibri CE;}{\fhiminor\f31569\fbidi \fswiss\fcharset204\fprq2 Calibri Cyr;}_x000d__x000a_{\fhiminor\f31571\fbidi \fswiss\fcharset161\fprq2 Calibri Greek;}{\fhiminor\f31572\fbidi \fswiss\fcharset162\fprq2 Calibri Tur;}{\fhiminor\f31573\fbidi \fswiss\fcharset177\fprq2 Calibri (Hebrew);}_x000d__x000a_{\fhiminor\f31574\fbidi \fswiss\fcharset178\fprq2 Calibri (Arabic);}{\fhiminor\f31575\fbidi \fswiss\fcharset186\fprq2 Calibri Baltic;}{\fhiminor\f31576\fbidi \fswiss\fcharset163\fprq2 Calibri (Vietnamese);}_x000d__x000a_{\fbiminor\f31580\fbidi \fswiss\fcharset0\fprq2 DokChampa;}}{\colortbl;\red0\green0\blue0;\red0\green0\blue255;\red0\green255\blue255;\red0\green255\blue0;\red255\green0\blue255;\red255\green0\blue0;\red255\green255\blue0;\red255\green255\blue255;_x000d__x000a_\red0\green0\blue128;\red0\green128\blue128;\red0\green128\blue0;\red128\green0\blue128;\red128\green0\blue0;\red128\green128\blue0;\red128\green128\blue128;\red192\green192\blue192;\red0\green0\blue0;\red0\green0\blue0;_x000d__x000a_\caccentone\ctint255\cshade191\red46\green116\blue181;}{\*\defchp \lang2057\langfe2057\langnp2057\langfenp2057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8731784 HideTWBExt;}{\*\cs18 \additive \v\f1\fs20\cf15 _x000d__x000a_\spriority0 \styrsid8731784 HideTWBInt;}{\s19\qr \li0\ri0\sb240\sa240\nowidctlpar\wrapdefault\aspalpha\aspnum\faauto\adjustright\rin0\lin0\itap0 \rtlch\fcs1 \af0\afs20\alang1025 \ltrch\fcs0 \fs24\lang1045\langfe2057\cgrid\langnp1045\langfenp2057 _x000d__x000a_\sbasedon0 \snext19 \spriority0 \styrsid8731784 AmOrLang;}{\s20\ql \li0\ri0\sa120\nowidctlpar\wrapdefault\aspalpha\aspnum\faauto\adjustright\rin0\lin0\itap0 \rtlch\fcs1 \af0\afs20\alang1025 \ltrch\fcs0 _x000d__x000a_\fs24\lang1045\langfe2057\cgrid\langnp1045\langfenp2057 \sbasedon0 \snext20 \spriority0 \styrsid8731784 Normal6a;}{\s21\ql \li0\ri0\nowidctlpar\wrapdefault\aspalpha\aspnum\faauto\adjustright\rin0\lin0\itap0 \rtlch\fcs1 \af0\afs20\alang1025 \ltrch\fcs0 _x000d__x000a_\b\fs24\lang1045\langfe2057\cgrid\langnp1045\langfenp2057 \sbasedon0 \snext21 \spriority0 \styrsid8731784 NormalBold;}{\s22\qc \li0\ri0\sa240\nowidctlpar\wrapdefault\aspalpha\aspnum\faauto\adjustright\rin0\lin0\itap0 \rtlch\fcs1 \af0\afs20\alang1025 _x000d__x000a_\ltrch\fcs0 \i\fs24\lang1045\langfe2057\cgrid\langnp1045\langfenp2057 \sbasedon0 \snext22 \spriority0 \styrsid8731784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45\langfe2057\cgrid\langnp1045\langfenp2057 \sbasedon0 \snext23 \spriority0 \styrsid8731784 AmNumberTabs;}}{\*\rsidtbl \rsid24658\rsid223860\rsid735077\rsid1718133\rsid2892074\rsid3565327\rsid4666813\rsid6641733\rsid7168564_x000d__x000a_\rsid7823322\rsid8731784\rsid9636012\rsid10377208\rsid11215221\rsid11549030\rsid12154954\rsid14382809\rsid14424199\rsid14493806\rsid15204470\rsid15285974\rsid15950462\rsid16324206\rsid16662270}{\mmathPr\mmathFont34\mbrkBin0\mbrkBinSub0\msmallFrac0_x000d__x000a_\mdispDef1\mlMargin0\mrMargin0\mdefJc1\mwrapIndent1440\mintLim0\mnaryLim1}{\info{\author C-Diana Zeipe}{\upr{\operator C-Di?na Zeipe}{\*\ud\uc0{\operator C-Di{\uc1\u257 ana Zeipe}}}}{\creatim\yr2024\mo11\dy20\hr13\min12}_x000d__x000a_{\revtim\yr2024\mo11\dy20\hr13\min12}{\version1}{\edmins0}{\nofpages1}{\nofwords72}{\nofchars412}{\nofcharsws483}{\vern10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873178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C-Diana.Zeipe\\AppData\\Local\\DocEP\\DOCS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16856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16856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16856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168564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200193 \rtlch\fcs1 _x000d__x000a_\af0\afs20\alang1025 \ltrch\fcs0 \b\fs24\lang1045\langfe2057\cgrid\langnp1045\langfenp2057 {\rtlch\fcs1 \af0 \ltrch\fcs0 \cs17\b0\v\f1\fs20\cf9\insrsid8731784\charrsid11226589 {\*\bkmkstart restart}&lt;Amend&gt;}{\rtlch\fcs1 \af0 \ltrch\fcs0 _x000d__x000a_\insrsid8731784\charrsid11226589 Poprawka\tab \tab }{\rtlch\fcs1 \af0 \ltrch\fcs0 \cs17\b0\v\f1\fs20\cf9\insrsid8731784\charrsid11226589 &lt;NumAm&gt;}{\rtlch\fcs1 \af0 \ltrch\fcs0 \insrsid8731784\charrsid11226589 #}{\rtlch\fcs1 \af1 \ltrch\fcs0 _x000d__x000a_\cs18\v\f1\fs20\cf15\insrsid8731784\charrsid11226589 ENMIENDA@NRAM@}{\rtlch\fcs1 \af0 \ltrch\fcs0 \insrsid8731784\charrsid11226589 #}{\rtlch\fcs1 \af0 \ltrch\fcs0 \cs17\b0\v\f1\fs20\cf9\insrsid8731784\charrsid11226589 &lt;/NumAm&gt;}{\rtlch\fcs1 \af0 _x000d__x000a_\ltrch\fcs0 \insrsid8731784\charrsid11226589 _x000d__x000a_\par }\pard\plain \ltrpar\s21\ql \li0\ri0\nowidctlpar\wrapdefault\aspalpha\aspnum\faauto\adjustright\rin0\lin0\itap0\pararsid11353503 \rtlch\fcs1 \af0\afs20\alang1025 \ltrch\fcs0 \b\fs24\lang1045\langfe2057\cgrid\langnp1045\langfenp2057 {\rtlch\fcs1 \af0 _x000d__x000a_\ltrch\fcs0 \cs17\b0\v\f1\fs20\cf9\insrsid8731784\charrsid11226589 &lt;RepeatBlock-By&gt;}{\rtlch\fcs1 \af0 \ltrch\fcs0 \insrsid8731784\charrsid11226589 #}{\rtlch\fcs1 \af1 \ltrch\fcs0 \cs18\v\f1\fs20\cf15\insrsid8731784\charrsid11226589 (MOD@InsideLoop()}{_x000d__x000a_\rtlch\fcs1 \af0 \ltrch\fcs0 \insrsid8731784\charrsid11226589 ##}{\rtlch\fcs1 \af1 \ltrch\fcs0 \cs18\v\f1\fs20\cf15\insrsid8731784\charrsid11226589 &gt;&gt;&gt;@[ZMEMBERSMSG]@}{\rtlch\fcs1 \af0 \ltrch\fcs0 \insrsid8731784\charrsid11226589 #}{\rtlch\fcs1 \af0 _x000d__x000a_\ltrch\fcs0 \cs17\b0\v\f1\fs20\cf9\insrsid8731784\charrsid11226589 &lt;Members&gt;}{\rtlch\fcs1 \af0 \ltrch\fcs0 \insrsid8731784\charrsid11226589 #}{\rtlch\fcs1 \af1 \ltrch\fcs0 \cs18\v\f1\fs20\cf15\insrsid8731784\charrsid11226589 (MOD@InsideLoop(\'a7)}{_x000d__x000a_\rtlch\fcs1 \af0 \ltrch\fcs0 \insrsid8731784\charrsid11226589 #}{\rtlch\fcs1 \af0 \ltrch\fcs0 \cf10\insrsid8731784\charrsid11226589 \u9668\'3f}{\rtlch\fcs1 \af0 \ltrch\fcs0 \insrsid8731784\charrsid11226589 #}{\rtlch\fcs1 \af1 \ltrch\fcs0 _x000d__x000a_\cs18\v\f1\fs20\cf15\insrsid8731784\charrsid11226589 TVTMEMBERS\'a7@MEMBERS@}{\rtlch\fcs1 \af0 \ltrch\fcs0 \insrsid8731784\charrsid11226589 #}{\rtlch\fcs1 \af0 \ltrch\fcs0 \cf10\insrsid8731784\charrsid11226589 \u9658\'3f}{\rtlch\fcs1 \af0 \ltrch\fcs0 _x000d__x000a_\cs17\b0\v\f1\fs20\cf9\insrsid8731784\charrsid11226589 &lt;/Members&gt;}{\rtlch\fcs1 \af0 \ltrch\fcs0 \insrsid8731784\charrsid11226589 _x000d__x000a_\par }\pard\plain \ltrpar\ql \li0\ri0\widctlpar\wrapdefault\aspalpha\aspnum\faauto\adjustright\rin0\lin0\itap0\pararsid11353503 \rtlch\fcs1 \af0\afs20\alang1025 \ltrch\fcs0 \fs24\lang2057\langfe2057\cgrid\langnp2057\langfenp2057 {\rtlch\fcs1 \af0 \ltrch\fcs0 _x000d__x000a_\cs17\v\f1\fs20\cf9\lang1045\langfe2057\langnp1045\insrsid8731784\charrsid11226589 &lt;AuNomDe&gt;&lt;OptDel&gt;}{\rtlch\fcs1 \af0 \ltrch\fcs0 \lang1045\langfe2057\langnp1045\insrsid8731784\charrsid11226589 #}{\rtlch\fcs1 \af1 \ltrch\fcs0 _x000d__x000a_\cs18\v\f1\fs20\cf15\lang1045\langfe2057\langnp1045\insrsid8731784\charrsid11226589 MNU[ONBEHALFYES][NOTAPP]@CHOICE@}{\rtlch\fcs1 \af0 \ltrch\fcs0 \lang1045\langfe2057\langnp1045\insrsid8731784\charrsid11226589 #}{\rtlch\fcs1 \af0 \ltrch\fcs0 _x000d__x000a_\cs17\v\f1\fs20\cf9\lang1045\langfe2057\langnp1045\insrsid8731784\charrsid11226589 &lt;/OptDel&gt;&lt;/AuNomDe&gt;}{\rtlch\fcs1 \af0 \ltrch\fcs0 \lang1045\langfe2057\langnp1045\insrsid8731784\charrsid11226589 _x000d__x000a_\par &lt;&lt;&lt;}{\rtlch\fcs1 \af0 \ltrch\fcs0 \cs17\v\f1\fs20\cf9\lang1045\langfe2057\langnp1045\insrsid8731784\charrsid11226589 &lt;/RepeatBlock-By&gt;}{\rtlch\fcs1 \af0 \ltrch\fcs0 \lang1045\langfe2057\langnp1045\insrsid8731784\charrsid11226589 _x000d__x000a_\par }\pard\plain \ltrpar\s21\ql \li0\ri0\nowidctlpar\wrapdefault\aspalpha\aspnum\faauto\adjustright\rin0\lin0\itap0\pararsid11353503 \rtlch\fcs1 \af0\afs20\alang1025 \ltrch\fcs0 \b\fs24\lang1045\langfe2057\cgrid\langnp1045\langfenp2057 {\rtlch\fcs1 \af0 _x000d__x000a_\ltrch\fcs0 \cs17\b0\v\f1\fs20\cf9\insrsid8731784\charrsid11226589 &lt;DocAmend&gt;}{\rtlch\fcs1 \af0 \ltrch\fcs0 \insrsid8731784\charrsid11226589 #}{\rtlch\fcs1 \af1 \ltrch\fcs0 \cs18\v\f1\fs20\cf15\insrsid8731784\charrsid11226589 _x000d__x000a_MNU[DOC1][DOC2][DOC3]@CHOICE@DOCMNU}{\rtlch\fcs1 \af0 \ltrch\fcs0 \insrsid8731784\charrsid11226589 #}{\rtlch\fcs1 \af0 \ltrch\fcs0 \cs17\b0\v\f1\fs20\cf9\insrsid8731784\charrsid11226589 &lt;/DocAmend&gt;}{\rtlch\fcs1 \af0 \ltrch\fcs0 _x000d__x000a_\insrsid8731784\charrsid11226589 _x000d__x000a_\par }\pard \ltrpar\s21\ql \li0\ri0\nowidctlpar\wrapdefault\aspalpha\aspnum\faauto\adjustright\rin0\lin0\itap0\pararsid7949889 {\rtlch\fcs1 \af0 \ltrch\fcs0 \cs17\b0\v\f1\fs20\cf9\insrsid8731784\charrsid11226589 &lt;Article&gt;}{\rtlch\fcs1 \af0 \ltrch\fcs0 _x000d__x000a_\cf10\insrsid8731784\charrsid11226589 \u9668\'3f}{\rtlch\fcs1 \af0 \ltrch\fcs0 \insrsid8731784\charrsid11226589 #}{\rtlch\fcs1 \af1 \ltrch\fcs0 \cs18\v\f1\fs20\cf15\insrsid8731784\charrsid11226589 TVTAMPART@AMPART@}{\rtlch\fcs1 \af0 \ltrch\fcs0 _x000d__x000a_\insrsid8731784\charrsid11226589 #}{\rtlch\fcs1 \af0 \ltrch\fcs0 \cf10\insrsid8731784\charrsid11226589 \u9658\'3f}{\rtlch\fcs1 \af0 \ltrch\fcs0 \cs17\b0\v\f1\fs20\cf9\insrsid8731784\charrsid11226589 &lt;/Article&gt;}{\rtlch\fcs1 \af0 \ltrch\fcs0 _x000d__x000a_\insrsid8731784\charrsid11226589 _x000d__x000a_\par \ltrrow}\trowd \ltrrow\ts11\trqc\trgaph340\trleft0\trftsWidth3\trwWidth9752\trftsWidthB3\trpaddl340\trpaddr340\trpaddfl3\trpaddft3\trpaddfb3\trpaddfr3\tblrsid7949889\tblind0\tblindtype3 \clvertalt\clbrdrt\brdrtbl \clbrdrl\brdrtbl \clbrdrb\brdrtbl \clbrdrr_x000d__x000a_\brdrtbl \cltxlrtb\clftsWidth3\clwWidth9752\clshdrawnil \cellx9752\pard\plain \ltrpar\ql \li0\ri0\keepn\widctlpar\intbl\wrapdefault\aspalpha\aspnum\faauto\adjustright\rin0\lin0\pararsid13053803 \rtlch\fcs1 \af0\afs20\alang1025 \ltrch\fcs0 _x000d__x000a_\fs24\lang2057\langfe2057\cgrid\langnp2057\langfenp2057 {\rtlch\fcs1 \af0 \ltrch\fcs0 \lang1045\langfe2057\langnp1045\insrsid8731784\charrsid11226589 \cell }\pard\plain \ltrpar_x000d__x000a_\ql \li0\ri0\widctlpar\intbl\wrapdefault\aspalpha\aspnum\faauto\adjustright\rin0\lin0 \rtlch\fcs1 \af0\afs20\alang1025 \ltrch\fcs0 \fs24\lang2057\langfe2057\cgrid\langnp2057\langfenp2057 {\rtlch\fcs1 \af0 \ltrch\fcs0 _x000d__x000a_\lang1045\langfe2057\langnp1045\insrsid8731784\charrsid11226589 \trowd \ltrrow\ts11\trqc\trgaph340\trleft0\trftsWidth3\trwWidth9752\trftsWidthB3\trpaddl340\trpaddr340\trpaddfl3\trpaddft3\trpaddfb3\trpaddfr3\tblrsid7949889\tblind0\tblindtype3 \clvertalt_x000d__x000a_\clbrdrt\brdrtbl \clbrdrl\brdrtbl \clbrdrb\brdrtbl \clbrdrr\brdrtbl \cltxlrtb\clftsWidth3\clwWidth9752\clshdrawnil \cellx9752\row \ltrrow}\trowd \ltrrow_x000d__x000a_\ts11\trqc\trgaph340\trleft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2\qc \li0\ri0\sa240\keepn\nowidctlpar\intbl\wrapdefault\aspalpha\aspnum\faauto\adjustright\rin0\lin0\pararsid13053803 \rtlch\fcs1 \af0\afs20\alang1025 \ltrch\fcs0 \i\fs24\lang1045\langfe2057\cgrid\langnp1045\langfenp2057 {\rtlch\fcs1 \af0 \ltrch\fcs0 _x000d__x000a_\insrsid8731784\charrsid11226589 #}{\rtlch\fcs1 \af1 \ltrch\fcs0 \cs18\v\f1\fs20\cf15\insrsid8731784\charrsid11226589 MNU[DOC1][DOC2][DOC3]@CHOICE@DOCMNU}{\rtlch\fcs1 \af0 \ltrch\fcs0 \insrsid8731784\charrsid11226589 #\cell Poprawka\cell _x000d__x000a_}\pard\plain \ltrpar\ql \li0\ri0\widctlpar\intbl\wrapdefault\aspalpha\aspnum\faauto\adjustright\rin0\lin0 \rtlch\fcs1 \af0\afs20\alang1025 \ltrch\fcs0 \fs24\lang2057\langfe2057\cgrid\langnp2057\langfenp2057 {\rtlch\fcs1 \af0 \ltrch\fcs0 _x000d__x000a_\lang1045\langfe2057\langnp1045\insrsid8731784\charrsid11226589 \trowd \ltrrow\ts11\trqc\trgaph340\trleft0\trftsWidth3\trwWidth9752\trftsWidthB3\trpaddl340\trpaddr340\trpaddfl3\trpaddft3\trpaddfb3\trpaddfr3\tblrsid7949889\tblind0\tblindtype3 \clvertalt_x000d__x000a_\clbrdrt\brdrtbl \clbrdrl\brdrtbl \clbrdrb\brdrtbl \clbrdrr\brdrtbl \cltxlrtb\clftsWidth3\clwWidth4876\clshdrawnil \cellx4876\clvertalt\clbrdrt\brdrtbl \clbrdrl\brdrtbl \clbrdrb\brdrtbl \clbrdrr\brdrtbl \cltxlrtb\clftsWidth3\clwWidth4876\clshdrawnil _x000d__x000a_\cellx9752\row \ltrrow}\pard\plain \ltrpar\s20\ql \li0\ri0\sa120\nowidctlpar\intbl\wrapdefault\aspalpha\aspnum\faauto\adjustright\rin0\lin0\pararsid7949889 \rtlch\fcs1 \af0\afs20\alang1025 \ltrch\fcs0 _x000d__x000a_\fs24\lang1045\langfe2057\cgrid\langnp1045\langfenp2057 {\rtlch\fcs1 \af0 \ltrch\fcs0 \insrsid8731784\charrsid11226589 ##\cell ##}{\rtlch\fcs1 \af0\afs24 \ltrch\fcs0 \insrsid8731784\charrsid11226589 \cell }\pard\plain \ltrpar_x000d__x000a_\ql \li0\ri0\widctlpar\intbl\wrapdefault\aspalpha\aspnum\faauto\adjustright\rin0\lin0 \rtlch\fcs1 \af0\afs20\alang1025 \ltrch\fcs0 \fs24\lang2057\langfe2057\cgrid\langnp2057\langfenp2057 {\rtlch\fcs1 \af0 \ltrch\fcs0 _x000d__x000a_\lang1045\langfe2057\langnp1045\insrsid8731784\charrsid11226589 \trowd \lastrow \ltrrow\ts11\trqc\trgaph340\trleft0\trftsWidth3\trwWidth9752\trftsWidthB3\trpaddl340\trpaddr340\trpaddfl3\trpaddft3\trpaddfb3\trpaddfr3\tblrsid7949889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row }\pard\plain \ltrpar\s19\qr \li0\ri0\sb240\sa240\nowidctlpar\wrapdefault\aspalpha\aspnum\faauto\adjustright\rin0\lin0\itap0\pararsid7949889 \rtlch\fcs1 \af0\afs20\alang1025 \ltrch\fcs0 _x000d__x000a_\fs24\lang1045\langfe2057\cgrid\langnp1045\langfenp2057 {\rtlch\fcs1 \af0 \ltrch\fcs0 \insrsid8731784\charrsid11226589 Or. }{\rtlch\fcs1 \af0 \ltrch\fcs0 \cs17\v\f1\fs20\cf9\insrsid8731784\charrsid11226589 &lt;Original&gt;}{\rtlch\fcs1 \af0 \ltrch\fcs0 _x000d__x000a_\insrsid8731784\charrsid11226589 #}{\rtlch\fcs1 \af1 \ltrch\fcs0 \cs18\v\f1\fs20\cf15\insrsid8731784\charrsid11226589 KEY(MAIN/LANGMIN)sh@ORLANGMSG@}{\rtlch\fcs1 \af0 \ltrch\fcs0 \insrsid8731784\charrsid11226589 #}{\rtlch\fcs1 \af0 \ltrch\fcs0 _x000d__x000a_\cs17\v\f1\fs20\cf9\insrsid8731784\charrsid11226589 &lt;/Original&gt;}{\rtlch\fcs1 \af0 \ltrch\fcs0 \insrsid8731784\charrsid11226589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1\fs20\cf9\lang1045\langfe2057\langnp1045\insrsid8731784\charrsid11226589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29_x000d__x000a_0c1a3d3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09"/>
    <w:docVar w:name="TXTLANGUE" w:val="PL"/>
    <w:docVar w:name="TXTLANGUEMIN" w:val="pl"/>
    <w:docVar w:name="TXTNRFIRSTAM" w:val="768"/>
    <w:docVar w:name="TXTNRLASTAM" w:val="1019"/>
    <w:docVar w:name="TXTNRPE" w:val="765.314"/>
    <w:docVar w:name="TXTPEorAP" w:val="PE"/>
    <w:docVar w:name="TXTROUTE" w:val="AM\1309978PL.docx"/>
    <w:docVar w:name="TXTVERSION" w:val="01-00"/>
  </w:docVars>
  <w:rsids>
    <w:rsidRoot w:val="00DC2DE0"/>
    <w:rsid w:val="000058AA"/>
    <w:rsid w:val="00072B4B"/>
    <w:rsid w:val="0011298B"/>
    <w:rsid w:val="0012108E"/>
    <w:rsid w:val="00125041"/>
    <w:rsid w:val="0015022B"/>
    <w:rsid w:val="00175062"/>
    <w:rsid w:val="001767FD"/>
    <w:rsid w:val="001B1694"/>
    <w:rsid w:val="001C108E"/>
    <w:rsid w:val="001C6BFC"/>
    <w:rsid w:val="00262416"/>
    <w:rsid w:val="00271CCD"/>
    <w:rsid w:val="0029334F"/>
    <w:rsid w:val="002A3EAA"/>
    <w:rsid w:val="002B6DE3"/>
    <w:rsid w:val="002B799B"/>
    <w:rsid w:val="002C22FB"/>
    <w:rsid w:val="002F0149"/>
    <w:rsid w:val="00307E56"/>
    <w:rsid w:val="003C7A69"/>
    <w:rsid w:val="003D7856"/>
    <w:rsid w:val="004106BA"/>
    <w:rsid w:val="0044299E"/>
    <w:rsid w:val="00444941"/>
    <w:rsid w:val="004B02E9"/>
    <w:rsid w:val="004D02AB"/>
    <w:rsid w:val="004E4A92"/>
    <w:rsid w:val="005D04A2"/>
    <w:rsid w:val="005E5FA1"/>
    <w:rsid w:val="00663E24"/>
    <w:rsid w:val="006838B3"/>
    <w:rsid w:val="006D0514"/>
    <w:rsid w:val="00742225"/>
    <w:rsid w:val="00794E41"/>
    <w:rsid w:val="007964AA"/>
    <w:rsid w:val="007B1846"/>
    <w:rsid w:val="007C1252"/>
    <w:rsid w:val="007E54B7"/>
    <w:rsid w:val="007F22E4"/>
    <w:rsid w:val="008305E9"/>
    <w:rsid w:val="00866CBA"/>
    <w:rsid w:val="00873A27"/>
    <w:rsid w:val="008A665D"/>
    <w:rsid w:val="008B040A"/>
    <w:rsid w:val="0093376E"/>
    <w:rsid w:val="0095177E"/>
    <w:rsid w:val="00952F4F"/>
    <w:rsid w:val="009531F4"/>
    <w:rsid w:val="00954A54"/>
    <w:rsid w:val="009B54E9"/>
    <w:rsid w:val="009C2758"/>
    <w:rsid w:val="00A530BE"/>
    <w:rsid w:val="00A57C56"/>
    <w:rsid w:val="00A7559D"/>
    <w:rsid w:val="00A771CC"/>
    <w:rsid w:val="00A804CE"/>
    <w:rsid w:val="00A836A6"/>
    <w:rsid w:val="00AD3D9F"/>
    <w:rsid w:val="00AE20EB"/>
    <w:rsid w:val="00B4019F"/>
    <w:rsid w:val="00B43C20"/>
    <w:rsid w:val="00BA6C62"/>
    <w:rsid w:val="00BE6658"/>
    <w:rsid w:val="00BF6585"/>
    <w:rsid w:val="00C4749E"/>
    <w:rsid w:val="00C663AB"/>
    <w:rsid w:val="00C72F6B"/>
    <w:rsid w:val="00C83592"/>
    <w:rsid w:val="00C8689A"/>
    <w:rsid w:val="00CA7F28"/>
    <w:rsid w:val="00CF4E9D"/>
    <w:rsid w:val="00D2257D"/>
    <w:rsid w:val="00D34123"/>
    <w:rsid w:val="00D35B06"/>
    <w:rsid w:val="00D42F84"/>
    <w:rsid w:val="00DA7120"/>
    <w:rsid w:val="00DC19A9"/>
    <w:rsid w:val="00DC1DD4"/>
    <w:rsid w:val="00DC2DE0"/>
    <w:rsid w:val="00DC3244"/>
    <w:rsid w:val="00DC36BD"/>
    <w:rsid w:val="00DF038C"/>
    <w:rsid w:val="00E14F1A"/>
    <w:rsid w:val="00E51171"/>
    <w:rsid w:val="00E67987"/>
    <w:rsid w:val="00EA1780"/>
    <w:rsid w:val="00EF54D2"/>
    <w:rsid w:val="00F00EA5"/>
    <w:rsid w:val="00F15510"/>
    <w:rsid w:val="00F20F19"/>
    <w:rsid w:val="00F457AA"/>
    <w:rsid w:val="00F54FD9"/>
    <w:rsid w:val="00F61FB2"/>
    <w:rsid w:val="00F925F1"/>
    <w:rsid w:val="00FA7F93"/>
    <w:rsid w:val="00FB3CF9"/>
    <w:rsid w:val="00FF64CB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BD08881"/>
  <w15:chartTrackingRefBased/>
  <w15:docId w15:val="{4459ED6F-51EB-4C13-8B1D-5728E888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1CC"/>
    <w:pPr>
      <w:widowControl w:val="0"/>
    </w:pPr>
    <w:rPr>
      <w:sz w:val="24"/>
      <w:lang w:val="pl-PL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napToGrid w:val="0"/>
      <w:sz w:val="48"/>
      <w:lang w:eastAsia="en-US"/>
    </w:rPr>
  </w:style>
  <w:style w:type="character" w:customStyle="1" w:styleId="HideTWBExt">
    <w:name w:val="HideTWBExt"/>
    <w:basedOn w:val="DefaultParagraphFont"/>
    <w:rPr>
      <w:rFonts w:ascii="Arial" w:hAnsi="Arial" w:cs="Arial"/>
      <w:b w:val="0"/>
      <w:i w:val="0"/>
      <w:strike w:val="0"/>
      <w:noProof/>
      <w:vanish/>
      <w:color w:val="000080"/>
      <w:sz w:val="20"/>
    </w:rPr>
  </w:style>
  <w:style w:type="character" w:customStyle="1" w:styleId="HideTWBInt">
    <w:name w:val="HideTWBInt"/>
    <w:basedOn w:val="DefaultParagraphFont"/>
    <w:rPr>
      <w:rFonts w:ascii="Arial" w:hAnsi="Arial" w:cs="Arial"/>
      <w:noProof/>
      <w:vanish/>
      <w:color w:val="808080"/>
      <w:sz w:val="20"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styleId="Header">
    <w:name w:val="header"/>
    <w:basedOn w:val="Normal"/>
    <w:link w:val="HeaderChar"/>
    <w:rsid w:val="00F20F19"/>
    <w:pPr>
      <w:tabs>
        <w:tab w:val="center" w:pos="4513"/>
        <w:tab w:val="right" w:pos="9026"/>
      </w:tabs>
    </w:pPr>
  </w:style>
  <w:style w:type="paragraph" w:customStyle="1" w:styleId="NormalBold">
    <w:name w:val="NormalBold"/>
    <w:basedOn w:val="Normal"/>
    <w:rsid w:val="00794E41"/>
    <w:rPr>
      <w:b/>
    </w:rPr>
  </w:style>
  <w:style w:type="paragraph" w:customStyle="1" w:styleId="EPName">
    <w:name w:val="EPName"/>
    <w:basedOn w:val="Normal"/>
    <w:rsid w:val="002A3EA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794E41"/>
    <w:pPr>
      <w:spacing w:after="480"/>
      <w:ind w:left="1417"/>
    </w:pPr>
  </w:style>
  <w:style w:type="paragraph" w:customStyle="1" w:styleId="CoverNormal">
    <w:name w:val="CoverNormal"/>
    <w:basedOn w:val="Normal"/>
    <w:rsid w:val="00794E41"/>
    <w:pPr>
      <w:ind w:left="1418"/>
    </w:pPr>
  </w:style>
  <w:style w:type="paragraph" w:customStyle="1" w:styleId="CoverReference">
    <w:name w:val="CoverReference"/>
    <w:basedOn w:val="Normal"/>
    <w:rsid w:val="00A57C5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794E41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794E41"/>
    <w:pPr>
      <w:spacing w:before="240" w:after="1200"/>
    </w:pPr>
  </w:style>
  <w:style w:type="paragraph" w:customStyle="1" w:styleId="CoverDocType24a">
    <w:name w:val="CoverDocType24a"/>
    <w:basedOn w:val="Normal"/>
    <w:rsid w:val="00EA1780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ColumnHeading">
    <w:name w:val="AmColumnHeading"/>
    <w:basedOn w:val="Normal"/>
    <w:rsid w:val="007B1846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794E41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overBold">
    <w:name w:val="CoverBold"/>
    <w:basedOn w:val="Normal"/>
    <w:rsid w:val="007B1846"/>
    <w:pPr>
      <w:ind w:left="1417"/>
    </w:pPr>
    <w:rPr>
      <w:b/>
    </w:rPr>
  </w:style>
  <w:style w:type="table" w:styleId="TableGrid">
    <w:name w:val="Table Grid"/>
    <w:basedOn w:val="TableNormal"/>
    <w:rsid w:val="00CF4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F4E9D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F4E9D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F4E9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A3EA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A3EAA"/>
    <w:pPr>
      <w:jc w:val="right"/>
    </w:pPr>
  </w:style>
  <w:style w:type="paragraph" w:customStyle="1" w:styleId="EPFooter">
    <w:name w:val="EPFooter"/>
    <w:basedOn w:val="Normal"/>
    <w:rsid w:val="00BE6658"/>
    <w:pPr>
      <w:tabs>
        <w:tab w:val="center" w:pos="4535"/>
        <w:tab w:val="right" w:pos="9071"/>
      </w:tabs>
      <w:spacing w:before="240" w:after="240"/>
    </w:pPr>
    <w:rPr>
      <w:sz w:val="22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DA7120"/>
    <w:pPr>
      <w:keepLines/>
      <w:spacing w:after="24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customStyle="1" w:styleId="HeaderChar">
    <w:name w:val="Header Char"/>
    <w:basedOn w:val="DefaultParagraphFont"/>
    <w:link w:val="Header"/>
    <w:rsid w:val="00F20F19"/>
    <w:rPr>
      <w:sz w:val="24"/>
    </w:rPr>
  </w:style>
  <w:style w:type="paragraph" w:customStyle="1" w:styleId="AmCrossRef">
    <w:name w:val="AmCrossRef"/>
    <w:basedOn w:val="Normal"/>
    <w:rsid w:val="00F00EA5"/>
    <w:pPr>
      <w:spacing w:before="240" w:after="240"/>
      <w:jc w:val="center"/>
    </w:pPr>
    <w:rPr>
      <w:i/>
      <w:szCs w:val="24"/>
      <w:lang w:val="en-GB" w:eastAsia="en-US"/>
    </w:rPr>
  </w:style>
  <w:style w:type="character" w:customStyle="1" w:styleId="EPFooter2Motto">
    <w:name w:val="EPFooter2Motto"/>
    <w:rsid w:val="00F00EA5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rsid w:val="00F00EA5"/>
    <w:pPr>
      <w:widowControl w:val="0"/>
      <w:tabs>
        <w:tab w:val="center" w:pos="6800"/>
        <w:tab w:val="right" w:pos="15020"/>
      </w:tabs>
    </w:pPr>
    <w:rPr>
      <w:sz w:val="22"/>
      <w:lang w:eastAsia="en-US"/>
    </w:rPr>
  </w:style>
  <w:style w:type="paragraph" w:customStyle="1" w:styleId="Normal0">
    <w:name w:val="Normal0"/>
    <w:basedOn w:val="Normal"/>
    <w:rsid w:val="00F00EA5"/>
    <w:rPr>
      <w:sz w:val="0"/>
      <w:szCs w:val="24"/>
      <w:lang w:val="en-GB" w:eastAsia="en-US"/>
    </w:rPr>
  </w:style>
  <w:style w:type="paragraph" w:customStyle="1" w:styleId="EPFooter2Landscape">
    <w:name w:val="EPFooter2Landscape"/>
    <w:rsid w:val="00F00EA5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  <w:lang w:eastAsia="en-US"/>
    </w:rPr>
  </w:style>
  <w:style w:type="character" w:customStyle="1" w:styleId="EPFooter2Middle">
    <w:name w:val="EPFooter2Middle"/>
    <w:rsid w:val="00F00EA5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rsid w:val="00F00EA5"/>
    <w:rPr>
      <w:color w:val="FFFFFF"/>
      <w:szCs w:val="24"/>
      <w:shd w:val="clear" w:color="000000" w:fill="000000"/>
      <w:lang w:val="en-GB" w:eastAsia="en-US"/>
    </w:rPr>
  </w:style>
  <w:style w:type="character" w:customStyle="1" w:styleId="CMissingStyle">
    <w:name w:val="C_MissingStyle"/>
    <w:rsid w:val="00F00EA5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rsid w:val="00F00EA5"/>
    <w:pPr>
      <w:spacing w:after="240"/>
    </w:pPr>
    <w:rPr>
      <w:szCs w:val="24"/>
      <w:lang w:val="en-GB" w:eastAsia="en-US"/>
    </w:rPr>
  </w:style>
  <w:style w:type="paragraph" w:styleId="Footer">
    <w:name w:val="footer"/>
    <w:basedOn w:val="Normal"/>
    <w:link w:val="FooterChar"/>
    <w:semiHidden/>
    <w:rsid w:val="002C22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2C22FB"/>
    <w:rPr>
      <w:sz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152</Pages>
  <Words>29628</Words>
  <Characters>235115</Characters>
  <Application>Microsoft Office Word</Application>
  <DocSecurity>0</DocSecurity>
  <Lines>10222</Lines>
  <Paragraphs>2974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261769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subject/>
  <dc:creator>European Parliament</dc:creator>
  <cp:keywords/>
  <dc:description/>
  <cp:lastModifiedBy>European Parliament</cp:lastModifiedBy>
  <cp:revision>2</cp:revision>
  <cp:lastPrinted>2003-08-28T15:32:00Z</cp:lastPrinted>
  <dcterms:created xsi:type="dcterms:W3CDTF">2024-12-04T09:30:00Z</dcterms:created>
  <dcterms:modified xsi:type="dcterms:W3CDTF">2024-12-04T09:30:00Z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Created with">
    <vt:lpwstr>9.8.2 Build [20200114]</vt:lpwstr>
  </property>
  <property fmtid="{D5CDD505-2E9C-101B-9397-08002B2CF9AE}" pid="4" name="LastEdited with">
    <vt:lpwstr>10.0.0 Build [20241005]</vt:lpwstr>
  </property>
  <property fmtid="{D5CDD505-2E9C-101B-9397-08002B2CF9AE}" pid="5" name="&lt;FdR&gt;">
    <vt:lpwstr>1309978</vt:lpwstr>
  </property>
  <property fmtid="{D5CDD505-2E9C-101B-9397-08002B2CF9AE}" pid="6" name="&lt;Type&gt;">
    <vt:lpwstr>AM</vt:lpwstr>
  </property>
  <property fmtid="{D5CDD505-2E9C-101B-9397-08002B2CF9AE}" pid="7" name="&lt;ModelCod&gt;">
    <vt:lpwstr>C:\Users\C-Diana.Zeipe\AppData\Local\DocEP\DOCS\AM\AM_NonLeg\AM_Com_NonLeg\AM_Com_NonLegReport.dotx(17/04/2020 19:26:12)</vt:lpwstr>
  </property>
  <property fmtid="{D5CDD505-2E9C-101B-9397-08002B2CF9AE}" pid="8" name="&lt;ModelTra&gt;">
    <vt:lpwstr>C:\Users\C-Diana.Zeipe\AppData\Local\DocEP\TRANSFIL\PL\AM_Com_NonLegReport.PL(02/07/2020 09:58:00)</vt:lpwstr>
  </property>
  <property fmtid="{D5CDD505-2E9C-101B-9397-08002B2CF9AE}" pid="9" name="&lt;Model&gt;">
    <vt:lpwstr>AM_Com_NonLegReport</vt:lpwstr>
  </property>
  <property fmtid="{D5CDD505-2E9C-101B-9397-08002B2CF9AE}" pid="10" name="FooterPath">
    <vt:lpwstr>AM\1309978PL.docx</vt:lpwstr>
  </property>
  <property fmtid="{D5CDD505-2E9C-101B-9397-08002B2CF9AE}" pid="11" name="PE number">
    <vt:lpwstr>765.314</vt:lpwstr>
  </property>
  <property fmtid="{D5CDD505-2E9C-101B-9397-08002B2CF9AE}" pid="12" name="Bookout">
    <vt:lpwstr>OK - 2024/12/04 10:28</vt:lpwstr>
  </property>
</Properties>
</file>