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Výbor pro zahraniční věci</w:t>
      </w:r>
      <w:r>
        <w:rPr>
          <w:rStyle w:val="HideTWBExt"/>
        </w:rPr>
        <w:t>&lt;/Commission&gt;</w:t>
      </w:r>
    </w:p>
    <w:p>
      <w:pPr>
        <w:pStyle w:val="LineBottom"/>
      </w:pPr>
      <w:r>
        <w:t xml:space="preserve"> </w:t>
      </w:r>
    </w:p>
    <w:p>
      <w:pPr>
        <w:pStyle w:val="CoverReference"/>
      </w:pPr>
      <w:r>
        <w:rPr>
          <w:rStyle w:val="HideTWBExt"/>
        </w:rPr>
        <w:t>&lt;RefProc&gt;</w:t>
      </w:r>
      <w:r>
        <w:t>2025/2023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{04/03/2025}</w:t>
      </w:r>
      <w:r>
        <w:t>4. 3. 2025</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324</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Nacho Sánchez Amor</w:t>
      </w:r>
      <w:r>
        <w:rPr>
          <w:rStyle w:val="HideTWBExt"/>
        </w:rPr>
        <w:t>&lt;/Rapporteur&gt;</w:t>
      </w:r>
    </w:p>
    <w:p>
      <w:pPr>
        <w:pStyle w:val="CoverNormal24a"/>
      </w:pPr>
      <w:r>
        <w:rPr>
          <w:rStyle w:val="HideTWBExt"/>
        </w:rPr>
        <w:t>&lt;DocRefPE&gt;</w:t>
      </w:r>
      <w:r>
        <w:t>(PE767.988v01-00)</w:t>
      </w:r>
      <w:r>
        <w:rPr>
          <w:rStyle w:val="HideTWBExt"/>
        </w:rPr>
        <w:t>&lt;/DocRefPE&gt;</w:t>
      </w:r>
    </w:p>
    <w:p>
      <w:pPr>
        <w:pStyle w:val="CoverNormal"/>
      </w:pPr>
      <w:r>
        <w:rPr>
          <w:rStyle w:val="HideTWBExt"/>
        </w:rPr>
        <w:t>&lt;Titre&gt;</w:t>
      </w:r>
      <w:r>
        <w:t>Zprávy Komise o Turecku z let 2023 a 2024</w:t>
      </w:r>
      <w:r>
        <w:rPr>
          <w:rStyle w:val="HideTWBExt"/>
        </w:rPr>
        <w:t>&lt;/Titre&gt;</w:t>
      </w:r>
    </w:p>
    <w:p>
      <w:pPr>
        <w:pStyle w:val="CoverNormal24a"/>
      </w:pPr>
      <w:r>
        <w:rPr>
          <w:rStyle w:val="HideTWBExt"/>
        </w:rPr>
        <w:t>&lt;DocRef&gt;</w:t>
      </w:r>
      <w:r>
        <w:t>(2025/2023(INI))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 ohledem na závěry Evropské rady ze dne 17. a 18. dubna 2024, 23. června 2022 </w:t>
            </w:r>
            <w:r>
              <w:rPr>
                <w:b/>
                <w:i/>
              </w:rPr>
              <w:t>a</w:t>
            </w:r>
            <w:r>
              <w:t xml:space="preserve"> 24. června 2021 a na všechny předchozí příslušné závěry Rady a Evropské rady,</w:t>
            </w:r>
          </w:p>
        </w:tc>
        <w:tc>
          <w:tcPr>
            <w:tcW w:w="4876" w:type="dxa"/>
            <w:tcBorders>
              <w:top w:val="nil"/>
              <w:left w:val="nil"/>
              <w:bottom w:val="nil"/>
              <w:right w:val="nil"/>
            </w:tcBorders>
          </w:tcPr>
          <w:p>
            <w:pPr>
              <w:pStyle w:val="Normal6a"/>
            </w:pPr>
            <w:r>
              <w:rPr>
                <w:b/>
                <w:i/>
              </w:rPr>
              <w:t>–</w:t>
            </w:r>
            <w:r>
              <w:tab/>
            </w:r>
            <w:r>
              <w:t xml:space="preserve">s ohledem na závěry Evropské rady ze dne 17. a 18. dubna 2024, </w:t>
            </w:r>
            <w:r>
              <w:rPr>
                <w:b/>
                <w:i/>
              </w:rPr>
              <w:t>30. června 2023,</w:t>
            </w:r>
            <w:r>
              <w:t xml:space="preserve"> 23. června 2022</w:t>
            </w:r>
            <w:r>
              <w:rPr>
                <w:b/>
                <w:i/>
              </w:rPr>
              <w:t>,</w:t>
            </w:r>
            <w:r>
              <w:t xml:space="preserve"> 24. června 2021</w:t>
            </w:r>
            <w:r>
              <w:rPr>
                <w:b/>
                <w:i/>
              </w:rPr>
              <w:t>, 12. prosince 2019</w:t>
            </w:r>
            <w:r>
              <w:t xml:space="preserve"> a na všechny předchozí příslušné závěry Rady a Evropské rady,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 ohledem na závěry Evropské rady ze dne 17. a 18. dubna 2024, 23. června 2022 a 24. června 2021 a na všechny předchozí příslušné závěry Rady a Evropské rady,</w:t>
            </w:r>
          </w:p>
        </w:tc>
        <w:tc>
          <w:tcPr>
            <w:tcW w:w="4876" w:type="dxa"/>
            <w:tcBorders>
              <w:top w:val="nil"/>
              <w:left w:val="nil"/>
              <w:bottom w:val="nil"/>
              <w:right w:val="nil"/>
            </w:tcBorders>
          </w:tcPr>
          <w:p>
            <w:pPr>
              <w:pStyle w:val="Normal6a"/>
            </w:pPr>
            <w:r>
              <w:rPr>
                <w:b/>
                <w:i/>
              </w:rPr>
              <w:t>–</w:t>
            </w:r>
            <w:r>
              <w:tab/>
            </w:r>
            <w:r>
              <w:t>s ohledem na závěry Evropské rady ze dne 17. a 18. dubna 2024</w:t>
            </w:r>
            <w:r>
              <w:rPr>
                <w:b/>
                <w:i/>
              </w:rPr>
              <w:t>, 30. června 2023</w:t>
            </w:r>
            <w:r>
              <w:t>, 23. června 2022 a 24. června 2021 a na všechny předchozí příslušné závěry Rady a Evropské rady,</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 ohledem na závěry Evropské rady ze dne 17. a 18. dubna 2024, 23. června 2022 a 24. června 2021 a na všechny předchozí příslušné závěry Rady a Evropské rady,</w:t>
            </w:r>
          </w:p>
        </w:tc>
        <w:tc>
          <w:tcPr>
            <w:tcW w:w="4876" w:type="dxa"/>
            <w:tcBorders>
              <w:top w:val="nil"/>
              <w:left w:val="nil"/>
              <w:bottom w:val="nil"/>
              <w:right w:val="nil"/>
            </w:tcBorders>
          </w:tcPr>
          <w:p>
            <w:pPr>
              <w:pStyle w:val="Normal6a"/>
            </w:pPr>
            <w:r>
              <w:rPr>
                <w:b/>
                <w:i/>
              </w:rPr>
              <w:t>–</w:t>
            </w:r>
            <w:r>
              <w:tab/>
            </w:r>
            <w:r>
              <w:t>s ohledem na závěry Evropské rady ze dne 17. a 18. dubna 2024</w:t>
            </w:r>
            <w:r>
              <w:rPr>
                <w:b/>
                <w:i/>
              </w:rPr>
              <w:t>, 30. června 2023</w:t>
            </w:r>
            <w:r>
              <w:t>, 23. června 2022 a 24. června 2021 a na všechny předchozí příslušné závěry Rady a Evropské rady,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 ohledem na závěry Evropské rady ze dne 17. a 18. dubna 2024, 23. června 2022 a 24. června 2021 a na všechny předchozí příslušné závěry Rady a Evropské rady,</w:t>
            </w:r>
          </w:p>
        </w:tc>
        <w:tc>
          <w:tcPr>
            <w:tcW w:w="4876" w:type="dxa"/>
            <w:tcBorders>
              <w:top w:val="nil"/>
              <w:left w:val="nil"/>
              <w:bottom w:val="nil"/>
              <w:right w:val="nil"/>
            </w:tcBorders>
          </w:tcPr>
          <w:p>
            <w:pPr>
              <w:pStyle w:val="Normal6a"/>
            </w:pPr>
            <w:r>
              <w:rPr>
                <w:b/>
                <w:i/>
              </w:rPr>
              <w:t>–</w:t>
            </w:r>
            <w:r>
              <w:tab/>
            </w:r>
            <w:r>
              <w:t>s ohledem na závěry Evropské rady ze dne 17. a 18. dubna 2024</w:t>
            </w:r>
            <w:r>
              <w:rPr>
                <w:b/>
                <w:i/>
              </w:rPr>
              <w:t>, 30. června 2023</w:t>
            </w:r>
            <w:r>
              <w:t>, 23. června 2022 a 24. června 2021 a na všechny předchozí příslušné závěry Rady a Evropské rady,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 ohledem na závěry Evropské rady ze dne 17. a 18. dubna 2024, 23. června 2022 a 24. června 2021 a na všechny předchozí příslušné závěry Rady a Evropské rady,</w:t>
            </w:r>
          </w:p>
        </w:tc>
        <w:tc>
          <w:tcPr>
            <w:tcW w:w="4876" w:type="dxa"/>
            <w:tcBorders>
              <w:top w:val="nil"/>
              <w:left w:val="nil"/>
              <w:bottom w:val="nil"/>
              <w:right w:val="nil"/>
            </w:tcBorders>
          </w:tcPr>
          <w:p>
            <w:pPr>
              <w:pStyle w:val="Normal6a"/>
            </w:pPr>
            <w:r>
              <w:rPr>
                <w:b/>
                <w:i/>
              </w:rPr>
              <w:t>–</w:t>
            </w:r>
            <w:r>
              <w:tab/>
            </w:r>
            <w:r>
              <w:t>s ohledem na závěry Evropské rady ze dne 17. a 18. dubna 2024</w:t>
            </w:r>
            <w:r>
              <w:rPr>
                <w:b/>
                <w:i/>
              </w:rPr>
              <w:t>, 30. června 2022</w:t>
            </w:r>
            <w:r>
              <w:t>, 23. června 2022 a 24. června 2021 a na všechny předchozí příslušné závěry Rady a Evropské rady,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 s ohledem na společný postoj Rady 2008/944/SZBP o vývozu zbraní, které mohou být použity k vnitřní represi a agresi vůči třetím zemím,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členství Turecka v Radě Evropy a v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dohodu mezi Evropskou unií a Tureckou republikou o zpětném přebírání neoprávněně pobývajících osob („dohoda mezi EU a Tureckem o zpětném přebírání osob“),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dohodu mezi Evropskou unií a Tureckou republikou o zpětném přebírání neoprávněně pobývajících osob („dohoda mezi EU a Tureckem o zpětném přebírání osob“),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 ohledem na rámec pro jednání s Tureckem ze dne 3. října 2005,</w:t>
            </w:r>
          </w:p>
        </w:tc>
        <w:tc>
          <w:tcPr>
            <w:tcW w:w="4876" w:type="dxa"/>
            <w:tcBorders>
              <w:top w:val="nil"/>
              <w:left w:val="nil"/>
              <w:bottom w:val="nil"/>
              <w:right w:val="nil"/>
            </w:tcBorders>
          </w:tcPr>
          <w:p>
            <w:pPr>
              <w:pStyle w:val="Normal6a"/>
            </w:pPr>
            <w:r>
              <w:rPr>
                <w:b/>
                <w:i/>
              </w:rPr>
              <w:t>–</w:t>
            </w:r>
            <w:r>
              <w:tab/>
            </w:r>
            <w:r>
              <w:t>s ohledem na rámec pro jednání s Tureckem ze dne 3. října 2005</w:t>
            </w:r>
            <w:r>
              <w:rPr>
                <w:b/>
                <w:i/>
              </w:rPr>
              <w:t> a na mandát, který obsahuje a podle něhož závisí potenciální přistoupení Turecka k Evropské unii - stejně jako v případě všech kandidátských zemí - mimo jiné na plném dodržování kodaňských kritérií a na normalizaci jeho vztahů se všemi členskými státy EU, včetně Kyperské republiky</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 ohledem na rámec pro jednání s Tureckem ze dne 3. října 2005,</w:t>
            </w:r>
          </w:p>
        </w:tc>
        <w:tc>
          <w:tcPr>
            <w:tcW w:w="4876" w:type="dxa"/>
            <w:tcBorders>
              <w:top w:val="nil"/>
              <w:left w:val="nil"/>
              <w:bottom w:val="nil"/>
              <w:right w:val="nil"/>
            </w:tcBorders>
          </w:tcPr>
          <w:p>
            <w:pPr>
              <w:pStyle w:val="Normal6a"/>
            </w:pPr>
            <w:r>
              <w:rPr>
                <w:b/>
                <w:i/>
              </w:rPr>
              <w:t>–</w:t>
            </w:r>
            <w:r>
              <w:tab/>
            </w:r>
            <w:r>
              <w:t xml:space="preserve">s ohledem na rámec pro jednání s Tureckem ze dne 3. října 2005 </w:t>
            </w:r>
            <w:r>
              <w:rPr>
                <w:b/>
                <w:i/>
              </w:rPr>
              <w:t>a na mandát, který je jeho součástí a podle nějž případné přistoupení Turecka k EU, stejně jako v případě všech přistupujících zemí, závisí mimo jiné na důsledném plnění kodaňských kritérií a na normalizaci jeho vztahů se všemi členskými státy EU, včetně Kyperské republiky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 ohledem na rámec pro jednání s Tureckem ze dne 3. října 2005,</w:t>
            </w:r>
          </w:p>
        </w:tc>
        <w:tc>
          <w:tcPr>
            <w:tcW w:w="4876" w:type="dxa"/>
            <w:tcBorders>
              <w:top w:val="nil"/>
              <w:left w:val="nil"/>
              <w:bottom w:val="nil"/>
              <w:right w:val="nil"/>
            </w:tcBorders>
          </w:tcPr>
          <w:p>
            <w:pPr>
              <w:pStyle w:val="Normal6a"/>
            </w:pPr>
            <w:r>
              <w:rPr>
                <w:b/>
                <w:i/>
              </w:rPr>
              <w:t>–</w:t>
            </w:r>
            <w:r>
              <w:tab/>
            </w:r>
            <w:r>
              <w:t xml:space="preserve">s ohledem na rámec pro jednání s Tureckem ze dne 3. října 2005 </w:t>
            </w:r>
            <w:r>
              <w:rPr>
                <w:b/>
                <w:i/>
              </w:rPr>
              <w:t>a na mandát, který je jeho součástí a podle nějž případné přistoupení Turecka k EU, stejně jako v případě všech přistupujících zemí, závisí mimo jiné na důsledném plnění kodaňských kritérií a na normalizaci jeho vztahů se všemi členskými státy EU, včetně Kyperské republiky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 ohledem na rámec pro jednání s Tureckem ze dne 3. října 2005,</w:t>
            </w:r>
          </w:p>
        </w:tc>
        <w:tc>
          <w:tcPr>
            <w:tcW w:w="4876" w:type="dxa"/>
            <w:tcBorders>
              <w:top w:val="nil"/>
              <w:left w:val="nil"/>
              <w:bottom w:val="nil"/>
              <w:right w:val="nil"/>
            </w:tcBorders>
          </w:tcPr>
          <w:p>
            <w:pPr>
              <w:pStyle w:val="Normal6a"/>
            </w:pPr>
            <w:r>
              <w:rPr>
                <w:b/>
                <w:i/>
              </w:rPr>
              <w:t>–</w:t>
            </w:r>
            <w:r>
              <w:tab/>
            </w:r>
            <w:r>
              <w:t xml:space="preserve">s ohledem na rámec pro jednání s Tureckem ze dne 3. října 2005 </w:t>
            </w:r>
            <w:r>
              <w:rPr>
                <w:b/>
                <w:i/>
              </w:rPr>
              <w:t>a na plné dodržování kodaňských kritérií, jejichž splnění zůstává podmínkou úspěšného výsledku jakéhokoli procesu přistoupení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prohlášení Evropského společenství a jeho členských států ze dne 21. září 2005 v návaznosti na prohlášení učiněné Tureckem při podpisu dodatkového protokolu k ankarské dohodě dne 29. července 2005, včetně ustanovení, že nezbytnou součástí procesu jednání je uznání všech členských států a že Turecko musí podniknout kroky k normalizaci svých vztahů se všemi členskými státy a v plném rozsahu provést dodatkový protokol k ankarské dohodě ve vztahu ke všem členským státům odstraněním všech překážek volného pohybu zboží, včetně omezení dopravních prostředků, bez předsudků nebo diskriminace,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prohlášení Evropského společenství a jeho členských států ze dne 21. září 2005 v návaznosti na prohlášení učiněné Tureckem při podpisu dodatkového protokolu k ankarské dohodě dne 29. července 2005, včetně ustanovení, že nezbytnou součástí procesu jednání je uznání všech členských států a že Turecko musí podniknout kroky k normalizaci svých vztahů se všemi členskými státy a v plném rozsahu provést dodatkový protokol k ankarské dohodě ve vztahu ke všem členským státům odstraněním všech překážek volného pohybu zboží, včetně omezení dopravních prostředků, bez předsudků nebo diskriminace,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prohlášení tehdejšího Evropského společenství a jeho členských států ze dne 21. září 2005 v návaznosti na jednostranné prohlášení učiněné Tureckem při podpisu Ankarského protokolu dne 29. července 2005, v němž je uvedeno, že nezbytnou součástí procesu přistoupení je uznání všech členských států a že Turecko musí podniknout kroky k normalizaci svých vztahů se všemi členskými státy a v plném rozsahu provést dodatkový protokol k Ankarské dohodě ve vztahu ke všem členským státům odstraněním všech překážek volného pohybu zboží, včetně omezení dopravních prostředků, aniž by byly dotčeny nebo opomenuty jakékoli závazky,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prohlášení tehdejšího Evropského společenství a jeho členských států ze dne 21. září 2005 v návaznosti na prohlášení učiněné Tureckem při podpisu dodatkového protokolu k ankarské dohodě dne 29. července 2005, včetně ustanovení uvádějícího, že nezbytnou součástí procesu jednání je uznání všech členských států, jakož i úplné provedení dodatkového protokolu k ankarské dohodě ve vztahu ke všem členským státům odstraněním všech překážek volného pohybu zboží, včetně omezení dopravních prostředků, bez předsudků nebo diskriminace,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prohlášení tehdejšího Evropského společenství a jeho členských států ze dne 21. září 2005 v návaznosti na prohlášení učiněné Tureckem při podpisu dodatkového protokolu k ankarské dohodě dne 29. července 2005, včetně ustanovení uvádějícího, že nezbytnou součástí procesu jednání je uznání všech členských států, jakož i úplné provedení dodatkového protokolu k ankarské dohodě ve vztahu ke všem členským státům odstraněním všech překážek volného pohybu zboží, včetně omezení dopravních prostředků, bez předsudků nebo diskriminace,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závěry Rady z prosince 2006 a března 2020 a na závěry předsednictví ze zasedání Evropské rady v Kodani ve dnech 21.–22. června 1993, známé rovněž jako kodaňská kritéria,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závěry zasedání Rady ze dne 17. prosince 2024 a 12. prosince 2023 o rozšíření,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závěry Rady z roku 2018, 2019, 2021 a 2022 v tom smyslu, že jednání o přistoupení Turecka se tímto v podstatě zastavují, nelze uvažovat o otevření či uzavření žádných dalších kapitol a nepočítá se s dalším úsilím o modernizaci celní unie mezi EU a Tureckem,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rezoluci Parlamentního shromáždění Rady Evropy ze dne 12. října 2022 s názvem „The honouring of obligations and commitments by Türkiye“ (Plnění povinností a závazků ze strany Turecka) a na související zprávu monitorovacího výboru ze dne 14. září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mezinárodní mořské právo a úmluvu UNCLOS, která obsahuje zásady mezinárodního obyčejového práva, které jsou právně závazné pro všechny státy, přestože nejsou jeho signatáři, včetně Turecka,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29. února 2024 o prohloubení integrace EU s ohledem na budoucí rozšíření,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rámec omezujících opatření, který EU zavedla dne 11. listopadu 2019 v důsledku nepovolených vrtných činností Turecka ve východním Středomoří a jejichž platnost byla prodloužena dne 12. listopadu 2020 a 12. listopadu 2021, naposledy rozhodnutím Rady (SZBP) 2024/2936 ze dne 25. listopadu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6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Úmluvu OSN o mořském právu (UNCLOS),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 ohledem na společné sdělení Komise a vysokého představitele Unie pro zahraniční věci a bezpečnostní politiku Evropské radě ze dne 29. listopadu 2023 o aktuálním stavu politických, hospodářských a obchodních vztahů mezi EU a Tureckem (JOIN(2023)0050),</w:t>
            </w:r>
          </w:p>
        </w:tc>
        <w:tc>
          <w:tcPr>
            <w:tcW w:w="4876" w:type="dxa"/>
            <w:tcBorders>
              <w:top w:val="nil"/>
              <w:left w:val="nil"/>
              <w:bottom w:val="nil"/>
              <w:right w:val="nil"/>
            </w:tcBorders>
          </w:tcPr>
          <w:p>
            <w:pPr>
              <w:pStyle w:val="Normal6a"/>
            </w:pPr>
            <w:r>
              <w:rPr>
                <w:b/>
                <w:i/>
              </w:rPr>
              <w:t>–</w:t>
            </w:r>
            <w:r>
              <w:tab/>
            </w:r>
            <w:r>
              <w:t xml:space="preserve">s ohledem na společné sdělení Komise a vysokého představitele Unie pro zahraniční věci a bezpečnostní politiku Evropské radě ze dne 29. listopadu 2023 </w:t>
            </w:r>
            <w:r>
              <w:rPr>
                <w:b/>
                <w:i/>
              </w:rPr>
              <w:t>a 22. března 2021</w:t>
            </w:r>
            <w:r>
              <w:t xml:space="preserve"> o aktuálním stavu politických, hospodářských a obchodních vztahů mezi EU a Tureckem (JOIN(2023)0050 </w:t>
            </w:r>
            <w:r>
              <w:rPr>
                <w:b/>
                <w:i/>
              </w:rPr>
              <w:t>a JOIN(2021)0008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 ohledem na sdělení Komise ze dne </w:t>
            </w:r>
            <w:r>
              <w:rPr>
                <w:b/>
                <w:i/>
              </w:rPr>
              <w:t>26. září 2023</w:t>
            </w:r>
            <w:r>
              <w:t xml:space="preserve"> s názvem „</w:t>
            </w:r>
            <w:r>
              <w:rPr>
                <w:b/>
                <w:i/>
              </w:rPr>
              <w:t>Sedmá</w:t>
            </w:r>
            <w:r>
              <w:t xml:space="preserve"> výroční zpráva o nástroji pro uprchlíky v Turecku“ (</w:t>
            </w:r>
            <w:r>
              <w:rPr>
                <w:b/>
                <w:i/>
              </w:rPr>
              <w:t>COM(2023)0543</w:t>
            </w:r>
            <w:r>
              <w:t>),</w:t>
            </w:r>
          </w:p>
        </w:tc>
        <w:tc>
          <w:tcPr>
            <w:tcW w:w="4876" w:type="dxa"/>
            <w:tcBorders>
              <w:top w:val="nil"/>
              <w:left w:val="nil"/>
              <w:bottom w:val="nil"/>
              <w:right w:val="nil"/>
            </w:tcBorders>
          </w:tcPr>
          <w:p>
            <w:pPr>
              <w:pStyle w:val="Normal6a"/>
            </w:pPr>
            <w:r>
              <w:rPr>
                <w:b/>
                <w:i/>
              </w:rPr>
              <w:t>–</w:t>
            </w:r>
            <w:r>
              <w:tab/>
            </w:r>
            <w:r>
              <w:t xml:space="preserve">s ohledem na sdělení Komise ze dne </w:t>
            </w:r>
            <w:r>
              <w:rPr>
                <w:b/>
                <w:i/>
              </w:rPr>
              <w:t>19. prosince 2024</w:t>
            </w:r>
            <w:r>
              <w:t xml:space="preserve"> s názvem „</w:t>
            </w:r>
            <w:r>
              <w:rPr>
                <w:b/>
                <w:i/>
              </w:rPr>
              <w:t>Osmá</w:t>
            </w:r>
            <w:r>
              <w:t xml:space="preserve"> výroční zpráva o nástroji pro uprchlíky v Turecku“ (</w:t>
            </w:r>
            <w:r>
              <w:rPr>
                <w:b/>
                <w:i/>
              </w:rPr>
              <w:t>COM(2024)0593 final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rámec omezujících opatření, který EU zavedla dne 11. listopadu 2019 v reakci na nepovolené vrtné činnosti Turecka ve východním Středomoří, naposledy obnovený rozhodnutím Rady (SZBP) 2024/2936 ze dne 25. listopadu 2024, kterým se mění rozhodnutí (SZBP) 2019/1894 o omezujících opatřeních vzhledem k nepovoleným vrtným činnostem Turecka ve východním Středomoří,</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rámec omezujících opatření, který EU zavedla dne 11. listopadu 2019 v reakci na protiprávní vrtné činnosti Turecka ve východním Středomoří, naposledy obnovený rozhodnutím Rady (SZBP) 2024/2936 ze dne 25. listopadu 2024, kterým se mění rozhodnutí (SZBP) 2019/1894 o omezujících opatřeních vzhledem k nepovoleným vrtným činnostem Turecka ve východním Středomoří,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rámec omezujících opatření, který EU zavedla dne 11. listopadu 2019 v reakci na protiprávní vrtné činnosti Turecka ve východním Středomoří, naposledy obnovený rozhodnutím Rady (SZBP) 2024/2936 ze dne 25. listopadu 2024, kterým se mění rozhodnutí (SZBP) 2019/1894 o omezujících opatřeních vzhledem k nepovoleným vrtným činnostem Turecka ve východním Středomoří,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rámec omezujících opatření, který EU zavedla dne 11. listopadu 2019 v reakci na protiprávní vrtné činnosti Turecka ve východním Středomoří, naposledy obnovený rozhodnutím Rady (SZBP) 2024/2936 ze dne 25. listopadu 2024, kterým se mění rozhodnutí (SZBP) 2019/1894 o omezujících opatřeních vzhledem k nepovoleným vrtným činnostem Turecka ve východním Středomoří,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rezoluci Parlamentního shromáždění Rady Evropy č. 2459 (2022) ze dne 12. října 2022 nazvanou „Dodržování povinností a závazků ze strany Turecka“,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připomíná zvláštní zprávu Evropského účetního dvora č. 27/2018 týkající se nástroje pro uprchlíky v Turecku,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8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rezoluci Parlamentního shromáždění Rady Evropy ze dne 12. října 2022 s názvem „The honouring of obligations and commitments by Türkiye“ (Plnění povinností a závazků ze strany Turecka) a na související zprávu monitorovacího výboru ze dne 14. září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článek 46 Evropské úmluvy o lidských právech (EÚLP), v němž se smluvní strany zavazují, že se budou řídit konečným rozsudkem Evropského soudu pro lidská práva (ESLP) ve všech sporech, jichž jsou stranami, a tudíž na povinnost Turecka provést všechny rozsudky Evropského soudu pro lidská práva,</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 ohledem na článek 46 Evropské úmluvy o lidských právech (EÚLP), v němž se smluvní strany zavazují, že se budou řídit konečným rozsudkem Evropského soudu pro lidská práva (ESLP) ve všech sporech, jichž jsou stranami, a tudíž na povinnost Turecka provést všechny rozsudky Evropského soudu pro lidská práva,</w:t>
            </w:r>
          </w:p>
        </w:tc>
        <w:tc>
          <w:tcPr>
            <w:tcW w:w="4876" w:type="dxa"/>
            <w:tcBorders>
              <w:top w:val="nil"/>
              <w:left w:val="nil"/>
              <w:bottom w:val="nil"/>
              <w:right w:val="nil"/>
            </w:tcBorders>
          </w:tcPr>
          <w:p>
            <w:pPr>
              <w:pStyle w:val="Normal6a"/>
            </w:pPr>
            <w:r>
              <w:rPr>
                <w:b/>
                <w:i/>
              </w:rPr>
              <w:t>–</w:t>
            </w:r>
            <w:r>
              <w:tab/>
            </w:r>
            <w:r>
              <w:t xml:space="preserve">s ohledem na článek 46 Evropské úmluvy o lidských právech (EÚLP), v němž se smluvní strany zavazují, že se budou řídit konečným rozsudkem Evropského soudu pro lidská práva (ESLP) ve všech sporech, jichž jsou stranami, a tudíž na povinnost Turecka provést všechny rozsudky Evropského soudu pro lidská práva </w:t>
            </w:r>
            <w:r>
              <w:rPr>
                <w:b/>
                <w:i/>
              </w:rPr>
              <w:t>a všech evropských soudů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příslušné rezoluce Rady bezpečnosti OSN o Kypru, včetně rezoluce 186(1964) ze dne 4. března 1964, která znovu potvrzuje svrchovanost Kyperské republiky, rezoluce 550(1984) ze dne 11. května 1984 o separatistických akcích na Kypru a rezoluce 789(1992) ze dne 25. listopadu 1992, v níž se všechny zúčastněné strany kyperské otázky naléhavě vyzývají, aby se zavázaly k opatřením na budování důvěry stanoveným v této rezoluci, a s ohledem na skutečnost, že je v těchto rezolucích uznáno, že snahy osídlit jakoukoli část Varoši jinými lidmi než jejími obyvateli jsou nepřípustné, a vyzýváno k tomu, aby byla tato oblast převedena pod správu Organizace spojených národů;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příslušné rezoluce Rady bezpečnosti OSN o Kypru, včetně rezoluce 186(1964) ze dne 4. března 1964, která znovu potvrzuje svrchovanost Kyperské republiky, rezoluce 550(1984) ze dne 11. května 1984 o separatistických akcích na Kypru a rezoluce 789(1992) ze dne 25. listopadu 1992, v níž se všechny zúčastněné strany kyperské otázky naléhavě vyzývají, aby se zavázaly k opatřením na budování důvěry stanoveným v této rezoluci, a s ohledem na skutečnost, že je v těchto rezolucích uznáno, že snahy osídlit jakoukoli část Varoši jinými lidmi než jejími obyvateli jsou nepřípustné, a vyzýváno k tomu, aby byla tato oblast převedena pod správu Organizace spojených národů;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příslušné rezoluce Rady bezpečnosti OSN o Kypru, včetně rezoluce 186 (1964) ze dne 4. března 1964, která potvrzuje svrchovanost Kyperské republiky, a rezoluce 550 (1984) ze dne 11. května 1984 o separatistických akcích na Kypru, v nichž se uvádí, že pokusy o usazení v kterékoli části Varoši jsou nepřijatelné,</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prohlášení vysokého představitele, místopředsedy Komise Josepa Borrella o pokusech legitimizovat separatistický subjekt kyperských Turků, které se odehrály dne 7. listopadu 2024, a o účasti premiéra Orbána na neformálním summitu Organizace turkických států dne 6. července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prohlášení vysokého představitele, místopředsedy Komise Josepa Borrella o pokusech legitimizovat separatistický subjekt kyperských Turků, které se odehrály dne 7. listopadu 2024, a o účasti premiéra Orbána na neformálním summitu Organizace turkických států dne 6. července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Úmluvu Organizace spojených národů o mořském právu (UNCLOS), která kodifikuje mezinárodní obyčejové právo a je právně závazná pro všechny státy,</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Úmluvu Organizace spojených národů o mořském právu (UNCLOS), která kodifikuje mezinárodní obyčejové právo a je právně závazná pro všechny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Úmluvu Organizace spojených národů o mořském právu (UNCLOS), která kodifikuje mezinárodní obyčejové právo a je právně závazná pro všechny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zejména na rozsudek Evropského soudu pro lidská práva (ESLP) ze dne 10. května 2001,</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 ohledem na příslušná usnesení výboru ministrů Rady Evropy,</w:t>
            </w:r>
          </w:p>
        </w:tc>
        <w:tc>
          <w:tcPr>
            <w:tcW w:w="4876" w:type="dxa"/>
            <w:tcBorders>
              <w:top w:val="nil"/>
              <w:left w:val="nil"/>
              <w:bottom w:val="nil"/>
              <w:right w:val="nil"/>
            </w:tcBorders>
          </w:tcPr>
          <w:p>
            <w:pPr>
              <w:pStyle w:val="Normal6a"/>
            </w:pPr>
            <w:r>
              <w:rPr>
                <w:b/>
                <w:i/>
              </w:rPr>
              <w:t>–</w:t>
            </w:r>
            <w:r>
              <w:tab/>
            </w:r>
            <w:r>
              <w:t xml:space="preserve">s ohledem na příslušná usnesení výboru ministrů Rady Evropy, </w:t>
            </w:r>
            <w:r>
              <w:rPr>
                <w:b/>
                <w:i/>
              </w:rPr>
              <w:t>včetně prozatímního usnesení ze dne 16. září 2021 o výkonu rozsudku Evropského soudu pro lidská práva ve věci Kypr v. </w:t>
            </w:r>
            <w:r>
              <w:t xml:space="preserve"> </w:t>
            </w:r>
            <w:r>
              <w:rPr>
                <w:b/>
                <w:i/>
              </w:rPr>
              <w:t>Turecko,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Lucia Yar, Hilde Vautmans, Dan Barna, Nathalie Loiseau, Petras Auštrevičius,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 ohledem na zprávu Freedom in the World </w:t>
            </w:r>
            <w:r>
              <w:rPr>
                <w:b/>
                <w:i/>
              </w:rPr>
              <w:t>2024</w:t>
            </w:r>
            <w:r>
              <w:t>, kterou zveřejnila organizace Freedom House,</w:t>
            </w:r>
          </w:p>
        </w:tc>
        <w:tc>
          <w:tcPr>
            <w:tcW w:w="4876" w:type="dxa"/>
            <w:tcBorders>
              <w:top w:val="nil"/>
              <w:left w:val="nil"/>
              <w:bottom w:val="nil"/>
              <w:right w:val="nil"/>
            </w:tcBorders>
          </w:tcPr>
          <w:p>
            <w:pPr>
              <w:pStyle w:val="Normal6a"/>
            </w:pPr>
            <w:r>
              <w:rPr>
                <w:b/>
                <w:i/>
              </w:rPr>
              <w:t>–</w:t>
            </w:r>
            <w:r>
              <w:tab/>
            </w:r>
            <w:r>
              <w:t xml:space="preserve">s ohledem na zprávu Freedom in the World </w:t>
            </w:r>
            <w:r>
              <w:rPr>
                <w:b/>
                <w:i/>
              </w:rPr>
              <w:t>2025</w:t>
            </w:r>
            <w:r>
              <w:t>, kterou zveřejnila organizace Freedom House,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Lucia Yar, Hilde Vautmans, Dan Barna, Nathalie Loiseau, Petras Auštrevičius,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Světového ekonomického fóra o rozdílech mezi muži a ženami ve světě za rok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Yannis Maniatis, Costas Mavrides,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prohlášení UNESCO ze dne 10. července 2020 o památce světového dědictví v Istanbulu Hagia Sofia a na příslušná rozhodnutí Výboru pro světové dědictví UNESCO 44 COM 7B.58 (2021) a rozhodnutí 45 COM 7B.58 (2023) přijatá na jeho 44. a 45. zasedání,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prohlášení UNESCO ze dne 10. července 2020 o Hagia Sofia v Istanbulu a na příslušné rozhodnutí Výboru pro světové dědictví UNESCO 44 COM 7B.58 (2021) a rozhodnutí 45 COM 7B.58 (2023) přijaté na jeho 44. a 45. zasedání,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prohlášení UNESCO o Hagia Sofia ze dne 10. července 2020,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 ohledem na svá předchozí usnesení o Turecku, zejména na usnesení ze dne 13. září 2023 o zprávě Komise o Turecku za rok 2022</w:t>
            </w:r>
            <w:r>
              <w:rPr>
                <w:vertAlign w:val="superscript"/>
              </w:rPr>
              <w:t>1</w:t>
            </w:r>
            <w:r>
              <w:t>, ze dne 7. června 2022 ke zprávám Komise o Turecku za rok 2021</w:t>
            </w:r>
            <w:r>
              <w:rPr>
                <w:vertAlign w:val="superscript"/>
              </w:rPr>
              <w:t>2</w:t>
            </w:r>
            <w:r>
              <w:t>a ze dne 26. listopadu 2020 o rostoucím napětí ve Varoši po nezákonných aktivitách Turecka a potřebě bezodkladného obnovení rozhovorů</w:t>
            </w:r>
            <w:r>
              <w:rPr>
                <w:vertAlign w:val="superscript"/>
              </w:rPr>
              <w:t>3</w:t>
            </w:r>
            <w:r>
              <w:t>,</w:t>
            </w:r>
          </w:p>
        </w:tc>
        <w:tc>
          <w:tcPr>
            <w:tcW w:w="4876" w:type="dxa"/>
            <w:tcBorders>
              <w:top w:val="nil"/>
              <w:left w:val="nil"/>
              <w:bottom w:val="nil"/>
              <w:right w:val="nil"/>
            </w:tcBorders>
          </w:tcPr>
          <w:p>
            <w:pPr>
              <w:pStyle w:val="Normal6a"/>
            </w:pPr>
            <w:r>
              <w:rPr>
                <w:b/>
                <w:i/>
              </w:rPr>
              <w:t>–</w:t>
            </w:r>
            <w:r>
              <w:tab/>
            </w:r>
            <w:r>
              <w:t xml:space="preserve">s ohledem na svá předchozí usnesení o Turecku, zejména na usnesení ze dne </w:t>
            </w:r>
            <w:r>
              <w:rPr>
                <w:b/>
                <w:i/>
              </w:rPr>
              <w:t>15. dubna 2025 o stém výročí genocidy Arménů, ze dne</w:t>
            </w:r>
            <w:r>
              <w:t xml:space="preserve"> 13. září 2023 o zprávě Komise o Turecku za rok 2022</w:t>
            </w:r>
            <w:r>
              <w:rPr>
                <w:vertAlign w:val="superscript"/>
              </w:rPr>
              <w:t>1</w:t>
            </w:r>
            <w:r>
              <w:t>, ze dne 7. června 2022 ke zprávám Komise o Turecku za rok 2021</w:t>
            </w:r>
            <w:r>
              <w:rPr>
                <w:vertAlign w:val="superscript"/>
              </w:rPr>
              <w:t>2</w:t>
            </w:r>
            <w:r>
              <w:t xml:space="preserve"> a ze dne 26. listopadu 2020 o rostoucím napětí ve Varoši po nezákonných aktivitách Turecka a potřebě bezodkladného obnovení rozhovorů</w:t>
            </w:r>
            <w:r>
              <w:rPr>
                <w:vertAlign w:val="superscript"/>
              </w:rPr>
              <w:t>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Úř. věst. C, C/2024/1760, 22.3.2024, ELI: http://data.europa.eu/eli/C/2024/1760/oj.</w:t>
            </w:r>
          </w:p>
        </w:tc>
        <w:tc>
          <w:tcPr>
            <w:tcW w:w="4876" w:type="dxa"/>
            <w:tcBorders>
              <w:top w:val="nil"/>
              <w:left w:val="nil"/>
              <w:bottom w:val="nil"/>
              <w:right w:val="nil"/>
            </w:tcBorders>
          </w:tcPr>
          <w:p>
            <w:pPr>
              <w:pStyle w:val="Normal6a"/>
            </w:pPr>
            <w:r>
              <w:rPr>
                <w:vertAlign w:val="superscript"/>
              </w:rPr>
              <w:t>1</w:t>
            </w:r>
            <w:r>
              <w:t xml:space="preserve"> </w:t>
            </w:r>
            <w:r>
              <w:t>Úř. věst. C, C/2024/1760, 22.3.2024, ELI: http://data.europa.eu/eli/C/2024/1760/oj.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Úř. věst. C 493, 27.12.2022, s. 2.</w:t>
            </w:r>
          </w:p>
        </w:tc>
        <w:tc>
          <w:tcPr>
            <w:tcW w:w="4876" w:type="dxa"/>
            <w:tcBorders>
              <w:top w:val="nil"/>
              <w:left w:val="nil"/>
              <w:bottom w:val="nil"/>
              <w:right w:val="nil"/>
            </w:tcBorders>
          </w:tcPr>
          <w:p>
            <w:pPr>
              <w:pStyle w:val="Normal6a"/>
            </w:pPr>
            <w:r>
              <w:rPr>
                <w:vertAlign w:val="superscript"/>
              </w:rPr>
              <w:t>2</w:t>
            </w:r>
            <w:r>
              <w:t xml:space="preserve"> </w:t>
            </w:r>
            <w:r>
              <w:t>Úř. věst. C 493, 27.12.2022, s. 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Úř. věst. C 425, 20.10.2021, s. 143.</w:t>
            </w:r>
          </w:p>
        </w:tc>
        <w:tc>
          <w:tcPr>
            <w:tcW w:w="4876" w:type="dxa"/>
            <w:tcBorders>
              <w:top w:val="nil"/>
              <w:left w:val="nil"/>
              <w:bottom w:val="nil"/>
              <w:right w:val="nil"/>
            </w:tcBorders>
          </w:tcPr>
          <w:p>
            <w:pPr>
              <w:pStyle w:val="Normal6a"/>
            </w:pPr>
            <w:r>
              <w:rPr>
                <w:vertAlign w:val="superscript"/>
              </w:rPr>
              <w:t>3</w:t>
            </w:r>
            <w:r>
              <w:t xml:space="preserve"> </w:t>
            </w:r>
            <w:r>
              <w:t>Úř. věst. C 425, 20.10.2021, s. 143.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příslušné rezoluce Rady bezpečnosti OSN o Kypru, včetně rezoluce 186(1964), která znovu potvrzuje kontinuitu Kyperské republiky, 541 (1983) a 550 (1984) o separatistických akcích na Kypru a rezoluce 789(1992), v níž se všechny zúčastněné strany kyperské otázky naléhavě vyzývají, aby se zavázaly k opatřením na budování důvěry stanoveným v této rezoluci, a zároveň znovu potvrzují úvahy z rezoluce 550 (1984), že snahy osídlit jakoukoli část Varoši jinými lidmi než jejími obyvateli jsou nepřípustné, a vyzývá k převedení této oblasti pod správu Organizace spojených národů;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základní zásady mezinárodního práva, Chartu OSN, dohodu na vysoké úrovni mezi vedoucími představiteli obou společenství z roku 1979 a příslušné rezoluce Rady bezpečnosti OSN, zejména rezoluce 541 (1983), 550 (1984), 789 (1992) a 2537 (2020),</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svá předchozí usnesení, zejména na usnesení ze dne 15. dubna 2015 o stém výročí genocidy Arménů a usnesení ze dne 13. února 2025 o nedávném propouštění a zatýkání starostů v Turecku,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svá předchozí usnesení, zejména na usnesení ze dne 15. dubna 2015 o stém výročí genocidy Arménů a na usnesení ze dne 13. února 2025 o nedávném propouštění a zatýkání starostů v Turecku,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15. dubna 2015 o stém výročí genocidy Arménů,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15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to, že Turecko odmítlo podepsat Úmluvu Organizace spojených národů o mořském právu (UNCLOS) z roku 1982,</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15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13. února 2025 o nedávných odvoláních a zatýkání starostů v Turecku,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15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prozatímní usnesení ze dne 2. prosince 2021 o výkonu rozsudku Evropského soudu pro lidská práva ve věci Selahattin Demirtaș v Turecko (č.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své usnesení ze dne 5. května 2022 o případu Osmana Kavaly v Turecku</w:t>
            </w:r>
            <w:r>
              <w:rPr>
                <w:b/>
                <w:i/>
                <w:vertAlign w:val="superscript"/>
              </w:rPr>
              <w:t>4</w:t>
            </w:r>
            <w:r>
              <w:rPr>
                <w:b/>
                <w:i/>
              </w:rPr>
              <w:t>,</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Úř. věst. C 465, 6.12.2022, s. 112.</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 ohledem na své usnesení ze dne 10. října 2024 o případu Bülenta </w:t>
            </w:r>
            <w:r>
              <w:rPr>
                <w:b/>
                <w:i/>
              </w:rPr>
              <w:t>Mumaje</w:t>
            </w:r>
            <w:r>
              <w:t xml:space="preserve"> v Turecku</w:t>
            </w:r>
            <w:r>
              <w:rPr>
                <w:vertAlign w:val="superscript"/>
              </w:rPr>
              <w:t>5</w:t>
            </w:r>
            <w:r>
              <w:t>,</w:t>
            </w:r>
          </w:p>
        </w:tc>
        <w:tc>
          <w:tcPr>
            <w:tcW w:w="4876" w:type="dxa"/>
            <w:tcBorders>
              <w:top w:val="nil"/>
              <w:left w:val="nil"/>
              <w:bottom w:val="nil"/>
              <w:right w:val="nil"/>
            </w:tcBorders>
          </w:tcPr>
          <w:p>
            <w:pPr>
              <w:pStyle w:val="Normal6a"/>
            </w:pPr>
            <w:r>
              <w:rPr>
                <w:b/>
                <w:i/>
              </w:rPr>
              <w:t>–</w:t>
            </w:r>
            <w:r>
              <w:tab/>
            </w:r>
            <w:r>
              <w:t xml:space="preserve">s ohledem na své usnesení ze dne </w:t>
            </w:r>
            <w:r>
              <w:rPr>
                <w:b/>
                <w:i/>
              </w:rPr>
              <w:t>5. května 2022 o případu Osmana Kavaly v Turecku</w:t>
            </w:r>
            <w:r>
              <w:t>4</w:t>
            </w:r>
            <w:r>
              <w:rPr>
                <w:b/>
                <w:i/>
              </w:rPr>
              <w:t>; své usnesení ze dne</w:t>
            </w:r>
            <w:r>
              <w:t xml:space="preserve"> 10. října 2024 o případu Bülenta </w:t>
            </w:r>
            <w:r>
              <w:rPr>
                <w:b/>
                <w:i/>
              </w:rPr>
              <w:t>Mumaye</w:t>
            </w:r>
            <w:r>
              <w:t xml:space="preserve"> v Turecku</w:t>
            </w:r>
            <w:r>
              <w:rPr>
                <w:vertAlign w:val="superscript"/>
              </w:rPr>
              <w:t>5</w:t>
            </w:r>
            <w:r>
              <w:t xml:space="preserve">, </w:t>
            </w:r>
            <w:r>
              <w:rPr>
                <w:b/>
                <w:i/>
              </w:rPr>
              <w:t>své usnesení ze dne 13. února 2025 o nedávných odvoláních a zatýkání starostů v Turecku,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Přijaté texty: P10_TA(2024)0018.</w:t>
            </w:r>
          </w:p>
        </w:tc>
        <w:tc>
          <w:tcPr>
            <w:tcW w:w="4876" w:type="dxa"/>
            <w:tcBorders>
              <w:top w:val="nil"/>
              <w:left w:val="nil"/>
              <w:bottom w:val="nil"/>
              <w:right w:val="nil"/>
            </w:tcBorders>
          </w:tcPr>
          <w:p>
            <w:pPr>
              <w:pStyle w:val="Normal6a"/>
            </w:pPr>
            <w:r>
              <w:rPr>
                <w:vertAlign w:val="superscript"/>
              </w:rPr>
              <w:t>5</w:t>
            </w:r>
            <w:r>
              <w:t xml:space="preserve"> </w:t>
            </w:r>
            <w:r>
              <w:t>Přijaté texty: P10_TA(2024)0018.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Ivaylo Valchev, 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17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usnesení Evropského parlamentu ze dne 13. února 2025 o nedávných odvoláních a zatýkání starostů v Turecku (2025/2546(RSP)),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17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14. února 2025 o nedávných odvoláních a zatýkání starostů v Turecku,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17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13. února 2025 o nedávných odvoláních a zatýkání starostů v Turecku,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17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13. února 2025 o nedávných odvoláních a zatýkání starostů v Turecku,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17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návštěvu předsedkyně Evropské komise Ursuly von der Leyenové v Ankaře v prosinci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19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usnesení Evropského parlamentu ze dne 13. února 2025 o nedávných odvoláních a zatýkání starostů v Turecku (2025/2546(RSP)),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19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protokol č. 10 ke Smlouvě o přistoupení Kyperské republiky k Evropské unii,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Turecko je i nadále kandidátem na vstup do EU a že členství v EU zůstává opakovaně deklarovaným politickým cílem turecké vlády;</w:t>
            </w:r>
          </w:p>
        </w:tc>
        <w:tc>
          <w:tcPr>
            <w:tcW w:w="4876" w:type="dxa"/>
            <w:tcBorders>
              <w:top w:val="nil"/>
              <w:left w:val="nil"/>
              <w:bottom w:val="nil"/>
              <w:right w:val="nil"/>
            </w:tcBorders>
          </w:tcPr>
          <w:p>
            <w:pPr>
              <w:pStyle w:val="Normal6a"/>
            </w:pPr>
            <w:r>
              <w:t>A.</w:t>
            </w:r>
            <w:r>
              <w:tab/>
            </w:r>
            <w:r>
              <w:t xml:space="preserve">vzhledem k tomu, že Turecko je i nadále kandidátem na vstup do EU a že členství v EU zůstává opakovaně deklarovaným politickým cílem turecké vlády; </w:t>
            </w:r>
            <w:r>
              <w:rPr>
                <w:b/>
                <w:i/>
              </w:rPr>
              <w:t>vzhledem k tomu, že přístupová jednání s EU jsou od roku 2018 fakticky zastavena v důsledku zhoršení stavu právního státu a demokracie v Turecku;</w:t>
            </w:r>
            <w:r>
              <w:t xml:space="preserve"> </w:t>
            </w:r>
            <w:r>
              <w:rPr>
                <w:b/>
                <w:i/>
              </w:rPr>
              <w:t>vzhledem k tomu, že je zapotřebí, aby Turecko věrohodně prokázalo své odhodlání mít s EU užší vztahy a dosáhnout většího souladu;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Turecko je i nadále kandidátem na vstup do EU a že členství v EU zůstává opakovaně deklarovaným politickým cílem turecké vlády;</w:t>
            </w:r>
          </w:p>
        </w:tc>
        <w:tc>
          <w:tcPr>
            <w:tcW w:w="4876" w:type="dxa"/>
            <w:tcBorders>
              <w:top w:val="nil"/>
              <w:left w:val="nil"/>
              <w:bottom w:val="nil"/>
              <w:right w:val="nil"/>
            </w:tcBorders>
          </w:tcPr>
          <w:p>
            <w:pPr>
              <w:pStyle w:val="Normal6a"/>
            </w:pPr>
            <w:r>
              <w:t>A.</w:t>
            </w:r>
            <w:r>
              <w:tab/>
            </w:r>
            <w:r>
              <w:t xml:space="preserve">vzhledem k tomu, že Turecko je i nadále kandidátem na vstup do EU a že členství v EU zůstává opakovaně deklarovaným politickým cílem turecké vlády; </w:t>
            </w:r>
            <w:r>
              <w:rPr>
                <w:b/>
                <w:i/>
              </w:rPr>
              <w:t>vzhledem k tomu, že přístupová jednání s EU jsou od roku 2018 fakticky zastavena v důsledku zhoršení stavu právního státu a demokracie v Turecku;</w:t>
            </w:r>
            <w:r>
              <w:t xml:space="preserve"> </w:t>
            </w:r>
            <w:r>
              <w:rPr>
                <w:b/>
                <w:i/>
              </w:rPr>
              <w:t>vzhledem k tomu, že je zapotřebí, aby Turecko věrohodně prokázalo své odhodlání mít s EU užší vztahy a dosáhnout většího souladu;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Turecko je i nadále kandidátem na vstup do EU a že členství v EU zůstává opakovaně deklarovaným politickým cílem turecké vlády;</w:t>
            </w:r>
          </w:p>
        </w:tc>
        <w:tc>
          <w:tcPr>
            <w:tcW w:w="4876" w:type="dxa"/>
            <w:tcBorders>
              <w:top w:val="nil"/>
              <w:left w:val="nil"/>
              <w:bottom w:val="nil"/>
              <w:right w:val="nil"/>
            </w:tcBorders>
          </w:tcPr>
          <w:p>
            <w:pPr>
              <w:pStyle w:val="Normal6a"/>
            </w:pPr>
            <w:r>
              <w:t>A.</w:t>
            </w:r>
            <w:r>
              <w:tab/>
            </w:r>
            <w:r>
              <w:t xml:space="preserve">vzhledem k tomu, že Turecko je i nadále kandidátem na vstup do EU a že členství v EU zůstává opakovaně deklarovaným politickým cílem turecké vlády; </w:t>
            </w:r>
            <w:r>
              <w:rPr>
                <w:b/>
                <w:i/>
              </w:rPr>
              <w:t>nicméně vzhledem tomu, že zeměpisná a historická realita a kulturní a náboženské rozdíly mezi Tureckem a evropskými zeměmi znamenají, že Turecko nemůže vstoupit do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Turecko je i nadále kandidátem na vstup do EU a že členství v EU zůstává opakovaně deklarovaným politickým cílem turecké vlády;</w:t>
            </w:r>
          </w:p>
        </w:tc>
        <w:tc>
          <w:tcPr>
            <w:tcW w:w="4876" w:type="dxa"/>
            <w:tcBorders>
              <w:top w:val="nil"/>
              <w:left w:val="nil"/>
              <w:bottom w:val="nil"/>
              <w:right w:val="nil"/>
            </w:tcBorders>
          </w:tcPr>
          <w:p>
            <w:pPr>
              <w:pStyle w:val="Normal6a"/>
            </w:pPr>
            <w:r>
              <w:t>A.</w:t>
            </w:r>
            <w:r>
              <w:tab/>
            </w:r>
            <w:r>
              <w:t>vzhledem k tomu, že Turecko je i nadále kandidátem na vstup do EU a že členství v EU zůstává opakovaně deklarovaným politickým cílem turecké vlády</w:t>
            </w:r>
            <w:r>
              <w:rPr>
                <w:b/>
                <w:i/>
              </w:rPr>
              <w:t>, ačkoli tento postoj je zcela v rozporu se skutečností, že Turecko v rozporu se všemi pravidly mezinárodního práva okupuje území EU na Kypru</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Turecko je i nadále kandidátem na vstup do EU a že členství v EU zůstává opakovaně deklarovaným politickým cílem turecké vlády;</w:t>
            </w:r>
          </w:p>
        </w:tc>
        <w:tc>
          <w:tcPr>
            <w:tcW w:w="4876" w:type="dxa"/>
            <w:tcBorders>
              <w:top w:val="nil"/>
              <w:left w:val="nil"/>
              <w:bottom w:val="nil"/>
              <w:right w:val="nil"/>
            </w:tcBorders>
          </w:tcPr>
          <w:p>
            <w:pPr>
              <w:pStyle w:val="Normal6a"/>
            </w:pPr>
            <w:r>
              <w:t>A.</w:t>
            </w:r>
            <w:r>
              <w:tab/>
            </w:r>
            <w:r>
              <w:t>vzhledem k tomu, že Turecko je i nadále kandidátem na vstup do EU a že členství v EU zůstává opakovaně deklarovaným politickým cílem turecké vlády</w:t>
            </w:r>
            <w:r>
              <w:rPr>
                <w:b/>
                <w:i/>
              </w:rPr>
              <w:t>, ačkoli se stále více vzdaluje hodnotám a zájmům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Turecko je i nadále kandidátem na vstup do EU a že členství v EU zůstává opakovaně deklarovaným politickým cílem turecké vlády;</w:t>
            </w:r>
          </w:p>
        </w:tc>
        <w:tc>
          <w:tcPr>
            <w:tcW w:w="4876" w:type="dxa"/>
            <w:tcBorders>
              <w:top w:val="nil"/>
              <w:left w:val="nil"/>
              <w:bottom w:val="nil"/>
              <w:right w:val="nil"/>
            </w:tcBorders>
          </w:tcPr>
          <w:p>
            <w:pPr>
              <w:pStyle w:val="Normal6a"/>
            </w:pPr>
            <w:r>
              <w:t>A.</w:t>
            </w:r>
            <w:r>
              <w:tab/>
            </w:r>
            <w:r>
              <w:t xml:space="preserve">vzhledem k tomu, že Turecko je i nadále </w:t>
            </w:r>
            <w:r>
              <w:rPr>
                <w:b/>
                <w:i/>
              </w:rPr>
              <w:t>strategickým partnerem a</w:t>
            </w:r>
            <w:r>
              <w:t xml:space="preserve"> kandidátem na vstup do EU a že členství v EU zůstává opakovaně deklarovaným politickým cílem turecké vlády;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Turecko poskytuje politickou, finanční a logistickou podporu islamistickým skupinám napojeným na Muslimské bratrstvo;</w:t>
            </w:r>
            <w:r>
              <w:t xml:space="preserve"> </w:t>
            </w:r>
            <w:r>
              <w:rPr>
                <w:b/>
                <w:i/>
              </w:rPr>
              <w:t>vzhledem k tomu, že klíčovým prvkem ideologické doktríny Muslimského bratrstva je antisemitismus;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vzhledem k tomu, že státem podporované sdělovací prostředky v Turecku, jako je TRT a Anadolu, opakovaně vysílaly obsah propagující antisemitské konspirační teorie a rétoriku;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od každé přistupující země se očekává, že bude respektovat demokratické hodnoty, právní stát a lidská práva a že bude dodržovat právo EU;</w:t>
            </w:r>
          </w:p>
        </w:tc>
        <w:tc>
          <w:tcPr>
            <w:tcW w:w="4876" w:type="dxa"/>
            <w:tcBorders>
              <w:top w:val="nil"/>
              <w:left w:val="nil"/>
              <w:bottom w:val="nil"/>
              <w:right w:val="nil"/>
            </w:tcBorders>
          </w:tcPr>
          <w:p>
            <w:pPr>
              <w:pStyle w:val="Normal6a"/>
            </w:pPr>
            <w:r>
              <w:t>B.</w:t>
            </w:r>
            <w:r>
              <w:tab/>
            </w:r>
            <w:r>
              <w:t xml:space="preserve">vzhledem k tomu, že od každé přistupující země se očekává, že bude respektovat demokratické hodnoty, právní stát a lidská práva a že bude dodržovat právo EU; </w:t>
            </w:r>
            <w:r>
              <w:rPr>
                <w:b/>
                <w:i/>
              </w:rPr>
              <w:t>vzhledem k tomu, že se od Turecka jako kandidátské země předpokládá ochota postupně přistupovat k acquis EU a dosáhnout s ním souladu ve všech aspektech, včetně hodnot, zájmů, norem a politik, dodržovat a plnit kodaňská kritéria, dosáhnout souladu s politikami a cíli EU a rozvíjet a udržovat dobré sousedské vztahy s EU a všemi jejími členskými státy bez diskriminace;</w:t>
            </w:r>
            <w:r>
              <w:t xml:space="preserve"> </w:t>
            </w:r>
            <w:r>
              <w:rPr>
                <w:b/>
                <w:i/>
              </w:rPr>
              <w:t>vzhledem k tomu, že analýza zpráv EU z posledních let ukazuje, že vzdálenost Turecka od hodnot EU a jejího normativního rámce je stále velká, přičemž v základních oblastech, jako je dodržování mezinárodního práva, právní stát, lidská práva, individuální svobody, občanská práva a svoboda projevu a dobré sousedské vztahy, dokonce dochází k dalšímu vzdalování;</w:t>
            </w:r>
            <w:r>
              <w:t xml:space="preserve"> </w:t>
            </w:r>
            <w:r>
              <w:rPr>
                <w:b/>
                <w:i/>
              </w:rPr>
              <w:t>vzhledem k tomu, že vazby mezi tureckou občanskou společností a prodemokratickými silami a EU jsou i nadále silné, neboť EU je pevně odhodlána poskytovat podporu tureckým občanům a organizacím, které prosazují evropské normy a hodnoty;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od každé přistupující země se očekává, že bude respektovat demokratické hodnoty, právní stát a lidská práva a že bude dodržovat právo EU;</w:t>
            </w:r>
          </w:p>
        </w:tc>
        <w:tc>
          <w:tcPr>
            <w:tcW w:w="4876" w:type="dxa"/>
            <w:tcBorders>
              <w:top w:val="nil"/>
              <w:left w:val="nil"/>
              <w:bottom w:val="nil"/>
              <w:right w:val="nil"/>
            </w:tcBorders>
          </w:tcPr>
          <w:p>
            <w:pPr>
              <w:pStyle w:val="Normal6a"/>
            </w:pPr>
            <w:r>
              <w:t>B.</w:t>
            </w:r>
            <w:r>
              <w:tab/>
            </w:r>
            <w:r>
              <w:t xml:space="preserve">vzhledem k tomu, že od každé přistupující země se očekává, že bude respektovat demokratické hodnoty, právní stát a lidská práva a že bude dodržovat právo EU; </w:t>
            </w:r>
            <w:r>
              <w:rPr>
                <w:b/>
                <w:i/>
              </w:rPr>
              <w:t>vzhledem k tomu, že se od Turecka jako kandidátské země předpokládá ochota postupně přistupovat k acquis EU a dosáhnout s ním souladu ve všech aspektech, včetně hodnot, zájmů, norem a politik, dodržovat a plnit kodaňská kritéria, dosáhnout souladu s politikami a cíli EU a rozvíjet a udržovat dobré sousedské vztahy s EU a všemi jejími členskými státy bez diskriminace;</w:t>
            </w:r>
            <w:r>
              <w:t xml:space="preserve"> </w:t>
            </w:r>
            <w:r>
              <w:rPr>
                <w:b/>
                <w:i/>
              </w:rPr>
              <w:t>vzhledem k tomu, že analýza zpráv EU z posledních let ukazuje, že vzdálenost Turecka od hodnot EU a jejího normativního rámce je stále velká, přičemž v základních oblastech, jako je dodržování mezinárodního práva, právní stát, lidská práva, individuální svobody, občanská práva a svoboda projevu a dobré sousedské vztahy, dokonce dochází k dalšímu vzdalování;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od každé přistupující země se očekává, že bude respektovat demokratické hodnoty, právní stát a lidská práva a že bude dodržovat právo EU;</w:t>
            </w:r>
          </w:p>
        </w:tc>
        <w:tc>
          <w:tcPr>
            <w:tcW w:w="4876" w:type="dxa"/>
            <w:tcBorders>
              <w:top w:val="nil"/>
              <w:left w:val="nil"/>
              <w:bottom w:val="nil"/>
              <w:right w:val="nil"/>
            </w:tcBorders>
          </w:tcPr>
          <w:p>
            <w:pPr>
              <w:pStyle w:val="Normal6a"/>
            </w:pPr>
            <w:r>
              <w:t>B.</w:t>
            </w:r>
            <w:r>
              <w:tab/>
            </w:r>
            <w:r>
              <w:t xml:space="preserve">vzhledem k tomu, že od každé přistupující země se očekává, že bude respektovat demokratické hodnoty, právní stát a lidská práva a že bude dodržovat právo EU; </w:t>
            </w:r>
            <w:r>
              <w:rPr>
                <w:b/>
                <w:i/>
              </w:rPr>
              <w:t>a aby se zdržely jakýchkoli provokací proti členským státům EU, normalizovaly své vztahy se všemi členskými státy EU, zajistily úplné a nediskriminační provádění povinností vyplývajících z rámce pro jednání z roku 2005 a dodatkového protokolu k dohodě o přidružení a udržovaly dobré sousedské vztahy;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od každé přistupující země se očekává, že bude respektovat demokratické hodnoty, právní stát a lidská práva a že bude dodržovat právo EU;</w:t>
            </w:r>
          </w:p>
        </w:tc>
        <w:tc>
          <w:tcPr>
            <w:tcW w:w="4876" w:type="dxa"/>
            <w:tcBorders>
              <w:top w:val="nil"/>
              <w:left w:val="nil"/>
              <w:bottom w:val="nil"/>
              <w:right w:val="nil"/>
            </w:tcBorders>
          </w:tcPr>
          <w:p>
            <w:pPr>
              <w:pStyle w:val="Normal6a"/>
            </w:pPr>
            <w:r>
              <w:t>B.</w:t>
            </w:r>
            <w:r>
              <w:tab/>
            </w:r>
            <w:r>
              <w:t xml:space="preserve">vzhledem k tomu, že od každé přistupující země se očekává, že bude </w:t>
            </w:r>
            <w:r>
              <w:rPr>
                <w:b/>
                <w:i/>
              </w:rPr>
              <w:t>ve všech aspektech</w:t>
            </w:r>
            <w:r>
              <w:t xml:space="preserve"> respektovat demokratické hodnoty, právní stát a lidská práva a že bude dodržovat právo</w:t>
            </w:r>
            <w:r>
              <w:rPr>
                <w:b/>
                <w:i/>
              </w:rPr>
              <w:t>, politiky a cíle EU;</w:t>
            </w:r>
            <w:r>
              <w:t xml:space="preserve"> </w:t>
            </w:r>
            <w:r>
              <w:rPr>
                <w:b/>
                <w:i/>
              </w:rPr>
              <w:t>dodržovat a dodržovat kodaňská kritéria a sladit se s cíli a (zahraničními) politikami EU, včetně režimu sankcí</w:t>
            </w:r>
            <w:r>
              <w:t xml:space="preserv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od každé přistupující země se očekává, že bude respektovat demokratické hodnoty, právní stát a lidská práva a že bude dodržovat právo EU;</w:t>
            </w:r>
          </w:p>
        </w:tc>
        <w:tc>
          <w:tcPr>
            <w:tcW w:w="4876" w:type="dxa"/>
            <w:tcBorders>
              <w:top w:val="nil"/>
              <w:left w:val="nil"/>
              <w:bottom w:val="nil"/>
              <w:right w:val="nil"/>
            </w:tcBorders>
          </w:tcPr>
          <w:p>
            <w:pPr>
              <w:pStyle w:val="Normal6a"/>
            </w:pPr>
            <w:r>
              <w:t>B.</w:t>
            </w:r>
            <w:r>
              <w:tab/>
            </w:r>
            <w:r>
              <w:t xml:space="preserve">vzhledem k tomu, že od každé přistupující země se očekává, že bude respektovat demokratické hodnoty, právní stát a lidská práva a že bude dodržovat právo EU; </w:t>
            </w:r>
            <w:r>
              <w:rPr>
                <w:b/>
                <w:i/>
              </w:rPr>
              <w:t>vzhledem k tomu, že v zájmu oživení jeho evropské perspektivy je zapotřebí, aby Turecko věrohodně prokázalo své odhodlání mít s Evropskou unií užší vztahy a dosáhnout většího souladu;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od každé přistupující země se očekává, že bude respektovat demokratické hodnoty, právní stát a lidská práva a že bude dodržovat právo EU;</w:t>
            </w:r>
          </w:p>
        </w:tc>
        <w:tc>
          <w:tcPr>
            <w:tcW w:w="4876" w:type="dxa"/>
            <w:tcBorders>
              <w:top w:val="nil"/>
              <w:left w:val="nil"/>
              <w:bottom w:val="nil"/>
              <w:right w:val="nil"/>
            </w:tcBorders>
          </w:tcPr>
          <w:p>
            <w:pPr>
              <w:pStyle w:val="Normal6a"/>
            </w:pPr>
            <w:r>
              <w:t>B.</w:t>
            </w:r>
            <w:r>
              <w:tab/>
            </w:r>
            <w:r>
              <w:t xml:space="preserve">vzhledem k tomu, že od každé přistupující země se očekává, že bude respektovat demokratické hodnoty, právní stát a lidská práva a že bude dodržovat právo EU; </w:t>
            </w:r>
            <w:r>
              <w:rPr>
                <w:b/>
                <w:i/>
              </w:rPr>
              <w:t>vzhledem k tomu, že se to vztahuje i na sladění s politikami a postoji Unie, včetně její společné zahraniční a bezpečnostní politiky (SZBP);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Turecko i nadále odmítá uznat Kyperskou republiku a spolupracovat s ní a dosud nesplnilo své povinnosti uvedené v prohlášení Evropského společenství a jeho členských států ze dne 21. září 2005 a ve všech příslušných závěrech Rady, pokud jde o plné a nediskriminační provádění dodatkového protokolu k dohodě o přidružení a odstranění všech překážek volného pohybu zboží, včetně omezení přímých dopravních spojení s Kyperskou republikou;</w:t>
            </w:r>
            <w:r>
              <w:t xml:space="preserve"> </w:t>
            </w:r>
            <w:r>
              <w:rPr>
                <w:b/>
                <w:i/>
              </w:rPr>
              <w:t>vzhledem k tomu, že Turecko stále vetuje žádosti Kyperské republiky o členství v několika mezinárodních organizacích;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Turecko i nadále odmítá uznat Kyperskou republiku a spolupracovat s ní a dosud nesplnilo své povinnosti uvedené v prohlášení Evropského společenství a jeho členských států ze dne 21. září 2005, pokud jde o plné a nediskriminační provádění dodatkového protokolu k dohodě o přidružení a odstranění všech překážek volného pohybu zboží, včetně omezení přímých dopravních spojení s Kyperskou republikou;</w:t>
            </w:r>
            <w:r>
              <w:t xml:space="preserve"> </w:t>
            </w:r>
            <w:r>
              <w:rPr>
                <w:b/>
                <w:i/>
              </w:rPr>
              <w:t>vzhledem k tomu, že Turecko stále vetuje žádosti Kyperské republiky o členství v několika mezinárodních organizacích;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na začátku 20. století tvořily turecké křesťanské komunity na začátku 20. století stále více než 20 % tureckého obyvatelstva, zatímco dnes představují nejvýše 0,5 %;</w:t>
            </w:r>
            <w:r>
              <w:t xml:space="preserve"> </w:t>
            </w:r>
            <w:r>
              <w:rPr>
                <w:b/>
                <w:i/>
              </w:rPr>
              <w:t>vzhledem k tomu, že masový exodus příslušníků těchto komunit, jejichž kořeny v Turecku sahají tisíce let do minulosti, je dalším příkladem hlubokého antagonismu mezi Tureckem a evropskými zeměmi;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přístupová jednání s EU jsou od roku 2018 zastavena v důsledku zhoršení stavu právního státu a demokracie v Turecku;</w:t>
            </w:r>
            <w:r>
              <w:t xml:space="preserve"> </w:t>
            </w:r>
            <w:r>
              <w:rPr>
                <w:b/>
                <w:i/>
              </w:rPr>
              <w:t>vzhledem k tomu, že je nutné, aby Turecko věrohodně prokázalo své odhodlání mít s EU užší vztahy a dosáhnout většího souladu;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Turecko se i nadále snaží zastavit výstavbu propojovacího vedení v oblasti Severního moře, což je projekt společného zájmu EU od roku 2013, a používá k tomu provokací a hrozeb, a to i v řecké výlučné ekonomické zóně;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vzhledem k tomu, že Turecko bylo opakovaně vyzváno, aby se zdrželo všech akcí, které porušují svrchovanost a svrchovaná práva všech členských států EU a jsou v rozporu s mezinárodním právem a právem EU;</w:t>
            </w:r>
            <w:r>
              <w:t xml:space="preserve"> </w:t>
            </w:r>
            <w:r>
              <w:rPr>
                <w:b/>
                <w:i/>
              </w:rPr>
              <w:t>vzhledem k tomu, že navzdory částečnému zmírnění napětí ve východním Středomoří Turecko neukončilo veškeré jednostranné kroky, včetně agresivní rétoriky proti členským státům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vzhledem k tomu, že Turecko bylo opakovaně vyzváno, aby se zdrželo všech akcí, které porušují svrchovanost a svrchovaná práva všech členských států EU a jsou v rozporu s mezinárodním právem a právem EU;</w:t>
            </w:r>
            <w:r>
              <w:t xml:space="preserve"> </w:t>
            </w:r>
            <w:r>
              <w:rPr>
                <w:b/>
                <w:i/>
              </w:rPr>
              <w:t>vzhledem k tomu, že navzdory zmírnění napětí ve východním Středomoří Turecko neukončilo veškeré jednostranné kroky, včetně agresivní rétoriky proti členským státům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vzhledem k tomu, že Turecko pokračuje ve svých snahách zabránit realizaci propojovacího vedení v oblasti Severního moře, což je projekt společného zájmu EU, a trvá na svých plánech na nezákonné propojovací vedení elektřiny se separatistickým subjektem v okupované oblasti Kypru;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vzhledem k tomu, že Turecko pokračovalo ve svých snahách bránit realizaci propojovacího vedení v oblasti Severního moře, což je projekt společného zájmu EU, a trvalo na svých plánech na vytvoření nezákonného elektrického propojovacího vedení se separatistickým subjektem na okupovaném Kypru;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vzhledem k tomu, že Turecko i nadále odmítá rámec dohodnutý OSN, soustavně se zasazuje o „dvoustátní řešení“ na Kypru a v rozporu s příslušnými rezolucemi Rady bezpečnosti OSN prosazuje posílení mezinárodního statusu separatistického subjektu v okupované oblasti Kypru;</w:t>
            </w:r>
            <w:r>
              <w:t xml:space="preserve"> </w:t>
            </w:r>
            <w:r>
              <w:rPr>
                <w:b/>
                <w:i/>
              </w:rPr>
              <w:t>vzhledem k tomu, že Turecká neukončilo své jednostranné akce ve Varoši a dále v nich pokračuje;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vzhledem k tomu, že Turecko i nadále odmítá rámec dohodnutý OSN, soustavně se zasazuje o „dvoustátní řešení“ na Kypru a v rozporu s příslušnými rezolucemi Rady bezpečnosti OSN prosazuje posílení mezinárodního statusu separatistického subjektu na okupovaném Kypru;</w:t>
            </w:r>
            <w:r>
              <w:t xml:space="preserve"> </w:t>
            </w:r>
            <w:r>
              <w:rPr>
                <w:b/>
                <w:i/>
              </w:rPr>
              <w:t>vzhledem k tomu, že Turecká neukončilo své jednostranné akce ve Varoši a dále v nich pokračuje;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zpráva Komise o pokroku v roce 2023 týkající se Turecka nevykreslila žádný pokrok, zatímco její poslední zpráva o pokroku z roku 2024 zřejmě přináší poněkud pozitivnější celkový obraz pokroku v reformách souvisejících s rozšířením v Turecku; vzhledem k tomu, že se to však nevztahuje na klíčové otázky týkající se demokracie a základních práv;</w:t>
            </w:r>
          </w:p>
        </w:tc>
        <w:tc>
          <w:tcPr>
            <w:tcW w:w="4876" w:type="dxa"/>
            <w:tcBorders>
              <w:top w:val="nil"/>
              <w:left w:val="nil"/>
              <w:bottom w:val="nil"/>
              <w:right w:val="nil"/>
            </w:tcBorders>
          </w:tcPr>
          <w:p>
            <w:pPr>
              <w:pStyle w:val="Normal6a"/>
            </w:pPr>
            <w:r>
              <w:t>C.</w:t>
            </w:r>
            <w:r>
              <w:tab/>
            </w:r>
            <w:r>
              <w:t>vzhledem k tomu, že zpráva Komise o pokroku v roce 2023 týkající se Turecka nevykreslila žádný pokrok, zatímco její poslední zpráva o pokroku z roku 2024 zřejmě přináší poněkud pozitivnější celkový obraz pokroku v reformách souvisejících s rozšířením v Turecku; vzhledem k tomu, že se to však nevztahuje na klíčové otázky týkající se demokracie a základních práv</w:t>
            </w:r>
            <w:r>
              <w:rPr>
                <w:b/>
                <w:i/>
              </w:rPr>
              <w:t>,</w:t>
            </w:r>
            <w:r>
              <w:t xml:space="preserve"> </w:t>
            </w:r>
            <w:r>
              <w:rPr>
                <w:b/>
                <w:i/>
              </w:rPr>
              <w:t>tedy práv, od kterých se Turecko postupně, ale setrvale odklání od hodnot EU a jejího normativního rámce, jak lze demonstrovat na rostoucím počtu zákonů a opatření, která omezují právní stát, základní svobody, lidská práva a občanské svobody;</w:t>
            </w:r>
            <w:r>
              <w:t xml:space="preserve"> </w:t>
            </w:r>
            <w:r>
              <w:rPr>
                <w:b/>
                <w:i/>
              </w:rPr>
              <w:t>vzhledem k tomu, že Turecko je členem Rady Evropy, a je proto vázáno rozsudky ESLP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zpráva Komise o pokroku v roce 2023 týkající se Turecka </w:t>
            </w:r>
            <w:r>
              <w:rPr>
                <w:b/>
                <w:i/>
              </w:rPr>
              <w:t>nevykreslila žádný pokrok</w:t>
            </w:r>
            <w:r>
              <w:t>, zatímco její poslední zpráva o pokroku z roku 2024 zřejmě přináší poněkud pozitivnější celkový obraz pokroku v reformách souvisejících s rozšířením v Turecku; vzhledem k tomu, že se to však nevztahuje na klíčové otázky týkající se demokracie a základních práv;</w:t>
            </w:r>
          </w:p>
        </w:tc>
        <w:tc>
          <w:tcPr>
            <w:tcW w:w="4876" w:type="dxa"/>
            <w:tcBorders>
              <w:top w:val="nil"/>
              <w:left w:val="nil"/>
              <w:bottom w:val="nil"/>
              <w:right w:val="nil"/>
            </w:tcBorders>
          </w:tcPr>
          <w:p>
            <w:pPr>
              <w:pStyle w:val="Normal6a"/>
            </w:pPr>
            <w:r>
              <w:t>C.</w:t>
            </w:r>
            <w:r>
              <w:tab/>
            </w:r>
            <w:r>
              <w:t xml:space="preserve">vzhledem k tomu, že zpráva Komise o pokroku v roce 2023 týkající se Turecka </w:t>
            </w:r>
            <w:r>
              <w:rPr>
                <w:b/>
                <w:i/>
              </w:rPr>
              <w:t>vykreslila obraz neustávajícího zhoršování situace</w:t>
            </w:r>
            <w:r>
              <w:t>, zatímco její poslední zpráva o pokroku z roku 2024 zřejmě přináší poněkud pozitivnější celkový obraz pokroku v reformách souvisejících s rozšířením v Turecku</w:t>
            </w:r>
            <w:r>
              <w:rPr>
                <w:b/>
                <w:i/>
              </w:rPr>
              <w:t>, jako je hospodářská a měnová politika</w:t>
            </w:r>
            <w:r>
              <w:t>; vzhledem k tomu, že se to však nevztahuje na klíčové otázky týkající se demokracie a základních práv</w:t>
            </w:r>
            <w:r>
              <w:rPr>
                <w:b/>
                <w:i/>
              </w:rPr>
              <w:t>, u nichž se od zveřejnění poslední zprávy Komise situace ještě zhoršila</w:t>
            </w:r>
            <w:r>
              <w:t xml:space="preserve">; </w:t>
            </w:r>
            <w:r>
              <w:rPr>
                <w:b/>
                <w:i/>
              </w:rPr>
              <w:t>vzhledem k tomu, že v poslední době, k docházelo k využíváním legislativních a jiných opatření k omezování právního státu a lidských práv, se proto neřešil rozdíl mezi hodnotami a normativním rámcem Turecka a EU;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zpráva Komise o pokroku v roce 2023 týkající se Turecka nevykreslila žádný pokrok, zatímco její poslední zpráva o pokroku z roku 2024 zřejmě přináší poněkud pozitivnější celkový obraz pokroku v reformách souvisejících s rozšířením v Turecku; vzhledem k tomu, že se to však nevztahuje na klíčové otázky týkající se demokracie a základních práv;</w:t>
            </w:r>
          </w:p>
        </w:tc>
        <w:tc>
          <w:tcPr>
            <w:tcW w:w="4876" w:type="dxa"/>
            <w:tcBorders>
              <w:top w:val="nil"/>
              <w:left w:val="nil"/>
              <w:bottom w:val="nil"/>
              <w:right w:val="nil"/>
            </w:tcBorders>
          </w:tcPr>
          <w:p>
            <w:pPr>
              <w:pStyle w:val="Normal6a"/>
            </w:pPr>
            <w:r>
              <w:t>C.</w:t>
            </w:r>
            <w:r>
              <w:tab/>
            </w:r>
            <w:r>
              <w:t>vzhledem k tomu, že zpráva Komise o pokroku v roce 2023 týkající se Turecka nevykreslila žádný pokrok, zatímco její poslední zpráva o pokroku z roku 2024 zřejmě přináší poněkud pozitivnější celkový obraz pokroku v reformách souvisejících s rozšířením v Turecku; vzhledem k tomu, že se to však nevztahuje na klíčové otázky týkající se demokracie a základních práv</w:t>
            </w:r>
            <w:r>
              <w:rPr>
                <w:b/>
                <w:i/>
              </w:rPr>
              <w:t>, od kterých se Turecko postupně, ale setrvale odklání, jak lze demonstrovat na rostoucím počtu zákonů a opatření, která omezují právní stát, základní svobody, lidská práva a občanské svobody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zpráva Komise o pokroku v roce 2023 týkající se Turecka nevykreslila žádný pokrok, zatímco její poslední zpráva o pokroku z roku 2024 zřejmě přináší poněkud pozitivnější celkový obraz pokroku v reformách souvisejících s rozšířením v Turecku; vzhledem k tomu, že se to však nevztahuje na klíčové otázky týkající se demokracie a základních práv;</w:t>
            </w:r>
          </w:p>
        </w:tc>
        <w:tc>
          <w:tcPr>
            <w:tcW w:w="4876" w:type="dxa"/>
            <w:tcBorders>
              <w:top w:val="nil"/>
              <w:left w:val="nil"/>
              <w:bottom w:val="nil"/>
              <w:right w:val="nil"/>
            </w:tcBorders>
          </w:tcPr>
          <w:p>
            <w:pPr>
              <w:pStyle w:val="Normal6a"/>
            </w:pPr>
            <w:r>
              <w:t>C.</w:t>
            </w:r>
            <w:r>
              <w:tab/>
            </w:r>
            <w:r>
              <w:t>vzhledem k tomu, že zpráva Komise o pokroku v roce 2023 týkající se Turecka nevykreslila žádný pokrok, zatímco její poslední zpráva o pokroku z roku 2024 zřejmě přináší poněkud pozitivnější celkový obraz pokroku v reformách souvisejících s rozšířením v Turecku; vzhledem k tomu, že se to však nevztahuje na klíčové otázky týkající se demokracie a základních práv</w:t>
            </w:r>
            <w:r>
              <w:rPr>
                <w:b/>
                <w:i/>
              </w:rPr>
              <w:t> ani na dodržování mezinárodního práva a dobrých sousedských vztahů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zpráva Komise o pokroku v roce 2023 týkající se Turecka nevykreslila žádný pokrok, zatímco její poslední zpráva o pokroku z roku 2024 zřejmě přináší </w:t>
            </w:r>
            <w:r>
              <w:rPr>
                <w:b/>
                <w:i/>
              </w:rPr>
              <w:t>poněkud</w:t>
            </w:r>
            <w:r>
              <w:t xml:space="preserve"> pozitivnější celkový obraz pokroku v reformách souvisejících s rozšířením v Turecku; vzhledem k tomu, že se to však nevztahuje na klíčové otázky týkající se demokracie a základních práv;</w:t>
            </w:r>
          </w:p>
        </w:tc>
        <w:tc>
          <w:tcPr>
            <w:tcW w:w="4876" w:type="dxa"/>
            <w:tcBorders>
              <w:top w:val="nil"/>
              <w:left w:val="nil"/>
              <w:bottom w:val="nil"/>
              <w:right w:val="nil"/>
            </w:tcBorders>
          </w:tcPr>
          <w:p>
            <w:pPr>
              <w:pStyle w:val="Normal6a"/>
            </w:pPr>
            <w:r>
              <w:t>C.</w:t>
            </w:r>
            <w:r>
              <w:tab/>
            </w:r>
            <w:r>
              <w:t xml:space="preserve">vzhledem k tomu, že zpráva Komise o pokroku v roce 2023 týkající se Turecka nevykreslila žádný pokrok, zatímco její poslední zpráva o pokroku z roku 2024 zřejmě přináší </w:t>
            </w:r>
            <w:r>
              <w:rPr>
                <w:b/>
                <w:i/>
              </w:rPr>
              <w:t>mírně</w:t>
            </w:r>
            <w:r>
              <w:t xml:space="preserve"> pozitivnější celkový obraz pokroku v reformách souvisejících s rozšířením v Turecku; vzhledem k tomu, že se to však nevztahuje na klíčové otázky týkající se demokracie a základních práv;</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společné sdělení o aktuálním stavu vztahů mezi EU a Tureckem ze dne 29. listopadu 2023 hovoří o spolupráci pozitivněji a uvádí soubor doporučení v oblastech společného zájmu, jež je třeba provádět postupným, přiměřeným a reverzibilním způsobem na základě stanovených podmínek;</w:t>
            </w:r>
            <w:r>
              <w:t xml:space="preserve"> </w:t>
            </w:r>
            <w:r>
              <w:rPr>
                <w:b/>
                <w:i/>
              </w:rPr>
              <w:t>vzhledem k tomu, že dosud bylo přijato pouze několik konkrétních kroků v souladu se závazky v něm uvedenými;</w:t>
            </w:r>
            <w:r>
              <w:t xml:space="preserve"> </w:t>
            </w:r>
            <w:r>
              <w:rPr>
                <w:b/>
                <w:i/>
              </w:rPr>
              <w:t>vzhledem k tomu, že Evropská rada na svém zasedání v dubnu 2024 pověřila Coreper, aby v provádění tohoto společného sdělení pokročil;</w:t>
            </w:r>
            <w:r>
              <w:t xml:space="preserve"> </w:t>
            </w:r>
            <w:r>
              <w:rPr>
                <w:b/>
                <w:i/>
              </w:rPr>
              <w:t>vzhledem k tomu, že toto společné sdělení však dosud nezískalo jasné politické potvrzení ze strany Rady;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Turecko se již několik let postupně, ale jistě distancuje od hodnot a normativního rámce EU, přičemž tento trend je velmi znepokojivý a dalekosáhlý, jak ukazuje rostoucí počet zákonů a opatření omezujících právní stát, základní svobody, lidská práva a občanské svobody, jakož i jeho kroky, které jsou v rozporu s mezinárodním právem a dobrými sousedskými vztahy;</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nedostatek hmatatelných pozitivních kroků Turecka zhoršuje vyhlídky na konstruktivní dialog zaměřený na výsledky a není v souladu se společným sdělením o aktuálním stavu vztahů ze dne 29. listopadu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Yannis Maniatis, Costas Mavrides,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Turecko je stále členem Rady Evropy a je nadále vázáno rozsudky ESLP;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Turecko je členem Rady Evropy, a je proto vázáno rozsudky ESLP;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vzhledem k tomu, že společné sdělení o aktuálním stavu vztahů ze dne 29. listopadu 2023 připomíná, že důrazné prosazování „dvoustátního řešení“ pro Kypr ze strany Turecka, jeho celkový postoj k kyperské otázce a neuznání Kyperské republiky nadále brání různým cestám spolupráce, takže využití plného potenciálu pozitivní agendy s Tureckem bude i nadále mimořádně náročné, pokud nebude nalezeno řešení kyperské otázky;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vzhledem k tomu, že Turecko je členem Rady Evropy, a je proto vázáno rozsudky ESLP;</w:t>
            </w:r>
            <w:r>
              <w:t xml:space="preserve"> </w:t>
            </w:r>
            <w:r>
              <w:rPr>
                <w:b/>
                <w:i/>
              </w:rPr>
              <w:t>vzhledem k tomu, že Turecko v současné době čelí historickým řízením o nesplnění povinnosti, neboť neuplatňuje přelomová rozhodnutí Evropského soudu pro lidská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Turecko je organizací Freedom House klasifikováno jako „nesvobodné“ a za posledních 10 let zaznamenalo jeden z nejhorších poklesů úrovně svobody na světě;</w:t>
            </w:r>
          </w:p>
        </w:tc>
        <w:tc>
          <w:tcPr>
            <w:tcW w:w="4876" w:type="dxa"/>
            <w:tcBorders>
              <w:top w:val="nil"/>
              <w:left w:val="nil"/>
              <w:bottom w:val="nil"/>
              <w:right w:val="nil"/>
            </w:tcBorders>
          </w:tcPr>
          <w:p>
            <w:pPr>
              <w:pStyle w:val="Normal6a"/>
            </w:pPr>
            <w:r>
              <w:t>D.</w:t>
            </w:r>
            <w:r>
              <w:tab/>
            </w:r>
            <w:r>
              <w:t xml:space="preserve">vzhledem k tomu, že Turecko je organizací Freedom House klasifikováno jako „nesvobodné“ a za posledních 10 let zaznamenalo jeden z nejhorších poklesů úrovně svobody na světě; </w:t>
            </w:r>
            <w:r>
              <w:rPr>
                <w:b/>
                <w:i/>
              </w:rPr>
              <w:t>vzhledem k tomu, že Turecko se v žebříčku světového indexu svobody tisku za rok 2024 řadí na 158. místo ze 180;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turecká ústava poskytuje dostatečnou ochranu základních práv, avšak praxe institucí a kritický stav justice – včetně nedodržování rozhodnutí Ústavního soudu – jsou hlavními důvody zoufalé situace v oblasti právního státu a lidských práv v zemi, o nichž opakované hovoří zprávy EU, Rady Evropy a mezinárodních organizací;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Turecko se soustavně řadí mezi země, u nichž bylo nejčastěji zjištěno porušování lidských práv a základních svobod chráněných Evropskou úmluvou o lidských právech;</w:t>
            </w:r>
            <w:r>
              <w:t xml:space="preserve"> </w:t>
            </w:r>
            <w:r>
              <w:rPr>
                <w:b/>
                <w:i/>
              </w:rPr>
              <w:t>vzhledem k tomu, že ke konci listopadu 2024 mělo Turecko nejvyšší počet nevyřízených případů u Evropského soudu pro lidská práva (22 450), což představuje 36,7 % celkového počtu 61 250);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turecká vláda zastavila činnost několika desítek sdělovacích prostředků, rutinně blokuje online články, údajně kontroluje 85 % sdělovacích prostředků v zemi a využívá svou státní agenturu Anadolu jako orgán propagandy a dezinformací k tomu, aby sloužila jeho zahraničním zájmům;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Lucia Yar, Hilde Vautmans, Dan Barna, Nathalie Loiseau, Petras Auštrevičius,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Turecko se v globálním indexu genderových rozdílů v roce 2024 umístilo na 127. místě ze 146, což poukazuje na značnou genderovou nerovnost a systémová selhání při ochraně práv žen;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Turecko historicky podporovalo skupiny a osobnosti napojené na Muslimské bratrstvo, poskytovalo jim útočiště a sledovalo jejich politickou linii;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vzhledem k tomu, že podle zprávy platformy pro ukončení femicidy (Kadın Cinayetlerini Durduracağız Platformu) z roku 2024 bylo v Turecku v roce 2024 celkem 394 žen zavražděno muži a 259 žen zemřelo za podezřelých okolností, což je nejvyšší počet zaznamenaný od roku 2010, kdy tato organizace začala shromažďovat údaje;</w:t>
            </w:r>
            <w:r>
              <w:t xml:space="preserve"> </w:t>
            </w:r>
            <w:r>
              <w:rPr>
                <w:b/>
                <w:i/>
              </w:rPr>
              <w:t>vzhledem k tomu, že ve své zprávě z roku 2023 platforma uvedla, že muži zabili 315 žen a za podezřelých okolností zemřelo 248 žen;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vzhledem k tomu, že Turecko má nejvyšší míru rozsudků odnětí svobody a největší počet vězněných osob ze všech členských států Rady Evropy, přičemž počet osob vězněných v přeplněných věznicích vzrostl mezi lety 2005 a 2023 o 439 % a v současné době představuje více než třetinu všech vězněných osob v zemích Rady Evropy;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vzhledem k tomu, že Turecko již dříve vyvíjelo činnosti, které ovlivňují evropskou sociální dynamiku, soudržnost a bezpečnost, včetně spolupráce s diasporou;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vzhledem k tomu, že v roce 2024 bylo v Turecku nejméně 394 žen zabito muži a 259 dalších zemřelo za podezřelých okolností, což představuje nejvyšší počet od roku 2010;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vzhledem k tomu, že turecké státem podporované sdělovací prostředky, jako je TRT a Anadolu, šíří obsah propagující antisemitské konspirační teorie a takovou rétoriku;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vzhledem k tomu, že prezident Erdogan a vysocí turečtí úředníci se setkali s vysoce postavenými členy teroristických organizací uvedených na seznamu EU, jako je Hamás, a že Turecko poskytlo členům Hamásu cestovní pasy a průkazy totožnosti;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w:t>
            </w:r>
            <w:r>
              <w:tab/>
            </w:r>
            <w:r>
              <w:rPr>
                <w:b/>
                <w:i/>
              </w:rPr>
              <w:t>vzhledem k tomu, že Turecko otevřeně vyjádřilo podporu Hamásu a jeho cílům;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Df.</w:t>
            </w:r>
            <w:r>
              <w:tab/>
            </w:r>
            <w:r>
              <w:rPr>
                <w:b/>
                <w:i/>
              </w:rPr>
              <w:t>vzhledem k tomu, že Turecko darovalo Hamásu stovky milionů eur a od masakru a únosů Izraelců Hamásem dne 7. října 2023 zvýšilo svou podporu této organizaci;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v posledních měsících podniklo Turecko kroky k mírovému řešení kurdské otázky;</w:t>
            </w:r>
          </w:p>
        </w:tc>
        <w:tc>
          <w:tcPr>
            <w:tcW w:w="4876" w:type="dxa"/>
            <w:tcBorders>
              <w:top w:val="nil"/>
              <w:left w:val="nil"/>
              <w:bottom w:val="nil"/>
              <w:right w:val="nil"/>
            </w:tcBorders>
          </w:tcPr>
          <w:p>
            <w:pPr>
              <w:pStyle w:val="Normal6a"/>
            </w:pPr>
            <w:r>
              <w:t>E.</w:t>
            </w:r>
            <w:r>
              <w:tab/>
            </w:r>
            <w:r>
              <w:t xml:space="preserve">vzhledem k tomu, že v posledních měsících podniklo Turecko kroky k mírovému řešení kurdské otázky; </w:t>
            </w:r>
            <w:r>
              <w:rPr>
                <w:b/>
                <w:i/>
              </w:rPr>
              <w:t>vzhledem k tomu, že Turecko nicméně pokračuje v tvrdých zákrocích proti legálním zástupcům kurdské komunity, což mimo jiné dokládá nedávné zbavení několika kurdských starostů na východě země úřadu;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v posledních měsících podniklo </w:t>
            </w:r>
            <w:r>
              <w:rPr>
                <w:b/>
                <w:i/>
              </w:rPr>
              <w:t>Turecko</w:t>
            </w:r>
            <w:r>
              <w:t xml:space="preserve"> kroky k </w:t>
            </w:r>
            <w:r>
              <w:rPr>
                <w:b/>
                <w:i/>
              </w:rPr>
              <w:t>mírovému</w:t>
            </w:r>
            <w:r>
              <w:t xml:space="preserve"> řešení kurdské otázky;</w:t>
            </w:r>
          </w:p>
        </w:tc>
        <w:tc>
          <w:tcPr>
            <w:tcW w:w="4876" w:type="dxa"/>
            <w:tcBorders>
              <w:top w:val="nil"/>
              <w:left w:val="nil"/>
              <w:bottom w:val="nil"/>
              <w:right w:val="nil"/>
            </w:tcBorders>
          </w:tcPr>
          <w:p>
            <w:pPr>
              <w:pStyle w:val="Normal6a"/>
            </w:pPr>
            <w:r>
              <w:t>E.</w:t>
            </w:r>
            <w:r>
              <w:tab/>
            </w:r>
            <w:r>
              <w:t xml:space="preserve">vzhledem k tomu, že </w:t>
            </w:r>
            <w:r>
              <w:rPr>
                <w:b/>
                <w:i/>
              </w:rPr>
              <w:t>Turecko</w:t>
            </w:r>
            <w:r>
              <w:t xml:space="preserve"> v posledních měsících podniklo kroky k řešení kurdské otázky; </w:t>
            </w:r>
            <w:r>
              <w:rPr>
                <w:b/>
                <w:i/>
              </w:rPr>
              <w:t>vzhledem k tomu, že toto úsilí je doprovázeno rostoucími represemi a omezováním demokratických místních samospráv, zejména v regionech s kurdskou většinou na jihovýchodě Turecka, včetně odvolání zvolených kurdských starostů a dalších opozičních starostů z úřadu;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v posledních měsících podniklo Turecko kroky k mírovému řešení kurdské otázky;</w:t>
            </w:r>
          </w:p>
        </w:tc>
        <w:tc>
          <w:tcPr>
            <w:tcW w:w="4876" w:type="dxa"/>
            <w:tcBorders>
              <w:top w:val="nil"/>
              <w:left w:val="nil"/>
              <w:bottom w:val="nil"/>
              <w:right w:val="nil"/>
            </w:tcBorders>
          </w:tcPr>
          <w:p>
            <w:pPr>
              <w:pStyle w:val="Normal6a"/>
            </w:pPr>
            <w:r>
              <w:t>E.</w:t>
            </w:r>
            <w:r>
              <w:tab/>
            </w:r>
            <w:r>
              <w:t xml:space="preserve">vzhledem k tomu, že v posledních měsících podniklo Turecko kroky k mírovému řešení kurdské otázky; </w:t>
            </w:r>
            <w:r>
              <w:rPr>
                <w:b/>
                <w:i/>
              </w:rPr>
              <w:t>zdůrazňuje, že Turecko nadále zintenzivňuje zákroky proti legálním zástupcům kurdského hnutí, jak nedávno prokázalo odvolání několika kurdských starostů na východě země z úřadu;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v posledních měsících podniklo </w:t>
            </w:r>
            <w:r>
              <w:rPr>
                <w:b/>
                <w:i/>
              </w:rPr>
              <w:t>Turecko</w:t>
            </w:r>
            <w:r>
              <w:t xml:space="preserve"> kroky k </w:t>
            </w:r>
            <w:r>
              <w:rPr>
                <w:b/>
                <w:i/>
              </w:rPr>
              <w:t>mírovému</w:t>
            </w:r>
            <w:r>
              <w:t xml:space="preserve"> řešení kurdské otázky;</w:t>
            </w:r>
          </w:p>
        </w:tc>
        <w:tc>
          <w:tcPr>
            <w:tcW w:w="4876" w:type="dxa"/>
            <w:tcBorders>
              <w:top w:val="nil"/>
              <w:left w:val="nil"/>
              <w:bottom w:val="nil"/>
              <w:right w:val="nil"/>
            </w:tcBorders>
          </w:tcPr>
          <w:p>
            <w:pPr>
              <w:pStyle w:val="Normal6a"/>
            </w:pPr>
            <w:r>
              <w:t>E.</w:t>
            </w:r>
            <w:r>
              <w:tab/>
            </w:r>
            <w:r>
              <w:t xml:space="preserve">vzhledem k tomu, že v posledních měsících </w:t>
            </w:r>
            <w:r>
              <w:rPr>
                <w:b/>
                <w:i/>
              </w:rPr>
              <w:t>Turecko</w:t>
            </w:r>
            <w:r>
              <w:t xml:space="preserve"> podniklo kroky k </w:t>
            </w:r>
            <w:r>
              <w:rPr>
                <w:b/>
                <w:i/>
              </w:rPr>
              <w:t>obnovení procesu mírového</w:t>
            </w:r>
            <w:r>
              <w:t xml:space="preserve"> řešení kurdské otázky;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v posledních měsících </w:t>
            </w:r>
            <w:r>
              <w:rPr>
                <w:b/>
                <w:i/>
              </w:rPr>
              <w:t>podniklo Turecko</w:t>
            </w:r>
            <w:r>
              <w:t xml:space="preserve"> kroky k mírovému řešení kurdské otázky;</w:t>
            </w:r>
          </w:p>
        </w:tc>
        <w:tc>
          <w:tcPr>
            <w:tcW w:w="4876" w:type="dxa"/>
            <w:tcBorders>
              <w:top w:val="nil"/>
              <w:left w:val="nil"/>
              <w:bottom w:val="nil"/>
              <w:right w:val="nil"/>
            </w:tcBorders>
          </w:tcPr>
          <w:p>
            <w:pPr>
              <w:pStyle w:val="Normal6a"/>
            </w:pPr>
            <w:r>
              <w:t>E.</w:t>
            </w:r>
            <w:r>
              <w:tab/>
            </w:r>
            <w:r>
              <w:t xml:space="preserve">vzhledem k tomu, že v posledních měsících </w:t>
            </w:r>
            <w:r>
              <w:rPr>
                <w:b/>
                <w:i/>
              </w:rPr>
              <w:t>Turecko údajně podniklo</w:t>
            </w:r>
            <w:r>
              <w:t xml:space="preserve"> kroky k mírovému řešení kurdské otázky;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podpora Hamásu ze strany tureckých orgánů, který tyto orgány popisují jako hnutí odporu a legitimního partnera, je dlouhodobá a trvalá;</w:t>
            </w:r>
            <w:r>
              <w:t xml:space="preserve"> </w:t>
            </w:r>
            <w:r>
              <w:rPr>
                <w:b/>
                <w:i/>
              </w:rPr>
              <w:t>vzhledem k tomu, že Turecko i nadále odmítá zařadit Hamás na seznam teroristických organizací navzdory brutálním činům spáchaným dne 7. října 2023;</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Turecko má velmi blízko islamistickým organizacím, jako je Muslimské bratrstvo, prostřednictvím své turecké dceřiné společnosti „Islámská konfederace Millî Görüş“, která je přítomna v řadě členských států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Turecko má velmi blízko islamistickým organizacím, jako je Muslimské bratrstvo, prostřednictvím jeho turecké pobočky s názvem „Islámská konfederace Millî Görüş“, která působí v několika členských státech Evropské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dne 27. února 2025 vězněný militantní vůdce Abdullah Öcalan vyzval Kurdskou stranu pracujících (PKK), aby složila zbraně a rozpustila ve snaze využít historickou příležitost k ukončení turecko-kurdského konfliktu;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napětí mezi EU a Tureckem v souvislosti se situací ve východním Středomoří se zmírnilo, ale neustalo;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vzhledem k tomu, že Turecko bylo opakovaně žádáno, aby se zdrželo všech činností, které porušují svrchovanost a s ní související práva všech členských států EU a které jsou v rozporu s mezinárodním právem a právem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vzhledem k tomu, že Turecko je nejen kandidátem na vstup do EU, ale také spojencem v NATO a klíčovým partnerem v oblasti bezpečnosti, obchodu, hospodářských vztahů a migrace;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Turecko je nejen kandidátem na </w:t>
            </w:r>
            <w:r>
              <w:rPr>
                <w:b/>
                <w:i/>
              </w:rPr>
              <w:t>vstup do EU</w:t>
            </w:r>
            <w:r>
              <w:t xml:space="preserve">, ale také </w:t>
            </w:r>
            <w:r>
              <w:rPr>
                <w:b/>
                <w:i/>
              </w:rPr>
              <w:t>spojencem v NATO a klíčovým partnerem v oblasti bezpečnosti, obchodu, hospodářských vztahů a migrace</w:t>
            </w:r>
            <w:r>
              <w:t>;</w:t>
            </w:r>
          </w:p>
        </w:tc>
        <w:tc>
          <w:tcPr>
            <w:tcW w:w="4876" w:type="dxa"/>
            <w:tcBorders>
              <w:top w:val="nil"/>
              <w:left w:val="nil"/>
              <w:bottom w:val="nil"/>
              <w:right w:val="nil"/>
            </w:tcBorders>
          </w:tcPr>
          <w:p>
            <w:pPr>
              <w:pStyle w:val="Normal6a"/>
            </w:pPr>
            <w:r>
              <w:t>F.</w:t>
            </w:r>
            <w:r>
              <w:tab/>
            </w:r>
            <w:r>
              <w:t xml:space="preserve">vzhledem k tomu, že Turecko je nejen kandidátem na </w:t>
            </w:r>
            <w:r>
              <w:rPr>
                <w:b/>
                <w:i/>
              </w:rPr>
              <w:t>přistoupení k Evropské unii, přestože se nenachází v Evropě</w:t>
            </w:r>
            <w:r>
              <w:t xml:space="preserve">, ale také </w:t>
            </w:r>
            <w:r>
              <w:rPr>
                <w:b/>
                <w:i/>
              </w:rPr>
              <w:t>členem NATO, který provádí destabilizující akce ve východním Středomoří a Egejském moři namířené proti francouzským lodím, jakož i proti řeckým, kyperským a italským zájmům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Turecko je nejen kandidátem na vstup do EU, ale také spojencem v NATO a klíčovým partnerem v oblasti bezpečnosti, obchodu, hospodářských vztahů a migrace;</w:t>
            </w:r>
          </w:p>
        </w:tc>
        <w:tc>
          <w:tcPr>
            <w:tcW w:w="4876" w:type="dxa"/>
            <w:tcBorders>
              <w:top w:val="nil"/>
              <w:left w:val="nil"/>
              <w:bottom w:val="nil"/>
              <w:right w:val="nil"/>
            </w:tcBorders>
          </w:tcPr>
          <w:p>
            <w:pPr>
              <w:pStyle w:val="Normal6a"/>
            </w:pPr>
            <w:r>
              <w:t>F.</w:t>
            </w:r>
            <w:r>
              <w:tab/>
            </w:r>
            <w:r>
              <w:t xml:space="preserve">vzhledem k tomu, že Turecko je nejen kandidátem na vstup do EU, ale také spojencem v NATO a klíčovým partnerem v oblasti bezpečnosti, obchodu, hospodářských vztahů a migrace; </w:t>
            </w:r>
            <w:r>
              <w:rPr>
                <w:b/>
                <w:i/>
              </w:rPr>
              <w:t>vzhledem k tomu, že Turecko nadále hraje v regionu klíčovou úlohu a funguje jako most mezi Evropou a Asií;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Turecko je </w:t>
            </w:r>
            <w:r>
              <w:rPr>
                <w:b/>
                <w:i/>
              </w:rPr>
              <w:t>nejen</w:t>
            </w:r>
            <w:r>
              <w:t xml:space="preserve"> kandidátem na </w:t>
            </w:r>
            <w:r>
              <w:rPr>
                <w:b/>
                <w:i/>
              </w:rPr>
              <w:t>vstup do EU, ale také spojencem v NATO a klíčovým partnerem v oblasti bezpečnosti, obchodu, hospodářských vztahů a migrace</w:t>
            </w:r>
            <w:r>
              <w:t>;</w:t>
            </w:r>
          </w:p>
        </w:tc>
        <w:tc>
          <w:tcPr>
            <w:tcW w:w="4876" w:type="dxa"/>
            <w:tcBorders>
              <w:top w:val="nil"/>
              <w:left w:val="nil"/>
              <w:bottom w:val="nil"/>
              <w:right w:val="nil"/>
            </w:tcBorders>
          </w:tcPr>
          <w:p>
            <w:pPr>
              <w:pStyle w:val="Normal6a"/>
            </w:pPr>
            <w:r>
              <w:t>F.</w:t>
            </w:r>
            <w:r>
              <w:tab/>
            </w:r>
            <w:r>
              <w:t xml:space="preserve">vzhledem k tomu, že Turecko je </w:t>
            </w:r>
            <w:r>
              <w:rPr>
                <w:b/>
                <w:i/>
              </w:rPr>
              <w:t>vedle toho, že je</w:t>
            </w:r>
            <w:r>
              <w:t xml:space="preserve"> kandidátem na </w:t>
            </w:r>
            <w:r>
              <w:rPr>
                <w:b/>
                <w:i/>
              </w:rPr>
              <w:t>přistoupení k EU, i když není v Evropě, a že je rovněž členem NATO, který provádí destabilizující akce ve východním Středomoří a v Egejském moři proti francouzským plavidlům a proti zájmům Kypru a Itálie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Turecko je </w:t>
            </w:r>
            <w:r>
              <w:rPr>
                <w:b/>
                <w:i/>
              </w:rPr>
              <w:t>nejen kandidátem na vstup do EU, ale</w:t>
            </w:r>
            <w:r>
              <w:t xml:space="preserve"> také spojencem v NATO a klíčovým partnerem v oblasti bezpečnosti, obchodu, hospodářských vztahů a migrace;</w:t>
            </w:r>
          </w:p>
        </w:tc>
        <w:tc>
          <w:tcPr>
            <w:tcW w:w="4876" w:type="dxa"/>
            <w:tcBorders>
              <w:top w:val="nil"/>
              <w:left w:val="nil"/>
              <w:bottom w:val="nil"/>
              <w:right w:val="nil"/>
            </w:tcBorders>
          </w:tcPr>
          <w:p>
            <w:pPr>
              <w:pStyle w:val="Normal6a"/>
            </w:pPr>
            <w:r>
              <w:t>F.</w:t>
            </w:r>
            <w:r>
              <w:tab/>
            </w:r>
            <w:r>
              <w:t xml:space="preserve">vzhledem k tomu, že Turecko je </w:t>
            </w:r>
            <w:r>
              <w:rPr>
                <w:b/>
                <w:i/>
              </w:rPr>
              <w:t>vedle kandidátské země na přistoupení k EU</w:t>
            </w:r>
            <w:r>
              <w:t xml:space="preserve"> také spojencem v NATO a klíčovým partnerem v oblasti bezpečnosti </w:t>
            </w:r>
            <w:r>
              <w:rPr>
                <w:b/>
                <w:i/>
              </w:rPr>
              <w:t>a boje proti terorismu</w:t>
            </w:r>
            <w:r>
              <w:t>, obchodu, hospodářských vztahů a migrace;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Turecko je </w:t>
            </w:r>
            <w:r>
              <w:rPr>
                <w:b/>
                <w:i/>
              </w:rPr>
              <w:t>nejen kandidátem na vstup do EU, ale</w:t>
            </w:r>
            <w:r>
              <w:t xml:space="preserve"> také spojencem v NATO a klíčovým partnerem v oblasti </w:t>
            </w:r>
            <w:r>
              <w:rPr>
                <w:b/>
                <w:i/>
              </w:rPr>
              <w:t>bezpečnosti,</w:t>
            </w:r>
            <w:r>
              <w:t xml:space="preserve"> obchodu, hospodářských vztahů a migrace;</w:t>
            </w:r>
          </w:p>
        </w:tc>
        <w:tc>
          <w:tcPr>
            <w:tcW w:w="4876" w:type="dxa"/>
            <w:tcBorders>
              <w:top w:val="nil"/>
              <w:left w:val="nil"/>
              <w:bottom w:val="nil"/>
              <w:right w:val="nil"/>
            </w:tcBorders>
          </w:tcPr>
          <w:p>
            <w:pPr>
              <w:pStyle w:val="Normal6a"/>
            </w:pPr>
            <w:r>
              <w:t>F.</w:t>
            </w:r>
            <w:r>
              <w:tab/>
            </w:r>
            <w:r>
              <w:t xml:space="preserve">vzhledem k tomu, že Turecko je </w:t>
            </w:r>
            <w:r>
              <w:rPr>
                <w:b/>
                <w:i/>
              </w:rPr>
              <w:t>vedle kandidátské země na přistoupení k EU</w:t>
            </w:r>
            <w:r>
              <w:t xml:space="preserve"> také spojencem v NATO a klíčovým partnerem v oblasti obchodu, hospodářských vztahů</w:t>
            </w:r>
            <w:r>
              <w:rPr>
                <w:b/>
                <w:i/>
              </w:rPr>
              <w:t>, bezpečnosti</w:t>
            </w:r>
            <w:r>
              <w:t xml:space="preserve"> a migrace;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Emmanouil Fragkos,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Turecko </w:t>
            </w:r>
            <w:r>
              <w:rPr>
                <w:b/>
                <w:i/>
              </w:rPr>
              <w:t>je nejen</w:t>
            </w:r>
            <w:r>
              <w:t xml:space="preserve"> kandidátem na </w:t>
            </w:r>
            <w:r>
              <w:rPr>
                <w:b/>
                <w:i/>
              </w:rPr>
              <w:t>vstup do EU, ale také</w:t>
            </w:r>
            <w:r>
              <w:t xml:space="preserve"> spojencem v NATO </w:t>
            </w:r>
            <w:r>
              <w:rPr>
                <w:b/>
                <w:i/>
              </w:rPr>
              <w:t>a klíčovým partnerem v oblasti bezpečnosti, obchodu, hospodářských vztahů a migrace</w:t>
            </w:r>
            <w:r>
              <w:t>;</w:t>
            </w:r>
          </w:p>
        </w:tc>
        <w:tc>
          <w:tcPr>
            <w:tcW w:w="4876" w:type="dxa"/>
            <w:tcBorders>
              <w:top w:val="nil"/>
              <w:left w:val="nil"/>
              <w:bottom w:val="nil"/>
              <w:right w:val="nil"/>
            </w:tcBorders>
          </w:tcPr>
          <w:p>
            <w:pPr>
              <w:pStyle w:val="Normal6a"/>
            </w:pPr>
            <w:r>
              <w:t>F.</w:t>
            </w:r>
            <w:r>
              <w:tab/>
            </w:r>
            <w:r>
              <w:t xml:space="preserve">vzhledem k tomu, že </w:t>
            </w:r>
            <w:r>
              <w:rPr>
                <w:b/>
                <w:i/>
              </w:rPr>
              <w:t>kromě toho, že</w:t>
            </w:r>
            <w:r>
              <w:t xml:space="preserve"> Turecko </w:t>
            </w:r>
            <w:r>
              <w:rPr>
                <w:b/>
                <w:i/>
              </w:rPr>
              <w:t>teoreticky zůstává i nadále</w:t>
            </w:r>
            <w:r>
              <w:t xml:space="preserve"> kandidátem na </w:t>
            </w:r>
            <w:r>
              <w:rPr>
                <w:b/>
                <w:i/>
              </w:rPr>
              <w:t>členství v EU, je i teoreticky „</w:t>
            </w:r>
            <w:r>
              <w:t>spojencem v NATO</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Turecko je </w:t>
            </w:r>
            <w:r>
              <w:rPr>
                <w:b/>
                <w:i/>
              </w:rPr>
              <w:t>nejen kandidátem na vstup do EU, ale</w:t>
            </w:r>
            <w:r>
              <w:t xml:space="preserve"> také spojencem v NATO a klíčovým partnerem v oblasti bezpečnosti, obchodu</w:t>
            </w:r>
            <w:r>
              <w:rPr>
                <w:b/>
                <w:i/>
              </w:rPr>
              <w:t>,</w:t>
            </w:r>
            <w:r>
              <w:t xml:space="preserve"> hospodářských vztahů </w:t>
            </w:r>
            <w:r>
              <w:rPr>
                <w:b/>
                <w:i/>
              </w:rPr>
              <w:t>a migrace</w:t>
            </w:r>
            <w:r>
              <w:t>;</w:t>
            </w:r>
          </w:p>
        </w:tc>
        <w:tc>
          <w:tcPr>
            <w:tcW w:w="4876" w:type="dxa"/>
            <w:tcBorders>
              <w:top w:val="nil"/>
              <w:left w:val="nil"/>
              <w:bottom w:val="nil"/>
              <w:right w:val="nil"/>
            </w:tcBorders>
          </w:tcPr>
          <w:p>
            <w:pPr>
              <w:pStyle w:val="Normal6a"/>
            </w:pPr>
            <w:r>
              <w:t>F.</w:t>
            </w:r>
            <w:r>
              <w:tab/>
            </w:r>
            <w:r>
              <w:t xml:space="preserve">vzhledem k tomu, že Turecko je </w:t>
            </w:r>
            <w:r>
              <w:rPr>
                <w:b/>
                <w:i/>
              </w:rPr>
              <w:t>vedle kandidátské země na přistoupení k EU</w:t>
            </w:r>
            <w:r>
              <w:t xml:space="preserve"> také spojencem v NATO a klíčovým partnerem v oblasti bezpečnosti, obchodu </w:t>
            </w:r>
            <w:r>
              <w:rPr>
                <w:b/>
                <w:i/>
              </w:rPr>
              <w:t>a</w:t>
            </w:r>
            <w:r>
              <w:t xml:space="preserve"> hospodářských vztahů;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podle Statistického úřadu Evropské unie žije v Evropě více než 1,9 milionu tureckých občanů, a vzhledem k tomu, že největší turecké společenství žije v Německu a čítá přibližně 1,3 milionu osob, přičemž následuje Francie (210 351) a Rakousko (117 625);</w:t>
            </w:r>
            <w:r>
              <w:t xml:space="preserve"> </w:t>
            </w:r>
            <w:r>
              <w:rPr>
                <w:b/>
                <w:i/>
              </w:rPr>
              <w:t>vzhledem k tomu, že podle tureckého ministerstva zahraničních věcí tento počet ve skutečnosti přesahuje 5 milionů;</w:t>
            </w:r>
            <w:r>
              <w:t xml:space="preserve"> </w:t>
            </w:r>
            <w:r>
              <w:rPr>
                <w:b/>
                <w:i/>
              </w:rPr>
              <w:t>vzhledem k tomu, že turecký prezident Recep Tayyip Erdoğan opakovaně vyzval tureckou diasporu, aby se začlenila do hostitelských zemí, ale rozhodně se nesnažila o asimilaci;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Turecko se nepřipojilo k sankcím EU vůči Rusku;</w:t>
            </w:r>
            <w:r>
              <w:t xml:space="preserve"> </w:t>
            </w:r>
            <w:r>
              <w:rPr>
                <w:b/>
                <w:i/>
              </w:rPr>
              <w:t>vzhledem k tomu, že obchod mezi Tureckem a Ruskem se od zavedení sankcí EU proti Rusku téměř zdvojnásobil;</w:t>
            </w:r>
            <w:r>
              <w:t xml:space="preserve"> </w:t>
            </w:r>
            <w:r>
              <w:rPr>
                <w:b/>
                <w:i/>
              </w:rPr>
              <w:t>vzhledem k tomu, že navzdory určitým krokům Turecko nezastavilo obcházení sankcí EU vůči Rusku přes své území;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Lucia Yar, Hilde Vautmans, Dan Barna, Nathalie Loiseau, Petras Auštrevičius,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Turecko nadále hraje významnou úlohu v syrském konfliktu a udržuje vojenskou přítomnost v severní Sýrii;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vzhledem k tomu, že o organizaci Millî Görü, evropské islámské konfederaci se sídlem v Kolíně nad Rýnem (Německo), se předpokládá, že má blízko k Muslimskému bratrstvu a AKP, přičemž provozuje v západní Evropě více než 500 mešit;</w:t>
            </w:r>
            <w:r>
              <w:t xml:space="preserve"> </w:t>
            </w:r>
            <w:r>
              <w:rPr>
                <w:b/>
                <w:i/>
              </w:rPr>
              <w:t>vzhledem k tomu, že je proto významným zdrojem vlivu tureckého prezidenta Recepa Tayyipa Erdoğana v několika členských státech;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Turecko je pátým největším obchodním partnerem EU a EU je zdaleka největším obchodním partnerem Turecka a také jeho hlavním zdrojem přímých zahraničních investic;</w:t>
            </w:r>
          </w:p>
        </w:tc>
        <w:tc>
          <w:tcPr>
            <w:tcW w:w="4876" w:type="dxa"/>
            <w:tcBorders>
              <w:top w:val="nil"/>
              <w:left w:val="nil"/>
              <w:bottom w:val="nil"/>
              <w:right w:val="nil"/>
            </w:tcBorders>
          </w:tcPr>
          <w:p>
            <w:pPr>
              <w:pStyle w:val="Normal6a"/>
            </w:pPr>
            <w:r>
              <w:t>G.</w:t>
            </w:r>
            <w:r>
              <w:tab/>
            </w:r>
            <w:r>
              <w:t xml:space="preserve">vzhledem k tomu, že Turecko je pátým největším obchodním partnerem EU a EU je zdaleka největším obchodním partnerem Turecka a také jeho hlavním zdrojem přímých zahraničních investic; </w:t>
            </w:r>
            <w:r>
              <w:rPr>
                <w:b/>
                <w:i/>
              </w:rPr>
              <w:t>konstatuje, že Turecko zároveň posiluje své hospodářské vazby s Čínou, zejména lákáním investic do odvětví energetiky, telekomunikací a zelených technologií;</w:t>
            </w:r>
            <w:r>
              <w:t xml:space="preserve"> </w:t>
            </w:r>
            <w:r>
              <w:rPr>
                <w:b/>
                <w:i/>
              </w:rPr>
              <w:t>připomíná, že od roku 2022 Turecko provádí svou „strategii pro vzdálené země“, jejímž cílem je zčtyřnásobit obchod s ekonomikami vzdálených zemí, včetně Číny, Brazílie a Indie;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Turecko je pátým největším obchodním partnerem EU a EU je zdaleka největším obchodním partnerem Turecka a také jeho hlavním zdrojem přímých zahraničních investic;</w:t>
            </w:r>
          </w:p>
        </w:tc>
        <w:tc>
          <w:tcPr>
            <w:tcW w:w="4876" w:type="dxa"/>
            <w:tcBorders>
              <w:top w:val="nil"/>
              <w:left w:val="nil"/>
              <w:bottom w:val="nil"/>
              <w:right w:val="nil"/>
            </w:tcBorders>
          </w:tcPr>
          <w:p>
            <w:pPr>
              <w:pStyle w:val="Normal6a"/>
            </w:pPr>
            <w:r>
              <w:t>G.</w:t>
            </w:r>
            <w:r>
              <w:tab/>
            </w:r>
            <w:r>
              <w:t xml:space="preserve">vzhledem k tomu, že Turecko je pátým největším obchodním partnerem EU a EU je zdaleka největším obchodním partnerem Turecka a také jeho hlavním zdrojem přímých zahraničních investic; </w:t>
            </w:r>
            <w:r>
              <w:rPr>
                <w:b/>
                <w:i/>
              </w:rPr>
              <w:t>konstatuje, že Turecko současně posiluje své hospodářské vazby s Čínou, zejména lákáním investic do odvětví energetiky, telekomunikací a zelených technologií;</w:t>
            </w:r>
            <w:r>
              <w:t xml:space="preserve"> </w:t>
            </w:r>
            <w:r>
              <w:rPr>
                <w:b/>
                <w:i/>
              </w:rPr>
              <w:t>připomíná, že od roku 2022 Turecko provádí svou „strategii pro vzdálené země“, jejímž cílem je zčtyřnásobit obchod s ekonomikami vzdálených zemí, včetně Číny, Brazílie a Indie;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Turecko je pátým největším obchodním partnerem EU a EU je zdaleka největším obchodním partnerem Turecka a také jeho hlavním zdrojem přímých zahraničních investic;</w:t>
            </w:r>
          </w:p>
        </w:tc>
        <w:tc>
          <w:tcPr>
            <w:tcW w:w="4876" w:type="dxa"/>
            <w:tcBorders>
              <w:top w:val="nil"/>
              <w:left w:val="nil"/>
              <w:bottom w:val="nil"/>
              <w:right w:val="nil"/>
            </w:tcBorders>
          </w:tcPr>
          <w:p>
            <w:pPr>
              <w:pStyle w:val="Normal6a"/>
            </w:pPr>
            <w:r>
              <w:t>G.</w:t>
            </w:r>
            <w:r>
              <w:tab/>
            </w:r>
            <w:r>
              <w:t xml:space="preserve">vzhledem k tomu, že Turecko je pátým největším obchodním partnerem EU a EU je zdaleka největším obchodním partnerem Turecka a také jeho hlavním zdrojem přímých zahraničních investic; </w:t>
            </w:r>
            <w:r>
              <w:rPr>
                <w:b/>
                <w:i/>
              </w:rPr>
              <w:t>vzhledem k tomu, že Turecko však odmítá splnit svou povinnost týkající se úplného a nediskriminačního provedení dodatkového protokolu k ankarské dohodě, pokud jde o všechny členské státy, včetně Kyperské republiky;</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Turecko je </w:t>
            </w:r>
            <w:r>
              <w:rPr>
                <w:b/>
                <w:i/>
              </w:rPr>
              <w:t>pátým největším obchodním partnerem EU a</w:t>
            </w:r>
            <w:r>
              <w:t xml:space="preserve"> EU je zdaleka největším obchodním partnerem </w:t>
            </w:r>
            <w:r>
              <w:rPr>
                <w:b/>
                <w:i/>
              </w:rPr>
              <w:t>Turecka a také jeho hlavním</w:t>
            </w:r>
            <w:r>
              <w:t xml:space="preserve"> zdrojem přímých zahraničních investic;</w:t>
            </w:r>
          </w:p>
        </w:tc>
        <w:tc>
          <w:tcPr>
            <w:tcW w:w="4876" w:type="dxa"/>
            <w:tcBorders>
              <w:top w:val="nil"/>
              <w:left w:val="nil"/>
              <w:bottom w:val="nil"/>
              <w:right w:val="nil"/>
            </w:tcBorders>
          </w:tcPr>
          <w:p>
            <w:pPr>
              <w:pStyle w:val="Normal6a"/>
            </w:pPr>
            <w:r>
              <w:t>G.</w:t>
            </w:r>
            <w:r>
              <w:tab/>
            </w:r>
            <w:r>
              <w:t xml:space="preserve">vzhledem k tomu, že Turecko je </w:t>
            </w:r>
            <w:r>
              <w:rPr>
                <w:b/>
                <w:i/>
              </w:rPr>
              <w:t>jedním z obchodních partnerů EU a že</w:t>
            </w:r>
            <w:r>
              <w:t xml:space="preserve"> EU je zdaleka </w:t>
            </w:r>
            <w:r>
              <w:rPr>
                <w:b/>
                <w:i/>
              </w:rPr>
              <w:t>jeho</w:t>
            </w:r>
            <w:r>
              <w:t xml:space="preserve"> největším obchodním partnerem</w:t>
            </w:r>
            <w:r>
              <w:rPr>
                <w:b/>
                <w:i/>
              </w:rPr>
              <w:t>, jakož i jeho primárním</w:t>
            </w:r>
            <w:r>
              <w:t xml:space="preserve"> zdrojem přímých zahraničních investic;</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Turecko se nepřipojilo k sankcím EU vůči Rusku;</w:t>
            </w:r>
            <w:r>
              <w:t xml:space="preserve"> </w:t>
            </w:r>
            <w:r>
              <w:rPr>
                <w:b/>
                <w:i/>
              </w:rPr>
              <w:t>vzhledem k tomu, že míra sladění zahraniční politiky Turecka s prohlášeními společné zahraniční a bezpečnostní politiky EU (SZBP) se mezi lety 2023 a 2024 snížila z 9 % na pouhých 5 %, což je zdaleka nejnižší hodnota ze všech zemí účastnících se procesu rozšíření;</w:t>
            </w:r>
            <w:r>
              <w:t xml:space="preserve"> </w:t>
            </w:r>
            <w:r>
              <w:rPr>
                <w:b/>
                <w:i/>
              </w:rPr>
              <w:t>vzhledem k tomu, že obchod mezi Tureckem a Ruskem se od zavedení sankcí EU proti Rusku téměř zdvojnásobil;</w:t>
            </w:r>
            <w:r>
              <w:t xml:space="preserve"> </w:t>
            </w:r>
            <w:r>
              <w:rPr>
                <w:b/>
                <w:i/>
              </w:rPr>
              <w:t>vzhledem k tomu, že navzdory určitým krokům Turecko nezastavilo obcházení sankcí EU vůči Rusku přes své území;</w:t>
            </w:r>
            <w:r>
              <w:t xml:space="preserve"> </w:t>
            </w:r>
            <w:r>
              <w:rPr>
                <w:b/>
                <w:i/>
              </w:rPr>
              <w:t>zásadní význam má i nadále aktivní spolupráce Turecka s EU při prevenci a odhalování obcházení sankcí EU, včetně sankcí týkajících se zboží dvojího užití, jakož i falešného tranzitu a zpětného vývozu zboží do Ruska prostřednictvím zprostředkovatelů ze třetích 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Turecko požádalo o členství ve skupině BRICS+ a hodlá se stát členem Šanghajské organizace pro spolupráci, což znamená odklon od Evropy;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vzhledem k tomu, že Turecko požádalo o členství ve skupině BRICS+ a hodlá se stát členem Šanghajské organizace pro spolupráci;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vzhledem k tomu, že v uplynulém roce se zvýšila úroveň vzájemné angažovanosti EU a Turecka, a to jak z hlediska technických setkání, tak setkání na vysoké úrovni v oblastech týkajících se jednotlivých odvětví;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Turecko požádalo o členství ve skupině BRICS+ a projevilo zájem o členství v Šanghajské organizaci pro spolupráci (SCO);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vzhledem k tomu, že po období neortodoxní hospodářské politiky Turecko v uplynulém roce zavedlo přísnější měnovou politiku, která vedla ke snížení vnější nerovnováhy a zmírnění inflačních tlaků;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vzhledem k tomu, že Turecko </w:t>
            </w:r>
            <w:r>
              <w:rPr>
                <w:b/>
                <w:i/>
              </w:rPr>
              <w:t>poskytuje útočiště největšímu počtu uprchlíků</w:t>
            </w:r>
            <w:r>
              <w:t xml:space="preserve"> na světě</w:t>
            </w:r>
            <w:r>
              <w:rPr>
                <w:b/>
                <w:i/>
              </w:rPr>
              <w:t>,</w:t>
            </w:r>
            <w:r>
              <w:t xml:space="preserve"> přibližně 3,4 </w:t>
            </w:r>
            <w:r>
              <w:rPr>
                <w:b/>
                <w:i/>
              </w:rPr>
              <w:t>milionům</w:t>
            </w:r>
            <w:r>
              <w:t xml:space="preserve"> registrovaných uprchlíků, </w:t>
            </w:r>
            <w:r>
              <w:rPr>
                <w:b/>
                <w:i/>
              </w:rPr>
              <w:t>převážně</w:t>
            </w:r>
            <w:r>
              <w:t xml:space="preserve"> ze Sýrie, Iráku a Afghánistánu;</w:t>
            </w:r>
          </w:p>
        </w:tc>
        <w:tc>
          <w:tcPr>
            <w:tcW w:w="4876" w:type="dxa"/>
            <w:tcBorders>
              <w:top w:val="nil"/>
              <w:left w:val="nil"/>
              <w:bottom w:val="nil"/>
              <w:right w:val="nil"/>
            </w:tcBorders>
          </w:tcPr>
          <w:p>
            <w:pPr>
              <w:pStyle w:val="Normal6a"/>
            </w:pPr>
            <w:r>
              <w:t>I.</w:t>
            </w:r>
            <w:r>
              <w:tab/>
            </w:r>
            <w:r>
              <w:t xml:space="preserve">vzhledem k tomu, že Turecko </w:t>
            </w:r>
            <w:r>
              <w:rPr>
                <w:b/>
                <w:i/>
              </w:rPr>
              <w:t>hostí největší uprchlickou populaci</w:t>
            </w:r>
            <w:r>
              <w:t xml:space="preserve"> na světě </w:t>
            </w:r>
            <w:r>
              <w:rPr>
                <w:b/>
                <w:i/>
              </w:rPr>
              <w:t>s</w:t>
            </w:r>
            <w:r>
              <w:t xml:space="preserve"> přibližně 3,4 </w:t>
            </w:r>
            <w:r>
              <w:rPr>
                <w:b/>
                <w:i/>
              </w:rPr>
              <w:t>milionu</w:t>
            </w:r>
            <w:r>
              <w:t xml:space="preserve"> registrovaných uprchlíků, </w:t>
            </w:r>
            <w:r>
              <w:rPr>
                <w:b/>
                <w:i/>
              </w:rPr>
              <w:t>zejména</w:t>
            </w:r>
            <w:r>
              <w:t xml:space="preserve"> ze Sýrie, Iráku a Afghánistánu; </w:t>
            </w:r>
            <w:r>
              <w:rPr>
                <w:b/>
                <w:i/>
              </w:rPr>
              <w:t>vzhledem k tomu, že podle důvěryhodné vyšetřovací zprávy organizace Lighthouse Reports a dalších osmi mediálních partnerů financuje EU střediska pro vystěhování v Turecku, která jsou zapojena do zadržování, zneužívání a nucených deportací uprchlíků pod záminkou dobrovolného návratu;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vzhledem k tomu, že Turecko </w:t>
            </w:r>
            <w:r>
              <w:rPr>
                <w:b/>
                <w:i/>
              </w:rPr>
              <w:t>poskytuje útočiště největšímu počtu uprchlíků</w:t>
            </w:r>
            <w:r>
              <w:t xml:space="preserve"> na světě</w:t>
            </w:r>
            <w:r>
              <w:rPr>
                <w:b/>
                <w:i/>
              </w:rPr>
              <w:t>,</w:t>
            </w:r>
            <w:r>
              <w:t xml:space="preserve"> přibližně 3,4 </w:t>
            </w:r>
            <w:r>
              <w:rPr>
                <w:b/>
                <w:i/>
              </w:rPr>
              <w:t>milionům</w:t>
            </w:r>
            <w:r>
              <w:t xml:space="preserve"> registrovaných uprchlíků, </w:t>
            </w:r>
            <w:r>
              <w:rPr>
                <w:b/>
                <w:i/>
              </w:rPr>
              <w:t>převážně</w:t>
            </w:r>
            <w:r>
              <w:t xml:space="preserve"> ze Sýrie, Iráku a Afghánistánu;</w:t>
            </w:r>
          </w:p>
        </w:tc>
        <w:tc>
          <w:tcPr>
            <w:tcW w:w="4876" w:type="dxa"/>
            <w:tcBorders>
              <w:top w:val="nil"/>
              <w:left w:val="nil"/>
              <w:bottom w:val="nil"/>
              <w:right w:val="nil"/>
            </w:tcBorders>
          </w:tcPr>
          <w:p>
            <w:pPr>
              <w:pStyle w:val="Normal6a"/>
            </w:pPr>
            <w:r>
              <w:t>I.</w:t>
            </w:r>
            <w:r>
              <w:tab/>
            </w:r>
            <w:r>
              <w:t xml:space="preserve">vzhledem k tomu, že Turecko </w:t>
            </w:r>
            <w:r>
              <w:rPr>
                <w:b/>
                <w:i/>
              </w:rPr>
              <w:t>hostí největší uprchlickou populaci</w:t>
            </w:r>
            <w:r>
              <w:t xml:space="preserve"> na světě </w:t>
            </w:r>
            <w:r>
              <w:rPr>
                <w:b/>
                <w:i/>
              </w:rPr>
              <w:t>s</w:t>
            </w:r>
            <w:r>
              <w:t xml:space="preserve"> přibližně 3,4 </w:t>
            </w:r>
            <w:r>
              <w:rPr>
                <w:b/>
                <w:i/>
              </w:rPr>
              <w:t>milionu</w:t>
            </w:r>
            <w:r>
              <w:t xml:space="preserve"> registrovaných uprchlíků, </w:t>
            </w:r>
            <w:r>
              <w:rPr>
                <w:b/>
                <w:i/>
              </w:rPr>
              <w:t>zejména</w:t>
            </w:r>
            <w:r>
              <w:t xml:space="preserve"> ze Sýrie, Iráku a Afghánistánu; </w:t>
            </w:r>
            <w:r>
              <w:rPr>
                <w:b/>
                <w:i/>
              </w:rPr>
              <w:t>vyjadřuje politování nad pokračujícím vydíráním režimu vůči EU, které se od migrační krize v roce 2015 ještě zhoršilo, a nad destabilizujícími operacemi, které prováděl na řeckých hranicích;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vzhledem k tomu, že Turecko </w:t>
            </w:r>
            <w:r>
              <w:rPr>
                <w:b/>
                <w:i/>
              </w:rPr>
              <w:t>poskytuje útočiště největšímu počtu uprchlíků</w:t>
            </w:r>
            <w:r>
              <w:t xml:space="preserve"> na světě</w:t>
            </w:r>
            <w:r>
              <w:rPr>
                <w:b/>
                <w:i/>
              </w:rPr>
              <w:t>,</w:t>
            </w:r>
            <w:r>
              <w:t xml:space="preserve"> přibližně 3,4 </w:t>
            </w:r>
            <w:r>
              <w:rPr>
                <w:b/>
                <w:i/>
              </w:rPr>
              <w:t>milionům</w:t>
            </w:r>
            <w:r>
              <w:t xml:space="preserve"> registrovaných uprchlíků, </w:t>
            </w:r>
            <w:r>
              <w:rPr>
                <w:b/>
                <w:i/>
              </w:rPr>
              <w:t>převážně</w:t>
            </w:r>
            <w:r>
              <w:t xml:space="preserve"> ze Sýrie, Iráku a Afghánistánu;</w:t>
            </w:r>
          </w:p>
        </w:tc>
        <w:tc>
          <w:tcPr>
            <w:tcW w:w="4876" w:type="dxa"/>
            <w:tcBorders>
              <w:top w:val="nil"/>
              <w:left w:val="nil"/>
              <w:bottom w:val="nil"/>
              <w:right w:val="nil"/>
            </w:tcBorders>
          </w:tcPr>
          <w:p>
            <w:pPr>
              <w:pStyle w:val="Normal6a"/>
            </w:pPr>
            <w:r>
              <w:t>I.</w:t>
            </w:r>
            <w:r>
              <w:tab/>
            </w:r>
            <w:r>
              <w:t xml:space="preserve">vzhledem k tomu, že Turecko </w:t>
            </w:r>
            <w:r>
              <w:rPr>
                <w:b/>
                <w:i/>
              </w:rPr>
              <w:t>hostí největší uprchlickou populaci</w:t>
            </w:r>
            <w:r>
              <w:t xml:space="preserve"> na světě </w:t>
            </w:r>
            <w:r>
              <w:rPr>
                <w:b/>
                <w:i/>
              </w:rPr>
              <w:t>s</w:t>
            </w:r>
            <w:r>
              <w:t xml:space="preserve"> přibližně 3,4 </w:t>
            </w:r>
            <w:r>
              <w:rPr>
                <w:b/>
                <w:i/>
              </w:rPr>
              <w:t>milionu</w:t>
            </w:r>
            <w:r>
              <w:t xml:space="preserve"> registrovaných uprchlíků, </w:t>
            </w:r>
            <w:r>
              <w:rPr>
                <w:b/>
                <w:i/>
              </w:rPr>
              <w:t>zejména</w:t>
            </w:r>
            <w:r>
              <w:t xml:space="preserve"> ze Sýrie, Iráku a Afghánistánu; </w:t>
            </w:r>
            <w:r>
              <w:rPr>
                <w:b/>
                <w:i/>
              </w:rPr>
              <w:t>vyjadřuje politování nad neustálým vydíráním Unie v souvislosti s migrací, které se od migrační krize v roce 2015 stupňuje, a nad destabilizačními operacemi, které turecký režim provádí na řeckých hranicích;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vzhledem k tomu, že Turecko </w:t>
            </w:r>
            <w:r>
              <w:rPr>
                <w:b/>
                <w:i/>
              </w:rPr>
              <w:t>poskytuje útočiště největšímu počtu uprchlíků</w:t>
            </w:r>
            <w:r>
              <w:t xml:space="preserve"> na světě</w:t>
            </w:r>
            <w:r>
              <w:rPr>
                <w:b/>
                <w:i/>
              </w:rPr>
              <w:t>,</w:t>
            </w:r>
            <w:r>
              <w:t xml:space="preserve"> přibližně 3,4 </w:t>
            </w:r>
            <w:r>
              <w:rPr>
                <w:b/>
                <w:i/>
              </w:rPr>
              <w:t>milionům</w:t>
            </w:r>
            <w:r>
              <w:t xml:space="preserve"> registrovaných uprchlíků, </w:t>
            </w:r>
            <w:r>
              <w:rPr>
                <w:b/>
                <w:i/>
              </w:rPr>
              <w:t>převážně</w:t>
            </w:r>
            <w:r>
              <w:t xml:space="preserve"> ze Sýrie, Iráku a Afghánistánu;</w:t>
            </w:r>
          </w:p>
        </w:tc>
        <w:tc>
          <w:tcPr>
            <w:tcW w:w="4876" w:type="dxa"/>
            <w:tcBorders>
              <w:top w:val="nil"/>
              <w:left w:val="nil"/>
              <w:bottom w:val="nil"/>
              <w:right w:val="nil"/>
            </w:tcBorders>
          </w:tcPr>
          <w:p>
            <w:pPr>
              <w:pStyle w:val="Normal6a"/>
            </w:pPr>
            <w:r>
              <w:t>I.</w:t>
            </w:r>
            <w:r>
              <w:tab/>
            </w:r>
            <w:r>
              <w:t xml:space="preserve">vzhledem k tomu, že Turecko </w:t>
            </w:r>
            <w:r>
              <w:rPr>
                <w:b/>
                <w:i/>
              </w:rPr>
              <w:t>hostí největší uprchlickou populaci</w:t>
            </w:r>
            <w:r>
              <w:t xml:space="preserve"> na světě </w:t>
            </w:r>
            <w:r>
              <w:rPr>
                <w:b/>
                <w:i/>
              </w:rPr>
              <w:t>s</w:t>
            </w:r>
            <w:r>
              <w:t xml:space="preserve"> přibližně 3,4 </w:t>
            </w:r>
            <w:r>
              <w:rPr>
                <w:b/>
                <w:i/>
              </w:rPr>
              <w:t>milionu</w:t>
            </w:r>
            <w:r>
              <w:t xml:space="preserve"> registrovaných uprchlíků, </w:t>
            </w:r>
            <w:r>
              <w:rPr>
                <w:b/>
                <w:i/>
              </w:rPr>
              <w:t>zejména</w:t>
            </w:r>
            <w:r>
              <w:t xml:space="preserve"> ze Sýrie, Iráku a Afghánistánu; </w:t>
            </w:r>
            <w:r>
              <w:rPr>
                <w:b/>
                <w:i/>
              </w:rPr>
              <w:t>vzhledem k tomu, že od roku 2011 poskytla EU 10 miliard EUR na podporu uprchlíků a hostitelských komunit v Turecku;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vzhledem k tomu, že Turecko </w:t>
            </w:r>
            <w:r>
              <w:rPr>
                <w:b/>
                <w:i/>
              </w:rPr>
              <w:t>poskytuje útočiště největšímu počtu</w:t>
            </w:r>
            <w:r>
              <w:t xml:space="preserve"> uprchlíků </w:t>
            </w:r>
            <w:r>
              <w:rPr>
                <w:b/>
                <w:i/>
              </w:rPr>
              <w:t>na světě,</w:t>
            </w:r>
            <w:r>
              <w:t xml:space="preserve"> přibližně 3,4 </w:t>
            </w:r>
            <w:r>
              <w:rPr>
                <w:b/>
                <w:i/>
              </w:rPr>
              <w:t>milionům</w:t>
            </w:r>
            <w:r>
              <w:t xml:space="preserve"> registrovaných uprchlíků, </w:t>
            </w:r>
            <w:r>
              <w:rPr>
                <w:b/>
                <w:i/>
              </w:rPr>
              <w:t>převážně</w:t>
            </w:r>
            <w:r>
              <w:t xml:space="preserve"> ze Sýrie, Iráku a Afghánistánu;</w:t>
            </w:r>
          </w:p>
        </w:tc>
        <w:tc>
          <w:tcPr>
            <w:tcW w:w="4876" w:type="dxa"/>
            <w:tcBorders>
              <w:top w:val="nil"/>
              <w:left w:val="nil"/>
              <w:bottom w:val="nil"/>
              <w:right w:val="nil"/>
            </w:tcBorders>
          </w:tcPr>
          <w:p>
            <w:pPr>
              <w:pStyle w:val="Normal6a"/>
            </w:pPr>
            <w:r>
              <w:t>I.</w:t>
            </w:r>
            <w:r>
              <w:tab/>
            </w:r>
            <w:r>
              <w:t xml:space="preserve">vzhledem k tomu, že Turecko </w:t>
            </w:r>
            <w:r>
              <w:rPr>
                <w:b/>
                <w:i/>
              </w:rPr>
              <w:t>hostí obrovské množství</w:t>
            </w:r>
            <w:r>
              <w:t xml:space="preserve"> uprchlíků </w:t>
            </w:r>
            <w:r>
              <w:rPr>
                <w:b/>
                <w:i/>
              </w:rPr>
              <w:t>s</w:t>
            </w:r>
            <w:r>
              <w:t xml:space="preserve"> přibližně 3,4 </w:t>
            </w:r>
            <w:r>
              <w:rPr>
                <w:b/>
                <w:i/>
              </w:rPr>
              <w:t>milionu</w:t>
            </w:r>
            <w:r>
              <w:t xml:space="preserve"> registrovaných uprchlíků, </w:t>
            </w:r>
            <w:r>
              <w:rPr>
                <w:b/>
                <w:i/>
              </w:rPr>
              <w:t>zejména</w:t>
            </w:r>
            <w:r>
              <w:t xml:space="preserve"> ze Sýrie, Iráku a Afghánistánu; </w:t>
            </w:r>
            <w:r>
              <w:rPr>
                <w:b/>
                <w:i/>
              </w:rPr>
              <w:t>vzhledem k tomu, že EU od roku 2011 vyčlenila více než 10 miliard EUR na pomoc uprchlíkům a hostitelským komunitám v Turecku;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vzhledem k tomu, že Turecko </w:t>
            </w:r>
            <w:r>
              <w:rPr>
                <w:b/>
                <w:i/>
              </w:rPr>
              <w:t>poskytuje útočiště největšímu počtu uprchlíků</w:t>
            </w:r>
            <w:r>
              <w:t xml:space="preserve"> na světě</w:t>
            </w:r>
            <w:r>
              <w:rPr>
                <w:b/>
                <w:i/>
              </w:rPr>
              <w:t>,</w:t>
            </w:r>
            <w:r>
              <w:t xml:space="preserve"> přibližně </w:t>
            </w:r>
            <w:r>
              <w:rPr>
                <w:b/>
                <w:i/>
              </w:rPr>
              <w:t>3,4 milionům</w:t>
            </w:r>
            <w:r>
              <w:t xml:space="preserve"> registrovaných uprchlíků, </w:t>
            </w:r>
            <w:r>
              <w:rPr>
                <w:b/>
                <w:i/>
              </w:rPr>
              <w:t>převážně</w:t>
            </w:r>
            <w:r>
              <w:t xml:space="preserve"> ze Sýrie, Iráku a Afghánistánu;</w:t>
            </w:r>
          </w:p>
        </w:tc>
        <w:tc>
          <w:tcPr>
            <w:tcW w:w="4876" w:type="dxa"/>
            <w:tcBorders>
              <w:top w:val="nil"/>
              <w:left w:val="nil"/>
              <w:bottom w:val="nil"/>
              <w:right w:val="nil"/>
            </w:tcBorders>
          </w:tcPr>
          <w:p>
            <w:pPr>
              <w:pStyle w:val="Normal6a"/>
            </w:pPr>
            <w:r>
              <w:t>I.</w:t>
            </w:r>
            <w:r>
              <w:tab/>
            </w:r>
            <w:r>
              <w:t xml:space="preserve">vzhledem k tomu, že Turecko </w:t>
            </w:r>
            <w:r>
              <w:rPr>
                <w:b/>
                <w:i/>
              </w:rPr>
              <w:t>hostí největší uprchlickou populaci</w:t>
            </w:r>
            <w:r>
              <w:t xml:space="preserve"> na světě </w:t>
            </w:r>
            <w:r>
              <w:rPr>
                <w:b/>
                <w:i/>
              </w:rPr>
              <w:t>s</w:t>
            </w:r>
            <w:r>
              <w:t xml:space="preserve"> přibližně </w:t>
            </w:r>
            <w:r>
              <w:rPr>
                <w:b/>
                <w:i/>
              </w:rPr>
              <w:t>3,1 milionu</w:t>
            </w:r>
            <w:r>
              <w:t xml:space="preserve"> registrovaných uprchlíků, </w:t>
            </w:r>
            <w:r>
              <w:rPr>
                <w:b/>
                <w:i/>
              </w:rPr>
              <w:t>zejména</w:t>
            </w:r>
            <w:r>
              <w:t xml:space="preserve"> ze Sýrie, Iráku a Afghánistánu;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vzhledem k tomu, že </w:t>
            </w:r>
            <w:r>
              <w:rPr>
                <w:b/>
                <w:i/>
              </w:rPr>
              <w:t>Turecko poskytuje útočiště největšímu počtu uprchlíků na světě,</w:t>
            </w:r>
            <w:r>
              <w:t xml:space="preserve"> přibližně 3,4 </w:t>
            </w:r>
            <w:r>
              <w:rPr>
                <w:b/>
                <w:i/>
              </w:rPr>
              <w:t>milionům registrovaných</w:t>
            </w:r>
            <w:r>
              <w:t xml:space="preserve"> uprchlíků, </w:t>
            </w:r>
            <w:r>
              <w:rPr>
                <w:b/>
                <w:i/>
              </w:rPr>
              <w:t>převážně</w:t>
            </w:r>
            <w:r>
              <w:t xml:space="preserve"> ze Sýrie, Iráku a Afghánistánu;</w:t>
            </w:r>
          </w:p>
        </w:tc>
        <w:tc>
          <w:tcPr>
            <w:tcW w:w="4876" w:type="dxa"/>
            <w:tcBorders>
              <w:top w:val="nil"/>
              <w:left w:val="nil"/>
              <w:bottom w:val="nil"/>
              <w:right w:val="nil"/>
            </w:tcBorders>
          </w:tcPr>
          <w:p>
            <w:pPr>
              <w:pStyle w:val="Normal6a"/>
            </w:pPr>
            <w:r>
              <w:t>I.</w:t>
            </w:r>
            <w:r>
              <w:tab/>
            </w:r>
            <w:r>
              <w:t xml:space="preserve">vzhledem k tomu, že </w:t>
            </w:r>
            <w:r>
              <w:rPr>
                <w:b/>
                <w:i/>
              </w:rPr>
              <w:t>na tureckém území je registrováno</w:t>
            </w:r>
            <w:r>
              <w:t xml:space="preserve"> přibližně 3,4 </w:t>
            </w:r>
            <w:r>
              <w:rPr>
                <w:b/>
                <w:i/>
              </w:rPr>
              <w:t>milionu</w:t>
            </w:r>
            <w:r>
              <w:t xml:space="preserve"> uprchlíků, </w:t>
            </w:r>
            <w:r>
              <w:rPr>
                <w:b/>
                <w:i/>
              </w:rPr>
              <w:t>zejména</w:t>
            </w:r>
            <w:r>
              <w:t xml:space="preserve"> ze Sýrie, Iráku a Afghánistánu;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Turecko neodsoudilo teroristický útok ze dne 7. října a zaujalo postoj ve prospěch teroristické organizace Hamás uvedené na unijním seznamu teroristických organizací, což je zcela v rozporu s postojem Unie;</w:t>
            </w:r>
            <w:r>
              <w:t xml:space="preserve"> </w:t>
            </w:r>
            <w:r>
              <w:rPr>
                <w:b/>
                <w:i/>
              </w:rPr>
              <w:t>vzhledem k tomu, že turecký prezident se následně v dubnu 2024 v Istanbulu setkal s politickým vůdcem Hamásu Haníjou;</w:t>
            </w:r>
            <w:r>
              <w:t xml:space="preserve"> </w:t>
            </w:r>
            <w:r>
              <w:rPr>
                <w:b/>
                <w:i/>
              </w:rPr>
              <w:t>vzhledem k tomu, že Turecko nepovažuje Hamás za teroristickou skupinu, ale za „osvobozenecké hnutí“ a že nyní existují důvěryhodné zprávy, podle nichž se vedoucí představitelé této teroristické skupiny přestěhovali do Turecka, odkud plánují a provádějí teroristické činy, a to i proti Izraeli;</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protiteroristické zákony byly zneužity k protiprávnímu obviňování evropských jednotlivců a organizací, kteří nesouhlasí s tureckým režimem a nutí je, aby ukončili svou činnost, jak je popsáno v usneseních Evropského parlamentu ze dne 5. května 2022 o případu Osmana Kavaly a ze dne 10. října 2024 o případu Bülenta Mumaye;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od roku 2011 poskytla EU Turecku téměř 10 miliard EUR na pomoc se syrskými uprchlíky;</w:t>
            </w:r>
            <w:r>
              <w:t xml:space="preserve"> </w:t>
            </w:r>
            <w:r>
              <w:rPr>
                <w:b/>
                <w:i/>
              </w:rPr>
              <w:t>vzhledem k tomu, že v prosinci 2024 Erdogan požádal předsedkyni Evropské komise von der Leyenovou o jednu dodatečnou miliardu EUR na pomoc se syrskými uprchlíky v Turecku a získal ji od 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zpráva Komise o pokroku Turecka za rok 2024 uvádí, že země ke dni 30. září 2024 si udržovala velmi nízkou míru souladu s příslušnými prohlášeními vysokého představitele jménem EU a příslušnými rozhodnutími Rady ve výši 5 % oproti 9 % v roce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Turecko systematicky zneužívá protiteroristické zákony k útokům na volené představitele, opoziční politiky a obránce lidských práv, jak uvedl zvláštní zpravodaj OSN a Benátská komise;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míra sladění zahraniční politiky Turecka se SZBP EU se neustále zhoršuje a dosahuje historicky nejnižší hodnoty 5 %;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míra sladění zahraniční politiky Turecka se SZBP EU se neustále snižuje a dosahuje historicky nejnižší hodnoty 5 %;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Turecko zůstává klíčovým partnerem pro stabilitu v širším regionu východního Středomoří;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Závazek </w:t>
            </w:r>
            <w:r>
              <w:rPr>
                <w:b/>
                <w:i/>
              </w:rPr>
              <w:t>v souvislosti s přistoupením</w:t>
            </w:r>
            <w:r>
              <w:t xml:space="preserve"> k EU</w:t>
            </w:r>
          </w:p>
        </w:tc>
        <w:tc>
          <w:tcPr>
            <w:tcW w:w="4876" w:type="dxa"/>
            <w:tcBorders>
              <w:top w:val="nil"/>
              <w:left w:val="nil"/>
              <w:bottom w:val="nil"/>
              <w:right w:val="nil"/>
            </w:tcBorders>
          </w:tcPr>
          <w:p>
            <w:pPr>
              <w:pStyle w:val="Normal6a"/>
            </w:pPr>
            <w:r>
              <w:t xml:space="preserve">Závazek </w:t>
            </w:r>
            <w:r>
              <w:rPr>
                <w:b/>
                <w:i/>
              </w:rPr>
              <w:t>k definitivnímu ukončení procesu přistoupení</w:t>
            </w:r>
            <w:r>
              <w:t xml:space="preserve"> k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Costas Mavrides, Andreas Schieder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vítá nedávná prohlášení turecké vlády, která v kontextu konstruktivnějšího prostředí pro oživení vztahů mezi EU a Tureckem zopakovala svůj závazek k členství v EU jako strategickému cíli;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vítá nedávná prohlášení turecké vlády, která v kontextu konstruktivnějšího prostředí pro oživení vztahů mezi EU a Tureckem zopakovala svůj závazek k členství v EU jako strategickému cíli;</w:t>
            </w:r>
          </w:p>
        </w:tc>
        <w:tc>
          <w:tcPr>
            <w:tcW w:w="4876" w:type="dxa"/>
            <w:tcBorders>
              <w:top w:val="nil"/>
              <w:left w:val="nil"/>
              <w:bottom w:val="nil"/>
              <w:right w:val="nil"/>
            </w:tcBorders>
          </w:tcPr>
          <w:p>
            <w:pPr>
              <w:pStyle w:val="Normal6a"/>
            </w:pPr>
            <w:r>
              <w:t>1.</w:t>
            </w:r>
            <w:r>
              <w:tab/>
            </w:r>
            <w:r>
              <w:t xml:space="preserve">vítá nedávná prohlášení turecké vlády, která v kontextu konstruktivnějšího prostředí pro oživení vztahů mezi EU a Tureckem zopakovala svůj závazek k členství v EU jako strategickému cíli; </w:t>
            </w:r>
            <w:r>
              <w:rPr>
                <w:b/>
                <w:i/>
              </w:rPr>
              <w:t>zdůrazňuje však, že členství v EU je podmíněno splněním přístupových (kodaňských) kritérií, která vyžadují stabilní instituce zaručující demokracii, právní stát, lidská práva a respektování a ochranu menšin;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vítá nedávná prohlášení</w:t>
            </w:r>
            <w:r>
              <w:t xml:space="preserve"> turecké vlády, </w:t>
            </w:r>
            <w:r>
              <w:rPr>
                <w:b/>
                <w:i/>
              </w:rPr>
              <w:t>která v kontextu konstruktivnějšího prostředí pro oživení vztahů</w:t>
            </w:r>
            <w:r>
              <w:t xml:space="preserve"> mezi EU a Tureckem </w:t>
            </w:r>
            <w:r>
              <w:rPr>
                <w:b/>
                <w:i/>
              </w:rPr>
              <w:t>zopakovala svůj závazek k členství v EU jako strategickému cíli</w:t>
            </w:r>
            <w:r>
              <w:t>;</w:t>
            </w:r>
          </w:p>
        </w:tc>
        <w:tc>
          <w:tcPr>
            <w:tcW w:w="4876" w:type="dxa"/>
            <w:tcBorders>
              <w:top w:val="nil"/>
              <w:left w:val="nil"/>
              <w:bottom w:val="nil"/>
              <w:right w:val="nil"/>
            </w:tcBorders>
          </w:tcPr>
          <w:p>
            <w:pPr>
              <w:pStyle w:val="Normal6a"/>
            </w:pPr>
            <w:r>
              <w:t>1.</w:t>
            </w:r>
            <w:r>
              <w:tab/>
            </w:r>
            <w:r>
              <w:rPr>
                <w:b/>
                <w:i/>
              </w:rPr>
              <w:t>je překvapen nedávnými prohlášeními</w:t>
            </w:r>
            <w:r>
              <w:t xml:space="preserve"> turecké vlády, </w:t>
            </w:r>
            <w:r>
              <w:rPr>
                <w:b/>
                <w:i/>
              </w:rPr>
              <w:t>v nichž zopakovala svůj závazek k členství v EU jako strategickému cíli, vzhledem k velkým politickým rozdílům mezi Tureckem a několika členskými státy EU;</w:t>
            </w:r>
            <w:r>
              <w:t xml:space="preserve"> </w:t>
            </w:r>
            <w:r>
              <w:rPr>
                <w:b/>
                <w:i/>
              </w:rPr>
              <w:t>vyzývá Evropskou radu, aby neprodleně vyjasnila vztahy</w:t>
            </w:r>
            <w:r>
              <w:t xml:space="preserve"> mezi EU a Tureckem </w:t>
            </w:r>
            <w:r>
              <w:rPr>
                <w:b/>
                <w:i/>
              </w:rPr>
              <w:t>tím, že tureckému prezidentovi oznámí, že proces přistoupení Turecka k EU s konečnou platností skončil</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vítá nedávná prohlášení turecké vlády, </w:t>
            </w:r>
            <w:r>
              <w:rPr>
                <w:b/>
                <w:i/>
              </w:rPr>
              <w:t>která v kontextu</w:t>
            </w:r>
            <w:r>
              <w:t xml:space="preserve"> konstruktivnějšího prostředí pro oživení vztahů mezi EU a Tureckem </w:t>
            </w:r>
            <w:r>
              <w:rPr>
                <w:b/>
                <w:i/>
              </w:rPr>
              <w:t>zopakovala svůj závazek k členství v EU jako strategickému cíli</w:t>
            </w:r>
            <w:r>
              <w:t>;</w:t>
            </w:r>
          </w:p>
        </w:tc>
        <w:tc>
          <w:tcPr>
            <w:tcW w:w="4876" w:type="dxa"/>
            <w:tcBorders>
              <w:top w:val="nil"/>
              <w:left w:val="nil"/>
              <w:bottom w:val="nil"/>
              <w:right w:val="nil"/>
            </w:tcBorders>
          </w:tcPr>
          <w:p>
            <w:pPr>
              <w:pStyle w:val="Normal6a"/>
            </w:pPr>
            <w:r>
              <w:t>1.</w:t>
            </w:r>
            <w:r>
              <w:tab/>
            </w:r>
            <w:r>
              <w:t xml:space="preserve">vítá nedávná prohlášení turecké vlády, </w:t>
            </w:r>
            <w:r>
              <w:rPr>
                <w:b/>
                <w:i/>
              </w:rPr>
              <w:t>v nichž znovu opakuje svůj závazek k členství v EU jako strategický cíl, který může poskytnout nezbytný impuls pro vytvoření</w:t>
            </w:r>
            <w:r>
              <w:t xml:space="preserve"> konstruktivnějšího prostředí pro oživení vztahů mezi EU a Tureckem</w:t>
            </w:r>
            <w:r>
              <w:rPr>
                <w:b/>
                <w:i/>
              </w:rPr>
              <w:t>, a to postupně, přiměřeně a nikoli nezvratně, jak je stanoveno v předchozích závěrech Evropské rady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vítá</w:t>
            </w:r>
            <w:r>
              <w:t xml:space="preserve"> nedávná prohlášení turecké vlády, </w:t>
            </w:r>
            <w:r>
              <w:rPr>
                <w:b/>
                <w:i/>
              </w:rPr>
              <w:t>která</w:t>
            </w:r>
            <w:r>
              <w:t xml:space="preserve"> v kontextu konstruktivnějšího prostředí pro oživení vztahů mezi EU a Tureckem </w:t>
            </w:r>
            <w:r>
              <w:rPr>
                <w:b/>
                <w:i/>
              </w:rPr>
              <w:t>zopakovala svůj závazek k členství v EU jako strategickému cíli;</w:t>
            </w:r>
          </w:p>
        </w:tc>
        <w:tc>
          <w:tcPr>
            <w:tcW w:w="4876" w:type="dxa"/>
            <w:tcBorders>
              <w:top w:val="nil"/>
              <w:left w:val="nil"/>
              <w:bottom w:val="nil"/>
              <w:right w:val="nil"/>
            </w:tcBorders>
          </w:tcPr>
          <w:p>
            <w:pPr>
              <w:pStyle w:val="Normal6a"/>
            </w:pPr>
            <w:r>
              <w:t>1.</w:t>
            </w:r>
            <w:r>
              <w:tab/>
            </w:r>
            <w:r>
              <w:rPr>
                <w:b/>
                <w:i/>
              </w:rPr>
              <w:t>bere na vědomí</w:t>
            </w:r>
            <w:r>
              <w:t xml:space="preserve"> nedávná prohlášení turecké vlády, </w:t>
            </w:r>
            <w:r>
              <w:rPr>
                <w:b/>
                <w:i/>
              </w:rPr>
              <w:t>v nichž zopakovala svůj závazek k členství v EU jako strategickému cíli</w:t>
            </w:r>
            <w:r>
              <w:t xml:space="preserve"> v kontextu konstruktivnějšího prostředí pro oživení vztahů mezi EU a Tureckem</w:t>
            </w:r>
            <w:r>
              <w:rPr>
                <w:b/>
                <w:i/>
              </w:rPr>
              <w:t>;</w:t>
            </w:r>
            <w:r>
              <w:t xml:space="preserve"> </w:t>
            </w:r>
            <w:r>
              <w:rPr>
                <w:b/>
                <w:i/>
              </w:rPr>
              <w:t>naléhavě vyzývá tureckou vládu, aby se zaměřila spíše na zásadní reformy než na rétoriku, která se snaží přenést vinu na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vítá nedávná prohlášení turecké vlády, která v kontextu konstruktivnějšího prostředí pro oživení vztahů mezi EU a Tureckem zopakovala svůj závazek k členství v EU jako strategickému cíli;</w:t>
            </w:r>
          </w:p>
        </w:tc>
        <w:tc>
          <w:tcPr>
            <w:tcW w:w="4876" w:type="dxa"/>
            <w:tcBorders>
              <w:top w:val="nil"/>
              <w:left w:val="nil"/>
              <w:bottom w:val="nil"/>
              <w:right w:val="nil"/>
            </w:tcBorders>
          </w:tcPr>
          <w:p>
            <w:pPr>
              <w:pStyle w:val="Normal6a"/>
            </w:pPr>
            <w:r>
              <w:t>1.</w:t>
            </w:r>
            <w:r>
              <w:tab/>
            </w:r>
            <w:r>
              <w:t xml:space="preserve">vítá nedávná prohlášení turecké vlády, která v kontextu konstruktivnějšího prostředí pro oživení vztahů mezi EU a Tureckem zopakovala svůj závazek k členství v EU jako strategickému cíli; </w:t>
            </w:r>
            <w:r>
              <w:rPr>
                <w:b/>
                <w:i/>
              </w:rPr>
              <w:t>uznává závazek EU podporovat tuto angažovanost prostřednictvím posíleného dialogu a spolupráce;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vítá</w:t>
            </w:r>
            <w:r>
              <w:t xml:space="preserve"> nedávná prohlášení turecké vlády, </w:t>
            </w:r>
            <w:r>
              <w:rPr>
                <w:b/>
                <w:i/>
              </w:rPr>
              <w:t>která v kontextu</w:t>
            </w:r>
            <w:r>
              <w:t xml:space="preserve"> konstruktivnějšího prostředí pro oživení vztahů mezi EU a Tureckem </w:t>
            </w:r>
            <w:r>
              <w:rPr>
                <w:b/>
                <w:i/>
              </w:rPr>
              <w:t>zopakovala svůj závazek k členství v EU jako strategickému cíli</w:t>
            </w:r>
            <w:r>
              <w:t>;</w:t>
            </w:r>
          </w:p>
        </w:tc>
        <w:tc>
          <w:tcPr>
            <w:tcW w:w="4876" w:type="dxa"/>
            <w:tcBorders>
              <w:top w:val="nil"/>
              <w:left w:val="nil"/>
              <w:bottom w:val="nil"/>
              <w:right w:val="nil"/>
            </w:tcBorders>
          </w:tcPr>
          <w:p>
            <w:pPr>
              <w:pStyle w:val="Normal6a"/>
            </w:pPr>
            <w:r>
              <w:t>1.</w:t>
            </w:r>
            <w:r>
              <w:tab/>
            </w:r>
            <w:r>
              <w:rPr>
                <w:b/>
                <w:i/>
              </w:rPr>
              <w:t>konstatuje, že</w:t>
            </w:r>
            <w:r>
              <w:t xml:space="preserve"> nedávná prohlášení turecké vlády, </w:t>
            </w:r>
            <w:r>
              <w:rPr>
                <w:b/>
                <w:i/>
              </w:rPr>
              <w:t>v nichž opakuje svůj závazek k členství v EU jako strategickému cíli, a to v rámci</w:t>
            </w:r>
            <w:r>
              <w:t xml:space="preserve"> konstruktivnějšího prostředí pro oživení vztahů mezi EU a Tureckem</w:t>
            </w:r>
            <w:r>
              <w:rPr>
                <w:b/>
                <w:i/>
              </w:rPr>
              <w:t>, musí být doprovázena zásadními kroky, které prokáží konkrétní přání připojit se k evropskému projektu</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vítá nedávná prohlášení turecké vlády, </w:t>
            </w:r>
            <w:r>
              <w:rPr>
                <w:b/>
                <w:i/>
              </w:rPr>
              <w:t>která v kontextu konstruktivnějšího prostředí pro</w:t>
            </w:r>
            <w:r>
              <w:t xml:space="preserve"> oživení vztahů mezi EU a Tureckem </w:t>
            </w:r>
            <w:r>
              <w:rPr>
                <w:b/>
                <w:i/>
              </w:rPr>
              <w:t>zopakovala svůj závazek k členství v EU jako strategickému cíli</w:t>
            </w:r>
            <w:r>
              <w:t>;</w:t>
            </w:r>
          </w:p>
        </w:tc>
        <w:tc>
          <w:tcPr>
            <w:tcW w:w="4876" w:type="dxa"/>
            <w:tcBorders>
              <w:top w:val="nil"/>
              <w:left w:val="nil"/>
              <w:bottom w:val="nil"/>
              <w:right w:val="nil"/>
            </w:tcBorders>
          </w:tcPr>
          <w:p>
            <w:pPr>
              <w:pStyle w:val="Normal6a"/>
            </w:pPr>
            <w:r>
              <w:t>1.</w:t>
            </w:r>
            <w:r>
              <w:tab/>
            </w:r>
            <w:r>
              <w:t xml:space="preserve">vítá nedávná prohlášení turecké vlády, </w:t>
            </w:r>
            <w:r>
              <w:rPr>
                <w:b/>
                <w:i/>
              </w:rPr>
              <w:t>v nichž opakuje svůj závazek k členství v EU jako strategickému cíli v rámci úsilí o</w:t>
            </w:r>
            <w:r>
              <w:t xml:space="preserve"> oživení vztahů mezi EU a Tureckem </w:t>
            </w:r>
            <w:r>
              <w:rPr>
                <w:b/>
                <w:i/>
              </w:rPr>
              <w:t>v souladu se závěry Evropské rady z dubna 2024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vítá</w:t>
            </w:r>
            <w:r>
              <w:t xml:space="preserve"> nedávná prohlášení turecké vlády, která v </w:t>
            </w:r>
            <w:r>
              <w:rPr>
                <w:b/>
                <w:i/>
              </w:rPr>
              <w:t>kontextu konstruktivnějšího prostředí pro oživení vztahů mezi EU a Tureckem zopakovala svůj závazek k členství v EU jako strategickému cíli</w:t>
            </w:r>
            <w:r>
              <w:t>;</w:t>
            </w:r>
          </w:p>
        </w:tc>
        <w:tc>
          <w:tcPr>
            <w:tcW w:w="4876" w:type="dxa"/>
            <w:tcBorders>
              <w:top w:val="nil"/>
              <w:left w:val="nil"/>
              <w:bottom w:val="nil"/>
              <w:right w:val="nil"/>
            </w:tcBorders>
          </w:tcPr>
          <w:p>
            <w:pPr>
              <w:pStyle w:val="Normal6a"/>
            </w:pPr>
            <w:r>
              <w:t>1.</w:t>
            </w:r>
            <w:r>
              <w:tab/>
            </w:r>
            <w:r>
              <w:rPr>
                <w:b/>
                <w:i/>
              </w:rPr>
              <w:t>zpochybňuje</w:t>
            </w:r>
            <w:r>
              <w:t xml:space="preserve"> nedávná prohlášení turecké vlády, která v </w:t>
            </w:r>
            <w:r>
              <w:rPr>
                <w:b/>
                <w:i/>
              </w:rPr>
              <w:t>nich opakuje svůj závazek k členství v EU jako strategický cíl, neboť EU je již značně přetížena a měla by se zdržet dalšího rozšiřování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vítá</w:t>
            </w:r>
            <w:r>
              <w:t xml:space="preserve"> nedávná prohlášení turecké vlády, </w:t>
            </w:r>
            <w:r>
              <w:rPr>
                <w:b/>
                <w:i/>
              </w:rPr>
              <w:t>která v kontextu konstruktivnějšího prostředí pro oživení vztahů mezi EU a Tureckem zopakovala svůj závazek k členství v EU jako strategickému cíli</w:t>
            </w:r>
            <w:r>
              <w:t>;</w:t>
            </w:r>
          </w:p>
        </w:tc>
        <w:tc>
          <w:tcPr>
            <w:tcW w:w="4876" w:type="dxa"/>
            <w:tcBorders>
              <w:top w:val="nil"/>
              <w:left w:val="nil"/>
              <w:bottom w:val="nil"/>
              <w:right w:val="nil"/>
            </w:tcBorders>
          </w:tcPr>
          <w:p>
            <w:pPr>
              <w:pStyle w:val="Normal6a"/>
            </w:pPr>
            <w:r>
              <w:t>1.</w:t>
            </w:r>
            <w:r>
              <w:tab/>
            </w:r>
            <w:r>
              <w:rPr>
                <w:b/>
                <w:i/>
              </w:rPr>
              <w:t>bere na vědomí</w:t>
            </w:r>
            <w:r>
              <w:t xml:space="preserve"> nedávná prohlášení turecké vlády, </w:t>
            </w:r>
            <w:r>
              <w:rPr>
                <w:b/>
                <w:i/>
              </w:rPr>
              <w:t>v nichž opakuje svůj závazek k členství v EU jakožto strategickému cíli, a to v rámci konstruktivnějšího prostředí pro oživení vztahů mezi EU a Tureckem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vítá</w:t>
            </w:r>
            <w:r>
              <w:t xml:space="preserve"> nedávná prohlášení turecké vlády, </w:t>
            </w:r>
            <w:r>
              <w:rPr>
                <w:b/>
                <w:i/>
              </w:rPr>
              <w:t>která v kontextu konstruktivnějšího prostředí pro oživení vztahů mezi EU a Tureckem zopakovala svůj závazek k členství v EU jako strategickému cíli</w:t>
            </w:r>
            <w:r>
              <w:t>;</w:t>
            </w:r>
          </w:p>
        </w:tc>
        <w:tc>
          <w:tcPr>
            <w:tcW w:w="4876" w:type="dxa"/>
            <w:tcBorders>
              <w:top w:val="nil"/>
              <w:left w:val="nil"/>
              <w:bottom w:val="nil"/>
              <w:right w:val="nil"/>
            </w:tcBorders>
          </w:tcPr>
          <w:p>
            <w:pPr>
              <w:pStyle w:val="Normal6a"/>
            </w:pPr>
            <w:r>
              <w:t>1.</w:t>
            </w:r>
            <w:r>
              <w:tab/>
            </w:r>
            <w:r>
              <w:rPr>
                <w:b/>
                <w:i/>
              </w:rPr>
              <w:t>bere na vědomí</w:t>
            </w:r>
            <w:r>
              <w:t xml:space="preserve"> nedávná prohlášení turecké vlády, </w:t>
            </w:r>
            <w:r>
              <w:rPr>
                <w:b/>
                <w:i/>
              </w:rPr>
              <w:t>v nichž opakuje svůj závazek k členství v EU jako strategický cíl, ale považuje je za nedostatečná k oživení přístupových jednání mezi EU a Tureckem</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vítá nedávná prohlášení</w:t>
            </w:r>
            <w:r>
              <w:t xml:space="preserve"> turecké vlády, která v </w:t>
            </w:r>
            <w:r>
              <w:rPr>
                <w:b/>
                <w:i/>
              </w:rPr>
              <w:t>kontextu konstruktivnějšího prostředí pro oživení vztahů mezi EU a Tureckem zopakovala svůj závazek k členství v EU jako strategickému cíli</w:t>
            </w:r>
            <w:r>
              <w:t>;</w:t>
            </w:r>
          </w:p>
        </w:tc>
        <w:tc>
          <w:tcPr>
            <w:tcW w:w="4876" w:type="dxa"/>
            <w:tcBorders>
              <w:top w:val="nil"/>
              <w:left w:val="nil"/>
              <w:bottom w:val="nil"/>
              <w:right w:val="nil"/>
            </w:tcBorders>
          </w:tcPr>
          <w:p>
            <w:pPr>
              <w:pStyle w:val="Normal6a"/>
            </w:pPr>
            <w:r>
              <w:t>1.</w:t>
            </w:r>
            <w:r>
              <w:tab/>
            </w:r>
            <w:r>
              <w:rPr>
                <w:b/>
                <w:i/>
              </w:rPr>
              <w:t>vyjadřuje politování nad nedávnými prohlášeními</w:t>
            </w:r>
            <w:r>
              <w:t xml:space="preserve"> turecké vlády, která v </w:t>
            </w:r>
            <w:r>
              <w:rPr>
                <w:b/>
                <w:i/>
              </w:rPr>
              <w:t>nich opakuje svůj závazek k členství v EU jakožto strategickému cíli v kontextu konstruktivnějšího prostředí pro oživení vztahů mezi EU a Tureckem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vítá nedávná prohlášení</w:t>
            </w:r>
            <w:r>
              <w:t xml:space="preserve"> turecké vlády, která v </w:t>
            </w:r>
            <w:r>
              <w:rPr>
                <w:b/>
                <w:i/>
              </w:rPr>
              <w:t>kontextu konstruktivnějšího prostředí pro oživení vztahů mezi EU a Tureckem zopakovala svůj závazek k členství v EU jako strategickému cíli</w:t>
            </w:r>
            <w:r>
              <w:t>;</w:t>
            </w:r>
          </w:p>
        </w:tc>
        <w:tc>
          <w:tcPr>
            <w:tcW w:w="4876" w:type="dxa"/>
            <w:tcBorders>
              <w:top w:val="nil"/>
              <w:left w:val="nil"/>
              <w:bottom w:val="nil"/>
              <w:right w:val="nil"/>
            </w:tcBorders>
          </w:tcPr>
          <w:p>
            <w:pPr>
              <w:pStyle w:val="Normal6a"/>
            </w:pPr>
            <w:r>
              <w:t>1.</w:t>
            </w:r>
            <w:r>
              <w:tab/>
            </w:r>
            <w:r>
              <w:rPr>
                <w:b/>
                <w:i/>
              </w:rPr>
              <w:t>vyjadřuje politování nad nedávnými prohlášeními</w:t>
            </w:r>
            <w:r>
              <w:t xml:space="preserve"> turecké vlády, která v </w:t>
            </w:r>
            <w:r>
              <w:rPr>
                <w:b/>
                <w:i/>
              </w:rPr>
              <w:t>nich opakuje svůj závazek k členství v EU jako ke strategickému cíli v kontextu konstruktivnějšího prostředí pro oživení vztahů mezi EU a Tureckem</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vítá nedávná</w:t>
            </w:r>
            <w:r>
              <w:t xml:space="preserve"> prohlášení turecké vlády</w:t>
            </w:r>
            <w:r>
              <w:rPr>
                <w:b/>
                <w:i/>
              </w:rPr>
              <w:t>, která v kontextu konstruktivnějšího prostředí pro oživení vztahů mezi EU a Tureckem zopakovala svůj závazek k členství v EU jako strategickému cíli</w:t>
            </w:r>
            <w:r>
              <w:t>;</w:t>
            </w:r>
          </w:p>
        </w:tc>
        <w:tc>
          <w:tcPr>
            <w:tcW w:w="4876" w:type="dxa"/>
            <w:tcBorders>
              <w:top w:val="nil"/>
              <w:left w:val="nil"/>
              <w:bottom w:val="nil"/>
              <w:right w:val="nil"/>
            </w:tcBorders>
          </w:tcPr>
          <w:p>
            <w:pPr>
              <w:pStyle w:val="Normal6a"/>
            </w:pPr>
            <w:r>
              <w:t>1.</w:t>
            </w:r>
            <w:r>
              <w:tab/>
            </w:r>
            <w:r>
              <w:rPr>
                <w:b/>
                <w:i/>
              </w:rPr>
              <w:t>bere na vědomí opakovaná teoretická</w:t>
            </w:r>
            <w:r>
              <w:t xml:space="preserve"> prohlášení turecké vlády </w:t>
            </w:r>
            <w:r>
              <w:rPr>
                <w:b/>
                <w:i/>
              </w:rPr>
              <w:t>o jejím „závazku k členství v EU jako strategickém cíli“ v kontextu stále konkurenčnějšího ovzduší mezi EU a Tureckem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vítá</w:t>
            </w:r>
            <w:r>
              <w:t xml:space="preserve"> nedávná prohlášení turecké vlády, která v </w:t>
            </w:r>
            <w:r>
              <w:rPr>
                <w:b/>
                <w:i/>
              </w:rPr>
              <w:t>kontextu konstruktivnějšího prostředí pro oživení vztahů mezi EU a Tureckem zopakovala svůj závazek k členství v EU jako strategickému cíli</w:t>
            </w:r>
            <w:r>
              <w:t>;</w:t>
            </w:r>
          </w:p>
        </w:tc>
        <w:tc>
          <w:tcPr>
            <w:tcW w:w="4876" w:type="dxa"/>
            <w:tcBorders>
              <w:top w:val="nil"/>
              <w:left w:val="nil"/>
              <w:bottom w:val="nil"/>
              <w:right w:val="nil"/>
            </w:tcBorders>
          </w:tcPr>
          <w:p>
            <w:pPr>
              <w:pStyle w:val="Normal6a"/>
            </w:pPr>
            <w:r>
              <w:t>1.</w:t>
            </w:r>
            <w:r>
              <w:tab/>
            </w:r>
            <w:r>
              <w:rPr>
                <w:b/>
                <w:i/>
              </w:rPr>
              <w:t>bere na vědomí</w:t>
            </w:r>
            <w:r>
              <w:t xml:space="preserve"> nedávná prohlášení turecké vlády, která v </w:t>
            </w:r>
            <w:r>
              <w:rPr>
                <w:b/>
                <w:i/>
              </w:rPr>
              <w:t>nich opakuje svůj závazek k členství v EU jako strategický cíl, je však i nadále skeptická, pokud jde o spolehlivost těchto prohlášení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konstatuje, že jakákoli politická interakce s Tureckem nepřinese žádné podstatné výsledky, pokud nebude doprovázena obchodními sankcemi v souladu s „Magnitského aktem“ a výrazným zvýšením cel za účelem dosažení konkrétních cílů;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Jordan Bardella, 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opakuje, že Turecko je asijskou zemí, která vzhledem ke své zeměpisné poloze nikdy nebude mít v úmyslu vstoupit do Evropské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připomíná, že přistoupení Turecka k EU brání značné zeměpisné, kulturní, historické a náboženské překážky;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opakuje, že Turecko je asijskou zemí, které vzhledem k její zeměpisné poloze není souzeno přistoupit k Evropské unii;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zdůrazňuje však, že členství v EU je podmíněno splněním přístupových (kodaňských) kritérií, která vyžadují stabilní instituce zaručující demokracii, právní stát, lidská práva a respektování a ochranu menšin;</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Costas Mavrides, Andreas Schieder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zdůrazňuje však, že členství v EU je podmíněno splněním přístupových (kodaňských) kritérií, která vyžadují stabilní instituce zaručující demokracii, právní stát, lidská práva a respektování a ochranu menšin;</w:t>
            </w:r>
          </w:p>
        </w:tc>
        <w:tc>
          <w:tcPr>
            <w:tcW w:w="4876" w:type="dxa"/>
            <w:tcBorders>
              <w:top w:val="nil"/>
              <w:left w:val="nil"/>
              <w:bottom w:val="nil"/>
              <w:right w:val="nil"/>
            </w:tcBorders>
          </w:tcPr>
          <w:p>
            <w:pPr>
              <w:pStyle w:val="Normal6a"/>
            </w:pPr>
            <w:r>
              <w:t>2.</w:t>
            </w:r>
            <w:r>
              <w:tab/>
            </w:r>
            <w:r>
              <w:t>zdůrazňuje však, že členství v EU je podmíněno splněním přístupových (kodaňských) kritérií, která vyžadují stabilní instituce zaručující demokracii, právní stát, lidská práva a respektování a ochranu menšin</w:t>
            </w:r>
            <w:r>
              <w:rPr>
                <w:b/>
                <w:i/>
              </w:rPr>
              <w:t>, jakož i dodržování mezinárodního práva a dobré sousedské vztahy;</w:t>
            </w:r>
            <w:r>
              <w:t xml:space="preserve"> </w:t>
            </w:r>
            <w:r>
              <w:rPr>
                <w:b/>
                <w:i/>
              </w:rPr>
              <w:t>vyjadřuje politování nad tím, že Turecko po dobu 20 let odmítá plnit závazky přijaté vůči EU, včetně závazků týkajících se Kypru, jak stanoví rámec pro jednání z října 2005;</w:t>
            </w:r>
            <w:r>
              <w:t xml:space="preserve"> </w:t>
            </w:r>
            <w:r>
              <w:rPr>
                <w:b/>
                <w:i/>
              </w:rPr>
              <w:t>zdůrazňuje, že souhlas všech členských států je nezbytnou součástí procesu přistoupení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zdůrazňuje však, že členství v EU je podmíněno splněním přístupových (kodaňských) kritérií, která vyžadují stabilní instituce zaručující demokracii, právní stát, lidská práva a respektování a ochranu menšin;</w:t>
            </w:r>
          </w:p>
        </w:tc>
        <w:tc>
          <w:tcPr>
            <w:tcW w:w="4876" w:type="dxa"/>
            <w:tcBorders>
              <w:top w:val="nil"/>
              <w:left w:val="nil"/>
              <w:bottom w:val="nil"/>
              <w:right w:val="nil"/>
            </w:tcBorders>
          </w:tcPr>
          <w:p>
            <w:pPr>
              <w:pStyle w:val="Normal6a"/>
            </w:pPr>
            <w:r>
              <w:t>2.</w:t>
            </w:r>
            <w:r>
              <w:tab/>
            </w:r>
            <w:r>
              <w:t>zdůrazňuje však, že členství v EU je podmíněno splněním přístupových (kodaňských) kritérií, která vyžadují stabilní instituce zaručující demokracii, právní stát, lidská práva a respektování a ochranu menšin</w:t>
            </w:r>
            <w:r>
              <w:rPr>
                <w:b/>
                <w:i/>
              </w:rPr>
              <w:t>, jakož i schopnost převzít závazky vyplývající z členství tím, že se budou dodržovat cíle Unie a bude se přijímat její acquis;</w:t>
            </w:r>
            <w:r>
              <w:t xml:space="preserve"> </w:t>
            </w:r>
            <w:r>
              <w:rPr>
                <w:b/>
                <w:i/>
              </w:rPr>
              <w:t>připomíná, že Turecko je rovněž vázáno povinnostmi přijatými podle rámce pro jednání z roku 2005, včetně pokroku v normalizaci dvoustranných vztahů mezi Tureckem a Kyperskou republikou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zdůrazňuje však, že členství v EU je podmíněno splněním přístupových (kodaňských) kritérií, která vyžadují stabilní instituce zaručující demokracii, právní stát, lidská práva a respektování a ochranu menšin;</w:t>
            </w:r>
          </w:p>
        </w:tc>
        <w:tc>
          <w:tcPr>
            <w:tcW w:w="4876" w:type="dxa"/>
            <w:tcBorders>
              <w:top w:val="nil"/>
              <w:left w:val="nil"/>
              <w:bottom w:val="nil"/>
              <w:right w:val="nil"/>
            </w:tcBorders>
          </w:tcPr>
          <w:p>
            <w:pPr>
              <w:pStyle w:val="Normal6a"/>
            </w:pPr>
            <w:r>
              <w:t>2.</w:t>
            </w:r>
            <w:r>
              <w:tab/>
            </w:r>
            <w:r>
              <w:t xml:space="preserve">zdůrazňuje však, že členství v EU je podmíněno splněním přístupových (kodaňských) kritérií, která vyžadují stabilní instituce zaručující demokracii, právní stát, lidská práva a respektování a ochranu menšin; </w:t>
            </w:r>
            <w:r>
              <w:rPr>
                <w:b/>
                <w:i/>
              </w:rPr>
              <w:t>vyjadřuje politování nad tím, že Turecko po dobu 20 let odmítá plnit závazky přijaté vůči EU, včetně závazků týkajících se Kypru, jak stanoví rámec pro jednání z října 2005;</w:t>
            </w:r>
            <w:r>
              <w:t xml:space="preserve"> </w:t>
            </w:r>
            <w:r>
              <w:rPr>
                <w:b/>
                <w:i/>
              </w:rPr>
              <w:t>zdůrazňuje, že souhlas všech členských států je nezbytnou součástí procesu přistoupení;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zdůrazňuje však, že členství v EU je podmíněno splněním přístupových (kodaňských) kritérií, která vyžadují stabilní instituce zaručující demokracii, právní stát, lidská práva a respektování a ochranu menšin;</w:t>
            </w:r>
          </w:p>
        </w:tc>
        <w:tc>
          <w:tcPr>
            <w:tcW w:w="4876" w:type="dxa"/>
            <w:tcBorders>
              <w:top w:val="nil"/>
              <w:left w:val="nil"/>
              <w:bottom w:val="nil"/>
              <w:right w:val="nil"/>
            </w:tcBorders>
          </w:tcPr>
          <w:p>
            <w:pPr>
              <w:pStyle w:val="Normal6a"/>
            </w:pPr>
            <w:r>
              <w:t>2.</w:t>
            </w:r>
            <w:r>
              <w:tab/>
            </w:r>
            <w:r>
              <w:t xml:space="preserve">zdůrazňuje však, že členství v EU je podmíněno splněním přístupových (kodaňských) kritérií, která vyžadují stabilní instituce zaručující demokracii, právní stát, lidská práva a respektování a ochranu menšin; </w:t>
            </w:r>
            <w:r>
              <w:rPr>
                <w:b/>
                <w:i/>
              </w:rPr>
              <w:t>připomíná, že Turecko soustavně odmítá uznat hnutí Hamás za teroristickou organizaci, přestože je jako teroristické organizace klasifikováno Evropskou unií od roku 2013;</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zdůrazňuje však, že členství v EU je podmíněno splněním přístupových (kodaňských) kritérií, která vyžadují stabilní instituce zaručující demokracii, právní stát, lidská práva a respektování a ochranu menšin;</w:t>
            </w:r>
          </w:p>
        </w:tc>
        <w:tc>
          <w:tcPr>
            <w:tcW w:w="4876" w:type="dxa"/>
            <w:tcBorders>
              <w:top w:val="nil"/>
              <w:left w:val="nil"/>
              <w:bottom w:val="nil"/>
              <w:right w:val="nil"/>
            </w:tcBorders>
          </w:tcPr>
          <w:p>
            <w:pPr>
              <w:pStyle w:val="Normal6a"/>
            </w:pPr>
            <w:r>
              <w:t>2.</w:t>
            </w:r>
            <w:r>
              <w:tab/>
            </w:r>
            <w:r>
              <w:t xml:space="preserve">zdůrazňuje však, že členství v EU je podmíněno splněním přístupových (kodaňských) kritérií, která vyžadují stabilní instituce zaručující demokracii, právní stát, lidská práva a respektování a ochranu menšin; </w:t>
            </w:r>
            <w:r>
              <w:rPr>
                <w:b/>
                <w:i/>
              </w:rPr>
              <w:t>připomíná, že Turecko vždy odmítalo uznat hnutí Hamás za teroristickou organizaci, přestože je jako teroristická organizace klasifikováno Evropskou unií od roku 2013;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zdůrazňuje však, že členství v EU je podmíněno splněním přístupových (kodaňských) kritérií, která vyžadují stabilní instituce zaručující demokracii, právní stát, lidská práva a respektování a ochranu menšin;</w:t>
            </w:r>
          </w:p>
        </w:tc>
        <w:tc>
          <w:tcPr>
            <w:tcW w:w="4876" w:type="dxa"/>
            <w:tcBorders>
              <w:top w:val="nil"/>
              <w:left w:val="nil"/>
              <w:bottom w:val="nil"/>
              <w:right w:val="nil"/>
            </w:tcBorders>
          </w:tcPr>
          <w:p>
            <w:pPr>
              <w:pStyle w:val="Normal6a"/>
            </w:pPr>
            <w:r>
              <w:t>2.</w:t>
            </w:r>
            <w:r>
              <w:tab/>
            </w:r>
            <w:r>
              <w:t xml:space="preserve">zdůrazňuje však, že členství v EU je podmíněno splněním přístupových (kodaňských) kritérií, která vyžadují stabilní instituce zaručující demokracii, právní stát, lidská práva a respektování a ochranu menšin; </w:t>
            </w:r>
            <w:r>
              <w:rPr>
                <w:b/>
                <w:i/>
              </w:rPr>
              <w:t>dále konstatuje, že se jedná o absolutní kritéria, nikoli o otázky, které jsou předmětem strategických úvah a jednání o transakcích;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zdůrazňuje však, že členství v EU je podmíněno splněním přístupových (kodaňských) kritérií, která vyžadují stabilní instituce zaručující demokracii, právní stát, lidská práva a respektování a ochranu menšin;</w:t>
            </w:r>
          </w:p>
        </w:tc>
        <w:tc>
          <w:tcPr>
            <w:tcW w:w="4876" w:type="dxa"/>
            <w:tcBorders>
              <w:top w:val="nil"/>
              <w:left w:val="nil"/>
              <w:bottom w:val="nil"/>
              <w:right w:val="nil"/>
            </w:tcBorders>
          </w:tcPr>
          <w:p>
            <w:pPr>
              <w:pStyle w:val="Normal6a"/>
            </w:pPr>
            <w:r>
              <w:t>2.</w:t>
            </w:r>
            <w:r>
              <w:tab/>
            </w:r>
            <w:r>
              <w:t>zdůrazňuje však, že členství v EU je podmíněno splněním přístupových (kodaňských) kritérií, která vyžadují stabilní instituce zaručující demokracii, právní stát, lidská práva a respektování a ochranu menšin</w:t>
            </w:r>
            <w:r>
              <w:rPr>
                <w:b/>
                <w:i/>
              </w:rPr>
              <w:t>, z nichž ani jedno není předmětem transakčních strategických úvah nebo jednání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zdůrazňuje však, že členství v EU je podmíněno splněním přístupových (kodaňských) kritérií, která vyžadují stabilní instituce zaručující demokracii, právní stát, lidská práva a respektování a ochranu menšin;</w:t>
            </w:r>
          </w:p>
        </w:tc>
        <w:tc>
          <w:tcPr>
            <w:tcW w:w="4876" w:type="dxa"/>
            <w:tcBorders>
              <w:top w:val="nil"/>
              <w:left w:val="nil"/>
              <w:bottom w:val="nil"/>
              <w:right w:val="nil"/>
            </w:tcBorders>
          </w:tcPr>
          <w:p>
            <w:pPr>
              <w:pStyle w:val="Normal6a"/>
            </w:pPr>
            <w:r>
              <w:t>2.</w:t>
            </w:r>
            <w:r>
              <w:tab/>
            </w:r>
            <w:r>
              <w:t>zdůrazňuje však, že členství v EU je podmíněno splněním přístupových (kodaňských) kritérií, která vyžadují stabilní instituce zaručující demokracii, právní stát, lidská práva</w:t>
            </w:r>
            <w:r>
              <w:rPr>
                <w:b/>
                <w:i/>
              </w:rPr>
              <w:t>, dobré sousedské vztahy</w:t>
            </w:r>
            <w:r>
              <w:t xml:space="preserve"> a respektování a ochranu menšin;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zdůrazňuje však, že členství v EU je podmíněno splněním přístupových (kodaňských) kritérií, která vyžadují stabilní instituce zaručující demokracii, právní stát, lidská práva </w:t>
            </w:r>
            <w:r>
              <w:rPr>
                <w:b/>
                <w:i/>
              </w:rPr>
              <w:t>a</w:t>
            </w:r>
            <w:r>
              <w:t xml:space="preserve"> respektování a ochranu menšin;</w:t>
            </w:r>
          </w:p>
        </w:tc>
        <w:tc>
          <w:tcPr>
            <w:tcW w:w="4876" w:type="dxa"/>
            <w:tcBorders>
              <w:top w:val="nil"/>
              <w:left w:val="nil"/>
              <w:bottom w:val="nil"/>
              <w:right w:val="nil"/>
            </w:tcBorders>
          </w:tcPr>
          <w:p>
            <w:pPr>
              <w:pStyle w:val="Normal6a"/>
            </w:pPr>
            <w:r>
              <w:t>2.</w:t>
            </w:r>
            <w:r>
              <w:tab/>
            </w:r>
            <w:r>
              <w:t>zdůrazňuje však, že členství v EU je podmíněno splněním přístupových (kodaňských) kritérií, která vyžadují stabilní instituce zaručující demokracii, právní stát, lidská práva</w:t>
            </w:r>
            <w:r>
              <w:rPr>
                <w:b/>
                <w:i/>
              </w:rPr>
              <w:t>,</w:t>
            </w:r>
            <w:r>
              <w:t xml:space="preserve"> respektování a ochranu menšin </w:t>
            </w:r>
            <w:r>
              <w:rPr>
                <w:b/>
                <w:i/>
              </w:rPr>
              <w:t>a soulad se SZBP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zdůrazňuje však, že členství v EU je podmíněno splněním přístupových (kodaňských) kritérií, která vyžadují stabilní instituce zaručující demokracii, právní stát, lidská práva a </w:t>
            </w:r>
            <w:r>
              <w:rPr>
                <w:b/>
                <w:i/>
              </w:rPr>
              <w:t>respektování a ochranu menšin</w:t>
            </w:r>
            <w:r>
              <w:t>;</w:t>
            </w:r>
          </w:p>
        </w:tc>
        <w:tc>
          <w:tcPr>
            <w:tcW w:w="4876" w:type="dxa"/>
            <w:tcBorders>
              <w:top w:val="nil"/>
              <w:left w:val="nil"/>
              <w:bottom w:val="nil"/>
              <w:right w:val="nil"/>
            </w:tcBorders>
          </w:tcPr>
          <w:p>
            <w:pPr>
              <w:pStyle w:val="Normal6a"/>
            </w:pPr>
            <w:r>
              <w:t>2.</w:t>
            </w:r>
            <w:r>
              <w:tab/>
            </w:r>
            <w:r>
              <w:t xml:space="preserve">zdůrazňuje však, že členství v EU je podmíněno splněním přístupových (kodaňských) kritérií, která vyžadují stabilní instituce zaručující demokracii, </w:t>
            </w:r>
            <w:r>
              <w:rPr>
                <w:b/>
                <w:i/>
              </w:rPr>
              <w:t>respektování a ochranu menšin,</w:t>
            </w:r>
            <w:r>
              <w:t xml:space="preserve"> právní stát, lidská práva a </w:t>
            </w:r>
            <w:r>
              <w:rPr>
                <w:b/>
                <w:i/>
              </w:rPr>
              <w:t>dobré sousedské vztahy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konstatuje, že EU musí jednat v souladu s mezinárodním právem, zejména pokud jde o ochranu jejích členských států;</w:t>
            </w:r>
            <w:r>
              <w:t xml:space="preserve"> </w:t>
            </w:r>
            <w:r>
              <w:rPr>
                <w:b/>
                <w:i/>
              </w:rPr>
              <w:t>vyzývá proto k doslovnému provádění Lausannské smlouvy;</w:t>
            </w:r>
            <w:r>
              <w:t xml:space="preserve"> </w:t>
            </w:r>
            <w:r>
              <w:rPr>
                <w:b/>
                <w:i/>
              </w:rPr>
              <w:t>vyzývá zejména k navrácení majetku Řekům pocházejícím z Konstantinopole, Imvrosu a Tenedosu a k odškodnění za brutální pronásledování ze strany tureckého „hlubokého státu“;</w:t>
            </w:r>
            <w:r>
              <w:t xml:space="preserve"> </w:t>
            </w:r>
            <w:r>
              <w:rPr>
                <w:b/>
                <w:i/>
              </w:rPr>
              <w:t>dále vyzývá k přijetí diplomatických a vojenských opatření s cílem řešit nezákonnou okupaci území Kyperské republiky, Sýrie a Iráku tureckou armádou;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připomíná, že Turecká republika i nadále odmítá uznat Kyperskou republiku a spolupracovat s ní a že dosud nesplnila své povinnosti stanovené v prohlášení Evropského společenství a jeho členských států ze dne 21. září 2005 a na všech příslušných zasedáních Rady, neboť i nadále vetuje žádosti Kyperské republiky o členství v různých mezinárodních organizacích;</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vzhledem k tomu, že Turecko bylo opakovaně vyzýváno, aby se zdrželo jakýchkoli kroků porušujících svrchovanost a svrchovaná práva všech členských států EU, jakož i mezinárodní právo a právo EU; vzhledem k tomu, že Turecko neukončilo své jednostranné akce ve východním Středomoří, včetně agresivní rétoriky proti členským státům EU;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vyjadřuje politování nad tím, že chybí iniciativy k provedení článku 14 Lausannské smlouvy, pokud jde o zvláštní status ostrovů Imbros a Tenedos;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vzhledem k tomu, že Turecká republika pokračuje ve svých nezákonných činnostech, jejichž cílem je bránit zavádění podmořského elektrického propojovacího vedení „Great Sea Interconnector“, které bylo projektem společného zájmu Unie, a pokračuje ve svých plánech na nezákonné elektrické propojení se separatistickým subjektem v okupované části Kypru;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 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zdůrazňuje, že je třeba odstranit omezení týkající se vzdělávání, jmenování a nástupnictví duchovních, umožnit opětovné otevření semináře na ostrově Chalki, který je uzavřen od roku 1971, a odstranit veškeré překážky bránící jeho řádnému fungování;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vyjadřuje politování nad naprosto nedostatečnými iniciativami, které by odškodnily Řeky pocházející z Konstantinopole, Imbrosu a Tenedosu, kteří byli během událostí v září 1955 a po nich vyhnáni ze svých tradičních domovů tureckou vládou;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Emmanouil Fragkos, Galato Alexandraki, Ivaylo Valchev, 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2e.</w:t>
            </w:r>
            <w:r>
              <w:tab/>
            </w:r>
            <w:r>
              <w:rPr>
                <w:b/>
                <w:i/>
              </w:rPr>
              <w:t>znovu vyzývá Turecko, aby respektovalo úlohu ekumenického patriarchátu pravoslavných křesťanů na celém světě a uznalo jeho právní subjektivitu a veřejné používání církevního titulu ekumenického patriarchy;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 této souvislosti vyjadřuje politování nad tím, že výše uvedená pozitivní prohlášení nebyla doprovázena žádnými reálnými kroky tureckých orgánů, které by odstranily přetrvávající obrovskou propast mezi Tureckem a EU v oblasti hodnot a norem, zejména pokud jde o základy procesu přistoupení;</w:t>
            </w:r>
          </w:p>
        </w:tc>
        <w:tc>
          <w:tcPr>
            <w:tcW w:w="4876" w:type="dxa"/>
            <w:tcBorders>
              <w:top w:val="nil"/>
              <w:left w:val="nil"/>
              <w:bottom w:val="nil"/>
              <w:right w:val="nil"/>
            </w:tcBorders>
          </w:tcPr>
          <w:p>
            <w:pPr>
              <w:pStyle w:val="Normal6a"/>
            </w:pPr>
            <w:r>
              <w:t>3.</w:t>
            </w:r>
            <w:r>
              <w:tab/>
            </w:r>
            <w:r>
              <w:t xml:space="preserve">v této souvislosti vyjadřuje politování nad tím, že výše uvedená pozitivní prohlášení nebyla doprovázena žádnými reálnými kroky tureckých orgánů, které by odstranily přetrvávající obrovskou propast mezi Tureckem a EU v oblasti hodnot a norem, zejména pokud jde o základy procesu přistoupení; </w:t>
            </w:r>
            <w:r>
              <w:rPr>
                <w:b/>
                <w:i/>
              </w:rPr>
              <w:t>opakuje svůj dříve přijatý závěr, že turecká vláda stejně jako v posledních několika letech nadále jednoznačně projevuje nedostatek politické vůle provést nezbytné reformy s cílem znovu aktivovat proces přistoupení a nadále postupuje podle hluboce zakořeněného autoritářského pojetí prezidentského systému;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 této souvislosti vyjadřuje politování nad tím, že výše uvedená pozitivní prohlášení nebyla doprovázena žádnými reálnými kroky tureckých orgánů, které by odstranily přetrvávající obrovskou propast mezi Tureckem a EU v oblasti hodnot a norem, zejména pokud jde o základy procesu přistoupení;</w:t>
            </w:r>
          </w:p>
        </w:tc>
        <w:tc>
          <w:tcPr>
            <w:tcW w:w="4876" w:type="dxa"/>
            <w:tcBorders>
              <w:top w:val="nil"/>
              <w:left w:val="nil"/>
              <w:bottom w:val="nil"/>
              <w:right w:val="nil"/>
            </w:tcBorders>
          </w:tcPr>
          <w:p>
            <w:pPr>
              <w:pStyle w:val="Normal6a"/>
            </w:pPr>
            <w:r>
              <w:t>3.</w:t>
            </w:r>
            <w:r>
              <w:tab/>
            </w:r>
            <w:r>
              <w:t xml:space="preserve">v této souvislosti vyjadřuje politování nad tím, že výše uvedená pozitivní prohlášení nebyla doprovázena žádnými reálnými kroky tureckých orgánů, které by odstranily přetrvávající obrovskou propast mezi Tureckem a EU v oblasti hodnot a norem, zejména pokud jde o základy procesu přistoupení; </w:t>
            </w:r>
            <w:r>
              <w:rPr>
                <w:b/>
                <w:i/>
              </w:rPr>
              <w:t>znovu opakuje svůj dříve přijatý závěr, že turecká vláda stejně jako v posledních několika letech nadále jednoznačně projevuje politickou neochotu provést nezbytné reformy s cílem znovu aktivovat proces přistoupení a nadále usiluje o hluboce zakořeněné autoritářské pojetí prezidentského systému;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 této souvislosti vyjadřuje politování nad tím, že výše uvedená pozitivní prohlášení nebyla doprovázena žádnými reálnými kroky tureckých orgánů, které by odstranily přetrvávající obrovskou propast mezi Tureckem a EU v oblasti hodnot a norem, zejména pokud jde o základy procesu přistoupení;</w:t>
            </w:r>
          </w:p>
        </w:tc>
        <w:tc>
          <w:tcPr>
            <w:tcW w:w="4876" w:type="dxa"/>
            <w:tcBorders>
              <w:top w:val="nil"/>
              <w:left w:val="nil"/>
              <w:bottom w:val="nil"/>
              <w:right w:val="nil"/>
            </w:tcBorders>
          </w:tcPr>
          <w:p>
            <w:pPr>
              <w:pStyle w:val="Normal6a"/>
            </w:pPr>
            <w:r>
              <w:t>3.</w:t>
            </w:r>
            <w:r>
              <w:tab/>
            </w:r>
            <w:r>
              <w:t xml:space="preserve">v této souvislosti vyjadřuje politování nad tím, že výše uvedená pozitivní prohlášení nebyla doprovázena žádnými reálnými kroky tureckých orgánů, které by odstranily přetrvávající obrovskou propast mezi Tureckem a EU v oblasti hodnot a norem, zejména pokud jde o základy procesu přistoupení; </w:t>
            </w:r>
            <w:r>
              <w:rPr>
                <w:b/>
                <w:i/>
              </w:rPr>
              <w:t>vyzývá Evropskou komisi a Radu, aby finanční pomoc Turecku v rámci nástrojů NPP III a NDICI přísně podmínily dodržováním zásad právního státu a základních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 této souvislosti vyjadřuje politování nad tím, že výše uvedená pozitivní prohlášení nebyla doprovázena žádnými reálnými kroky tureckých orgánů, které by odstranily přetrvávající obrovskou propast mezi Tureckem a EU v oblasti hodnot a norem, zejména pokud jde o základy procesu přistoupení;</w:t>
            </w:r>
          </w:p>
        </w:tc>
        <w:tc>
          <w:tcPr>
            <w:tcW w:w="4876" w:type="dxa"/>
            <w:tcBorders>
              <w:top w:val="nil"/>
              <w:left w:val="nil"/>
              <w:bottom w:val="nil"/>
              <w:right w:val="nil"/>
            </w:tcBorders>
          </w:tcPr>
          <w:p>
            <w:pPr>
              <w:pStyle w:val="Normal6a"/>
            </w:pPr>
            <w:r>
              <w:t>3.</w:t>
            </w:r>
            <w:r>
              <w:tab/>
            </w:r>
            <w:r>
              <w:t>v této souvislosti vyjadřuje politování nad tím, že výše uvedená pozitivní prohlášení nebyla doprovázena žádnými reálnými kroky tureckých orgánů, které by odstranily přetrvávající obrovskou propast mezi Tureckem a EU v oblasti hodnot a norem, zejména pokud jde o základy procesu přistoupení</w:t>
            </w:r>
            <w:r>
              <w:rPr>
                <w:b/>
                <w:i/>
              </w:rPr>
              <w:t>, a realizovaly závazky Turecka vyplývající z rámce pro jednání z roku 2005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 této souvislosti vyjadřuje politování nad tím, že výše uvedená pozitivní prohlášení nebyla doprovázena žádnými </w:t>
            </w:r>
            <w:r>
              <w:rPr>
                <w:b/>
                <w:i/>
              </w:rPr>
              <w:t>reálnými</w:t>
            </w:r>
            <w:r>
              <w:t xml:space="preserve"> kroky tureckých orgánů, které by odstranily přetrvávající obrovskou propast mezi Tureckem a EU v oblasti hodnot a norem, zejména pokud jde o základy procesu přistoupení</w:t>
            </w:r>
            <w:r>
              <w:rPr>
                <w:b/>
                <w:i/>
              </w:rPr>
              <w:t>;</w:t>
            </w:r>
          </w:p>
        </w:tc>
        <w:tc>
          <w:tcPr>
            <w:tcW w:w="4876" w:type="dxa"/>
            <w:tcBorders>
              <w:top w:val="nil"/>
              <w:left w:val="nil"/>
              <w:bottom w:val="nil"/>
              <w:right w:val="nil"/>
            </w:tcBorders>
          </w:tcPr>
          <w:p>
            <w:pPr>
              <w:pStyle w:val="Normal6a"/>
            </w:pPr>
            <w:r>
              <w:t>3.</w:t>
            </w:r>
            <w:r>
              <w:tab/>
            </w:r>
            <w:r>
              <w:t xml:space="preserve">v této souvislosti vyjadřuje politování nad tím, že výše uvedená pozitivní prohlášení nebyla doprovázena žádnými </w:t>
            </w:r>
            <w:r>
              <w:rPr>
                <w:b/>
                <w:i/>
              </w:rPr>
              <w:t>konkrétními</w:t>
            </w:r>
            <w:r>
              <w:t xml:space="preserve"> kroky tureckých orgánů, které by odstranily přetrvávající obrovskou propast mezi Tureckem a EU v oblasti hodnot a norem, zejména pokud jde o základy procesu přistoupení</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 této souvislosti </w:t>
            </w:r>
            <w:r>
              <w:rPr>
                <w:b/>
                <w:i/>
              </w:rPr>
              <w:t>vyjadřuje</w:t>
            </w:r>
            <w:r>
              <w:t xml:space="preserve"> politování nad tím, že výše uvedená </w:t>
            </w:r>
            <w:r>
              <w:rPr>
                <w:b/>
                <w:i/>
              </w:rPr>
              <w:t>pozitivní</w:t>
            </w:r>
            <w:r>
              <w:t xml:space="preserve"> prohlášení nebyla doprovázena žádnými </w:t>
            </w:r>
            <w:r>
              <w:rPr>
                <w:b/>
                <w:i/>
              </w:rPr>
              <w:t>reálnými</w:t>
            </w:r>
            <w:r>
              <w:t xml:space="preserve"> kroky tureckých orgánů, které by odstranily přetrvávající </w:t>
            </w:r>
            <w:r>
              <w:rPr>
                <w:b/>
                <w:i/>
              </w:rPr>
              <w:t>obrovskou</w:t>
            </w:r>
            <w:r>
              <w:t xml:space="preserve"> propast mezi Tureckem a EU </w:t>
            </w:r>
            <w:r>
              <w:rPr>
                <w:b/>
                <w:i/>
              </w:rPr>
              <w:t>v oblasti hodnot a norem,</w:t>
            </w:r>
            <w:r>
              <w:t xml:space="preserve"> zejména pokud jde o </w:t>
            </w:r>
            <w:r>
              <w:rPr>
                <w:b/>
                <w:i/>
              </w:rPr>
              <w:t>základy</w:t>
            </w:r>
            <w:r>
              <w:t xml:space="preserve"> procesu přistoupení;</w:t>
            </w:r>
          </w:p>
        </w:tc>
        <w:tc>
          <w:tcPr>
            <w:tcW w:w="4876" w:type="dxa"/>
            <w:tcBorders>
              <w:top w:val="nil"/>
              <w:left w:val="nil"/>
              <w:bottom w:val="nil"/>
              <w:right w:val="nil"/>
            </w:tcBorders>
          </w:tcPr>
          <w:p>
            <w:pPr>
              <w:pStyle w:val="Normal6a"/>
            </w:pPr>
            <w:r>
              <w:t>3.</w:t>
            </w:r>
            <w:r>
              <w:tab/>
            </w:r>
            <w:r>
              <w:rPr>
                <w:b/>
                <w:i/>
              </w:rPr>
              <w:t>vyjadřuje</w:t>
            </w:r>
            <w:r>
              <w:t xml:space="preserve"> v této souvislosti politování nad tím, že výše uvedená prohlášení nebyla doprovázena žádnými </w:t>
            </w:r>
            <w:r>
              <w:rPr>
                <w:b/>
                <w:i/>
              </w:rPr>
              <w:t>skutečnými</w:t>
            </w:r>
            <w:r>
              <w:t xml:space="preserve"> kroky tureckých orgánů, které by odstranily přetrvávající </w:t>
            </w:r>
            <w:r>
              <w:rPr>
                <w:b/>
                <w:i/>
              </w:rPr>
              <w:t>velkou</w:t>
            </w:r>
            <w:r>
              <w:t xml:space="preserve"> propast mezi Tureckem a EU</w:t>
            </w:r>
            <w:r>
              <w:rPr>
                <w:b/>
                <w:i/>
              </w:rPr>
              <w:t>, pokud jde o hodnoty a normy, a</w:t>
            </w:r>
            <w:r>
              <w:t xml:space="preserve"> zejména pokud jde o </w:t>
            </w:r>
            <w:r>
              <w:rPr>
                <w:b/>
                <w:i/>
              </w:rPr>
              <w:t>základní zásady</w:t>
            </w:r>
            <w:r>
              <w:t xml:space="preserve"> procesu přistoupení;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 této souvislosti </w:t>
            </w:r>
            <w:r>
              <w:rPr>
                <w:b/>
                <w:i/>
              </w:rPr>
              <w:t>vyjadřuje</w:t>
            </w:r>
            <w:r>
              <w:t xml:space="preserve"> politování nad tím, že výše uvedená </w:t>
            </w:r>
            <w:r>
              <w:rPr>
                <w:b/>
                <w:i/>
              </w:rPr>
              <w:t>pozitivní</w:t>
            </w:r>
            <w:r>
              <w:t xml:space="preserve"> prohlášení nebyla doprovázena žádnými </w:t>
            </w:r>
            <w:r>
              <w:rPr>
                <w:b/>
                <w:i/>
              </w:rPr>
              <w:t>reálnými</w:t>
            </w:r>
            <w:r>
              <w:t xml:space="preserve"> kroky tureckých orgánů, které by odstranily přetrvávající </w:t>
            </w:r>
            <w:r>
              <w:rPr>
                <w:b/>
                <w:i/>
              </w:rPr>
              <w:t>obrovskou</w:t>
            </w:r>
            <w:r>
              <w:t xml:space="preserve"> propast mezi Tureckem a EU </w:t>
            </w:r>
            <w:r>
              <w:rPr>
                <w:b/>
                <w:i/>
              </w:rPr>
              <w:t>v oblasti hodnot a norem,</w:t>
            </w:r>
            <w:r>
              <w:t xml:space="preserve"> zejména pokud jde o </w:t>
            </w:r>
            <w:r>
              <w:rPr>
                <w:b/>
                <w:i/>
              </w:rPr>
              <w:t>základy</w:t>
            </w:r>
            <w:r>
              <w:t xml:space="preserve"> procesu přistoupení;</w:t>
            </w:r>
          </w:p>
        </w:tc>
        <w:tc>
          <w:tcPr>
            <w:tcW w:w="4876" w:type="dxa"/>
            <w:tcBorders>
              <w:top w:val="nil"/>
              <w:left w:val="nil"/>
              <w:bottom w:val="nil"/>
              <w:right w:val="nil"/>
            </w:tcBorders>
          </w:tcPr>
          <w:p>
            <w:pPr>
              <w:pStyle w:val="Normal6a"/>
            </w:pPr>
            <w:r>
              <w:t>3.</w:t>
            </w:r>
            <w:r>
              <w:tab/>
            </w:r>
            <w:r>
              <w:rPr>
                <w:b/>
                <w:i/>
              </w:rPr>
              <w:t>vyjadřuje</w:t>
            </w:r>
            <w:r>
              <w:t xml:space="preserve"> v této souvislosti politování nad tím, že výše uvedená prohlášení nebyla doprovázena žádnými </w:t>
            </w:r>
            <w:r>
              <w:rPr>
                <w:b/>
                <w:i/>
              </w:rPr>
              <w:t>skutečnými</w:t>
            </w:r>
            <w:r>
              <w:t xml:space="preserve"> kroky tureckých orgánů, které by odstranily přetrvávající </w:t>
            </w:r>
            <w:r>
              <w:rPr>
                <w:b/>
                <w:i/>
              </w:rPr>
              <w:t>velkou</w:t>
            </w:r>
            <w:r>
              <w:t xml:space="preserve"> propast mezi Tureckem a EU</w:t>
            </w:r>
            <w:r>
              <w:rPr>
                <w:b/>
                <w:i/>
              </w:rPr>
              <w:t>, pokud jde o hodnoty a normy, a</w:t>
            </w:r>
            <w:r>
              <w:t xml:space="preserve"> zejména pokud jde o </w:t>
            </w:r>
            <w:r>
              <w:rPr>
                <w:b/>
                <w:i/>
              </w:rPr>
              <w:t>základní zásady</w:t>
            </w:r>
            <w:r>
              <w:t xml:space="preserve"> procesu přistoupení;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 této souvislosti </w:t>
            </w:r>
            <w:r>
              <w:rPr>
                <w:b/>
                <w:i/>
              </w:rPr>
              <w:t>vyjadřuje</w:t>
            </w:r>
            <w:r>
              <w:t xml:space="preserve"> politování nad tím, že výše uvedená pozitivní prohlášení nebyla doprovázena žádnými </w:t>
            </w:r>
            <w:r>
              <w:rPr>
                <w:b/>
                <w:i/>
              </w:rPr>
              <w:t>reálnými</w:t>
            </w:r>
            <w:r>
              <w:t xml:space="preserve"> kroky tureckých orgánů, které by odstranily přetrvávající </w:t>
            </w:r>
            <w:r>
              <w:rPr>
                <w:b/>
                <w:i/>
              </w:rPr>
              <w:t>obrovskou</w:t>
            </w:r>
            <w:r>
              <w:t xml:space="preserve"> propast mezi Tureckem a EU </w:t>
            </w:r>
            <w:r>
              <w:rPr>
                <w:b/>
                <w:i/>
              </w:rPr>
              <w:t>v oblasti hodnot a norem, zejména pokud jde o základy procesu přistoupení</w:t>
            </w:r>
            <w:r>
              <w:t>;</w:t>
            </w:r>
          </w:p>
        </w:tc>
        <w:tc>
          <w:tcPr>
            <w:tcW w:w="4876" w:type="dxa"/>
            <w:tcBorders>
              <w:top w:val="nil"/>
              <w:left w:val="nil"/>
              <w:bottom w:val="nil"/>
              <w:right w:val="nil"/>
            </w:tcBorders>
          </w:tcPr>
          <w:p>
            <w:pPr>
              <w:pStyle w:val="Normal6a"/>
            </w:pPr>
            <w:r>
              <w:t>3.</w:t>
            </w:r>
            <w:r>
              <w:tab/>
            </w:r>
            <w:r>
              <w:rPr>
                <w:b/>
                <w:i/>
              </w:rPr>
              <w:t>vyjadřuje</w:t>
            </w:r>
            <w:r>
              <w:t xml:space="preserve"> v této souvislosti politování nad tím, že výše uvedená pozitivní prohlášení nebyla doprovázena žádnými </w:t>
            </w:r>
            <w:r>
              <w:rPr>
                <w:b/>
                <w:i/>
              </w:rPr>
              <w:t>skutečnými</w:t>
            </w:r>
            <w:r>
              <w:t xml:space="preserve"> kroky tureckých orgánů, které by odstranily přetrvávající </w:t>
            </w:r>
            <w:r>
              <w:rPr>
                <w:b/>
                <w:i/>
              </w:rPr>
              <w:t>velkou</w:t>
            </w:r>
            <w:r>
              <w:t xml:space="preserve"> propast mezi Tureckem a EU</w:t>
            </w:r>
            <w:r>
              <w:rPr>
                <w:b/>
                <w:i/>
              </w:rPr>
              <w:t>, pokud jde o hodnoty a normy, přičemž Turecko se ve skutečnosti dále vzdaluje od Evropy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připomíná, že motto EU je „Jednotná v rozmanitosti“;</w:t>
            </w:r>
            <w:r>
              <w:t xml:space="preserve"> </w:t>
            </w:r>
            <w:r>
              <w:rPr>
                <w:b/>
                <w:i/>
              </w:rPr>
              <w:t>připomíná, že podle čl. 4 odst. 2 Smlouvy o Evropské unii musí EU respektovat národní identitu svých členských států, která zahrnuje také kulturní zvláštnosti každého členského státu, jako je národní jazyk a náboženské záležitosti;</w:t>
            </w:r>
            <w:r>
              <w:t xml:space="preserve"> </w:t>
            </w:r>
            <w:r>
              <w:rPr>
                <w:b/>
                <w:i/>
              </w:rPr>
              <w:t>vyzývá EU, aby rovněž respektovala národní identitu kandidátské země Turecko;</w:t>
            </w:r>
            <w:r>
              <w:t xml:space="preserve"> </w:t>
            </w:r>
            <w:r>
              <w:rPr>
                <w:b/>
                <w:i/>
              </w:rPr>
              <w:t>v tomto ohledu respektuje odstoupení Turecka od Istanbulské úmluvy;</w:t>
            </w:r>
            <w:r>
              <w:t xml:space="preserve"> </w:t>
            </w:r>
            <w:r>
              <w:rPr>
                <w:b/>
                <w:i/>
              </w:rPr>
              <w:t>konstatuje, že tato kontroverzní úmluva je založena na ideologických předpokladech genderové teorie, která předpokládá, že feminita a mužství jsou kulturními výtvory, které posilují systematicky nerovné mocenské vztahy;</w:t>
            </w:r>
            <w:r>
              <w:t xml:space="preserve"> </w:t>
            </w:r>
            <w:r>
              <w:rPr>
                <w:b/>
                <w:i/>
              </w:rPr>
              <w:t>konstatuje, že Bulharsko, Česká republika, Maďarsko, Litva a Slovensko Istanbulskou úmluvu neratifikovaly;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připomíná, že od října 2024 Turecko ve svých školních osnovách oficiálně nahradilo pojem „Střední Asie“ výrazem „Turkestán“;</w:t>
            </w:r>
            <w:r>
              <w:t xml:space="preserve"> </w:t>
            </w:r>
            <w:r>
              <w:rPr>
                <w:b/>
                <w:i/>
              </w:rPr>
              <w:t>v této souvislosti odsuzuje expanzivní tendence Turecka ve Střední Asii, které jsou součástí Erdoğanova novootomanského smýšlení;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připomíná, že od října 2024 Turecko ve svých vzdělávacích programech oficiálně nahradilo pojem „Střední Asie“ výrazem „Turkestán“;</w:t>
            </w:r>
            <w:r>
              <w:t xml:space="preserve"> </w:t>
            </w:r>
            <w:r>
              <w:rPr>
                <w:b/>
                <w:i/>
              </w:rPr>
              <w:t>v této souvislosti odsuzuje otevřeně expanzivní ambice Turecka ve Střední Asii, které jsou v souladu s novootomanskou vizí prosazovanou Erdoganem;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uznává </w:t>
            </w:r>
            <w:r>
              <w:rPr>
                <w:b/>
                <w:i/>
              </w:rPr>
              <w:t>strategickou a geopolitickou hodnotu</w:t>
            </w:r>
            <w:r>
              <w:t xml:space="preserve"> Turecka a jeho užší spolupráci s EU, na kterou </w:t>
            </w:r>
            <w:r>
              <w:rPr>
                <w:b/>
                <w:i/>
              </w:rPr>
              <w:t>se</w:t>
            </w:r>
            <w:r>
              <w:t xml:space="preserve"> turecká vláda často </w:t>
            </w:r>
            <w:r>
              <w:rPr>
                <w:b/>
                <w:i/>
              </w:rPr>
              <w:t>odvolává, ale</w:t>
            </w:r>
            <w:r>
              <w:t xml:space="preserve"> zdůrazňuje, že to v žádném případě nemůže nahradit nezbytný skutečný pokrok, kterého </w:t>
            </w:r>
            <w:r>
              <w:rPr>
                <w:b/>
                <w:i/>
              </w:rPr>
              <w:t>musí</w:t>
            </w:r>
            <w:r>
              <w:t xml:space="preserve"> Turecko </w:t>
            </w:r>
            <w:r>
              <w:rPr>
                <w:b/>
                <w:i/>
              </w:rPr>
              <w:t>jako</w:t>
            </w:r>
            <w:r>
              <w:t xml:space="preserve"> kandidátská země dosáhnout, pokud jde o </w:t>
            </w:r>
            <w:r>
              <w:rPr>
                <w:b/>
                <w:i/>
              </w:rPr>
              <w:t>splnění</w:t>
            </w:r>
            <w:r>
              <w:t xml:space="preserve"> základních požadavků pro přistoupení;</w:t>
            </w:r>
          </w:p>
        </w:tc>
        <w:tc>
          <w:tcPr>
            <w:tcW w:w="4876" w:type="dxa"/>
            <w:tcBorders>
              <w:top w:val="nil"/>
              <w:left w:val="nil"/>
              <w:bottom w:val="nil"/>
              <w:right w:val="nil"/>
            </w:tcBorders>
          </w:tcPr>
          <w:p>
            <w:pPr>
              <w:pStyle w:val="Normal6a"/>
            </w:pPr>
            <w:r>
              <w:t>4.</w:t>
            </w:r>
            <w:r>
              <w:tab/>
            </w:r>
            <w:r>
              <w:t xml:space="preserve">uznává </w:t>
            </w:r>
            <w:r>
              <w:rPr>
                <w:b/>
                <w:i/>
              </w:rPr>
              <w:t>strategický a geopolitický význam</w:t>
            </w:r>
            <w:r>
              <w:t xml:space="preserve"> Turecka</w:t>
            </w:r>
            <w:r>
              <w:rPr>
                <w:b/>
                <w:i/>
              </w:rPr>
              <w:t>, jeho geostrategickou úlohu v bezpečnostní architektuře Černého moře, a zejména v zajišťování bezpečnosti Ukrajiny, která čelí ruské agresi,</w:t>
            </w:r>
            <w:r>
              <w:t xml:space="preserve"> a jeho užší spolupráci s EU, na kterou turecká vláda často </w:t>
            </w:r>
            <w:r>
              <w:rPr>
                <w:b/>
                <w:i/>
              </w:rPr>
              <w:t>odkazuje,</w:t>
            </w:r>
            <w:r>
              <w:t xml:space="preserve"> zdůrazňuje </w:t>
            </w:r>
            <w:r>
              <w:rPr>
                <w:b/>
                <w:i/>
              </w:rPr>
              <w:t>však</w:t>
            </w:r>
            <w:r>
              <w:t xml:space="preserve">, že to v žádném případě nemůže nahradit nezbytný skutečný pokrok, kterého Turecko </w:t>
            </w:r>
            <w:r>
              <w:rPr>
                <w:b/>
                <w:i/>
              </w:rPr>
              <w:t>jakožto</w:t>
            </w:r>
            <w:r>
              <w:t xml:space="preserve"> kandidátská země </w:t>
            </w:r>
            <w:r>
              <w:rPr>
                <w:b/>
                <w:i/>
              </w:rPr>
              <w:t>musí</w:t>
            </w:r>
            <w:r>
              <w:t xml:space="preserve"> dosáhnout, pokud jde o </w:t>
            </w:r>
            <w:r>
              <w:rPr>
                <w:b/>
                <w:i/>
              </w:rPr>
              <w:t>plnění</w:t>
            </w:r>
            <w:r>
              <w:t xml:space="preserve"> základních požadavků pro přistoupení; </w:t>
            </w:r>
            <w:r>
              <w:rPr>
                <w:b/>
                <w:i/>
              </w:rPr>
              <w:t>zdůrazňuje rostoucí potřebu posílit partnerství mezi EU a Tureckem upřednostněním modernizace a posílení stávající dohody o přidružení spolu s častějšími politickými dialogy na vysoké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uznává strategickou a geopolitickou hodnotu</w:t>
            </w:r>
            <w:r>
              <w:t xml:space="preserve"> Turecka a </w:t>
            </w:r>
            <w:r>
              <w:rPr>
                <w:b/>
                <w:i/>
              </w:rPr>
              <w:t>jeho užší spolupráci s EU, na kterou se</w:t>
            </w:r>
            <w:r>
              <w:t xml:space="preserve"> turecká vláda často </w:t>
            </w:r>
            <w:r>
              <w:rPr>
                <w:b/>
                <w:i/>
              </w:rPr>
              <w:t>odvolává, ale zdůrazňuje</w:t>
            </w:r>
            <w:r>
              <w:t xml:space="preserve">, že to v žádném případě nemůže nahradit nezbytný skutečný pokrok, kterého </w:t>
            </w:r>
            <w:r>
              <w:rPr>
                <w:b/>
                <w:i/>
              </w:rPr>
              <w:t>musí</w:t>
            </w:r>
            <w:r>
              <w:t xml:space="preserve"> Turecko </w:t>
            </w:r>
            <w:r>
              <w:rPr>
                <w:b/>
                <w:i/>
              </w:rPr>
              <w:t>jako</w:t>
            </w:r>
            <w:r>
              <w:t xml:space="preserve"> kandidátská země dosáhnout, pokud jde o </w:t>
            </w:r>
            <w:r>
              <w:rPr>
                <w:b/>
                <w:i/>
              </w:rPr>
              <w:t>splnění</w:t>
            </w:r>
            <w:r>
              <w:t xml:space="preserve"> základních požadavků pro přistoupení;</w:t>
            </w:r>
          </w:p>
        </w:tc>
        <w:tc>
          <w:tcPr>
            <w:tcW w:w="4876" w:type="dxa"/>
            <w:tcBorders>
              <w:top w:val="nil"/>
              <w:left w:val="nil"/>
              <w:bottom w:val="nil"/>
              <w:right w:val="nil"/>
            </w:tcBorders>
          </w:tcPr>
          <w:p>
            <w:pPr>
              <w:pStyle w:val="Normal6a"/>
            </w:pPr>
            <w:r>
              <w:t>4.</w:t>
            </w:r>
            <w:r>
              <w:tab/>
            </w:r>
            <w:r>
              <w:rPr>
                <w:b/>
                <w:i/>
              </w:rPr>
              <w:t>bere na vědomí úlohu</w:t>
            </w:r>
            <w:r>
              <w:t xml:space="preserve"> Turecka a </w:t>
            </w:r>
            <w:r>
              <w:rPr>
                <w:b/>
                <w:i/>
              </w:rPr>
              <w:t>význam spolupráce s EU, na niž</w:t>
            </w:r>
            <w:r>
              <w:t xml:space="preserve"> turecká vláda často </w:t>
            </w:r>
            <w:r>
              <w:rPr>
                <w:b/>
                <w:i/>
              </w:rPr>
              <w:t>odkazuje, zdůrazňuje však</w:t>
            </w:r>
            <w:r>
              <w:t xml:space="preserve">, že to v žádném případě nemůže nahradit nezbytný skutečný pokrok, kterého Turecko </w:t>
            </w:r>
            <w:r>
              <w:rPr>
                <w:b/>
                <w:i/>
              </w:rPr>
              <w:t>jakožto</w:t>
            </w:r>
            <w:r>
              <w:t xml:space="preserve"> kandidátská země </w:t>
            </w:r>
            <w:r>
              <w:rPr>
                <w:b/>
                <w:i/>
              </w:rPr>
              <w:t>musí</w:t>
            </w:r>
            <w:r>
              <w:t xml:space="preserve"> dosáhnout, pokud jde o </w:t>
            </w:r>
            <w:r>
              <w:rPr>
                <w:b/>
                <w:i/>
              </w:rPr>
              <w:t>plnění</w:t>
            </w:r>
            <w:r>
              <w:t xml:space="preserve"> základních požadavků pro přistoupení; </w:t>
            </w:r>
            <w:r>
              <w:rPr>
                <w:b/>
                <w:i/>
              </w:rPr>
              <w:t>zdůrazňuje, že nelze dosáhnout rychlého pokroku v klíčových otázkách, jako je modernizace celní unie, uvolnění zmrazení zbývajících dialogů na vysoké úrovni nebo uvolnění vízového režimu bez řešení podmíněnosti EU, a to i ve vztahu k Kypru;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uznává strategickou a geopolitickou hodnotu Turecka a jeho užší spolupráci s EU, na kterou se turecká vláda často odvolává, ale zdůrazňuje, že to v žádném případě nemůže nahradit nezbytný skutečný pokrok, kterého musí Turecko jako kandidátská země dosáhnout, pokud jde o splnění základních požadavků pro přistoupení;</w:t>
            </w:r>
          </w:p>
        </w:tc>
        <w:tc>
          <w:tcPr>
            <w:tcW w:w="4876" w:type="dxa"/>
            <w:tcBorders>
              <w:top w:val="nil"/>
              <w:left w:val="nil"/>
              <w:bottom w:val="nil"/>
              <w:right w:val="nil"/>
            </w:tcBorders>
          </w:tcPr>
          <w:p>
            <w:pPr>
              <w:pStyle w:val="Normal6a"/>
            </w:pPr>
            <w:r>
              <w:t>4.</w:t>
            </w:r>
            <w:r>
              <w:tab/>
            </w:r>
            <w:r>
              <w:t xml:space="preserve">uznává strategickou a geopolitickou hodnotu Turecka a jeho užší spolupráci s EU, na kterou se turecká vláda často odvolává, ale zdůrazňuje, že to v žádném případě nemůže nahradit nezbytný skutečný pokrok, kterého musí Turecko jako kandidátská země dosáhnout, pokud jde o splnění základních požadavků pro přistoupení; </w:t>
            </w:r>
            <w:r>
              <w:rPr>
                <w:b/>
                <w:i/>
              </w:rPr>
              <w:t>zdůrazňuje, že nelze dosáhnout rychlého pokroku v klíčových otázkách, jako je modernizace celní unie, uvolnění zmrazených zbývajících dialogů na vysoké úrovni nebo uvolnění vízového režimu, aniž by byla řešena podmíněnost EU, a to i ve vztahu k Kypru;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uznává </w:t>
            </w:r>
            <w:r>
              <w:rPr>
                <w:b/>
                <w:i/>
              </w:rPr>
              <w:t>strategickou a geopolitickou hodnotu</w:t>
            </w:r>
            <w:r>
              <w:t xml:space="preserve"> Turecka a </w:t>
            </w:r>
            <w:r>
              <w:rPr>
                <w:b/>
                <w:i/>
              </w:rPr>
              <w:t>jeho</w:t>
            </w:r>
            <w:r>
              <w:t xml:space="preserve"> užší spolupráci s EU, na kterou </w:t>
            </w:r>
            <w:r>
              <w:rPr>
                <w:b/>
                <w:i/>
              </w:rPr>
              <w:t>se</w:t>
            </w:r>
            <w:r>
              <w:t xml:space="preserve"> turecká vláda často </w:t>
            </w:r>
            <w:r>
              <w:rPr>
                <w:b/>
                <w:i/>
              </w:rPr>
              <w:t>odvolává, ale</w:t>
            </w:r>
            <w:r>
              <w:t xml:space="preserve"> zdůrazňuje, že to v žádném případě nemůže nahradit nezbytný skutečný pokrok, kterého </w:t>
            </w:r>
            <w:r>
              <w:rPr>
                <w:b/>
                <w:i/>
              </w:rPr>
              <w:t>musí</w:t>
            </w:r>
            <w:r>
              <w:t xml:space="preserve"> Turecko </w:t>
            </w:r>
            <w:r>
              <w:rPr>
                <w:b/>
                <w:i/>
              </w:rPr>
              <w:t>jako</w:t>
            </w:r>
            <w:r>
              <w:t xml:space="preserve"> kandidátská země dosáhnout, pokud jde o </w:t>
            </w:r>
            <w:r>
              <w:rPr>
                <w:b/>
                <w:i/>
              </w:rPr>
              <w:t>splnění</w:t>
            </w:r>
            <w:r>
              <w:t xml:space="preserve"> základních požadavků pro přistoupení;</w:t>
            </w:r>
          </w:p>
        </w:tc>
        <w:tc>
          <w:tcPr>
            <w:tcW w:w="4876" w:type="dxa"/>
            <w:tcBorders>
              <w:top w:val="nil"/>
              <w:left w:val="nil"/>
              <w:bottom w:val="nil"/>
              <w:right w:val="nil"/>
            </w:tcBorders>
          </w:tcPr>
          <w:p>
            <w:pPr>
              <w:pStyle w:val="Normal6a"/>
            </w:pPr>
            <w:r>
              <w:t>4.</w:t>
            </w:r>
            <w:r>
              <w:tab/>
            </w:r>
            <w:r>
              <w:t xml:space="preserve">uznává </w:t>
            </w:r>
            <w:r>
              <w:rPr>
                <w:b/>
                <w:i/>
              </w:rPr>
              <w:t>strategický a geopolitický význam</w:t>
            </w:r>
            <w:r>
              <w:t xml:space="preserve"> Turecka a </w:t>
            </w:r>
            <w:r>
              <w:rPr>
                <w:b/>
                <w:i/>
              </w:rPr>
              <w:t>bere na vědomí jeho rostoucí politickou, hospodářskou a vojenskou přítomnost a vliv v kritických oblastech pro mezinárodní bezpečnost;</w:t>
            </w:r>
            <w:r>
              <w:t xml:space="preserve"> </w:t>
            </w:r>
            <w:r>
              <w:rPr>
                <w:b/>
                <w:i/>
              </w:rPr>
              <w:t>uznává potenciál pro</w:t>
            </w:r>
            <w:r>
              <w:t xml:space="preserve"> užší spolupráci s EU, na kterou turecká vláda často </w:t>
            </w:r>
            <w:r>
              <w:rPr>
                <w:b/>
                <w:i/>
              </w:rPr>
              <w:t>odkazuje,</w:t>
            </w:r>
            <w:r>
              <w:t xml:space="preserve"> zdůrazňuje </w:t>
            </w:r>
            <w:r>
              <w:rPr>
                <w:b/>
                <w:i/>
              </w:rPr>
              <w:t>však</w:t>
            </w:r>
            <w:r>
              <w:t xml:space="preserve">, že to v žádném případě nemůže nahradit nezbytný skutečný pokrok, kterého Turecko </w:t>
            </w:r>
            <w:r>
              <w:rPr>
                <w:b/>
                <w:i/>
              </w:rPr>
              <w:t>jakožto</w:t>
            </w:r>
            <w:r>
              <w:t xml:space="preserve"> kandidátská země </w:t>
            </w:r>
            <w:r>
              <w:rPr>
                <w:b/>
                <w:i/>
              </w:rPr>
              <w:t>musí</w:t>
            </w:r>
            <w:r>
              <w:t xml:space="preserve"> dosáhnout, pokud jde o </w:t>
            </w:r>
            <w:r>
              <w:rPr>
                <w:b/>
                <w:i/>
              </w:rPr>
              <w:t>plnění</w:t>
            </w:r>
            <w:r>
              <w:t xml:space="preserve"> základních požadavků pro přistoupení;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uznává strategickou a geopolitickou hodnotu Turecka a jeho užší spolupráci s EU, na kterou se turecká vláda často odvolává, ale zdůrazňuje, že to v žádném případě nemůže nahradit nezbytný skutečný pokrok, kterého musí Turecko jako kandidátská země dosáhnout, pokud jde o splnění základních požadavků pro přistoupení;</w:t>
            </w:r>
          </w:p>
        </w:tc>
        <w:tc>
          <w:tcPr>
            <w:tcW w:w="4876" w:type="dxa"/>
            <w:tcBorders>
              <w:top w:val="nil"/>
              <w:left w:val="nil"/>
              <w:bottom w:val="nil"/>
              <w:right w:val="nil"/>
            </w:tcBorders>
          </w:tcPr>
          <w:p>
            <w:pPr>
              <w:pStyle w:val="Normal6a"/>
            </w:pPr>
            <w:r>
              <w:t>4.</w:t>
            </w:r>
            <w:r>
              <w:tab/>
            </w:r>
            <w:r>
              <w:t xml:space="preserve">uznává strategickou a geopolitickou hodnotu Turecka a jeho užší spolupráci s EU, na kterou se turecká vláda často odvolává, ale zdůrazňuje, že to v žádném případě nemůže nahradit nezbytný skutečný pokrok, kterého musí Turecko jako kandidátská země dosáhnout, pokud jde o splnění základních požadavků pro přistoupení; </w:t>
            </w:r>
            <w:r>
              <w:rPr>
                <w:b/>
                <w:i/>
              </w:rPr>
              <w:t>v tomto smyslu zdůrazňuje, že přístupový proces nemá žádné zkratky a že nelze předložit žádný argument, který by zabránil diskuzi o demokratických zásadách, které jsou jádrem procesu přistoupení;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uznává </w:t>
            </w:r>
            <w:r>
              <w:rPr>
                <w:b/>
                <w:i/>
              </w:rPr>
              <w:t>strategickou a geopolitickou</w:t>
            </w:r>
            <w:r>
              <w:t xml:space="preserve"> hodnotu Turecka </w:t>
            </w:r>
            <w:r>
              <w:rPr>
                <w:b/>
                <w:i/>
              </w:rPr>
              <w:t>a jeho užší spolupráci s EU, na kterou se turecká vláda často odvolává</w:t>
            </w:r>
            <w:r>
              <w:t xml:space="preserve">, ale zdůrazňuje, že to v žádném případě nemůže nahradit nezbytný skutečný pokrok, kterého musí Turecko </w:t>
            </w:r>
            <w:r>
              <w:rPr>
                <w:b/>
                <w:i/>
              </w:rPr>
              <w:t>jako kandidátská země dosáhnout, pokud jde o splnění základních požadavků pro přistoupení</w:t>
            </w:r>
            <w:r>
              <w:t>;</w:t>
            </w:r>
          </w:p>
        </w:tc>
        <w:tc>
          <w:tcPr>
            <w:tcW w:w="4876" w:type="dxa"/>
            <w:tcBorders>
              <w:top w:val="nil"/>
              <w:left w:val="nil"/>
              <w:bottom w:val="nil"/>
              <w:right w:val="nil"/>
            </w:tcBorders>
          </w:tcPr>
          <w:p>
            <w:pPr>
              <w:pStyle w:val="Normal6a"/>
            </w:pPr>
            <w:r>
              <w:t>4.</w:t>
            </w:r>
            <w:r>
              <w:tab/>
            </w:r>
            <w:r>
              <w:t xml:space="preserve">uznává </w:t>
            </w:r>
            <w:r>
              <w:rPr>
                <w:b/>
                <w:i/>
              </w:rPr>
              <w:t>zeměpisnou</w:t>
            </w:r>
            <w:r>
              <w:t xml:space="preserve"> hodnotu Turecka, ale zdůrazňuje, že to v žádném případě nemůže nahradit nezbytný skutečný pokrok, kterého musí Turecko </w:t>
            </w:r>
            <w:r>
              <w:rPr>
                <w:b/>
                <w:i/>
              </w:rPr>
              <w:t>jakožto člen OSN a soused EU dosáhnout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uznává </w:t>
            </w:r>
            <w:r>
              <w:rPr>
                <w:b/>
                <w:i/>
              </w:rPr>
              <w:t>strategickou a geopolitickou</w:t>
            </w:r>
            <w:r>
              <w:t xml:space="preserve"> hodnotu Turecka a jeho užší spolupráci s EU, na kterou </w:t>
            </w:r>
            <w:r>
              <w:rPr>
                <w:b/>
                <w:i/>
              </w:rPr>
              <w:t>se</w:t>
            </w:r>
            <w:r>
              <w:t xml:space="preserve"> turecká vláda často </w:t>
            </w:r>
            <w:r>
              <w:rPr>
                <w:b/>
                <w:i/>
              </w:rPr>
              <w:t>odvolává, ale zdůrazňuje</w:t>
            </w:r>
            <w:r>
              <w:t xml:space="preserve">, že to v žádném případě nemůže nahradit nezbytný skutečný pokrok, kterého </w:t>
            </w:r>
            <w:r>
              <w:rPr>
                <w:b/>
                <w:i/>
              </w:rPr>
              <w:t>musí</w:t>
            </w:r>
            <w:r>
              <w:t xml:space="preserve"> Turecko </w:t>
            </w:r>
            <w:r>
              <w:rPr>
                <w:b/>
                <w:i/>
              </w:rPr>
              <w:t>jako</w:t>
            </w:r>
            <w:r>
              <w:t xml:space="preserve"> kandidátská země </w:t>
            </w:r>
            <w:r>
              <w:rPr>
                <w:b/>
                <w:i/>
              </w:rPr>
              <w:t>dosáhnout, pokud jde o splnění</w:t>
            </w:r>
            <w:r>
              <w:t xml:space="preserve"> základních požadavků pro přistoupení;</w:t>
            </w:r>
          </w:p>
        </w:tc>
        <w:tc>
          <w:tcPr>
            <w:tcW w:w="4876" w:type="dxa"/>
            <w:tcBorders>
              <w:top w:val="nil"/>
              <w:left w:val="nil"/>
              <w:bottom w:val="nil"/>
              <w:right w:val="nil"/>
            </w:tcBorders>
          </w:tcPr>
          <w:p>
            <w:pPr>
              <w:pStyle w:val="Normal6a"/>
            </w:pPr>
            <w:r>
              <w:t>4.</w:t>
            </w:r>
            <w:r>
              <w:tab/>
            </w:r>
            <w:r>
              <w:t xml:space="preserve">uznává </w:t>
            </w:r>
            <w:r>
              <w:rPr>
                <w:b/>
                <w:i/>
              </w:rPr>
              <w:t>zeměpisnou</w:t>
            </w:r>
            <w:r>
              <w:t xml:space="preserve"> hodnotu Turecka a jeho užší spolupráci s EU, na kterou turecká vláda často </w:t>
            </w:r>
            <w:r>
              <w:rPr>
                <w:b/>
                <w:i/>
              </w:rPr>
              <w:t>odkazuje, zdůrazňuje však</w:t>
            </w:r>
            <w:r>
              <w:t xml:space="preserve">, že to v žádném případě nemůže nahradit nezbytný skutečný pokrok, kterého Turecko </w:t>
            </w:r>
            <w:r>
              <w:rPr>
                <w:b/>
                <w:i/>
              </w:rPr>
              <w:t>jakožto</w:t>
            </w:r>
            <w:r>
              <w:t xml:space="preserve"> kandidátská země </w:t>
            </w:r>
            <w:r>
              <w:rPr>
                <w:b/>
                <w:i/>
              </w:rPr>
              <w:t>musí dosáhnout při plnění</w:t>
            </w:r>
            <w:r>
              <w:t xml:space="preserve"> základních požadavků pro přistoupení</w:t>
            </w:r>
            <w:r>
              <w:rPr>
                <w:b/>
                <w:i/>
              </w:rPr>
              <w:t>, jako je uznání Kyperské republiky a stažení všech tureckých jednotek z jejích okupovaných území</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uznává strategickou a geopolitickou hodnotu Turecka a jeho</w:t>
            </w:r>
            <w:r>
              <w:t xml:space="preserve"> užší spolupráci s EU, na </w:t>
            </w:r>
            <w:r>
              <w:rPr>
                <w:b/>
                <w:i/>
              </w:rPr>
              <w:t>kterou se</w:t>
            </w:r>
            <w:r>
              <w:t xml:space="preserve"> turecká vláda často </w:t>
            </w:r>
            <w:r>
              <w:rPr>
                <w:b/>
                <w:i/>
              </w:rPr>
              <w:t>odvolává, ale zdůrazňuje, že to</w:t>
            </w:r>
            <w:r>
              <w:t xml:space="preserve"> v žádném případě </w:t>
            </w:r>
            <w:r>
              <w:rPr>
                <w:b/>
                <w:i/>
              </w:rPr>
              <w:t>nemůže</w:t>
            </w:r>
            <w:r>
              <w:t xml:space="preserve"> nahradit nezbytný skutečný pokrok, kterého </w:t>
            </w:r>
            <w:r>
              <w:rPr>
                <w:b/>
                <w:i/>
              </w:rPr>
              <w:t>musí</w:t>
            </w:r>
            <w:r>
              <w:t xml:space="preserve"> Turecko </w:t>
            </w:r>
            <w:r>
              <w:rPr>
                <w:b/>
                <w:i/>
              </w:rPr>
              <w:t>jako</w:t>
            </w:r>
            <w:r>
              <w:t xml:space="preserve"> kandidátská země dosáhnout, pokud jde o splnění základních požadavků pro přistoupení;</w:t>
            </w:r>
          </w:p>
        </w:tc>
        <w:tc>
          <w:tcPr>
            <w:tcW w:w="4876" w:type="dxa"/>
            <w:tcBorders>
              <w:top w:val="nil"/>
              <w:left w:val="nil"/>
              <w:bottom w:val="nil"/>
              <w:right w:val="nil"/>
            </w:tcBorders>
          </w:tcPr>
          <w:p>
            <w:pPr>
              <w:pStyle w:val="Normal6a"/>
            </w:pPr>
            <w:r>
              <w:t>4.</w:t>
            </w:r>
            <w:r>
              <w:tab/>
            </w:r>
            <w:r>
              <w:rPr>
                <w:b/>
                <w:i/>
              </w:rPr>
              <w:t>opakuje, že Turecko je strategickým partnerem a spojencem v NATO, jakož i zemí, s nimiž má EU úzké vztahy v oblasti bezpečnosti, obchodu, hospodářství a migrace;</w:t>
            </w:r>
            <w:r>
              <w:t xml:space="preserve"> </w:t>
            </w:r>
            <w:r>
              <w:rPr>
                <w:b/>
                <w:i/>
              </w:rPr>
              <w:t>vítá</w:t>
            </w:r>
            <w:r>
              <w:t xml:space="preserve"> užší spolupráci s EU, na </w:t>
            </w:r>
            <w:r>
              <w:rPr>
                <w:b/>
                <w:i/>
              </w:rPr>
              <w:t>niž</w:t>
            </w:r>
            <w:r>
              <w:t xml:space="preserve"> turecká vláda často </w:t>
            </w:r>
            <w:r>
              <w:rPr>
                <w:b/>
                <w:i/>
              </w:rPr>
              <w:t>odkazuje, zdůrazňuje však, že tato spolupráce nemůže</w:t>
            </w:r>
            <w:r>
              <w:t xml:space="preserve"> v žádném případě nahradit nezbytný skutečný pokrok, kterého Turecko </w:t>
            </w:r>
            <w:r>
              <w:rPr>
                <w:b/>
                <w:i/>
              </w:rPr>
              <w:t>jakožto</w:t>
            </w:r>
            <w:r>
              <w:t xml:space="preserve"> kandidátská země </w:t>
            </w:r>
            <w:r>
              <w:rPr>
                <w:b/>
                <w:i/>
              </w:rPr>
              <w:t>musí</w:t>
            </w:r>
            <w:r>
              <w:t xml:space="preserve"> dosáhnout, pokud jde o splnění základních požadavků pro přistoupení;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uznává strategickou a geopolitickou hodnotu Turecka </w:t>
            </w:r>
            <w:r>
              <w:rPr>
                <w:b/>
                <w:i/>
              </w:rPr>
              <w:t>a jeho užší spolupráci s EU</w:t>
            </w:r>
            <w:r>
              <w:t xml:space="preserve">, </w:t>
            </w:r>
            <w:r>
              <w:rPr>
                <w:b/>
                <w:i/>
              </w:rPr>
              <w:t>na kterou se turecká vláda často odvolává, ale</w:t>
            </w:r>
            <w:r>
              <w:t xml:space="preserve"> zdůrazňuje, že to v žádném případě nemůže nahradit nezbytný skutečný pokrok, kterého </w:t>
            </w:r>
            <w:r>
              <w:rPr>
                <w:b/>
                <w:i/>
              </w:rPr>
              <w:t>musí</w:t>
            </w:r>
            <w:r>
              <w:t xml:space="preserve"> Turecko </w:t>
            </w:r>
            <w:r>
              <w:rPr>
                <w:b/>
                <w:i/>
              </w:rPr>
              <w:t>jako</w:t>
            </w:r>
            <w:r>
              <w:t xml:space="preserve"> kandidátská země dosáhnout, pokud jde o splnění základních požadavků pro přistoupení;</w:t>
            </w:r>
          </w:p>
        </w:tc>
        <w:tc>
          <w:tcPr>
            <w:tcW w:w="4876" w:type="dxa"/>
            <w:tcBorders>
              <w:top w:val="nil"/>
              <w:left w:val="nil"/>
              <w:bottom w:val="nil"/>
              <w:right w:val="nil"/>
            </w:tcBorders>
          </w:tcPr>
          <w:p>
            <w:pPr>
              <w:pStyle w:val="Normal6a"/>
            </w:pPr>
            <w:r>
              <w:t>4.</w:t>
            </w:r>
            <w:r>
              <w:tab/>
            </w:r>
            <w:r>
              <w:t xml:space="preserve">uznává strategickou a geopolitickou hodnotu Turecka, zdůrazňuje </w:t>
            </w:r>
            <w:r>
              <w:rPr>
                <w:b/>
                <w:i/>
              </w:rPr>
              <w:t>však</w:t>
            </w:r>
            <w:r>
              <w:t xml:space="preserve">, že to v žádném případě nemůže nahradit nezbytný skutečný pokrok, kterého Turecko </w:t>
            </w:r>
            <w:r>
              <w:rPr>
                <w:b/>
                <w:i/>
              </w:rPr>
              <w:t>jakožto</w:t>
            </w:r>
            <w:r>
              <w:t xml:space="preserve"> kandidátská země </w:t>
            </w:r>
            <w:r>
              <w:rPr>
                <w:b/>
                <w:i/>
              </w:rPr>
              <w:t>musí</w:t>
            </w:r>
            <w:r>
              <w:t xml:space="preserve"> dosáhnout, pokud jde o splnění základních požadavků pro přistoupení; </w:t>
            </w:r>
            <w:r>
              <w:rPr>
                <w:b/>
                <w:i/>
              </w:rPr>
              <w:t>vyzývá proto k definitivnímu zastavení procesu přistoupení Turecka k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uznává strategickou a geopolitickou hodnotu Turecka </w:t>
            </w:r>
            <w:r>
              <w:rPr>
                <w:b/>
                <w:i/>
              </w:rPr>
              <w:t>a jeho užší spolupráci s EU, na kterou se turecká vláda často odvolává</w:t>
            </w:r>
            <w:r>
              <w:t xml:space="preserve">, ale zdůrazňuje, že to v žádném případě nemůže nahradit nezbytný skutečný pokrok, kterého </w:t>
            </w:r>
            <w:r>
              <w:rPr>
                <w:b/>
                <w:i/>
              </w:rPr>
              <w:t>musí</w:t>
            </w:r>
            <w:r>
              <w:t xml:space="preserve"> Turecko </w:t>
            </w:r>
            <w:r>
              <w:rPr>
                <w:b/>
                <w:i/>
              </w:rPr>
              <w:t>jako</w:t>
            </w:r>
            <w:r>
              <w:t xml:space="preserve"> kandidátská země dosáhnout, pokud jde o splnění základních požadavků pro přistoupení;</w:t>
            </w:r>
          </w:p>
        </w:tc>
        <w:tc>
          <w:tcPr>
            <w:tcW w:w="4876" w:type="dxa"/>
            <w:tcBorders>
              <w:top w:val="nil"/>
              <w:left w:val="nil"/>
              <w:bottom w:val="nil"/>
              <w:right w:val="nil"/>
            </w:tcBorders>
          </w:tcPr>
          <w:p>
            <w:pPr>
              <w:pStyle w:val="Normal6a"/>
            </w:pPr>
            <w:r>
              <w:t>4.</w:t>
            </w:r>
            <w:r>
              <w:tab/>
            </w:r>
            <w:r>
              <w:t xml:space="preserve">uznává strategickou a geopolitickou hodnotu Turecka, ale zdůrazňuje, že to v žádném případě nemůže nahradit nezbytný skutečný pokrok, kterého Turecko </w:t>
            </w:r>
            <w:r>
              <w:rPr>
                <w:b/>
                <w:i/>
              </w:rPr>
              <w:t>jakožto</w:t>
            </w:r>
            <w:r>
              <w:t xml:space="preserve"> kandidátská země </w:t>
            </w:r>
            <w:r>
              <w:rPr>
                <w:b/>
                <w:i/>
              </w:rPr>
              <w:t>musí</w:t>
            </w:r>
            <w:r>
              <w:t xml:space="preserve"> dosáhnout, pokud jde o splnění základních požadavků pro přistoupení; </w:t>
            </w:r>
            <w:r>
              <w:rPr>
                <w:b/>
                <w:i/>
              </w:rPr>
              <w:t>žádá proto, aby byl proces přistoupení Turecka k EU s konečnou platností zastaven;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konstatuje, že zpráva Komise o Turecku za rok 2024 vystihuje pozitivnější obraz provádění reforem v souvislosti s procesem přistoupení než zpráva o Turecku z roku 2023, která přechází od dalšího zhoršování k „nulovému pokroku“, pokud jde o otázky právního státu a lidských práv;</w:t>
            </w:r>
            <w:r>
              <w:t xml:space="preserve"> </w:t>
            </w:r>
            <w:r>
              <w:rPr>
                <w:b/>
                <w:i/>
              </w:rPr>
              <w:t>je však toho názoru, že přinejmenším v klíčových oblastech, jako je demokracie, právní stát a základní práva, je to způsobeno tím, že již bylo dosaženo velmi nízkého bodu a tato situace se nezměnila;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připomíná, že od kandidátských zemí EU se formálně požaduje, aby se postupně přiblížily SZBP Evropské unie;</w:t>
            </w:r>
            <w:r>
              <w:t xml:space="preserve"> </w:t>
            </w:r>
            <w:r>
              <w:rPr>
                <w:b/>
                <w:i/>
              </w:rPr>
              <w:t>vyjadřuje politování nad tím, že Turecko v tomto ohledu nepodniklo žádné kroky, zejména tím, že se nepřipojilo k sankcím EU vůči Rusku a že se podílelo na obcházení ruských sankcí;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vyzývá tureckou vládu, aby se zdržela nepravdivých obvinění proti Evropské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dále bere na vědomí diferencovaný posun v zaměření zprávy o Turecku za rok 2024 ve srovnání se zprávou z roku 2023, a to od procesu přistoupení ke strategickému partnerství mezi Evropskou unií a Tureckem;</w:t>
            </w:r>
            <w:r>
              <w:t xml:space="preserve"> </w:t>
            </w:r>
            <w:r>
              <w:rPr>
                <w:b/>
                <w:i/>
              </w:rPr>
              <w:t>je toho názoru, že kritický stav procesu přistoupení nutí Komisi a Radu, aby se zaměřily pouze na partnerský rozměr našich vztahů, jak je rovněž zohledněno ve společných sděleních o aktuálním stavu vztahů mezi EU a Tureckem ze dne 29. listopadu 2023 a 22. března 2021;</w:t>
            </w:r>
            <w:r>
              <w:t xml:space="preserve"> </w:t>
            </w:r>
            <w:r>
              <w:rPr>
                <w:b/>
                <w:i/>
              </w:rPr>
              <w:t>zdůrazňuje zvýšenou tendenci k přechodu na jiný rámec vztahů, což by mohlo být na úkor procesu přistoupení, který by mohl být zcela oslaben;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domnívá se, že pokud jde o lidská práva a právní stát, jsou nedávná usnesení Parlamentu v této věci stále platná vzhledem k pokračujícímu neutěšenému stavu lidských práv a ústupu od demokracie v Turecku v posledním roce;</w:t>
            </w:r>
          </w:p>
        </w:tc>
        <w:tc>
          <w:tcPr>
            <w:tcW w:w="4876" w:type="dxa"/>
            <w:tcBorders>
              <w:top w:val="nil"/>
              <w:left w:val="nil"/>
              <w:bottom w:val="nil"/>
              <w:right w:val="nil"/>
            </w:tcBorders>
          </w:tcPr>
          <w:p>
            <w:pPr>
              <w:pStyle w:val="Normal6a"/>
            </w:pPr>
            <w:r>
              <w:t>5.</w:t>
            </w:r>
            <w:r>
              <w:tab/>
            </w:r>
            <w:r>
              <w:t xml:space="preserve">domnívá se, že pokud jde o lidská práva a právní stát, jsou nedávná usnesení Parlamentu v této věci stále platná vzhledem k pokračujícímu neutěšenému stavu lidských práv a ústupu od demokracie v Turecku v posledním roce; </w:t>
            </w:r>
            <w:r>
              <w:rPr>
                <w:b/>
                <w:i/>
              </w:rPr>
              <w:t>plně se ztotožňuje s usnesením Parlamentního shromáždění Rady Evropy ze dne 12. října 2022 o plnění povinností a závazků ze strany Turecka a související zprávou monitorovacího výboru, jakož i s usneseními přijatými Výborem ministrů Rady Evropy v očekávání výkonu rozsudků Evropského soudu pro lidská práva, která podrobně popisují širokou škálu závažných pochybení v oblasti lidských práv, na něž neustále upozorňují místní i mezinárodní renomované lidskoprávní organizace;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domnívá se, že pokud jde o lidská práva a právní stát, jsou nedávná usnesení Parlamentu v této věci stále platná vzhledem k pokračujícímu neutěšenému stavu lidských práv a ústupu od demokracie v Turecku v posledním roce;</w:t>
            </w:r>
          </w:p>
        </w:tc>
        <w:tc>
          <w:tcPr>
            <w:tcW w:w="4876" w:type="dxa"/>
            <w:tcBorders>
              <w:top w:val="nil"/>
              <w:left w:val="nil"/>
              <w:bottom w:val="nil"/>
              <w:right w:val="nil"/>
            </w:tcBorders>
          </w:tcPr>
          <w:p>
            <w:pPr>
              <w:pStyle w:val="Normal6a"/>
            </w:pPr>
            <w:r>
              <w:t>5.</w:t>
            </w:r>
            <w:r>
              <w:tab/>
            </w:r>
            <w:r>
              <w:t xml:space="preserve">domnívá se, že pokud jde o lidská práva a právní stát, jsou nedávná usnesení Parlamentu v této věci stále platná vzhledem k pokračujícímu neutěšenému stavu lidských práv a ústupu od demokracie v Turecku v posledním roce; </w:t>
            </w:r>
            <w:r>
              <w:rPr>
                <w:b/>
                <w:i/>
              </w:rPr>
              <w:t>plně se ztotožňuje s usnesením Parlamentního shromáždění Rady Evropy ze dne 12. října 2022 o plnění povinností a závazků ze strany Turecka a související zprávou monitorovacího výboru, jakož i s usneseními přijatými Výborem ministrů Rady Evropy v očekávání výkonu rozsudků Evropského soudu pro lidská práva, která podrobně popisují širokou škálu závažných pochybení v oblasti lidských práv, na něž neustále upozorňují místní i mezinárodní renomované lidskoprávní organizace;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důrazně odsuzuje brutální činy, válečné zločiny a závažné porušování mezinárodního humanitárního práva, včetně sexuálního násilí, genderově podmíněného násilí, deportace dětí a mučení a zabíjení civilistů a válečných zajatců, jichž se dopustily turecké ozbrojené síly a jejich zástupci v nezákonné, neodůvodněné a nevyprovokované útočné válce Turecka proti Kyperské republice, a je těmito činy hluboce znepokojen;</w:t>
            </w:r>
            <w:r>
              <w:t xml:space="preserve"> </w:t>
            </w:r>
            <w:r>
              <w:rPr>
                <w:b/>
                <w:i/>
              </w:rPr>
              <w:t>připomíná, že podpora Kyperské republiky při jejím odporu vůči nezákonné turecké okupaci jejího území má klíčový význam pro ochranu mezinárodního řádu založeného na pravidlech;</w:t>
            </w:r>
            <w:r>
              <w:t xml:space="preserve"> </w:t>
            </w:r>
            <w:r>
              <w:rPr>
                <w:b/>
                <w:i/>
              </w:rPr>
              <w:t>naléhavě žádá, aby byla přijata veškerá nezbytná opatření k zajištění toho, aby osoby, které se dopustily válečných zločinů a porušování lidských práv v Kyperské republice, byly identifikovány a pohnány k odpovědnosti;</w:t>
            </w:r>
            <w:r>
              <w:t xml:space="preserve"> </w:t>
            </w:r>
            <w:r>
              <w:rPr>
                <w:b/>
                <w:i/>
              </w:rPr>
              <w:t>vyzývá EU a její členské státy, aby Kyperské republice nabídly plnou podporu a opatření a mechanismy ve prospěch její nezávislosti a územní celistvosti;</w:t>
            </w:r>
            <w:r>
              <w:t xml:space="preserve"> </w:t>
            </w:r>
            <w:r>
              <w:rPr>
                <w:b/>
                <w:i/>
              </w:rPr>
              <w:t>zdůrazňuje, že je důležité zachovat důkazy o válečných zločinech a zločinech proti lidskosti, a vítá veškeré úsilí vynaložené v tomto směru;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Loucas Fourlas,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vyjadřuje hluboké znepokojení nad zhoršováním situace v oblasti práv žen a genderově podmíněného násilí a nad nárůstem počtu vražd žen, což svědčí o závažných nedostatcích v poskytování účinné ochrany ženám v Turecku;</w:t>
            </w:r>
            <w:r>
              <w:t xml:space="preserve"> </w:t>
            </w:r>
            <w:r>
              <w:rPr>
                <w:b/>
                <w:i/>
              </w:rPr>
              <w:t>znovu důrazně odsuzuje odstoupení Turecka prezidentským dekretem od Istanbulské úmluvy, které představuje významný krok zpět v úsilí o prosazování práv žen v zemi, a znovu vyzývá tureckou vládu, aby toto nepřijatelné rozhodnutí zvrátila a dodržovala mezinárodní smlouvy, pakty a závazky, jichž je smluvní stranou, a jednala v souladu s nimi;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vyjadřuje hluboké znepokojení nad zhoršováním práv žen, nárůstem počtu vražd žen a neustálými útoky na osoby LGBTI+ a jejich pronásledováním;</w:t>
            </w:r>
            <w:r>
              <w:t xml:space="preserve"> </w:t>
            </w:r>
            <w:r>
              <w:rPr>
                <w:b/>
                <w:i/>
              </w:rPr>
              <w:t>odsuzuje rušení práv žen tureckou vládou, zejména její odstoupení od Istanbulské úmluvy, jakož i agresivní kampaň namířenou proti LGBTIQ+ osobám, která se vyznačuje nadměrnými nenávistnými projevy vysokých politických představitelů;</w:t>
            </w:r>
            <w:r>
              <w:t xml:space="preserve"> </w:t>
            </w:r>
            <w:r>
              <w:rPr>
                <w:b/>
                <w:i/>
              </w:rPr>
              <w:t>je znepokojen stále rostoucím počtem vražd žen v Turecku a naléhavě vyzývá vládu, aby předcházela násilí páchanému na ženách a dívkách a bojovala proti němu, a to plným provedením tureckého zákona o ochraně č. 6284 a ukončením přetrvávající politiky beztrestnosti tím, že požene pachatele k odpovědnosti;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 vážným znepokojením zdůrazňuje, že vláda vydává čipové vnitrostátní průkazy totožnosti, které obsahují informaci o náboženské příslušnosti;</w:t>
            </w:r>
            <w:r>
              <w:t xml:space="preserve"> </w:t>
            </w:r>
            <w:r>
              <w:rPr>
                <w:b/>
                <w:i/>
              </w:rPr>
              <w:t>konstatuje, že informace o náboženské příslušnosti jsou uloženy v čipu a zůstávají oprávněným veřejným činitelům přístupné jako „kvalifikované osobní údaje“, což usnadňuje diskriminaci křesťanů</w:t>
            </w:r>
            <w:r>
              <w:rPr>
                <w:b/>
                <w:i/>
                <w:vertAlign w:val="superscript"/>
              </w:rPr>
              <w:t>5a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https://2021-2025.state.gov/report/custom/c3652eaa50/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je nadále znepokojen silnými vazbami a příležitostnými zásahy turecké vlády vůči turecké diaspoře v různých zemích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bere na vědomí ideologicky řízenou totalitní genocidu křesťanů v Osmanské říši/Turecku, která byla a stále je systematicky prováděna;</w:t>
            </w:r>
            <w:r>
              <w:t xml:space="preserve"> </w:t>
            </w:r>
            <w:r>
              <w:rPr>
                <w:b/>
                <w:i/>
              </w:rPr>
              <w:t>konstatuje, že neexistují iniciativy evropských orgánů, které by usilovaly o spravedlnost pro oběti genocidy Arménů, Řeků a Asyřanů;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5c.</w:t>
            </w:r>
            <w:r>
              <w:tab/>
            </w:r>
            <w:r>
              <w:rPr>
                <w:b/>
                <w:i/>
              </w:rPr>
              <w:t>znovu vybízí Turecko, aby uznalo genocidu křesťanů (Arménů, Řeků a Asyřanů) a připravilo tak cestu pro rehabilitaci vyhnaných osob a aby plně dodržovalo své závazky při ochraně křesťanského kulturního dědictví;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hluboce lituje, že navzdory reformní strategii s devíti balíčky soudních reforem </w:t>
            </w:r>
            <w:r>
              <w:rPr>
                <w:b/>
                <w:i/>
              </w:rPr>
              <w:t>panuje</w:t>
            </w:r>
            <w:r>
              <w:t xml:space="preserve"> v Turecku v důsledku systematického zasahování vlády do soudního systému a jeho politické instrumentalizace </w:t>
            </w:r>
            <w:r>
              <w:rPr>
                <w:b/>
                <w:i/>
              </w:rPr>
              <w:t>v soudnictví stále neutěšená situace</w:t>
            </w:r>
            <w:r>
              <w:t>;</w:t>
            </w:r>
          </w:p>
        </w:tc>
        <w:tc>
          <w:tcPr>
            <w:tcW w:w="4876" w:type="dxa"/>
            <w:tcBorders>
              <w:top w:val="nil"/>
              <w:left w:val="nil"/>
              <w:bottom w:val="nil"/>
              <w:right w:val="nil"/>
            </w:tcBorders>
          </w:tcPr>
          <w:p>
            <w:pPr>
              <w:pStyle w:val="Normal6a"/>
            </w:pPr>
            <w:r>
              <w:t>6.</w:t>
            </w:r>
            <w:r>
              <w:tab/>
            </w:r>
            <w:r>
              <w:t xml:space="preserve">hluboce lituje, že navzdory reformní strategii s devíti balíčky soudních reforem </w:t>
            </w:r>
            <w:r>
              <w:rPr>
                <w:b/>
                <w:i/>
              </w:rPr>
              <w:t>je stav nezávislosti soudnictví</w:t>
            </w:r>
            <w:r>
              <w:t xml:space="preserve"> v Turecku </w:t>
            </w:r>
            <w:r>
              <w:rPr>
                <w:b/>
                <w:i/>
              </w:rPr>
              <w:t>i nadále neutěšený</w:t>
            </w:r>
            <w:r>
              <w:t xml:space="preserve"> v důsledku systematického zasahování vlády do soudního systému a jeho politické instrumentalizace</w:t>
            </w:r>
            <w:r>
              <w:rPr>
                <w:b/>
                <w:i/>
              </w:rPr>
              <w:t>, jakož i pronásledování právníků – včetně nedávného soudního řízení zahájeného nejvyšším státním zastupitelstvím v Istanbulu s cílem odstranit vedení istanbulské advokátní komory obviněním z „vytváření propagandy pro teroristickou organizaci“ a „veřejného šíření zavádějících informací“ za to, že požádali o vyšetřování vražd dvou kurdských novinářů v Sýrii;</w:t>
            </w:r>
            <w:r>
              <w:t xml:space="preserve"> </w:t>
            </w:r>
            <w:r>
              <w:rPr>
                <w:b/>
                <w:i/>
              </w:rPr>
              <w:t>je znepokojen očividným neprováděním rozhodnutí Ústavního soudu – včetně v případě poslance Cana Atalaya –, což vyústilo ve vážnou soudní krizi, kdy kasační soud podal trestní oznámení na devět soudců Ústavního soudu;</w:t>
            </w:r>
            <w:r>
              <w:t xml:space="preserve"> </w:t>
            </w:r>
            <w:r>
              <w:rPr>
                <w:b/>
                <w:i/>
              </w:rPr>
              <w:t>je znepokojen nedávným rozhodnutím kasačního soudu zrušit tresty a propustit šest obžalovaných odsouzených na 46 doživotních trestů s přitěžujícími okolnostmi a jednoho obžalovaného odsouzeného v roce 2018 na 12letý trest odnětí svobody z důvodu jejich přímého zapojení do útoku ISIS na istanbulském letišti Atatürk, který si v roce 2016 vyžádal 45 životů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hluboce lituje, že navzdory reformní strategii s devíti balíčky soudních reforem panuje v Turecku v důsledku systematického zasahování vlády do soudního systému a jeho politické instrumentalizace </w:t>
            </w:r>
            <w:r>
              <w:rPr>
                <w:b/>
                <w:i/>
              </w:rPr>
              <w:t>v</w:t>
            </w:r>
            <w:r>
              <w:t xml:space="preserve"> soudnictví </w:t>
            </w:r>
            <w:r>
              <w:rPr>
                <w:b/>
                <w:i/>
              </w:rPr>
              <w:t>stále neutěšená situace</w:t>
            </w:r>
            <w:r>
              <w:t>;</w:t>
            </w:r>
          </w:p>
        </w:tc>
        <w:tc>
          <w:tcPr>
            <w:tcW w:w="4876" w:type="dxa"/>
            <w:tcBorders>
              <w:top w:val="nil"/>
              <w:left w:val="nil"/>
              <w:bottom w:val="nil"/>
              <w:right w:val="nil"/>
            </w:tcBorders>
          </w:tcPr>
          <w:p>
            <w:pPr>
              <w:pStyle w:val="Normal6a"/>
            </w:pPr>
            <w:r>
              <w:t>6.</w:t>
            </w:r>
            <w:r>
              <w:tab/>
            </w:r>
            <w:r>
              <w:rPr>
                <w:b/>
                <w:i/>
              </w:rPr>
              <w:t>bere na vědomí deklarovaný závazek turecké vlády k reformě soudnictví a uznává zavedení organizačních opatření;</w:t>
            </w:r>
            <w:r>
              <w:t xml:space="preserve"> </w:t>
            </w:r>
            <w:r>
              <w:rPr>
                <w:b/>
                <w:i/>
              </w:rPr>
              <w:t>zdůrazňuje, že je třeba zavést strukturální opatření umožňující zlepšení nezávislosti soudnictví;</w:t>
            </w:r>
            <w:r>
              <w:t xml:space="preserve"> hluboce lituje, že navzdory reformní strategii s devíti balíčky soudních reforem panuje v Turecku v důsledku systematického zasahování vlády do soudního systému a jeho politické instrumentalizace </w:t>
            </w:r>
            <w:r>
              <w:rPr>
                <w:b/>
                <w:i/>
              </w:rPr>
              <w:t>stále neutěšená situace a že tyto změny dosud nevedly k podstatnému strukturálnímu pokroku, neboť</w:t>
            </w:r>
            <w:r>
              <w:t xml:space="preserve"> soudnictví </w:t>
            </w:r>
            <w:r>
              <w:rPr>
                <w:b/>
                <w:i/>
              </w:rPr>
              <w:t>je nadále zranitelné vůči politickému zasahování, což oslabuje právní stát a základní práva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hluboce lituje, že navzdory reformní strategii s devíti balíčky soudních reforem panuje v Turecku v důsledku systematického zasahování vlády do soudního systému a jeho politické instrumentalizace v soudnictví stále neutěšená situace;</w:t>
            </w:r>
          </w:p>
        </w:tc>
        <w:tc>
          <w:tcPr>
            <w:tcW w:w="4876" w:type="dxa"/>
            <w:tcBorders>
              <w:top w:val="nil"/>
              <w:left w:val="nil"/>
              <w:bottom w:val="nil"/>
              <w:right w:val="nil"/>
            </w:tcBorders>
          </w:tcPr>
          <w:p>
            <w:pPr>
              <w:pStyle w:val="Normal6a"/>
            </w:pPr>
            <w:r>
              <w:t>6.</w:t>
            </w:r>
            <w:r>
              <w:tab/>
            </w:r>
            <w:r>
              <w:t xml:space="preserve">hluboce lituje, že navzdory reformní strategii s devíti balíčky soudních reforem panuje v Turecku v důsledku systematického zasahování vlády do soudního systému a jeho politické instrumentalizace v soudnictví stále neutěšená situace; </w:t>
            </w:r>
            <w:r>
              <w:rPr>
                <w:b/>
                <w:i/>
              </w:rPr>
              <w:t>důsledkem toho je téměř úplná ztráta nezávislosti soudnictví, oslabení zbývajících mechanismů ústavního přezkumu, zejména individuálních žádostí, a časté porušování spravedlivého procesu;</w:t>
            </w:r>
            <w:r>
              <w:t xml:space="preserve"> </w:t>
            </w:r>
            <w:r>
              <w:rPr>
                <w:b/>
                <w:i/>
              </w:rPr>
              <w:t>naléhavě vyzývá Turecko, aby nepřijímalo nové drakonické právní předpisy, včetně zákona o zahraničním vlivu a zákona o kybernetické bezpečnosti, které by dále omezovaly základní svobody;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hluboce lituje, že navzdory reformní strategii s devíti balíčky soudních reforem panuje v Turecku v důsledku systematického zasahování vlády do soudního systému a jeho politické instrumentalizace v soudnictví stále neutěšená situace;</w:t>
            </w:r>
          </w:p>
        </w:tc>
        <w:tc>
          <w:tcPr>
            <w:tcW w:w="4876" w:type="dxa"/>
            <w:tcBorders>
              <w:top w:val="nil"/>
              <w:left w:val="nil"/>
              <w:bottom w:val="nil"/>
              <w:right w:val="nil"/>
            </w:tcBorders>
          </w:tcPr>
          <w:p>
            <w:pPr>
              <w:pStyle w:val="Normal6a"/>
            </w:pPr>
            <w:r>
              <w:t>6.</w:t>
            </w:r>
            <w:r>
              <w:tab/>
            </w:r>
            <w:r>
              <w:t xml:space="preserve">hluboce lituje, že navzdory reformní strategii s devíti balíčky soudních reforem panuje v Turecku v důsledku systematického zasahování vlády do soudního systému a jeho politické instrumentalizace v soudnictví stále neutěšená situace; </w:t>
            </w:r>
            <w:r>
              <w:rPr>
                <w:b/>
                <w:i/>
              </w:rPr>
              <w:t>vyzývá Turecko, aby posílilo svůj závazek k demokratické správě věcí veřejných, zejména prostřednictvím reforem, které zajistí nezávislé soudnictví;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bere na vědomí nedávné oznámení strategie čtvrté reformy soudnictví na období 2025–2029;</w:t>
            </w:r>
            <w:r>
              <w:t xml:space="preserve"> </w:t>
            </w:r>
            <w:r>
              <w:rPr>
                <w:b/>
                <w:i/>
              </w:rPr>
              <w:t>vyzývá tureckou vládu, aby přešla od povrchních změn, které dosud přinesly opakující se reformní balíčky a akční plány, k hluboké a dlouhodobé reformě, která bude prostřednictvím skutečné politické vůle řešit závažné a strukturální nedostatky tureckého soudnictví;</w:t>
            </w:r>
            <w:r>
              <w:t xml:space="preserve"> </w:t>
            </w:r>
            <w:r>
              <w:rPr>
                <w:b/>
                <w:i/>
              </w:rPr>
              <w:t>zdůrazňuje, že ukončení politického zasahování do soudnictví nevyžaduje žádnou strategii nebo reformní balíček, ale pouze politickou vůli tak učinit;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zdůrazňuje vážnou situaci, které čelí zahraniční křesťané v manželství s tureckými občany, jimž byl zakázán vstup nebo opětovný vstup do země;</w:t>
            </w:r>
            <w:r>
              <w:t xml:space="preserve"> </w:t>
            </w:r>
            <w:r>
              <w:rPr>
                <w:b/>
                <w:i/>
              </w:rPr>
              <w:t>připomíná, že několika zahraničním křesťanům byly vydány kódy pro omezení přistěhovalectví, v důsledku čehož jim byl odepřen vstup do Turecka</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https://realeast.biz/en/kody-deporta-v-turczii/ file:///C:/Users/estefanescu/Downloads/Turkey-Full_Country_Dossier-ODI-2025.pdf Open Doors International/World Watch Research leden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 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domnívá se, že jakékoli zasahování do výkonu svrchovanosti a svrchovaných práv členských států vyplývajících z mezinárodního práva je zcela nepřijatelné;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je nadále hluboce znepokojen pokračujícími a nemilosrdnými zásahy tureckých orgánů proti jakýmkoli kritickým hlasům;</w:t>
            </w:r>
          </w:p>
        </w:tc>
        <w:tc>
          <w:tcPr>
            <w:tcW w:w="4876" w:type="dxa"/>
            <w:tcBorders>
              <w:top w:val="nil"/>
              <w:left w:val="nil"/>
              <w:bottom w:val="nil"/>
              <w:right w:val="nil"/>
            </w:tcBorders>
          </w:tcPr>
          <w:p>
            <w:pPr>
              <w:pStyle w:val="Normal6a"/>
            </w:pPr>
            <w:r>
              <w:t>7.</w:t>
            </w:r>
            <w:r>
              <w:tab/>
            </w:r>
            <w:r>
              <w:t xml:space="preserve">je nadále hluboce znepokojen pokračujícími a nemilosrdnými zásahy tureckých orgánů proti jakýmkoli kritickým hlasům </w:t>
            </w:r>
            <w:r>
              <w:rPr>
                <w:b/>
                <w:i/>
              </w:rPr>
              <w:t>prostřednictvím rostoucího počtu represivních zákonů, svévolným používáním protiteroristických zákonů – včetně jejich uplatňování na nezletilé osoby, jako je tomu v případě „Kız Çocukları Davası“ proti dospívajícím dívkám –, nepřiměřeným využíváním trestného činu urážky veřejného činitele, rozsáhlým využíváním tajných svědků a pozastavených případů v chybných soudních řízeních nebo opakující se praxí teatrálních nočních zatýkání a domových prohlídek s cílem prezentovat cílové osoby jako mimořádně nebezpečné;</w:t>
            </w:r>
            <w:r>
              <w:t xml:space="preserve"> </w:t>
            </w:r>
            <w:r>
              <w:rPr>
                <w:b/>
                <w:i/>
              </w:rPr>
              <w:t>vítá stažení návrhu novely tureckých zákonů o špionáži v listopadu 2024, známých jako zákon o „vlivových agentech“; </w:t>
            </w:r>
            <w:r>
              <w:t xml:space="preserve"> </w:t>
            </w:r>
            <w:r>
              <w:rPr>
                <w:b/>
                <w:i/>
              </w:rPr>
              <w:t>naléhavě vyzývá turecké orgány, aby se v budoucnu zdržely opětovného zavedení podobného příliš širokého a vágního zákona, vzhledem k vážné hrozbě, kterou by představoval pro organizace občanské společnosti v zemi jako nástroj k další kriminalizaci jejich legitimních činností;</w:t>
            </w:r>
            <w:r>
              <w:t xml:space="preserve"> </w:t>
            </w:r>
            <w:r>
              <w:rPr>
                <w:b/>
                <w:i/>
              </w:rPr>
              <w:t>vyzývá turecké orgány, aby zajistily, že zákon o kybernetické bezpečnosti, o němž se v současné době jedná, bude sloužit svému legitimnímu účelu, kterým je ochrana soukromí údajů a národní bezpečnosti, aniž by umožnil případné porušování základních práv nebo se stal dalším nástrojem pro další represe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Lucia Yar, Hilde Vautmans, Dan Barna, Nathalie Loiseau, Petras Auštrevičius,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je nadále hluboce znepokojen pokračujícími a nemilosrdnými zásahy tureckých orgánů proti jakýmkoli kritickým hlasům;</w:t>
            </w:r>
          </w:p>
        </w:tc>
        <w:tc>
          <w:tcPr>
            <w:tcW w:w="4876" w:type="dxa"/>
            <w:tcBorders>
              <w:top w:val="nil"/>
              <w:left w:val="nil"/>
              <w:bottom w:val="nil"/>
              <w:right w:val="nil"/>
            </w:tcBorders>
          </w:tcPr>
          <w:p>
            <w:pPr>
              <w:pStyle w:val="Normal6a"/>
            </w:pPr>
            <w:r>
              <w:t>7.</w:t>
            </w:r>
            <w:r>
              <w:tab/>
            </w:r>
            <w:r>
              <w:t xml:space="preserve">je nadále hluboce znepokojen pokračujícími a nemilosrdnými zásahy tureckých orgánů proti jakýmkoli kritickým hlasům; </w:t>
            </w:r>
            <w:r>
              <w:rPr>
                <w:b/>
                <w:i/>
              </w:rPr>
              <w:t>je nadále hluboce znepokojen pokračujícími omezeními sdělovacích prostředků a cenzurou;</w:t>
            </w:r>
            <w:r>
              <w:t xml:space="preserve"> </w:t>
            </w:r>
            <w:r>
              <w:rPr>
                <w:b/>
                <w:i/>
              </w:rPr>
              <w:t>vyzývá turecké orgány, aby se zdržely dalších útoků na nezávislé sdělovací prostředky a aby dodržovaly základní práva a občanské svobody, jako je svoboda projevu a tisku;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je nadále hluboce znepokojen pokračujícími a nemilosrdnými zásahy tureckých orgánů proti jakýmkoli kritickým hlasům;</w:t>
            </w:r>
          </w:p>
        </w:tc>
        <w:tc>
          <w:tcPr>
            <w:tcW w:w="4876" w:type="dxa"/>
            <w:tcBorders>
              <w:top w:val="nil"/>
              <w:left w:val="nil"/>
              <w:bottom w:val="nil"/>
              <w:right w:val="nil"/>
            </w:tcBorders>
          </w:tcPr>
          <w:p>
            <w:pPr>
              <w:pStyle w:val="Normal6a"/>
            </w:pPr>
            <w:r>
              <w:t>7.</w:t>
            </w:r>
            <w:r>
              <w:tab/>
            </w:r>
            <w:r>
              <w:t>je nadále hluboce znepokojen pokračujícími a nemilosrdnými zásahy tureckých orgánů proti jakýmkoli kritickým hlasům</w:t>
            </w:r>
            <w:r>
              <w:rPr>
                <w:b/>
                <w:i/>
              </w:rPr>
              <w:t>,</w:t>
            </w:r>
            <w:r>
              <w:t xml:space="preserve"> </w:t>
            </w:r>
            <w:r>
              <w:rPr>
                <w:b/>
                <w:i/>
              </w:rPr>
              <w:t>které byly nedávno zaměřené na novináře a umělce s cílem upřít jim svobodu vykonávat jejich profesní povinnosti, které jsou v rámci fungující demokratické společnosti nezbytné pro informování veřejnosti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je nadále hluboce znepokojen pokračujícími a nemilosrdnými zásahy tureckých orgánů proti jakýmkoli kritickým hlasům;</w:t>
            </w:r>
          </w:p>
        </w:tc>
        <w:tc>
          <w:tcPr>
            <w:tcW w:w="4876" w:type="dxa"/>
            <w:tcBorders>
              <w:top w:val="nil"/>
              <w:left w:val="nil"/>
              <w:bottom w:val="nil"/>
              <w:right w:val="nil"/>
            </w:tcBorders>
          </w:tcPr>
          <w:p>
            <w:pPr>
              <w:pStyle w:val="Normal6a"/>
            </w:pPr>
            <w:r>
              <w:t>7.</w:t>
            </w:r>
            <w:r>
              <w:tab/>
            </w:r>
            <w:r>
              <w:t xml:space="preserve">je nadále hluboce znepokojen pokračujícími a nemilosrdnými zásahy tureckých orgánů proti jakýmkoli kritickým hlasům; </w:t>
            </w:r>
            <w:r>
              <w:rPr>
                <w:b/>
                <w:i/>
              </w:rPr>
              <w:t>bere na vědomí prakticky úplný zákaz práva na shromažďování;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je nadále hluboce znepokojen pokračujícími a nemilosrdnými zásahy tureckých orgánů proti jakýmkoli kritickým hlasům;</w:t>
            </w:r>
          </w:p>
        </w:tc>
        <w:tc>
          <w:tcPr>
            <w:tcW w:w="4876" w:type="dxa"/>
            <w:tcBorders>
              <w:top w:val="nil"/>
              <w:left w:val="nil"/>
              <w:bottom w:val="nil"/>
              <w:right w:val="nil"/>
            </w:tcBorders>
          </w:tcPr>
          <w:p>
            <w:pPr>
              <w:pStyle w:val="Normal6a"/>
            </w:pPr>
            <w:r>
              <w:t>7.</w:t>
            </w:r>
            <w:r>
              <w:tab/>
            </w:r>
            <w:r>
              <w:t xml:space="preserve">je nadále hluboce znepokojen pokračujícími a nemilosrdnými zásahy tureckých orgánů proti jakýmkoli kritickým hlasům </w:t>
            </w:r>
            <w:r>
              <w:rPr>
                <w:b/>
                <w:i/>
              </w:rPr>
              <w:t>a pravidelným zneužíváním protiteroristických zákonů proti kritickým hlasům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je znepokojen nedávným schválením právních ustanovení, která udělují mimořádné pravomoci Státní dozorčí radě (DDK) a Fondu pro pojištění vkladů (TMSF), včetně možnosti, aby DKK odvolávala veřejné činitele všech druhů a úrovní a jmenovala správce, což by mohlo být svévolně využíváno;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vyzývá turecké orgány, aby ukončily probíhající závažné omezování základních svobod a neustálé útoky na základní práva, jimiž jsou mimo jiné vystaveni představitelé opozice, obránci lidských práv, právníci, odboráři, příslušníci menšin, novináři, akademičtí pracovníci a aktivisté občanské společnosti;</w:t>
            </w:r>
          </w:p>
        </w:tc>
        <w:tc>
          <w:tcPr>
            <w:tcW w:w="4876" w:type="dxa"/>
            <w:tcBorders>
              <w:top w:val="nil"/>
              <w:left w:val="nil"/>
              <w:bottom w:val="nil"/>
              <w:right w:val="nil"/>
            </w:tcBorders>
          </w:tcPr>
          <w:p>
            <w:pPr>
              <w:pStyle w:val="Normal6a"/>
            </w:pPr>
            <w:r>
              <w:t>8.</w:t>
            </w:r>
            <w:r>
              <w:tab/>
            </w:r>
            <w:r>
              <w:t xml:space="preserve">vyzývá turecké orgány, aby ukončily probíhající závažné omezování základních svobod </w:t>
            </w:r>
            <w:r>
              <w:rPr>
                <w:b/>
                <w:i/>
              </w:rPr>
              <w:t>– zejména svobody projevu, shromažďování a sdružování –</w:t>
            </w:r>
            <w:r>
              <w:t xml:space="preserve"> a neustálé útoky na základní práva, jimiž jsou mimo jiné vystaveni představitelé opozice, obránci lidských práv, právníci, odboráři, příslušníci menšin, novináři, akademičtí pracovníci a aktivisté občanské společnosti; </w:t>
            </w:r>
            <w:r>
              <w:rPr>
                <w:b/>
                <w:i/>
              </w:rPr>
              <w:t>je znepokojen nedávnými vlnami hromadného zatýkání a zadržování osob podezřelých z teroristických vazeb, které mají dopad na politické představitele, akademické pracovníky a novináře, včetně zatčení nezávislé novinářky Elify Akgülové, šéfredaktora LGBT+ zpravodajského webu Kasos GL Yıldıze Tara a sloupkaře deníku Evrensel Endera İmreka, kteří jsou známí svou prací v oblasti lidských práv;</w:t>
            </w:r>
            <w:r>
              <w:t xml:space="preserve"> </w:t>
            </w:r>
            <w:r>
              <w:rPr>
                <w:b/>
                <w:i/>
              </w:rPr>
              <w:t>vyjadřuje politování nad pokračujícím stíháním, cenzurou a obtěžováním novinářů a nezávislých sdělovacích prostředků, nad stávajícími právními předpisy, které brání otevřenému a svobodnému internetu, a nad pokračujícím využíváním Nejvyšší rady pro rozhlas a televizi (RTÜK) k potírání kritiky ve sdělovacích prostředcích nebo dokonce vůči sdělovacím prostředkům, o nichž se má za to, že šíří „pesimismus“ namísto pozitivních zpráv;</w:t>
            </w:r>
            <w:r>
              <w:t xml:space="preserve"> </w:t>
            </w:r>
            <w:r>
              <w:rPr>
                <w:b/>
                <w:i/>
              </w:rPr>
              <w:t>bere na vědomí pozitivní vývoj v souvislosti s částečným zrušením omezení týdenních pokojných protestů tzv. sobotních matek – Cumartesi Anneleri – na náměstí Galatasaray v Istanbulu ministrem vnitra;</w:t>
            </w:r>
            <w:r>
              <w:t xml:space="preserve"> </w:t>
            </w:r>
            <w:r>
              <w:rPr>
                <w:b/>
                <w:i/>
              </w:rPr>
              <w:t>vyzývá k úplnému odstranění všech omezení jejich pokojných protestů v plném souladu s příslušným rozhodnutím Ústavního soudu a k ukončení probíhajícího soudního řízení proti několika jejich členům a sympatizantům;</w:t>
            </w:r>
            <w:r>
              <w:t xml:space="preserve"> </w:t>
            </w:r>
            <w:r>
              <w:rPr>
                <w:b/>
                <w:i/>
              </w:rPr>
              <w:t>je znepokojen pokračujícím vězněním předního obránce lidských práv Nimeta Tanrıkulua, který je od 29. listopadu 2024 ve vyšetřovací vazbě;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vyzývá turecké orgány, aby ukončily probíhající závažné omezování základních svobod a neustálé útoky na základní práva, jimiž jsou mimo jiné vystaveni představitelé opozice, obránci lidských práv, právníci, odboráři, příslušníci menšin, novináři, akademičtí pracovníci a aktivisté občanské společnosti;</w:t>
            </w:r>
          </w:p>
        </w:tc>
        <w:tc>
          <w:tcPr>
            <w:tcW w:w="4876" w:type="dxa"/>
            <w:tcBorders>
              <w:top w:val="nil"/>
              <w:left w:val="nil"/>
              <w:bottom w:val="nil"/>
              <w:right w:val="nil"/>
            </w:tcBorders>
          </w:tcPr>
          <w:p>
            <w:pPr>
              <w:pStyle w:val="Normal6a"/>
            </w:pPr>
            <w:r>
              <w:t>8.</w:t>
            </w:r>
            <w:r>
              <w:tab/>
            </w:r>
            <w:r>
              <w:t xml:space="preserve">vyzývá turecké orgány, aby ukončily probíhající závažné omezování základních svobod a neustálé útoky na základní práva, jimiž jsou mimo jiné vystaveni představitelé opozice, obránci lidských práv, právníci, odboráři, příslušníci menšin, novináři, akademičtí pracovníci a aktivisté občanské společnosti; </w:t>
            </w:r>
            <w:r>
              <w:rPr>
                <w:b/>
                <w:i/>
              </w:rPr>
              <w:t>odsuzuje nedávné trestní vyšetřování a soudní řízení proti istanbulské advokátní komoře a uvěznění jednoho z členů její výkonné rady po jeho cestě do Štrasburku za účelem setkání s orgány Rady Evropy;</w:t>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vyzývá turecké orgány, aby ukončily probíhající závažné omezování základních svobod a neustálé útoky na základní práva, jimiž jsou mimo jiné vystaveni představitelé opozice, obránci lidských práv, právníci, odboráři, příslušníci menšin, novináři, akademičtí pracovníci a aktivisté občanské společnosti;</w:t>
            </w:r>
          </w:p>
        </w:tc>
        <w:tc>
          <w:tcPr>
            <w:tcW w:w="4876" w:type="dxa"/>
            <w:tcBorders>
              <w:top w:val="nil"/>
              <w:left w:val="nil"/>
              <w:bottom w:val="nil"/>
              <w:right w:val="nil"/>
            </w:tcBorders>
          </w:tcPr>
          <w:p>
            <w:pPr>
              <w:pStyle w:val="Normal6a"/>
            </w:pPr>
            <w:r>
              <w:t>8.</w:t>
            </w:r>
            <w:r>
              <w:tab/>
            </w:r>
            <w:r>
              <w:t xml:space="preserve">vyzývá turecké orgány, aby ukončily probíhající závažné omezování základních svobod a neustálé útoky na základní práva, jimiž jsou mimo jiné vystaveni představitelé opozice, obránci lidských práv, právníci, odboráři, příslušníci menšin, novináři, akademičtí pracovníci a aktivisté občanské společnosti; </w:t>
            </w:r>
            <w:r>
              <w:rPr>
                <w:b/>
                <w:i/>
              </w:rPr>
              <w:t>vítá stažení zákona o zahraničních agentech ruského typu o „vlivových agentech“ v listopadu 2024, zdůrazňuje však, že soudní aparát zůstává silně restriktivní, protože zákon o „dezinformacích“ z roku 2022 potlačuje nezávislé zpravodajství;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vyzývá turecké orgány, aby ukončily probíhající závažné omezování základních svobod a neustálé útoky na základní práva, jimiž jsou mimo jiné vystaveni představitelé opozice, obránci lidských práv, právníci, odboráři, příslušníci menšin, novináři, akademičtí pracovníci a aktivisté občanské společnosti;</w:t>
            </w:r>
          </w:p>
        </w:tc>
        <w:tc>
          <w:tcPr>
            <w:tcW w:w="4876" w:type="dxa"/>
            <w:tcBorders>
              <w:top w:val="nil"/>
              <w:left w:val="nil"/>
              <w:bottom w:val="nil"/>
              <w:right w:val="nil"/>
            </w:tcBorders>
          </w:tcPr>
          <w:p>
            <w:pPr>
              <w:pStyle w:val="Normal6a"/>
            </w:pPr>
            <w:r>
              <w:t>8.</w:t>
            </w:r>
            <w:r>
              <w:tab/>
            </w:r>
            <w:r>
              <w:t>vyzývá turecké orgány, aby ukončily probíhající závažné omezování základních svobod a neustálé útoky na základní práva, jimiž jsou mimo jiné vystaveni představitelé opozice, obránci lidských práv, právníci, odboráři, příslušníci menšin, novináři, akademičtí pracovníci a aktivisté občanské společnosti</w:t>
            </w:r>
            <w:r>
              <w:rPr>
                <w:b/>
                <w:i/>
              </w:rPr>
              <w:t>, což zdůrazňuje nedostatek nezávislosti soudnictví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vyzývá turecké orgány, aby ukončily probíhající závažné omezování základních svobod a neustálé útoky na základní práva, jimiž jsou mimo jiné vystaveni představitelé opozice, obránci lidských práv, právníci, odboráři, příslušníci menšin, novináři, akademičtí pracovníci a aktivisté občanské společnosti;</w:t>
            </w:r>
          </w:p>
        </w:tc>
        <w:tc>
          <w:tcPr>
            <w:tcW w:w="4876" w:type="dxa"/>
            <w:tcBorders>
              <w:top w:val="nil"/>
              <w:left w:val="nil"/>
              <w:bottom w:val="nil"/>
              <w:right w:val="nil"/>
            </w:tcBorders>
          </w:tcPr>
          <w:p>
            <w:pPr>
              <w:pStyle w:val="Normal6a"/>
            </w:pPr>
            <w:r>
              <w:t>8.</w:t>
            </w:r>
            <w:r>
              <w:tab/>
            </w:r>
            <w:r>
              <w:rPr>
                <w:b/>
                <w:i/>
              </w:rPr>
              <w:t>naléhavě</w:t>
            </w:r>
            <w:r>
              <w:t xml:space="preserve"> vyzývá turecké orgány, aby ukončily probíhající závažné omezování základních svobod a neustálé útoky na základní práva, jimiž jsou mimo jiné vystaveni představitelé opozice, obránci lidských práv, právníci, odboráři, příslušníci menšin, novináři, akademičtí pracovníci a aktivisté občanské společnosti;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vyzývá turecké orgány, aby formálně uznaly vedení a správní struktury nemuslimských menšin jako právní subjekty, včetně arménského Apoštolského konstantinopolského patriarchátu, Ekumenického konstantinopolského patriarchátu a vrchního rabinátu;</w:t>
            </w:r>
            <w:r>
              <w:t xml:space="preserve"> </w:t>
            </w:r>
            <w:r>
              <w:rPr>
                <w:b/>
                <w:i/>
              </w:rPr>
              <w:t>se znepokojením konstatuje, že zástupci různých protestantských církví se nadále potýkají s byrokratickými překážkami, když se snaží registrovat místa konání bohoslužeb, a uvádějí, že jsou nuceni poskytovat služby v neregistrovaných lokalitách kvůli tomu, že místní orgány odmítají schválit žádosti o registraci a pokračují v uvalování územních omezení na kostely;</w:t>
            </w:r>
            <w:r>
              <w:t xml:space="preserve"> </w:t>
            </w:r>
            <w:r>
              <w:rPr>
                <w:b/>
                <w:i/>
              </w:rPr>
              <w:t>zdůrazňuje, že se jedná o očividnou diskriminaci různých denominací a porušení práva na svobodu náboženského vyznání a přesvědčení, neboť turečtí vládní úředníci tato omezení neuložili sunnitským muslimským kongregacím, kterým je povoleno stavět bohoslužebná místa v místech, jako jsou nákupní centra, letiště a další menší místa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https://www.state.gov/reports/2023-report-on-international-religious-freedom/turkey/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je hluboce znepokojen zhoršováním demokratických norem v Turecku, neúnavným potlačováním jakéhokoli kritického hlasu, nezávislých sdělovacích prostředků a svobody projevu, zejména v období voleb, a pokračujícím pronásledováním svobody tisku a svobody projevu v Turecku;</w:t>
            </w:r>
            <w:r>
              <w:t xml:space="preserve"> </w:t>
            </w:r>
            <w:r>
              <w:rPr>
                <w:b/>
                <w:i/>
              </w:rPr>
              <w:t>vyjadřuje politování nad tím, že turecká vláda přijala řadu zákonů, mimo jiné zákon o sociálních sítích z roku 2020, zákon o boji proti praní peněz z roku 2021 a zákon o dezinformacích z roku 2022, jimiž vytvořila komplexní legislativní síť umožňující systematickou kontrolu novinářů a jejich umlčování;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je hluboce znepokojen trestnými činy z nenávisti, včetně nenávistných verbálních projevů, páchanými na menšinách, přičemž hlavními cíli jsou Syřané, Řekové, Arméni, Židé a Alevité;</w:t>
            </w:r>
            <w:r>
              <w:t xml:space="preserve"> </w:t>
            </w:r>
            <w:r>
              <w:rPr>
                <w:b/>
                <w:i/>
              </w:rPr>
              <w:t>vyzývá tureckou vládu, aby přizpůsobila své právní předpisy mezinárodním normám;</w:t>
            </w:r>
            <w:r>
              <w:t xml:space="preserve"> </w:t>
            </w:r>
            <w:r>
              <w:rPr>
                <w:b/>
                <w:i/>
              </w:rPr>
              <w:t>důrazně odsuzuje antisemitská prohlášení učiněná ve sdělovacích prostředcích a vysoce postavenými úředníky po teroristických útocích Hamásu proti Izraeli, k nimž došlo dne 7. října;</w:t>
            </w:r>
            <w:r>
              <w:t xml:space="preserve"> </w:t>
            </w:r>
            <w:r>
              <w:rPr>
                <w:b/>
                <w:i/>
              </w:rPr>
              <w:t>vyzývá tureckou vládu, aby umožnila konání slavnostních akcí ve vnějším prostoru k připomenutí „Dne památky arménské genocidy“, který byl v dubnu 2024 zakázán;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připomíná, že Turecko stále neuznává genocidu Arménů z roku 1915;</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připomíná, že Turecko stále neuznává genocidu Arménů z roku 1915;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vyjadřuje znepokojení a naléhavě vyzývá turecké orgány, aby se zabývaly zprávami některých protestantských církví, že jim místní orgány zabránily ve vystavování křížů na vnější straně svých budov</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https://www.state.gov/reports/2023-report-on-international-religious-freedom/turkey/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vyzývá vládu, aby ukončila svou dlouhodobou politiku, která oficiálně neuznává ekumenického patriarchu Bartoloměje za vedoucího představitele přibližně 300 milionů pravoslavných křesťanů na světě</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https://www.state.gov/wp-content/uploads/2022/05/TURKEY-2021-INTERNATIONAL-RELIGIOUS-FREEDOM-REPORT.pdf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nadále považuje za děsivé, že turecké orgány, zejména turecké soudnictví, neustále ignorují a neuplatňují zásadní rozhodnutí ESLP;</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Yannis Maniatis, Costas Mavrides,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nadále považuje za děsivé, že turecké orgány, zejména turecké soudnictví, </w:t>
            </w:r>
            <w:r>
              <w:rPr>
                <w:b/>
                <w:i/>
              </w:rPr>
              <w:t>neustále</w:t>
            </w:r>
            <w:r>
              <w:t xml:space="preserve"> ignorují a neuplatňují zásadní rozhodnutí ESLP;</w:t>
            </w:r>
          </w:p>
        </w:tc>
        <w:tc>
          <w:tcPr>
            <w:tcW w:w="4876" w:type="dxa"/>
            <w:tcBorders>
              <w:top w:val="nil"/>
              <w:left w:val="nil"/>
              <w:bottom w:val="nil"/>
              <w:right w:val="nil"/>
            </w:tcBorders>
          </w:tcPr>
          <w:p>
            <w:pPr>
              <w:pStyle w:val="Normal6a"/>
            </w:pPr>
            <w:r>
              <w:t>9.</w:t>
            </w:r>
            <w:r>
              <w:tab/>
            </w:r>
            <w:r>
              <w:rPr>
                <w:b/>
                <w:i/>
              </w:rPr>
              <w:t>vyzývá Turecko, aby plně provedlo všechny rozsudky Evropského soudu pro lidská práva v souladu s článkem 46 EÚLP;</w:t>
            </w:r>
            <w:r>
              <w:t xml:space="preserve"> nadále považuje za děsivé, že turecké orgány, zejména turecké soudnictví, ignorují a neuplatňují zásadní rozhodnutí ESLP</w:t>
            </w:r>
            <w:r>
              <w:rPr>
                <w:b/>
                <w:i/>
              </w:rPr>
              <w:t>, jako je případ Fokas (29. září 2009), podle kterého Turecko porušuje článek 1 protokolu č. 1 k EÚLP, pokud jde o právo pokojného užívání majetku;</w:t>
            </w:r>
            <w:r>
              <w:t xml:space="preserve"> </w:t>
            </w:r>
            <w:r>
              <w:rPr>
                <w:b/>
                <w:i/>
              </w:rPr>
              <w:t>bere v této souvislosti na vědomí usnesení Parlamentního shromáždění Rady Evropy ze dne 12. října 2022 o plnění povinností a závazků ze strany Turecka a související zprávou monitorovacího výboru, jakož i usnesení přijatá Výborem ministrů Rady Evropy v očekávání výkonu rozsudků ESLP, která podrobně popisují širokou škálu závažných pochybení v oblasti lidských práv, na něž neustále upozorňují místní i mezinárodní renomované lidskoprávní organizace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nadále považuje za děsivé, že turecké orgány, zejména turecké soudnictví, neustále ignorují a neuplatňují zásadní rozhodnutí ESLP;</w:t>
            </w:r>
          </w:p>
        </w:tc>
        <w:tc>
          <w:tcPr>
            <w:tcW w:w="4876" w:type="dxa"/>
            <w:tcBorders>
              <w:top w:val="nil"/>
              <w:left w:val="nil"/>
              <w:bottom w:val="nil"/>
              <w:right w:val="nil"/>
            </w:tcBorders>
          </w:tcPr>
          <w:p>
            <w:pPr>
              <w:pStyle w:val="Normal6a"/>
            </w:pPr>
            <w:r>
              <w:t>9.</w:t>
            </w:r>
            <w:r>
              <w:tab/>
            </w:r>
            <w:r>
              <w:t>nadále považuje za děsivé, že turecké orgány, zejména turecké soudnictví, neustále ignorují a neuplatňují zásadní rozhodnutí ESLP</w:t>
            </w:r>
            <w:r>
              <w:rPr>
                <w:b/>
                <w:i/>
              </w:rPr>
              <w:t>, jako jsou případy Selahattina Demirtaşe a Osmana Kavaly, kvůli nimž Turecko čelí historickému řízení o porušení práva v Radě Evropy s dlouho očekávanými důsledky, které ještě nebyly stanoveny;</w:t>
            </w:r>
            <w:r>
              <w:t xml:space="preserve"> </w:t>
            </w:r>
            <w:r>
              <w:rPr>
                <w:b/>
                <w:i/>
              </w:rPr>
              <w:t>znovu vyzývá Turecko, aby plně provedlo všechny rozsudky ESLP v souladu s bezpodmínečnými povinnostmi vyplývajícími z článku 90 turecké ústavy a členství Turecka v Radě Evropy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nadále považuje za děsivé, že turecké orgány, zejména turecké soudnictví, neustále ignorují a neuplatňují zásadní rozhodnutí ESLP;</w:t>
            </w:r>
          </w:p>
        </w:tc>
        <w:tc>
          <w:tcPr>
            <w:tcW w:w="4876" w:type="dxa"/>
            <w:tcBorders>
              <w:top w:val="nil"/>
              <w:left w:val="nil"/>
              <w:bottom w:val="nil"/>
              <w:right w:val="nil"/>
            </w:tcBorders>
          </w:tcPr>
          <w:p>
            <w:pPr>
              <w:pStyle w:val="Normal6a"/>
            </w:pPr>
            <w:r>
              <w:t>9.</w:t>
            </w:r>
            <w:r>
              <w:tab/>
            </w:r>
            <w:r>
              <w:t>nadále považuje za děsivé, že turecké orgány, zejména turecké soudnictví, neustále ignorují a neuplatňují zásadní rozhodnutí ESLP</w:t>
            </w:r>
            <w:r>
              <w:rPr>
                <w:b/>
                <w:i/>
              </w:rPr>
              <w:t>, což jsou povinnosti, které pro něj vyplývají z Evropské úmluvy o lidských právech;</w:t>
            </w:r>
            <w:r>
              <w:t xml:space="preserve"> </w:t>
            </w:r>
            <w:r>
              <w:rPr>
                <w:b/>
                <w:i/>
              </w:rPr>
              <w:t>znovu odsuzuje odmítnutí Turecka propustit zadržovaného obránce lidských práv Osmana Kavalu a opozičních politiků Selahattina Demirtaşe a Figena Yüksekdağa Şenoğlua, jakož i neochotu Turecka řešit porušování, která vyvolal řízení Výboru ministrů pro porušení práva</w:t>
            </w:r>
            <w:r>
              <w:t>;</w:t>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Lucia Yar, Hilde Vautmans, Dan Barna, Nathalie Loiseau, Petras Auštrevičius,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nadále považuje za děsivé, že turecké orgány, zejména turecké soudnictví, neustále ignorují a neuplatňují zásadní rozhodnutí ESLP;</w:t>
            </w:r>
          </w:p>
        </w:tc>
        <w:tc>
          <w:tcPr>
            <w:tcW w:w="4876" w:type="dxa"/>
            <w:tcBorders>
              <w:top w:val="nil"/>
              <w:left w:val="nil"/>
              <w:bottom w:val="nil"/>
              <w:right w:val="nil"/>
            </w:tcBorders>
          </w:tcPr>
          <w:p>
            <w:pPr>
              <w:pStyle w:val="Normal6a"/>
            </w:pPr>
            <w:r>
              <w:t>9.</w:t>
            </w:r>
            <w:r>
              <w:tab/>
            </w:r>
            <w:r>
              <w:t xml:space="preserve">nadále považuje za děsivé, že turecké orgány, zejména turecké soudnictví, neustále ignorují a neuplatňují zásadní rozhodnutí ESLP; </w:t>
            </w:r>
            <w:r>
              <w:rPr>
                <w:b/>
                <w:i/>
              </w:rPr>
              <w:t>odsuzuje očividné zneužívání soudního systému k potlačení politické opozice, o čemž svědčí případ Selahattina Demirtaşe a Figena Yüksekdağa;</w:t>
            </w:r>
            <w:r>
              <w:t xml:space="preserve"> </w:t>
            </w:r>
            <w:r>
              <w:rPr>
                <w:b/>
                <w:i/>
              </w:rPr>
              <w:t>vyjadřuje politování nad politicky motivovanou povahou těchto stíhání, která jsou součástí širší kampaně soudního pronásledování opozičních politiků, aktivistů a kritických hlasů v Turecku;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nadále považuje za děsivé, že turecké orgány, zejména turecké soudnictví, </w:t>
            </w:r>
            <w:r>
              <w:rPr>
                <w:b/>
                <w:i/>
              </w:rPr>
              <w:t>neustále</w:t>
            </w:r>
            <w:r>
              <w:t xml:space="preserve"> ignorují a neuplatňují zásadní rozhodnutí ESLP;</w:t>
            </w:r>
          </w:p>
        </w:tc>
        <w:tc>
          <w:tcPr>
            <w:tcW w:w="4876" w:type="dxa"/>
            <w:tcBorders>
              <w:top w:val="nil"/>
              <w:left w:val="nil"/>
              <w:bottom w:val="nil"/>
              <w:right w:val="nil"/>
            </w:tcBorders>
          </w:tcPr>
          <w:p>
            <w:pPr>
              <w:pStyle w:val="Normal6a"/>
            </w:pPr>
            <w:r>
              <w:t>9.</w:t>
            </w:r>
            <w:r>
              <w:tab/>
            </w:r>
            <w:r>
              <w:rPr>
                <w:b/>
                <w:i/>
              </w:rPr>
              <w:t>vyzývá Turecko, aby plně provedlo všechny rozsudky ESLP v souladu s článkem 46 EÚLP;</w:t>
            </w:r>
            <w:r>
              <w:t xml:space="preserve"> nadále považuje za děsivé, že turecké orgány, zejména turecké soudnictví, ignorují a neuplatňují zásadní rozhodnutí ESLP</w:t>
            </w:r>
            <w:r>
              <w:rPr>
                <w:b/>
                <w:i/>
              </w:rPr>
              <w:t>, jako je případ Fokas (29. září 2009), podle kterého Turecko porušuje článek 1 protokolu č. 1 k EÚLP, pokud jde o právo pokojného užívání majetku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nadále považuje za děsivé, že turecké orgány, zejména turecké soudnictví, </w:t>
            </w:r>
            <w:r>
              <w:rPr>
                <w:b/>
                <w:i/>
              </w:rPr>
              <w:t>neustále</w:t>
            </w:r>
            <w:r>
              <w:t xml:space="preserve"> ignorují a neuplatňují zásadní rozhodnutí ESLP;</w:t>
            </w:r>
          </w:p>
        </w:tc>
        <w:tc>
          <w:tcPr>
            <w:tcW w:w="4876" w:type="dxa"/>
            <w:tcBorders>
              <w:top w:val="nil"/>
              <w:left w:val="nil"/>
              <w:bottom w:val="nil"/>
              <w:right w:val="nil"/>
            </w:tcBorders>
          </w:tcPr>
          <w:p>
            <w:pPr>
              <w:pStyle w:val="Normal6a"/>
            </w:pPr>
            <w:r>
              <w:t>9.</w:t>
            </w:r>
            <w:r>
              <w:tab/>
            </w:r>
            <w:r>
              <w:rPr>
                <w:b/>
                <w:i/>
              </w:rPr>
              <w:t>vyzývá Turecko, aby plně provedlo všechny rozsudky ESLP v souladu s článkem 46 EÚLP;</w:t>
            </w:r>
            <w:r>
              <w:t xml:space="preserve"> nadále považuje za děsivé, že turecké orgány, zejména turecké soudnictví, ignorují a neuplatňují zásadní rozhodnutí ESLP</w:t>
            </w:r>
            <w:r>
              <w:rPr>
                <w:b/>
                <w:i/>
              </w:rPr>
              <w:t>, jako je případ Fokas (29. září 2009), podle kterého Turecko porušuje článek 1 protokolu č. 1 k EÚLP, pokud jde o právo pokojného užívání majetku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nadále považuje za děsivé, že turecké orgány, zejména turecké soudnictví, </w:t>
            </w:r>
            <w:r>
              <w:rPr>
                <w:b/>
                <w:i/>
              </w:rPr>
              <w:t>neustále</w:t>
            </w:r>
            <w:r>
              <w:t xml:space="preserve"> ignorují a neuplatňují zásadní rozhodnutí ESLP;</w:t>
            </w:r>
          </w:p>
        </w:tc>
        <w:tc>
          <w:tcPr>
            <w:tcW w:w="4876" w:type="dxa"/>
            <w:tcBorders>
              <w:top w:val="nil"/>
              <w:left w:val="nil"/>
              <w:bottom w:val="nil"/>
              <w:right w:val="nil"/>
            </w:tcBorders>
          </w:tcPr>
          <w:p>
            <w:pPr>
              <w:pStyle w:val="Normal6a"/>
            </w:pPr>
            <w:r>
              <w:t>9.</w:t>
            </w:r>
            <w:r>
              <w:tab/>
            </w:r>
            <w:r>
              <w:t>nadále považuje za děsivé, že turecké orgány, zejména turecké soudnictví, ignorují a neuplatňují zásadní rozhodnutí ESLP</w:t>
            </w:r>
            <w:r>
              <w:rPr>
                <w:b/>
                <w:i/>
              </w:rPr>
              <w:t>, což prokazuje, že dělba moci v Turecku zůstává právní fikcí, která de facto vylučuje přistoupení země k Evropské unii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nadále považuje za děsivé, že turecké orgány, zejména turecké soudnictví, </w:t>
            </w:r>
            <w:r>
              <w:rPr>
                <w:b/>
                <w:i/>
              </w:rPr>
              <w:t>neustále</w:t>
            </w:r>
            <w:r>
              <w:t xml:space="preserve"> ignorují a neuplatňují zásadní rozhodnutí ESLP;</w:t>
            </w:r>
          </w:p>
        </w:tc>
        <w:tc>
          <w:tcPr>
            <w:tcW w:w="4876" w:type="dxa"/>
            <w:tcBorders>
              <w:top w:val="nil"/>
              <w:left w:val="nil"/>
              <w:bottom w:val="nil"/>
              <w:right w:val="nil"/>
            </w:tcBorders>
          </w:tcPr>
          <w:p>
            <w:pPr>
              <w:pStyle w:val="Normal6a"/>
            </w:pPr>
            <w:r>
              <w:t>9.</w:t>
            </w:r>
            <w:r>
              <w:tab/>
            </w:r>
            <w:r>
              <w:t>nadále považuje za děsivé, že turecké orgány, zejména turecké soudnictví, ignorují a neuplatňují zásadní rozhodnutí ESLP</w:t>
            </w:r>
            <w:r>
              <w:rPr>
                <w:b/>
                <w:i/>
              </w:rPr>
              <w:t>, což prokazuje, že dělba moci v Turecku zůstává právní fikcí, která de facto brání jeho integraci do Evropské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vyjadřuje hluboké znepokojení nad zoufalou situací v tureckých věznicích v důsledku kritického přeplnění a špatných životních podmínek, kdy zprávy o mučení a špatném zacházení jsou systematické a rozsáhlé a přístup k základním potřebám, jako je hygiena a informace, je výrazně omezen;</w:t>
            </w:r>
            <w:r>
              <w:t xml:space="preserve"> </w:t>
            </w:r>
            <w:r>
              <w:rPr>
                <w:b/>
                <w:i/>
              </w:rPr>
              <w:t>je obzvláště znepokojen podmínkami věznění starších nebo vážně nemocných vězňů;</w:t>
            </w:r>
            <w:r>
              <w:t xml:space="preserve"> </w:t>
            </w:r>
            <w:r>
              <w:rPr>
                <w:b/>
                <w:i/>
              </w:rPr>
              <w:t>je znepokojen pokračujícím využíváním ponižujících prohlídek v místech zadržování a ve věznicích a pokračujícím pronásledováním poslance Ömera Faruka Gergerlioğlua, který v současné době čelí šesti řízením o odnětí svého mandátu v parlamentu a imunity – mimo jiné kvůli odsuzování této praktiky;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vyzývá Tureckou republiku, aby plně dodržovala rozsudek Evropského soudu pro lidská práva (ESLP) ze dne 10. května 2001 a přijala veškerá účinná opatření k vyřešení humanitárního problému pohřešovaných osob na Kypru, který bohužel nebyl vyřešen ani 50 let po invazi;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vyzývá turecké orgány, aby přestaly účelově využívat zákony, včetně zákona o dezinformacích, zákona o předcházení financování a šíření zbraní hromadného ničení z roku 2021 (zákon č. 7262) a protiteroristického zákona (č. 7145) z roku 2018, proti novinářům a obráncům lidských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vyzývá Evropskou komisi a členské státy, aby využily všech diplomatických cest a naléhaly na Turecko, aby provedlo rozsudky ESLP, a zaměřily se přitom na symbolické případy, jako je Osman Kavala, Selahattin Demirtaş a Figen Yüksekdağ Şenoğlu;</w:t>
            </w:r>
            <w:r>
              <w:t xml:space="preserve"> </w:t>
            </w:r>
            <w:r>
              <w:rPr>
                <w:b/>
                <w:i/>
              </w:rPr>
              <w:t>navrhuje, aby Evropská komise podmínila financování Turecka měřitelným pokrokem v oblasti nezávislosti soudnictví a dodržováním rozhodnutí ESLP;</w:t>
            </w:r>
            <w:r>
              <w:t xml:space="preserve"> </w:t>
            </w:r>
            <w:r>
              <w:rPr>
                <w:b/>
                <w:i/>
              </w:rPr>
              <w:t>navrhuje zvláštní pomoc a zdroje tureckým organizacím občanské společnosti, které se zasazují o reformu a ochranu nezávislosti soudnictví;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důrazně odsuzuje rozhodnutí turecké vlády odvolat demokraticky zvolené starosty </w:t>
            </w:r>
            <w:r>
              <w:rPr>
                <w:b/>
                <w:i/>
              </w:rPr>
              <w:t>deseti</w:t>
            </w:r>
            <w:r>
              <w:t xml:space="preserve"> obcí a okresů a nahradit je správci jmenovanými ministerstvem vnitra; považuje tuto dlouhodobou praxi jmenování správců za hrubý útok na nejzákladnější principy místní demokracie;</w:t>
            </w:r>
          </w:p>
        </w:tc>
        <w:tc>
          <w:tcPr>
            <w:tcW w:w="4876" w:type="dxa"/>
            <w:tcBorders>
              <w:top w:val="nil"/>
              <w:left w:val="nil"/>
              <w:bottom w:val="nil"/>
              <w:right w:val="nil"/>
            </w:tcBorders>
          </w:tcPr>
          <w:p>
            <w:pPr>
              <w:pStyle w:val="Normal6a"/>
            </w:pPr>
            <w:r>
              <w:t>10.</w:t>
            </w:r>
            <w:r>
              <w:tab/>
            </w:r>
            <w:r>
              <w:t xml:space="preserve">důrazně odsuzuje rozhodnutí turecké vlády odvolat </w:t>
            </w:r>
            <w:r>
              <w:rPr>
                <w:b/>
                <w:i/>
              </w:rPr>
              <w:t>k dnešnímu dni</w:t>
            </w:r>
            <w:r>
              <w:t xml:space="preserve"> demokraticky zvolené starosty </w:t>
            </w:r>
            <w:r>
              <w:rPr>
                <w:b/>
                <w:i/>
              </w:rPr>
              <w:t>12</w:t>
            </w:r>
            <w:r>
              <w:t xml:space="preserve"> obcí a okresů </w:t>
            </w:r>
            <w:r>
              <w:rPr>
                <w:b/>
                <w:i/>
              </w:rPr>
              <w:t>(Hakkari, Mardin, Batman, Halfeti, Tunceli, Bahçesaray, Akdeniz, Siirt, Van a Kağızman, v nichž vyhrála strana DEM,</w:t>
            </w:r>
            <w:r>
              <w:t xml:space="preserve"> </w:t>
            </w:r>
            <w:r>
              <w:rPr>
                <w:b/>
                <w:i/>
              </w:rPr>
              <w:t>a Esenyurt a Ovacık, v nichž vyhrála strana CHP),</w:t>
            </w:r>
            <w:r>
              <w:t xml:space="preserve"> a nahradit je správci jmenovanými ministerstvem vnitra; považuje tuto dlouhodobou praxi jmenování správců za hrubý útok na nejzákladnější principy místní demokracie; </w:t>
            </w:r>
            <w:r>
              <w:rPr>
                <w:b/>
                <w:i/>
              </w:rPr>
              <w:t>naléhavě vyzývá turecké orgány, aby v souladu s doporučeními Kongresu místních a regionálních orgánů Rady Evropy a Benátské komise tuto praxi zrušily;</w:t>
            </w:r>
            <w:r>
              <w:t xml:space="preserve"> </w:t>
            </w:r>
            <w:r>
              <w:rPr>
                <w:b/>
                <w:i/>
              </w:rPr>
              <w:t>vyzývá místopředsedkyni Komise, vysokou představitelku, aby mezitím zvážila zavedení restriktivních opatření v rámci globálního režimu sankcí EU v oblasti lidských práv proti tureckým představitelům, kteří se ujmou funkce správců, a osobám, které je jmenují;</w:t>
            </w:r>
            <w:r>
              <w:t xml:space="preserve"> </w:t>
            </w:r>
            <w:r>
              <w:rPr>
                <w:b/>
                <w:i/>
              </w:rPr>
              <w:t>považuje rozhodnutí turecké vlády vrátit se k této praxi po posledních komunálních volbách v březnu 2024 za jasný signál jejího nedostatečného odhodlání řešit demokratické nedostatky v zemi a za jasný rozpor s deklarovanou ochotou oživit proces přistoupení;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důrazně odsuzuje rozhodnutí turecké vlády odvolat demokraticky zvolené starosty deseti obcí a okresů a nahradit je správci jmenovanými ministerstvem vnitra; považuje tuto dlouhodobou praxi jmenování správců za hrubý útok na nejzákladnější principy místní demokracie;</w:t>
            </w:r>
          </w:p>
        </w:tc>
        <w:tc>
          <w:tcPr>
            <w:tcW w:w="4876" w:type="dxa"/>
            <w:tcBorders>
              <w:top w:val="nil"/>
              <w:left w:val="nil"/>
              <w:bottom w:val="nil"/>
              <w:right w:val="nil"/>
            </w:tcBorders>
          </w:tcPr>
          <w:p>
            <w:pPr>
              <w:pStyle w:val="Normal6a"/>
            </w:pPr>
            <w:r>
              <w:t>10.</w:t>
            </w:r>
            <w:r>
              <w:tab/>
            </w:r>
            <w:r>
              <w:t xml:space="preserve">důrazně odsuzuje rozhodnutí turecké vlády </w:t>
            </w:r>
            <w:r>
              <w:rPr>
                <w:b/>
                <w:i/>
              </w:rPr>
              <w:t>po komunálních volbách v březnu 2024</w:t>
            </w:r>
            <w:r>
              <w:t xml:space="preserve"> odvolat demokraticky zvolené starosty </w:t>
            </w:r>
            <w:r>
              <w:rPr>
                <w:b/>
                <w:i/>
              </w:rPr>
              <w:t>více než</w:t>
            </w:r>
            <w:r>
              <w:t xml:space="preserve"> deseti obcí a okresů a nahradit je správci jmenovanými ministerstvem vnitra; považuje tuto dlouhodobou praxi jmenování správců za hrubý útok na nejzákladnější principy místní demokracie; </w:t>
            </w:r>
            <w:r>
              <w:rPr>
                <w:b/>
                <w:i/>
              </w:rPr>
              <w:t>vyzývá k okamžitému a bezpodmínečnému propuštění, zproštění viny a opětovnému dosazení všech ostatních starostů svévolně zatčených a zbavených funkce;</w:t>
            </w:r>
            <w:r>
              <w:t xml:space="preserve"> </w:t>
            </w:r>
            <w:r>
              <w:rPr>
                <w:b/>
                <w:i/>
              </w:rPr>
              <w:t>naléhavě vyzývá turecké orgány, aby okamžitě ukončily a zvrátily represe vůči politické opozici a respektovaly právo voličů zvolit si své vybrané zástupce v souladu s doporučeními Kongresu místních a regionálních orgánů Rady Evropy a Benátské komise;</w:t>
            </w:r>
            <w:r>
              <w:t xml:space="preserve"> </w:t>
            </w:r>
            <w:r>
              <w:rPr>
                <w:b/>
                <w:i/>
              </w:rPr>
              <w:t>vyzývá vysokou představitelku, místopředsedkyni Komise, aby zvážila restriktivní opatření v rámci globálního režimu sankcí v oblasti lidských práv vůči tureckým úředníkům odpovědným za nezákonné odvolání zvolených starostů a osobám, které jsou jmenovány vládou k jejich nahrazení;</w:t>
            </w:r>
            <w:r>
              <w:t xml:space="preserve"> </w:t>
            </w:r>
            <w:r>
              <w:rPr>
                <w:b/>
                <w:i/>
              </w:rPr>
              <w:t>odsuzuje tvrdé potlačování protestů proti odvolání zvolených starostů, včetně svévolného zatýkání stovek demonstrantů, včetně nezletilých osob;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důrazně odsuzuje rozhodnutí turecké vlády odvolat demokraticky zvolené starosty deseti obcí a okresů a nahradit je správci jmenovanými ministerstvem vnitra; považuje tuto dlouhodobou praxi jmenování správců za hrubý útok na nejzákladnější principy místní demokracie;</w:t>
            </w:r>
          </w:p>
        </w:tc>
        <w:tc>
          <w:tcPr>
            <w:tcW w:w="4876" w:type="dxa"/>
            <w:tcBorders>
              <w:top w:val="nil"/>
              <w:left w:val="nil"/>
              <w:bottom w:val="nil"/>
              <w:right w:val="nil"/>
            </w:tcBorders>
          </w:tcPr>
          <w:p>
            <w:pPr>
              <w:pStyle w:val="Normal6a"/>
            </w:pPr>
            <w:r>
              <w:t>10.</w:t>
            </w:r>
            <w:r>
              <w:tab/>
            </w:r>
            <w:r>
              <w:t xml:space="preserve">důrazně odsuzuje rozhodnutí turecké vlády odvolat demokraticky zvolené starosty deseti obcí a okresů a nahradit je </w:t>
            </w:r>
            <w:r>
              <w:rPr>
                <w:b/>
                <w:i/>
              </w:rPr>
              <w:t>vládními</w:t>
            </w:r>
            <w:r>
              <w:t xml:space="preserve"> správci jmenovanými ministerstvem vnitra; považuje tuto dlouhodobou praxi jmenování správců za hrubý útok na nejzákladnější principy místní demokracie; </w:t>
            </w:r>
            <w:r>
              <w:rPr>
                <w:b/>
                <w:i/>
              </w:rPr>
              <w:t>zdůrazňuje, že takové kroky podkopávají vyhlídky na silnější a komplexnější partnerství s EU a poškozují dlouhodobý pokrok směrem k užší spolupráci;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důrazně odsuzuje rozhodnutí turecké vlády odvolat demokraticky zvolené starosty deseti obcí a okresů a nahradit je správci jmenovanými ministerstvem vnitra; považuje tuto dlouhodobou praxi jmenování správců za hrubý útok na nejzákladnější principy místní demokracie;</w:t>
            </w:r>
          </w:p>
        </w:tc>
        <w:tc>
          <w:tcPr>
            <w:tcW w:w="4876" w:type="dxa"/>
            <w:tcBorders>
              <w:top w:val="nil"/>
              <w:left w:val="nil"/>
              <w:bottom w:val="nil"/>
              <w:right w:val="nil"/>
            </w:tcBorders>
          </w:tcPr>
          <w:p>
            <w:pPr>
              <w:pStyle w:val="Normal6a"/>
            </w:pPr>
            <w:r>
              <w:t>10.</w:t>
            </w:r>
            <w:r>
              <w:tab/>
            </w:r>
            <w:r>
              <w:t xml:space="preserve">důrazně odsuzuje rozhodnutí turecké vlády odvolat demokraticky zvolené starosty deseti obcí a okresů a nahradit je správci jmenovanými ministerstvem vnitra; považuje tuto dlouhodobou praxi jmenování správců za hrubý útok na nejzákladnější principy místní demokracie; </w:t>
            </w:r>
            <w:r>
              <w:rPr>
                <w:b/>
                <w:i/>
              </w:rPr>
              <w:t>zdůrazňuje, že tato nedávná rozhodnutí jsou součástí zesílení represí proti kurdské komunitě;</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důrazně odsuzuje rozhodnutí turecké vlády odvolat demokraticky zvolené starosty deseti obcí a okresů a nahradit je správci jmenovanými ministerstvem vnitra; považuje tuto dlouhodobou praxi jmenování správců za hrubý útok na nejzákladnější principy místní demokracie;</w:t>
            </w:r>
          </w:p>
        </w:tc>
        <w:tc>
          <w:tcPr>
            <w:tcW w:w="4876" w:type="dxa"/>
            <w:tcBorders>
              <w:top w:val="nil"/>
              <w:left w:val="nil"/>
              <w:bottom w:val="nil"/>
              <w:right w:val="nil"/>
            </w:tcBorders>
          </w:tcPr>
          <w:p>
            <w:pPr>
              <w:pStyle w:val="Normal6a"/>
            </w:pPr>
            <w:r>
              <w:t>10.</w:t>
            </w:r>
            <w:r>
              <w:tab/>
            </w:r>
            <w:r>
              <w:t xml:space="preserve">důrazně odsuzuje rozhodnutí turecké vlády odvolat demokraticky zvolené starosty deseti obcí a okresů a nahradit je správci jmenovanými ministerstvem vnitra; považuje tuto dlouhodobou praxi jmenování správců za hrubý útok na nejzákladnější principy místní demokracie; </w:t>
            </w:r>
            <w:r>
              <w:rPr>
                <w:b/>
                <w:i/>
              </w:rPr>
              <w:t>zdůrazňuje, že tato nedávná rozhodnutí jsou součástí zesílených zásahů proti kurdské komunitě;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Evin Incir, 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důrazně odsuzuje rozhodnutí turecké vlády odvolat demokraticky zvolené starosty deseti obcí a okresů a nahradit je správci jmenovanými ministerstvem vnitra; považuje tuto dlouhodobou praxi jmenování správců za hrubý útok na nejzákladnější principy místní demokracie;</w:t>
            </w:r>
          </w:p>
        </w:tc>
        <w:tc>
          <w:tcPr>
            <w:tcW w:w="4876" w:type="dxa"/>
            <w:tcBorders>
              <w:top w:val="nil"/>
              <w:left w:val="nil"/>
              <w:bottom w:val="nil"/>
              <w:right w:val="nil"/>
            </w:tcBorders>
          </w:tcPr>
          <w:p>
            <w:pPr>
              <w:pStyle w:val="Normal6a"/>
            </w:pPr>
            <w:r>
              <w:t>10.</w:t>
            </w:r>
            <w:r>
              <w:tab/>
            </w:r>
            <w:r>
              <w:t>důrazně odsuzuje rozhodnutí turecké vlády odvolat demokraticky zvolené starosty deseti obcí a okresů</w:t>
            </w:r>
            <w:r>
              <w:rPr>
                <w:b/>
                <w:i/>
              </w:rPr>
              <w:t>, z nichž je většina kurdského původu,</w:t>
            </w:r>
            <w:r>
              <w:t xml:space="preserve"> a nahradit je správci jmenovanými ministerstvem vnitra; považuje tuto dlouhodobou praxi jmenování správců za hrubý útok na nejzákladnější principy místní demokracie;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 poddstavec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vyjadřuje politování nad nárůstem politického a bezpečnostního vlivu Turecka v členských státech EU, a to i prostřednictvím diaspory a politicko-náboženských sítí;</w:t>
            </w:r>
            <w:r>
              <w:t xml:space="preserve"> </w:t>
            </w:r>
            <w:r>
              <w:rPr>
                <w:b/>
                <w:i/>
              </w:rPr>
              <w:t>odsuzuje turecké vměšování do vnitřních politických procesů členských států a násilné činy páchané prostřednictvím skupin propojených s Ankarou, jako jsou „Šedí vlci“;</w:t>
            </w:r>
            <w:r>
              <w:t xml:space="preserve"> </w:t>
            </w:r>
            <w:r>
              <w:rPr>
                <w:b/>
                <w:i/>
              </w:rPr>
              <w:t>vyzývá členské státy, aby přijaly nezbytná opatření k omezení nepřátelského tureckého vlivu na svém území;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Özlem Demirel,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oceňuje výzvu vůdce a spoluzakladatele PKK Abdullaha Öcalana, aby členové složili zbraně a rozpustili PKK, a zdůrazňuje, že by to mohl být významný krok směrem k mírovému, demokratickému a udržitelnému řešení kurdské otázky v Turecku;</w:t>
            </w:r>
            <w:r>
              <w:t xml:space="preserve"> </w:t>
            </w:r>
            <w:r>
              <w:rPr>
                <w:b/>
                <w:i/>
              </w:rPr>
              <w:t>zároveň důrazně odsuzuje vlnu represí a hromadného zatýkání ze strany tureckých orgánů zaměřených na široké části opozice;</w:t>
            </w:r>
            <w:r>
              <w:t xml:space="preserve"> </w:t>
            </w:r>
            <w:r>
              <w:rPr>
                <w:b/>
                <w:i/>
              </w:rPr>
              <w:t>opakuje, že Öcalanova výzva je pozitivním vývojem a že Turecko na ni musí reagovat skutečnou politickou vůlí a konkrétními kroky, které upřednostní konstruktivní přístup, aby bylo dosaženo trvalého řešení kurdské otázky;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vítá výzvu militantního vůdce Abdullaha Öcalana, aby PKK složila zbraně, a naléhavě vyzývá tureckou vládu, aby využila této příležitosti k jednání o mírovém řešení turecko-kurdského konfliktu, přičemž ústředním bodem tohoto úsilí by měly být záruky demokracie, politických a lidských práv pro kurdské obyvatelstvo v Turecku;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je nadále hluboce znepokojen situací zbývajících křesťanských komunit v Turecku a vyjadřuje politování nad jejich postupným zánikem, přestože tam mají historické kořeny;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vyjadřuje politování nad pokračujícími útoky na politické strany a členy opozice, kteří jsou i nadále vystaveni rostoucímu tlaku;</w:t>
            </w:r>
          </w:p>
        </w:tc>
        <w:tc>
          <w:tcPr>
            <w:tcW w:w="4876" w:type="dxa"/>
            <w:tcBorders>
              <w:top w:val="nil"/>
              <w:left w:val="nil"/>
              <w:bottom w:val="nil"/>
              <w:right w:val="nil"/>
            </w:tcBorders>
          </w:tcPr>
          <w:p>
            <w:pPr>
              <w:pStyle w:val="Normal6a"/>
            </w:pPr>
            <w:r>
              <w:t>11.</w:t>
            </w:r>
            <w:r>
              <w:tab/>
            </w:r>
            <w:r>
              <w:t>vyjadřuje politování nad pokračujícími útoky na politické strany a členy opozice, kteří jsou i nadále vystaveni rostoucímu tlaku</w:t>
            </w:r>
            <w:r>
              <w:rPr>
                <w:b/>
                <w:i/>
              </w:rPr>
              <w:t>, jako jsou nedávná samostatná řízení proti starostovi istanbulské Beşiktaş Rızovi Akpolatovi ze strany CHP, starostovi istanbulské městské části Bejkoz Alaattinovi Köselerovi ze strany CHP, předsedovi mládežnické organizace strany CHP Cemovi Aydınovi, předsedovi strany Zafer Ümitovi Özdagovi nebo nové a pozastavené případy zahájené proti primátorovi Istanbulu Ekremu İmamoğluovi ze strany CHP;</w:t>
            </w:r>
            <w:r>
              <w:t xml:space="preserve"> </w:t>
            </w:r>
            <w:r>
              <w:rPr>
                <w:b/>
                <w:i/>
              </w:rPr>
              <w:t>je zděšen neúprosnými a neutuchajícími zásahy proti jakékoli kritice, které turecké orgány v poslední době rozšiřují na všechny složky turecké společnosti, jak dokládá mimo jiné:</w:t>
            </w:r>
            <w:r>
              <w:t xml:space="preserve"> </w:t>
            </w:r>
            <w:r>
              <w:rPr>
                <w:b/>
                <w:i/>
              </w:rPr>
              <w:t>případ Ayse Barımové, známé manažerky talentů, uvězněné od 27. ledna 2025 za údajnou účast na „protestech Gezi“ před 12 lety, vyšetřování zahájené proti prezidentovi a vedoucímu představiteli hlavní obchodní skupiny v zemi TÜSIAD – Orhanovi Turanovi a Ömerovi Arasovi –, nebo obžaloba požadující vysoké tresty odnětí svobody pro šéfredaktora Halk TV Suata Toktaşe a novináře Sedu Selekovou, Barışe Pehlivana, Serhana Askera a Kürşada Oğuza;</w:t>
            </w:r>
            <w:r>
              <w:t xml:space="preserve"> </w:t>
            </w:r>
            <w:r>
              <w:rPr>
                <w:b/>
                <w:i/>
              </w:rPr>
              <w:t>je znepokojen tím, že se do všech výše uvedených případů zapojil nedávno jmenovaný nejvyšší státní zástupce Istanbulu Akın Gürlek, který má za sebou dlouhou historii v různých pozicích ve významných případech souvisejících s politickými osobnostmi, což by mohlo být důvodem ke zvážení uplatnění restriktivních opatření v rámci sankčního režimu EU v oblasti lidských práv;</w:t>
            </w:r>
            <w:r>
              <w:t xml:space="preserve"> </w:t>
            </w:r>
            <w:r>
              <w:rPr>
                <w:b/>
                <w:i/>
              </w:rPr>
              <w:t>je rovněž znepokojen rostoucím finančním tlakem na opoziční obce a kontroverzními oznámeními, jako je oznámení týkající se středisek denní péče provozovaných opozičními obcemi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vyjadřuje politování nad pokračujícími</w:t>
            </w:r>
            <w:r>
              <w:t xml:space="preserve"> útoky na politické strany a </w:t>
            </w:r>
            <w:r>
              <w:rPr>
                <w:b/>
                <w:i/>
              </w:rPr>
              <w:t>členy</w:t>
            </w:r>
            <w:r>
              <w:t xml:space="preserve"> opozice, kteří jsou i nadále vystaveni rostoucímu tlaku;</w:t>
            </w:r>
          </w:p>
        </w:tc>
        <w:tc>
          <w:tcPr>
            <w:tcW w:w="4876" w:type="dxa"/>
            <w:tcBorders>
              <w:top w:val="nil"/>
              <w:left w:val="nil"/>
              <w:bottom w:val="nil"/>
              <w:right w:val="nil"/>
            </w:tcBorders>
          </w:tcPr>
          <w:p>
            <w:pPr>
              <w:pStyle w:val="Normal6a"/>
            </w:pPr>
            <w:r>
              <w:t>11.</w:t>
            </w:r>
            <w:r>
              <w:tab/>
            </w:r>
            <w:r>
              <w:rPr>
                <w:b/>
                <w:i/>
              </w:rPr>
              <w:t>důrazně odsuzuje pokračující</w:t>
            </w:r>
            <w:r>
              <w:t xml:space="preserve"> útoky na politické strany a </w:t>
            </w:r>
            <w:r>
              <w:rPr>
                <w:b/>
                <w:i/>
              </w:rPr>
              <w:t>věznění členů</w:t>
            </w:r>
            <w:r>
              <w:t xml:space="preserve"> opozice, </w:t>
            </w:r>
            <w:r>
              <w:rPr>
                <w:b/>
                <w:i/>
              </w:rPr>
              <w:t>včetně volených zástupců, novinářů a aktérů občanské společnosti, na základě politicky motivovaných obvinění,</w:t>
            </w:r>
            <w:r>
              <w:t xml:space="preserve"> kteří jsou i nadále vystaveni rostoucímu tlaku; </w:t>
            </w:r>
            <w:r>
              <w:rPr>
                <w:b/>
                <w:i/>
              </w:rPr>
              <w:t>naléhavě vyzývá turecké orgány, aby zajistily okamžité propuštění všech osob zadržovaných za uplatňování svých základních svobod a aby přestaly zneužívat protiteroristické a soudní mechanismy k umlčení nesouhlasu;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vyjadřuje politování nad pokračujícími útoky na politické strany a členy opozice, kteří jsou i nadále vystaveni rostoucímu tlaku;</w:t>
            </w:r>
          </w:p>
        </w:tc>
        <w:tc>
          <w:tcPr>
            <w:tcW w:w="4876" w:type="dxa"/>
            <w:tcBorders>
              <w:top w:val="nil"/>
              <w:left w:val="nil"/>
              <w:bottom w:val="nil"/>
              <w:right w:val="nil"/>
            </w:tcBorders>
          </w:tcPr>
          <w:p>
            <w:pPr>
              <w:pStyle w:val="Normal6a"/>
            </w:pPr>
            <w:r>
              <w:t>11.</w:t>
            </w:r>
            <w:r>
              <w:tab/>
            </w:r>
            <w:r>
              <w:t xml:space="preserve">vyjadřuje politování nad pokračujícími útoky na politické strany a členy opozice, kteří jsou i nadále vystaveni rostoucímu tlaku; </w:t>
            </w:r>
            <w:r>
              <w:rPr>
                <w:b/>
                <w:i/>
              </w:rPr>
              <w:t>vítá historické prohlášení PKK o příměří, opuštění jejího ozbrojeného boje a o seberozpuštění;</w:t>
            </w:r>
            <w:r>
              <w:t xml:space="preserve"> </w:t>
            </w:r>
            <w:r>
              <w:rPr>
                <w:b/>
                <w:i/>
              </w:rPr>
              <w:t>vyjadřuje naději na stejně významný posun v rámci tureckého demokratického života směrem k zohlednění legitimních tužeb kurdské komunity a také opatrný optimismus pro uklidnění vztahů v širším regionu;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Evin Incir, 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vyjadřuje politování nad pokračujícími útoky </w:t>
            </w:r>
            <w:r>
              <w:rPr>
                <w:b/>
                <w:i/>
              </w:rPr>
              <w:t>na politické strany a členy opozice</w:t>
            </w:r>
            <w:r>
              <w:t>, kteří jsou i nadále vystaveni rostoucímu tlaku;</w:t>
            </w:r>
          </w:p>
        </w:tc>
        <w:tc>
          <w:tcPr>
            <w:tcW w:w="4876" w:type="dxa"/>
            <w:tcBorders>
              <w:top w:val="nil"/>
              <w:left w:val="nil"/>
              <w:bottom w:val="nil"/>
              <w:right w:val="nil"/>
            </w:tcBorders>
          </w:tcPr>
          <w:p>
            <w:pPr>
              <w:pStyle w:val="Normal6a"/>
            </w:pPr>
            <w:r>
              <w:t>11.</w:t>
            </w:r>
            <w:r>
              <w:tab/>
            </w:r>
            <w:r>
              <w:t xml:space="preserve">vyjadřuje politování nad pokračujícími útoky </w:t>
            </w:r>
            <w:r>
              <w:rPr>
                <w:b/>
                <w:i/>
              </w:rPr>
              <w:t>a svévolným zadržováním členů opozice a politických stran, včetně Selahattina Demirtaşe a Figena Yüksekdağa</w:t>
            </w:r>
            <w:r>
              <w:t>, kteří jsou i nadále vystaveni rostoucímu tlaku;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vyjadřuje politování nad pokračujícími útoky na politické strany a členy opozice, kteří jsou i nadále vystaveni rostoucímu tlaku;</w:t>
            </w:r>
          </w:p>
        </w:tc>
        <w:tc>
          <w:tcPr>
            <w:tcW w:w="4876" w:type="dxa"/>
            <w:tcBorders>
              <w:top w:val="nil"/>
              <w:left w:val="nil"/>
              <w:bottom w:val="nil"/>
              <w:right w:val="nil"/>
            </w:tcBorders>
          </w:tcPr>
          <w:p>
            <w:pPr>
              <w:pStyle w:val="Normal6a"/>
            </w:pPr>
            <w:r>
              <w:t>11.</w:t>
            </w:r>
            <w:r>
              <w:tab/>
            </w:r>
            <w:r>
              <w:t>vyjadřuje politování nad pokračujícími útoky na politické strany a členy opozice, kteří jsou i nadále vystaveni rostoucímu tlaku</w:t>
            </w:r>
            <w:r>
              <w:rPr>
                <w:b/>
                <w:i/>
              </w:rPr>
              <w:t>, včetně represí vůči kurdským politikům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Costas Mavrides, Andreas Schieder, Yannis Maniatis,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 pododstavec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vyzývá Turecko, aby spolupracovalo s příslušnými mezinárodními organizacemi, zejména s Radou Evropy, v oblasti předcházení nedovolenému obchodování a záměrnému ničení kulturního dědictví v Turecku a na okupované části Kypru a v boji proti těmto jevům;</w:t>
            </w:r>
            <w:r>
              <w:t xml:space="preserve"> </w:t>
            </w:r>
            <w:r>
              <w:rPr>
                <w:b/>
                <w:i/>
              </w:rPr>
              <w:t>zdůrazňuje, že je důležité pokračovat v dialogu s příslušnými mezinárodními organizacemi a EU o zachování kulturního a náboženského dědictví;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vyjadřuje politování nad tím, že nebyl zaznamenán žádný pokrok, pokud jde o ochranu práv příslušníků a nadací nemuslimských menšin; zdůrazňuje, že je třeba revidovat právní předpisy o vlastnických právech příslušníků a nadací nemuslimských menšin s cílem zajistit komplexnější rámec v souladu s rozsudky ESLP a normami EU;</w:t>
            </w:r>
            <w:r>
              <w:t xml:space="preserve"> </w:t>
            </w:r>
            <w:r>
              <w:rPr>
                <w:b/>
                <w:i/>
              </w:rPr>
              <w:t>vyzývá Turecko, aby přijalo dlouho očekávané nařízení o volbě členů správních rad v nadacích nemuslimských menšin, které kontrolují komunitní nemocnice;</w:t>
            </w:r>
            <w:r>
              <w:t xml:space="preserve"> </w:t>
            </w:r>
            <w:r>
              <w:rPr>
                <w:b/>
                <w:i/>
              </w:rPr>
              <w:t>opakuje, že Turecko musí plně provést všechna doporučení uvedená v usnesení Rady Evropy č. 1625 (2008), se zvláštním důrazem na restituční vlastnická práva řeckého pravoslavného obyvatelstva a jeho nadací na ostrovech Imbros a Tenedos, jakož i na dědická práva, a přijmout všechna nezbytná opatření pozitivní diskriminace na pomoc při repatriaci všech menšinových rodin, které si přejí návrat do své vlasti;</w:t>
            </w:r>
            <w:r>
              <w:t xml:space="preserve"> </w:t>
            </w:r>
            <w:r>
              <w:rPr>
                <w:b/>
                <w:i/>
              </w:rPr>
              <w:t>zdůrazňuje, že je třeba zachovat bikulturní povahu ostrovů;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konstatuje, že nebyl zaznamenán žádný významný pokrok, pokud jde o ochranu práv etnických a náboženských menšin, včetně práv řeckých pravoslavných obyvatel ostrovů Gökçeada (Imbros) a Bozcaada (Tenedos);</w:t>
            </w:r>
            <w:r>
              <w:t xml:space="preserve"> </w:t>
            </w:r>
            <w:r>
              <w:rPr>
                <w:b/>
                <w:i/>
              </w:rPr>
              <w:t>zdůrazňuje, že je třeba revidovat právní předpisy týkající se vlastnických práv příslušníků a nadací nemuslimských menšin s cílem zajistit komplexnější rámec v souladu s rozsudky ESLP a normami EU;</w:t>
            </w:r>
            <w:r>
              <w:t xml:space="preserve"> </w:t>
            </w:r>
            <w:r>
              <w:rPr>
                <w:b/>
                <w:i/>
              </w:rPr>
              <w:t>vyzývá Turecko, aby přijalo dlouho očekávané nařízení o volbě členů správních rad v nadacích nemuslimských menšin, které kontrolují komunitní nemocnice;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konstatuje, že nebyl zaznamenán žádný významný pokrok, pokud jde o ochranu práv etnických a náboženských menšin, včetně práv řeckých pravoslavných obyvatel ostrovů Gökçeada (Imbros) a Bozcaada (Tenedos);</w:t>
            </w:r>
            <w:r>
              <w:t xml:space="preserve"> </w:t>
            </w:r>
            <w:r>
              <w:rPr>
                <w:b/>
                <w:i/>
              </w:rPr>
              <w:t>zdůrazňuje, že je třeba revidovat právní předpisy týkající se vlastnických práv příslušníků a nadací nemuslimských menšin s cílem zajistit komplexnější rámec v souladu s rozsudky ESLP a normami EU;</w:t>
            </w:r>
            <w:r>
              <w:t xml:space="preserve"> </w:t>
            </w:r>
            <w:r>
              <w:rPr>
                <w:b/>
                <w:i/>
              </w:rPr>
              <w:t>vyzývá Turecko, aby přijalo dlouho očekávané nařízení o volbě členů správních rad v nadacích nemuslimských menšin, které kontrolují komunitní nemocnice;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vyjadřuje politování nad tím, že počet vražd žen v Turecku v roce 2024 byl nejvyšší od roku 2010, tedy roku před podpisem Istanbulské úmluvy;</w:t>
            </w:r>
            <w:r>
              <w:t xml:space="preserve"> </w:t>
            </w:r>
            <w:r>
              <w:rPr>
                <w:b/>
                <w:i/>
              </w:rPr>
              <w:t>znovu důrazně odsuzuje odstoupení Turecka od této mezinárodní dohody prezidentským dekretem a opakuje svou výzvu ke zrušení tohoto rozhodnutí;</w:t>
            </w:r>
            <w:r>
              <w:t xml:space="preserve"> </w:t>
            </w:r>
            <w:r>
              <w:rPr>
                <w:b/>
                <w:i/>
              </w:rPr>
              <w:t>naléhavě vyzývá turecké orgány, aby zlepšily legislativní rámec a jeho provádění s cílem účinně řešit všechny formy násilí páchaného na ženách a pokročit směrem k rovnosti žen a mužů, zejména pokud jde o účast žen na rozhodovacích procesech a procesech tvorby politik;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Evin Incir,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vítá nedávný vývoj týkající se kurdské otázky v Turecku, včetně výzvy uvězněného vůdce PKK Abdullaha Öcalana, aby se skupina zapojila do mírového procesu a složila zbraně;</w:t>
            </w:r>
            <w:r>
              <w:t xml:space="preserve"> </w:t>
            </w:r>
            <w:r>
              <w:rPr>
                <w:b/>
                <w:i/>
              </w:rPr>
              <w:t>zdůrazňuje, že to představuje významnou příležitost a musí po ní následovat politický a inkluzivní proces zaměřený na mírové řešení konfliktu, a žádá, aby tento proces zajistil spravedlnost a plnou realizaci rovných práv pro kurdský lid a další menšinové skupiny v Turecku;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Malik Azmani, 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vyzývá tureckou vládu, aby se zapojila do obnoveného a inkluzivního politického dialogu zaměřeného na mírové řešení kurdské otázky;</w:t>
            </w:r>
            <w:r>
              <w:t xml:space="preserve"> </w:t>
            </w:r>
            <w:r>
              <w:rPr>
                <w:b/>
                <w:i/>
              </w:rPr>
              <w:t>zdůrazňuje, že je třeba prosazovat lidská práva, politický pluralismus a občanská práva pro všechny občany, včetně Kurdů;</w:t>
            </w:r>
            <w:r>
              <w:t xml:space="preserve"> </w:t>
            </w:r>
            <w:r>
              <w:rPr>
                <w:b/>
                <w:i/>
              </w:rPr>
              <w:t>vyjadřuje politování nad pokračujícími politickými represemi, pronásledováním ze strany soudů a omezováním kulturních a jazykových práv, jimž čelí kurdští občané, což podkopává demokratické zásady a sociální soudržnost;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důrazně odsuzuje systematické prosazování extremistických ideologií ze strany Turecka, včetně jeho příklonu k islamistickým hnutím, která jsou nepřátelská vůči zásadám demokracie a židovsko-křesťanským hodnotám;</w:t>
            </w:r>
            <w:r>
              <w:t xml:space="preserve"> </w:t>
            </w:r>
            <w:r>
              <w:rPr>
                <w:b/>
                <w:i/>
              </w:rPr>
              <w:t>dále odsuzuje aktivní úlohu turecké vlády při prosazování antisemitismu prostřednictvím státních institucí, médií a zahraniční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konstatuje, že rozchod Turecka s mezinárodní legitimitou, respektem k národní suverenitě sousedních států a základními evropskými předpoklady právního státu vyžaduje odpovídající evropskou reakci;</w:t>
            </w:r>
            <w:r>
              <w:t xml:space="preserve"> </w:t>
            </w:r>
            <w:r>
              <w:rPr>
                <w:b/>
                <w:i/>
              </w:rPr>
              <w:t>domnívá se proto, že evropské výdaje, které jsou jakkoli prospěšné pro Turecko, by měly být pozastaveny;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vyjadřuje politování nad tím, že Turecku stále není dosaženo svobody internetu, kdy jsou za příspěvky na sociálních sítích ukládány dlouhé tresty odnětí svobody a vydávají se příkazy k blokování přístupu na mnohé stránky a k odstranění obsahu, a šíří se dezinformace;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důrazně odsuzuje systematické prosazování extremistických ideologií ze strany Turecka, včetně jeho příklonu k islamistickým hnutím, která jsou nepřátelská vůči zásadám demokracie a židovsko-křesťanským hodnotám;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vyzývá Radu, aby přidala tureckou organizaci „Šedí vlci“ na seznam teroristických organizací vedený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Jordan Bardella, Sebastiaan Stöteler,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vyzývá Evropskou radu, aby přidala tureckou organizaci „Šedí vlci“ na seznam teroristických organizací vedený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znovu vyzývá Turecko, aby respektovalo úlohu ekumenického patriarchátu pro pravoslavné křesťany na celém světě a aby uznalo jeho právní subjektivitu a veřejné používání církevního titulu ekumenického patriarchy;</w:t>
            </w:r>
            <w:r>
              <w:t xml:space="preserve"> </w:t>
            </w:r>
            <w:r>
              <w:rPr>
                <w:b/>
                <w:i/>
              </w:rPr>
              <w:t>zdůrazňuje potřebu právních předpisů, které umožní všem náboženským komunitám a jejich nadacím získat právní subjektivitu v souladu se všemi příslušnými rozhodnutími ESLP a doporučeními Benátské komise;</w:t>
            </w:r>
            <w:r>
              <w:t xml:space="preserve"> </w:t>
            </w:r>
            <w:r>
              <w:rPr>
                <w:b/>
                <w:i/>
              </w:rPr>
              <w:t>vybízí Turecko, aby změnilo status chrámu Hagia Sophia a chrámu svatého Spasitele z mešit na muzea;</w:t>
            </w:r>
            <w:r>
              <w:t xml:space="preserve"> </w:t>
            </w:r>
            <w:r>
              <w:rPr>
                <w:b/>
                <w:i/>
              </w:rPr>
              <w:t>vyzývá Turecko, aby plně respektovalo a chránilo výjimečnou univerzální hodnotu památek, které jsou zapsány na seznamu světového dědictví UNESCO;</w:t>
            </w:r>
            <w:r>
              <w:t xml:space="preserve"> </w:t>
            </w:r>
            <w:r>
              <w:rPr>
                <w:b/>
                <w:i/>
              </w:rPr>
              <w:t>se znepokojením konstatuje, že Turecko dosud neprovedlo dvě rozhodnutí Výboru pro světové dědictví UNESCO z let 2021 a 2023 týkající se jeho povinnosti přijmout zvláštní opatření na ochranu chrámu Hagia Sophia a chrámu svatého Spasitele před dalšími škodami způsobenými jejich otevřením veřejným modlitbám;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znovu vyzývá Turecko, aby respektovalo úlohu ekumenického patriarchátu pro pravoslavné křesťany na celém světě a aby uznalo jeho právní subjektivitu a veřejné používání církevního titulu ekumenického patriarchy;</w:t>
            </w:r>
            <w:r>
              <w:t xml:space="preserve"> </w:t>
            </w:r>
            <w:r>
              <w:rPr>
                <w:b/>
                <w:i/>
              </w:rPr>
              <w:t>zdůrazňuje potřebu právních předpisů, které umožní všem náboženským komunitám a jejich nadacím získat právní subjektivitu v souladu se všemi příslušnými rozhodnutími ESLP a doporučeními Benátské komise;</w:t>
            </w:r>
            <w:r>
              <w:t xml:space="preserve"> </w:t>
            </w:r>
            <w:r>
              <w:rPr>
                <w:b/>
                <w:i/>
              </w:rPr>
              <w:t>vybízí Turecko, aby změnilo status chrámu Hagia Sophia a chrámu svatého Spasitele z mešit na muzea;</w:t>
            </w:r>
            <w:r>
              <w:t xml:space="preserve"> </w:t>
            </w:r>
            <w:r>
              <w:rPr>
                <w:b/>
                <w:i/>
              </w:rPr>
              <w:t>vyzývá Turecko, aby plně respektovalo a chránilo výjimečnou univerzální hodnotu památek, které jsou zapsány na seznamu světového dědictví UNESCO;</w:t>
            </w:r>
            <w:r>
              <w:t xml:space="preserve"> </w:t>
            </w:r>
            <w:r>
              <w:rPr>
                <w:b/>
                <w:i/>
              </w:rPr>
              <w:t>se znepokojením konstatuje, že Turecko dosud neprovedlo dvě rozhodnutí Výboru pro světové dědictví UNESCO z let 2021 a 2023 týkající se jeho povinnosti přijmout zvláštní opatření na ochranu chrámu Hagia Sophia a chrámu svatého Spasitele před dalšími škodami způsobenými jejich otevřením veřejným modlitbám;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Yannis Maniatis, 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vyjadřuje politování nad tím, že dosud nebyla provedena doporučení Benátské komise a příslušná rozhodnutí ESLP týkající se postavení náboženských komunit, která jim umožňují získat právní subjektivitu v Turecku;</w:t>
            </w:r>
            <w:r>
              <w:t xml:space="preserve"> </w:t>
            </w:r>
            <w:r>
              <w:rPr>
                <w:b/>
                <w:i/>
              </w:rPr>
              <w:t>znovu vyzývá Turecko, aby respektovalo význam ekumenického patriarchátu pro pravoslavné křesťany na celém světě a aby uznalo jeho právní subjektivitu a veřejné používání církevního titulu ekumenického patriarchy;</w:t>
            </w:r>
            <w:r>
              <w:t xml:space="preserve"> </w:t>
            </w:r>
            <w:r>
              <w:rPr>
                <w:b/>
                <w:i/>
              </w:rPr>
              <w:t>zdůrazňuje, že je třeba odstranit veškerá omezení týkající se odborné přípravy, jmenování a nástupnictví duchovních, umožnit opětovné otevření semináře na ostrově Chalki a odstranit veškeré překážky bránící jeho řádnému fungování;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nadále odsuzuje nedostatečnou ochranu základních práv LGBTI+ osob, pokračující diskriminaci, nenávistné verbální projevy a trestné činy z nenávisti, jimž je komunita LGBTI+ vystavena a orgány často sankcionovaná, o čemž svědčí hromadné zatýkání během pochodu Pride v roce 2023 a zákaz pochodu v roce 2024, přičemž pochody proti LGBTI+ jsou povoleny;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vyzývá Evropskou komisi a Radu, aby zahrnuly tureckou podporu antisemitismu do každoročního hodnocení procesu přistoupení EU s tím, že takové kroky jsou neslučitelné s hodnotami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dále odsuzuje aktivní úlohu turecké vlády při prosazování antisemitismu prostřednictvím státních institucí, médií a zahraniční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naléhavě vyzývá Turecko, aby ukončilo politicky motivované zneužívání protiteroristických zákonů proti opozičním politikům, obráncům lidských práv a novinářům;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Yannis Maniatis, Costas Mavrides,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žádá Turecko, aby znovu změnilo status chrámu Hagia Sophia a chrámu svatého Spasitele, dvou památek světového dědictví UNESCO, z mešit na muzea, neboť jejich současný stav vážně ohrožuje jejich stabilitu a zachování multikulturního charakteru země;</w:t>
            </w:r>
            <w:r>
              <w:t xml:space="preserve"> </w:t>
            </w:r>
            <w:r>
              <w:rPr>
                <w:b/>
                <w:i/>
              </w:rPr>
              <w:t>lituje, že Turecko dosud neprovedlo dvě rozhodnutí Výboru pro světové dědictví UNESCO z let 2021 a 2023 týkající se jeho povinnosti přijmout zvláštní opatření na ochranu chrámu Hagia Sophia a chrámu svatého Spasitele před dalšími škodami způsobenými jejich otevřením veřejným modlitbám;</w:t>
            </w:r>
            <w:r>
              <w:t xml:space="preserve"> </w:t>
            </w:r>
            <w:r>
              <w:rPr>
                <w:b/>
                <w:i/>
              </w:rPr>
              <w:t>vyjadřuje politování nad nedostatečnou ochranou kláštera Panagia Sumela, který byl navržen k zařazení na seznam památek světového dědictví UNESCO, a domnívá se, že tyto kroky podkopávají důvěru mezi tureckou vládou a náboženskými komunitami v zemi;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opakuje, že nebyl zaznamenán žádný významný pokrok, pokud jde o ochranu práv etnických a náboženských menšin, zejména pokud jde o jejich právní subjektivitu;</w:t>
            </w:r>
            <w:r>
              <w:t xml:space="preserve"> </w:t>
            </w:r>
            <w:r>
              <w:rPr>
                <w:b/>
                <w:i/>
              </w:rPr>
              <w:t>vyzývá Turecko, aby v tomto ohledu provedlo doporučení Benátské komise;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naléhavě vyzývá orgány EU, aby posílily monitorovací mechanismy týkající se vazeb Turecka na Muslimské bratrstvo a přidružené sítě v Evropě vzhledem k jejich úloze při podpoře extremistických narativů a oslabování sociální soudržnosti a bezpečnosti v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Isabel Wiseler-Lima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vítá intenzivnější dialog s křesťanskými menšinami, zdůrazňuje však, že je třeba vyvinout další úsilí k zajištění plné svobody náboženského vyznání a nediskriminace v rámci OSN a v souladu s acquis a zásadami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vyzývá Evropskou komisi a Radu, aby zahrnuly tureckou podporu antisemitismu do každoročního hodnocení procesu přistoupení EU s tím, že takové kroky jsou neslučitelné s hodnotami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11d.</w:t>
            </w:r>
            <w:r>
              <w:tab/>
            </w:r>
            <w:r>
              <w:rPr>
                <w:b/>
                <w:i/>
              </w:rPr>
              <w:t>vítá nedávnou výzvu Abdullaha Öcalana, aby PKK složila zbraně a byla rozpuštěna jako historický a dlouho očekávaný krok, který může ukončit 40 let násilí, jež si vyžádalo více než 40 000 mrtvých;</w:t>
            </w:r>
            <w:r>
              <w:t xml:space="preserve"> </w:t>
            </w:r>
            <w:r>
              <w:rPr>
                <w:b/>
                <w:i/>
              </w:rPr>
              <w:t>oceňuje úsilí všech zúčastněných stran o usnadnění tohoto vývoje, včetně konstruktivního přístupu různých politických představitelů, který zahájil vedoucí představitel MHP Devlet Bahçeli a který umožnil návštěvy delegace strany DEM ve věznici Imrali a rozsáhlé konzultace, které tato delegace vedla s dalšími politickými stranami;</w:t>
            </w:r>
            <w:r>
              <w:t xml:space="preserve"> </w:t>
            </w:r>
            <w:r>
              <w:rPr>
                <w:b/>
                <w:i/>
              </w:rPr>
              <w:t>vybízí a podporuje další kroky všech příslušných stran k posílení dialogu a usmíření a k obnovení politického a inkluzivního procesu, který by mohl vést k mírovému urovnání kurdské otázky v jejích politických, sociálních, demokratických a bezpečnostních aspektech;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Nikola Bartůšek,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11d.</w:t>
            </w:r>
            <w:r>
              <w:tab/>
            </w:r>
            <w:r>
              <w:rPr>
                <w:b/>
                <w:i/>
              </w:rPr>
              <w:t>naléhavě vyzývá orgány EU, aby posílily monitorovací mechanismy týkající se vazeb Turecka na Muslimské bratrstvo a přidružené sítě v Evropě vzhledem k jejich úloze při podpoře extremistických narativů a oslabování sociální soudržnosti a bezpečnosti v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zdůrazňuje, že kandidatura Turecka na vstup do skupiny BRICS+ není geopolitickým nebo geostrategickým rozchodem se Západem, ale odráží ochotu Ankary diverzifikovat své geoekonomické a geopolitické možnosti;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Jordan Bardella, 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zdůrazňuje, že kandidatura Turecka na vstup do skupiny BRICS+ není geopolitickým nebo geostrategickým rozchodem se Západem, ale odráží přání Ankary diverzifikovat své geoekonomické a geopolitické možnosti;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770.094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150</w:t>
    </w:r>
    <w:r>
      <w:fldChar w:fldCharType="end"/>
    </w:r>
    <w:r>
      <w:t>/</w:t>
    </w:r>
    <w:r>
      <w:fldChar w:fldCharType="begin"/>
    </w:r>
    <w:r>
      <w:instrText xml:space="preserve"> NUMPAGES </w:instrText>
    </w:r>
    <w:r>
      <w:fldChar w:fldCharType="separate"/>
    </w:r>
    <w:r>
      <w:t>151</w:t>
    </w:r>
    <w:r>
      <w:fldChar w:fldCharType="end"/>
    </w:r>
    <w:r>
      <w:tab/>
    </w:r>
    <w:r>
      <w:rPr>
        <w:rStyle w:val="HideTWBExt"/>
      </w:rPr>
      <w:t>&lt;PathFdR&gt;</w:t>
    </w:r>
    <w:r>
      <w:t>AM\1316303CS.docx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AM\1316303CS.docx</w:t>
    </w:r>
    <w:r>
      <w:rPr>
        <w:rStyle w:val="HideTWBExt"/>
      </w:rPr>
      <w:t>&lt;/PathFdR&gt;</w:t>
    </w:r>
    <w:r>
      <w:tab/>
    </w:r>
    <w:r>
      <w:fldChar w:fldCharType="begin"/>
    </w:r>
    <w:r>
      <w:instrText xml:space="preserve"> PAGE </w:instrText>
    </w:r>
    <w:r>
      <w:fldChar w:fldCharType="separate"/>
    </w:r>
    <w:r>
      <w:t>151</w:t>
    </w:r>
    <w:r>
      <w:fldChar w:fldCharType="end"/>
    </w:r>
    <w:r>
      <w:t>/</w:t>
    </w:r>
    <w:r>
      <w:fldChar w:fldCharType="begin"/>
    </w:r>
    <w:r>
      <w:instrText xml:space="preserve"> NUMPAGES </w:instrText>
    </w:r>
    <w:r>
      <w:fldChar w:fldCharType="separate"/>
    </w:r>
    <w:r>
      <w:t>151</w:t>
    </w:r>
    <w:r>
      <w:fldChar w:fldCharType="end"/>
    </w:r>
    <w:r>
      <w:tab/>
    </w:r>
    <w:r>
      <w:t>PE</w:t>
    </w:r>
    <w:r>
      <w:rPr>
        <w:rStyle w:val="HideTWBExt"/>
      </w:rPr>
      <w:t>&lt;NoPE&gt;</w:t>
    </w:r>
    <w:r>
      <w:t>770.094</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AM\1316303CS.docx</w:t>
    </w:r>
    <w:r>
      <w:rPr>
        <w:rStyle w:val="HideTWBExt"/>
      </w:rPr>
      <w:t>&lt;/PathFdR&gt;</w:t>
    </w:r>
    <w:r>
      <w:tab/>
    </w:r>
    <w:r>
      <w:tab/>
    </w:r>
    <w:r>
      <w:t>PE</w:t>
    </w:r>
    <w:r>
      <w:rPr>
        <w:rStyle w:val="HideTWBExt"/>
      </w:rPr>
      <w:t>&lt;NoPE&gt;</w:t>
    </w:r>
    <w:r>
      <w:t>770.094</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151</Pages>
  <Words>26699</Words>
  <Characters>156660</Characters>
  <Application>Microsoft Office Word</Application>
  <DocSecurity>0</DocSecurity>
  <Lines>1</Lines>
  <Paragraphs>2790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1316303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157888</vt:lpwstr>
  </property>
  <property fmtid="{D5CDD505-2E9C-101B-9397-08002B2CF9AE}" pid="7" name="dmxml.render.traceId">
    <vt:lpwstr>67ee874cb114ab8d1b6393fde122fc56</vt:lpwstr>
  </property>
  <property fmtid="{D5CDD505-2E9C-101B-9397-08002B2CF9AE}" pid="8" name="FooterPath">
    <vt:lpwstr>AM\1316303CS.docx</vt:lpwstr>
  </property>
  <property fmtid="{D5CDD505-2E9C-101B-9397-08002B2CF9AE}" pid="9" name="PE Number">
    <vt:lpwstr>770.094</vt:lpwstr>
  </property>
  <property fmtid="{D5CDD505-2E9C-101B-9397-08002B2CF9AE}" pid="10" name="UID">
    <vt:lpwstr>eu.europa.europarl-DIN1-2025-0000042377_01.00-cs-01.00_text-xml</vt:lpwstr>
  </property>
</Properties>
</file>