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Ausschuss für auswärtige Angelegenheiten</w:t>
      </w:r>
      <w:r>
        <w:rPr>
          <w:rStyle w:val="HideTWBExt"/>
        </w:rPr>
        <w:t>&lt;/Commission&gt;</w:t>
      </w:r>
    </w:p>
    <w:p>
      <w:pPr>
        <w:pStyle w:val="LineBottom"/>
      </w:pPr>
      <w:r>
        <w:t xml:space="preserve"> </w:t>
      </w:r>
    </w:p>
    <w:p>
      <w:pPr>
        <w:pStyle w:val="CoverReference"/>
      </w:pPr>
      <w:r>
        <w:rPr>
          <w:rStyle w:val="HideTWBExt"/>
        </w:rPr>
        <w:t>&lt;RefProc&gt;</w:t>
      </w:r>
      <w:r>
        <w:t>2025/2023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{04/03/2025}</w:t>
      </w:r>
      <w:r>
        <w:t>4.3.2025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324</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Nacho Sánchez Amor</w:t>
      </w:r>
      <w:r>
        <w:rPr>
          <w:rStyle w:val="HideTWBExt"/>
        </w:rPr>
        <w:t>&lt;/Rapporteur&gt;</w:t>
      </w:r>
    </w:p>
    <w:p>
      <w:pPr>
        <w:pStyle w:val="CoverNormal24a"/>
      </w:pPr>
      <w:r>
        <w:rPr>
          <w:rStyle w:val="HideTWBExt"/>
        </w:rPr>
        <w:t>&lt;DocRefPE&gt;</w:t>
      </w:r>
      <w:r>
        <w:t>(PE767.988v01-00)</w:t>
      </w:r>
      <w:r>
        <w:rPr>
          <w:rStyle w:val="HideTWBExt"/>
        </w:rPr>
        <w:t>&lt;/DocRefPE&gt;</w:t>
      </w:r>
    </w:p>
    <w:p>
      <w:pPr>
        <w:pStyle w:val="CoverNormal"/>
      </w:pPr>
      <w:r>
        <w:rPr>
          <w:rStyle w:val="HideTWBExt"/>
        </w:rPr>
        <w:t>&lt;Titre&gt;</w:t>
      </w:r>
      <w:r>
        <w:t>Berichte 2023 und 2024 der Kommission über die Türkei</w:t>
      </w:r>
      <w:r>
        <w:rPr>
          <w:rStyle w:val="HideTWBExt"/>
        </w:rPr>
        <w:t>&lt;/Titre&gt;</w:t>
      </w:r>
    </w:p>
    <w:p>
      <w:pPr>
        <w:pStyle w:val="CoverNormal24a"/>
      </w:pPr>
      <w:r>
        <w:rPr>
          <w:rStyle w:val="HideTWBExt"/>
        </w:rPr>
        <w:t>&lt;DocRef&gt;</w:t>
      </w:r>
      <w:r>
        <w:t>(2025/2023(INI))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unter Hinweis auf die Schlussfolgerungen des Europäischen Rates vom 17. und 18. April 2024, vom 23. Juni 2022 </w:t>
            </w:r>
            <w:r>
              <w:rPr>
                <w:b/>
                <w:i/>
              </w:rPr>
              <w:t>und</w:t>
            </w:r>
            <w:r>
              <w:t xml:space="preserve"> vom 24. Juni 2021 sowie auf alle früheren einschlägigen Schlussfolgerungen des Rates und des Europäischen Rates,</w:t>
            </w:r>
          </w:p>
        </w:tc>
        <w:tc>
          <w:tcPr>
            <w:tcW w:w="4876" w:type="dxa"/>
            <w:tcBorders>
              <w:top w:val="nil"/>
              <w:left w:val="nil"/>
              <w:bottom w:val="nil"/>
              <w:right w:val="nil"/>
            </w:tcBorders>
          </w:tcPr>
          <w:p>
            <w:pPr>
              <w:pStyle w:val="Normal6a"/>
            </w:pPr>
            <w:r>
              <w:rPr>
                <w:b/>
                <w:i/>
              </w:rPr>
              <w:t>–</w:t>
            </w:r>
            <w:r>
              <w:tab/>
            </w:r>
            <w:r>
              <w:t xml:space="preserve">unter Hinweis auf die Schlussfolgerungen des Europäischen Rates vom 17. und 18. April 2024, vom </w:t>
            </w:r>
            <w:r>
              <w:rPr>
                <w:b/>
                <w:i/>
              </w:rPr>
              <w:t>30. Juni 2023, vom</w:t>
            </w:r>
            <w:r>
              <w:t xml:space="preserve"> 23. Juni 2022</w:t>
            </w:r>
            <w:r>
              <w:rPr>
                <w:b/>
                <w:i/>
              </w:rPr>
              <w:t>,</w:t>
            </w:r>
            <w:r>
              <w:t xml:space="preserve"> vom 24. Juni 2021 </w:t>
            </w:r>
            <w:r>
              <w:rPr>
                <w:b/>
                <w:i/>
              </w:rPr>
              <w:t>und vom 12. Dezember 2019</w:t>
            </w:r>
            <w:r>
              <w:t xml:space="preserve"> sowie auf alle früheren einschlägigen Schlussfolgerungen des Rates und des Europäischen Rates,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unter Hinweis auf die Schlussfolgerungen des Europäischen Rates vom 17. und 18. April 2024, vom 23. Juni 2022 und vom 24. Juni 2021 sowie auf alle früheren einschlägigen Schlussfolgerungen des Rates und des Europäischen Rates,</w:t>
            </w:r>
          </w:p>
        </w:tc>
        <w:tc>
          <w:tcPr>
            <w:tcW w:w="4876" w:type="dxa"/>
            <w:tcBorders>
              <w:top w:val="nil"/>
              <w:left w:val="nil"/>
              <w:bottom w:val="nil"/>
              <w:right w:val="nil"/>
            </w:tcBorders>
          </w:tcPr>
          <w:p>
            <w:pPr>
              <w:pStyle w:val="Normal6a"/>
            </w:pPr>
            <w:r>
              <w:rPr>
                <w:b/>
                <w:i/>
              </w:rPr>
              <w:t>–</w:t>
            </w:r>
            <w:r>
              <w:tab/>
            </w:r>
            <w:r>
              <w:t>unter Hinweis auf die Schlussfolgerungen des Europäischen Rates vom 17. und 18. April 2024</w:t>
            </w:r>
            <w:r>
              <w:rPr>
                <w:b/>
                <w:i/>
              </w:rPr>
              <w:t>, vom 30. Juni 2023</w:t>
            </w:r>
            <w:r>
              <w:t>, vom 23. Juni 2022 und vom 24. Juni 2021 sowie auf alle früheren einschlägigen Schlussfolgerungen des Rates und des Europäischen Rates,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unter Hinweis auf die Schlussfolgerungen des Europäischen Rates vom 17. und 18. April 2024, vom 23. Juni 2022 und vom 24. Juni 2021 sowie auf alle früheren einschlägigen Schlussfolgerungen des Rates und des Europäischen Rates,</w:t>
            </w:r>
          </w:p>
        </w:tc>
        <w:tc>
          <w:tcPr>
            <w:tcW w:w="4876" w:type="dxa"/>
            <w:tcBorders>
              <w:top w:val="nil"/>
              <w:left w:val="nil"/>
              <w:bottom w:val="nil"/>
              <w:right w:val="nil"/>
            </w:tcBorders>
          </w:tcPr>
          <w:p>
            <w:pPr>
              <w:pStyle w:val="Normal6a"/>
            </w:pPr>
            <w:r>
              <w:rPr>
                <w:b/>
                <w:i/>
              </w:rPr>
              <w:t>–</w:t>
            </w:r>
            <w:r>
              <w:tab/>
            </w:r>
            <w:r>
              <w:t>unter Hinweis auf die Schlussfolgerungen des Europäischen Rates vom 17. und 18. April 2024</w:t>
            </w:r>
            <w:r>
              <w:rPr>
                <w:b/>
                <w:i/>
              </w:rPr>
              <w:t>, vom 30. Juni 2023</w:t>
            </w:r>
            <w:r>
              <w:t>, vom 23. Juni 2022 und vom 24. Juni 2021 sowie auf alle früheren einschlägigen Schlussfolgerungen des Rates und des Europäischen Rates,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unter Hinweis auf die Schlussfolgerungen des Europäischen Rates vom 17. und 18. April 2024, vom 23. Juni 2022 und vom 24. Juni 2021 sowie auf alle früheren einschlägigen Schlussfolgerungen des Rates und des Europäischen Rates,</w:t>
            </w:r>
          </w:p>
        </w:tc>
        <w:tc>
          <w:tcPr>
            <w:tcW w:w="4876" w:type="dxa"/>
            <w:tcBorders>
              <w:top w:val="nil"/>
              <w:left w:val="nil"/>
              <w:bottom w:val="nil"/>
              <w:right w:val="nil"/>
            </w:tcBorders>
          </w:tcPr>
          <w:p>
            <w:pPr>
              <w:pStyle w:val="Normal6a"/>
            </w:pPr>
            <w:r>
              <w:rPr>
                <w:b/>
                <w:i/>
              </w:rPr>
              <w:t>–</w:t>
            </w:r>
            <w:r>
              <w:tab/>
            </w:r>
            <w:r>
              <w:t>unter Hinweis auf die Schlussfolgerungen des Europäischen Rates vom 17. und 18. April 2024</w:t>
            </w:r>
            <w:r>
              <w:rPr>
                <w:b/>
                <w:i/>
              </w:rPr>
              <w:t>, vom 30. Juni 2023</w:t>
            </w:r>
            <w:r>
              <w:t>, vom 23. Juni 2022 und vom 24. Juni 2021 sowie auf alle früheren einschlägigen Schlussfolgerungen des Rates und des Europäischen Rates,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unter Hinweis auf die Schlussfolgerungen des Europäischen Rates vom 17. und 18. April 2024, vom 23. Juni 2022 und vom 24. Juni 2021 sowie auf alle früheren einschlägigen Schlussfolgerungen des Rates und des Europäischen Rates,</w:t>
            </w:r>
          </w:p>
        </w:tc>
        <w:tc>
          <w:tcPr>
            <w:tcW w:w="4876" w:type="dxa"/>
            <w:tcBorders>
              <w:top w:val="nil"/>
              <w:left w:val="nil"/>
              <w:bottom w:val="nil"/>
              <w:right w:val="nil"/>
            </w:tcBorders>
          </w:tcPr>
          <w:p>
            <w:pPr>
              <w:pStyle w:val="Normal6a"/>
            </w:pPr>
            <w:r>
              <w:rPr>
                <w:b/>
                <w:i/>
              </w:rPr>
              <w:t>–</w:t>
            </w:r>
            <w:r>
              <w:tab/>
            </w:r>
            <w:r>
              <w:t>unter Hinweis auf die Schlussfolgerungen des Europäischen Rates vom 17. und 18. April 2024</w:t>
            </w:r>
            <w:r>
              <w:rPr>
                <w:b/>
                <w:i/>
              </w:rPr>
              <w:t>, vom 30. Juni 2022</w:t>
            </w:r>
            <w:r>
              <w:t>, vom 23. Juni 2022 und vom 24. Juni 2021 sowie auf alle früheren einschlägigen Schlussfolgerungen des Rates und des Europäischen Rates,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Gemeinsamen Standpunkt 2008/944/GASP des Rates betreffend die Ausfuhr von Waffen, die für interne Repressionen und für Angriffe gegen Drittländer eingesetzt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Mitgliedschaft der Türkei im Europarat und in der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Abkommen zwischen der Europäischen Union und der Republik Türkei über die Rückübernahme von Personen mit unbefugtem Aufenthalt (Rückübernahmeabkommen zwischen der EU und der Türkei),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Abkommen zwischen der Europäischen Union und der Republik Türkei über die Rückübernahme von Personen mit unbefugtem Aufenthalt (Rückübernahmeabkommen zwischen der EU und der Türkei),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unter Hinweis auf den Verhandlungsrahmen der EU für die Türkei vom 3. Oktober 2005,</w:t>
            </w:r>
          </w:p>
        </w:tc>
        <w:tc>
          <w:tcPr>
            <w:tcW w:w="4876" w:type="dxa"/>
            <w:tcBorders>
              <w:top w:val="nil"/>
              <w:left w:val="nil"/>
              <w:bottom w:val="nil"/>
              <w:right w:val="nil"/>
            </w:tcBorders>
          </w:tcPr>
          <w:p>
            <w:pPr>
              <w:pStyle w:val="Normal6a"/>
            </w:pPr>
            <w:r>
              <w:rPr>
                <w:b/>
                <w:i/>
              </w:rPr>
              <w:t>–</w:t>
            </w:r>
            <w:r>
              <w:tab/>
            </w:r>
            <w:r>
              <w:t xml:space="preserve">unter Hinweis auf den Verhandlungsrahmen der EU für die Türkei vom 3. Oktober 2005 </w:t>
            </w:r>
            <w:r>
              <w:rPr>
                <w:b/>
                <w:i/>
              </w:rPr>
              <w:t>sowie auf die darin enthaltene Auflage, dass der potenzielle Beitritt der Türkei zur EU – wie bei allen Bewerberländern – unter anderem von der vollständigen Einhaltung der Kopenhagener Kriterien und der Normalisierung ihrer Beziehungen zu allen Mitgliedstaaten der Union, einschließlich der Republik Zypern, abhängig gemacht wird</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unter Hinweis auf den Verhandlungsrahmen </w:t>
            </w:r>
            <w:r>
              <w:rPr>
                <w:b/>
                <w:i/>
              </w:rPr>
              <w:t>der EU</w:t>
            </w:r>
            <w:r>
              <w:t xml:space="preserve"> für die Türkei vom 3. Oktober 2005,</w:t>
            </w:r>
          </w:p>
        </w:tc>
        <w:tc>
          <w:tcPr>
            <w:tcW w:w="4876" w:type="dxa"/>
            <w:tcBorders>
              <w:top w:val="nil"/>
              <w:left w:val="nil"/>
              <w:bottom w:val="nil"/>
              <w:right w:val="nil"/>
            </w:tcBorders>
          </w:tcPr>
          <w:p>
            <w:pPr>
              <w:pStyle w:val="Normal6a"/>
            </w:pPr>
            <w:r>
              <w:rPr>
                <w:b/>
                <w:i/>
              </w:rPr>
              <w:t>–</w:t>
            </w:r>
            <w:r>
              <w:tab/>
            </w:r>
            <w:r>
              <w:t xml:space="preserve">unter Hinweis auf den Verhandlungsrahmen für die Türkei vom 3. Oktober 2005 </w:t>
            </w:r>
            <w:r>
              <w:rPr>
                <w:b/>
                <w:i/>
              </w:rPr>
              <w:t>sowie auf das darin enthaltene Mandat, dass ein möglicher Beitritt der Türkei zur EU wie bei allen Bewerberländern unter anderem von der vollständigen Einhaltung der Kopenhagener Kriterien und der Normalisierung der Beziehungen des Landes zu allen Mitgliedstaaten der Union, einschließlich der Republik Zypern, abhängig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unter Hinweis auf den Verhandlungsrahmen </w:t>
            </w:r>
            <w:r>
              <w:rPr>
                <w:b/>
                <w:i/>
              </w:rPr>
              <w:t>der EU</w:t>
            </w:r>
            <w:r>
              <w:t xml:space="preserve"> für die Türkei vom 3. Oktober 2005,</w:t>
            </w:r>
          </w:p>
        </w:tc>
        <w:tc>
          <w:tcPr>
            <w:tcW w:w="4876" w:type="dxa"/>
            <w:tcBorders>
              <w:top w:val="nil"/>
              <w:left w:val="nil"/>
              <w:bottom w:val="nil"/>
              <w:right w:val="nil"/>
            </w:tcBorders>
          </w:tcPr>
          <w:p>
            <w:pPr>
              <w:pStyle w:val="Normal6a"/>
            </w:pPr>
            <w:r>
              <w:rPr>
                <w:b/>
                <w:i/>
              </w:rPr>
              <w:t>–</w:t>
            </w:r>
            <w:r>
              <w:tab/>
            </w:r>
            <w:r>
              <w:t xml:space="preserve">unter Hinweis auf den Verhandlungsrahmen für die Türkei vom 3. Oktober 2005 </w:t>
            </w:r>
            <w:r>
              <w:rPr>
                <w:b/>
                <w:i/>
              </w:rPr>
              <w:t>sowie auf das darin enthaltene Mandat, dass ein möglicher Beitritt der Türkei zur EU wie bei allen Bewerberländern unter anderem von der vollständigen Einhaltung der Kopenhagener Kriterien und der Normalisierung der Beziehungen des Landes zu allen Mitgliedstaaten der Union, einschließlich der Republik Zypern, abhängig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unter Hinweis auf den Verhandlungsrahmen </w:t>
            </w:r>
            <w:r>
              <w:rPr>
                <w:b/>
                <w:i/>
              </w:rPr>
              <w:t>der EU</w:t>
            </w:r>
            <w:r>
              <w:t xml:space="preserve"> für die Türkei vom 3. Oktober 2005,</w:t>
            </w:r>
          </w:p>
        </w:tc>
        <w:tc>
          <w:tcPr>
            <w:tcW w:w="4876" w:type="dxa"/>
            <w:tcBorders>
              <w:top w:val="nil"/>
              <w:left w:val="nil"/>
              <w:bottom w:val="nil"/>
              <w:right w:val="nil"/>
            </w:tcBorders>
          </w:tcPr>
          <w:p>
            <w:pPr>
              <w:pStyle w:val="Normal6a"/>
            </w:pPr>
            <w:r>
              <w:rPr>
                <w:b/>
                <w:i/>
              </w:rPr>
              <w:t>–</w:t>
            </w:r>
            <w:r>
              <w:tab/>
            </w:r>
            <w:r>
              <w:t xml:space="preserve">unter Hinweis auf den Verhandlungsrahmen für die Türkei vom 3. Oktober 2005 </w:t>
            </w:r>
            <w:r>
              <w:rPr>
                <w:b/>
                <w:i/>
              </w:rPr>
              <w:t>und auf die Notwendigkeit, die Kopenhagener Kriterien, die nach wie vor eine Voraussetzung für den erfolgreichen Abschluss eines Beitrittsprozesses sind, vollständig einzuhalten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Erklärung der Europäischen Gemeinschaft und ihrer Mitgliedstaaten vom 21. September 2005 im Anschluss an die Erklärung, die die Türkei bei der Unterzeichnung des Zusatzprotokolls zum Abkommen von Ankara am 29. Juli 2005 abgegeben hat, zu der die Bestimmung gehört, dass die Anerkennung aller Mitgliedstaaten notwendiger Bestandteil der Verhandlungen ist, und unter Hinweis darauf, dass die Türkei die Normalisierung ihrer Beziehungen zu allen Mitgliedstaaten vorantreiben und das Zusatzprotokoll zum Abkommen von Ankara in Bezug auf alle Mitgliedstaaten vollständig umsetzen muss, indem sie alle Hindernisse für den freien Warenverkehr, einschließlich der Beschränkungen im Bereich der Transportmittel, ohne Einschränkungen oder Diskriminierung beseitigt,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Erklärung der Europäischen Gemeinschaft und ihrer Mitgliedstaaten vom 21. September 2005 im Anschluss an die Erklärung, die die Türkei bei der Unterzeichnung des Zusatzprotokolls zum Abkommen von Ankara am 29. Juli 2005 abgegeben hat, zu der die Bestimmung gehört, dass die Anerkennung aller Mitgliedstaaten notwendiger Bestandteil der Verhandlungen ist, und unter Hinweis darauf, dass die Türkei die Normalisierung ihrer Beziehungen zu allen Mitgliedstaaten vorantreiben und das Zusatzprotokoll zum Abkommen von Ankara in Bezug auf alle Mitgliedstaaten vollständig umsetzen muss, indem sie alle Hindernisse für den freien Warenverkehr, einschließlich der Beschränkungen im Bereich der Transportmittel, ohne Einschränkungen oder Diskriminierung beseitigt,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Erklärung der damaligen Europäischen Gemeinschaft und ihrer Mitgliedstaaten vom 21. September 2005 im Anschluss an die einseitige Erklärung, die die Türkei bei der Unterzeichnung des Zusatzprotokolls zum Abkommen von Ankara am 29. Juli 2005 abgegeben hat, in der die Bestimmung festgelegt ist, dass die Anerkennung aller Mitgliedstaaten notwendiger Bestandteil der Verhandlungen ist, und unter Hinweis darauf, dass die Türkei die Normalisierung ihrer Beziehungen zu allen Mitgliedstaaten vorantreiben und das Zusatzprotokoll zum Abkommen von Ankara in Bezug auf alle Mitgliedstaaten vollständig umsetzen muss, indem sie alle Hindernisse für den freien Warenverkehr, einschließlich der Beschränkungen im Bereich der Transportmittel, ohne Einschränkungen oder Diskriminierung beseitigt,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Erklärung der damaligen Europäischen Gemeinschaft und ihrer Mitgliedstaaten vom 21. September 2005, die im Anschluss an die Erklärung, die die Türkei bei der Unterzeichnung des Zusatzprotokolls zum Abkommen von Ankara am 29. Juli 2005 abgegeben hat, veröffentlicht wurde und in der unter anderem festgelegt ist, dass die Anerkennung aller Mitgliedstaaten ebenso ein unerlässlicher Bestandteil der Verhandlungen ist wie auch die vollständige Umsetzung des Zusatzprotokolls zum Abkommen von Ankara in Bezug auf alle Mitgliedstaaten, indem alle Hindernisse für den freien Warenverkehr, einschließlich der Beschränkungen im Bereich der Transportmittel, ohne Einschränkung oder Diskriminierung beseitigt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Erklärung der damaligen Europäischen Gemeinschaft und ihrer Mitgliedstaaten vom 21. September 2005, die im Anschluss an die Erklärung, die die Türkei bei der Unterzeichnung des Zusatzprotokolls zum Abkommen von Ankara am 29. Juli 2005 abgegeben hat, veröffentlicht wurde und in der unter anderem festgelegt ist, dass die Anerkennung aller Mitgliedstaaten ebenso ein unerlässlicher Bestandteil der Verhandlungen ist wie auch die vollständige Umsetzung des Zusatzprotokolls zum Abkommen von Ankara in Bezug auf alle Mitgliedstaaten, indem alle Hindernisse für den freien Warenverkehr, einschließlich der Beschränkungen im Bereich der Transportmittel, ohne Einschränkung oder Diskriminierung beseitigt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Schlussfolgerungen des Rates vom Dezember 2006 und März 2020 und die Schlussfolgerungen des Vorsitzes des Europäischen Rates von Kopenhagen vom 21./22. Juni 1993, auch bekannt als Kopenhagener Kriterien,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Schlussfolgerungen des Rates vom 17. Dezember 2024 und vom 12. Dezember 2023 zur Erweiterung,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Schlussfolgerungen des Rates von 2018, 2019, 2021 und 2022, in denen der Rat feststellt, dass die Beitrittsverhandlungen praktisch zum Stillstand gekommen sind, die Öffnung bzw. der Abschluss weiterer Kapitel nicht in Betracht gezogen werden kann und keine weiteren Arbeiten zur Modernisierung der Zollunion EU-Türkei vorgesehen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Entschließung 2459 (2022) der Parlamentarischen Versammlung des Europarats vom 12. Oktober 2022 mit dem Titel „The honouring of obligations and commitments by Türkiye“ (Einhaltung der von der Türkei eingegangenen Pflichten und Verpflichtungen) und den entsprechenden Bericht ihres Begleitausschusses vom 14. September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internationale Seerecht und das Seerechtsübereinkommen der Vereinten Nationen, in denen die Grundsätze des Völkergewohnheitsrechts enthalten sind und die für alle Staaten, auch für die Türkei, rechtsverbindlich sind, auch wenn sie kein Vertragsstaat des Übereinkommens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29. Februar 2024 zur Vertiefung der EU-Integration im Hinblick auf eine künftige Erweiterung,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von der EU am 11. November 2019 aufgrund der rechtswidrigen Bohrtätigkeiten der Türkei im östlichen Mittelmeer festgelegten Rahmen für restriktive Maßnahmen, der am 12. November 2020 und am 12. November 2021 und zuletzt durch den Beschluss (GASP) 2024/2936 des Rates vom 25. November 2024 verlängert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Seerechtsübereinkommen der Vereinten Nationen (UNCLOS),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unter Hinweis auf die </w:t>
            </w:r>
            <w:r>
              <w:rPr>
                <w:b/>
                <w:i/>
              </w:rPr>
              <w:t>gemeinsame Mitteilung</w:t>
            </w:r>
            <w:r>
              <w:t xml:space="preserve"> der Kommission und des Hohen Vertreters der Union für Außen- und Sicherheitspolitik an den Europäischen Rat vom 29. November 2023 über den aktuellen Stand der politischen, wirtschaftlichen und Handelsbeziehungen zwischen der EU und der Türkei (JOIN(2023)0050),</w:t>
            </w:r>
          </w:p>
        </w:tc>
        <w:tc>
          <w:tcPr>
            <w:tcW w:w="4876" w:type="dxa"/>
            <w:tcBorders>
              <w:top w:val="nil"/>
              <w:left w:val="nil"/>
              <w:bottom w:val="nil"/>
              <w:right w:val="nil"/>
            </w:tcBorders>
          </w:tcPr>
          <w:p>
            <w:pPr>
              <w:pStyle w:val="Normal6a"/>
            </w:pPr>
            <w:r>
              <w:rPr>
                <w:b/>
                <w:i/>
              </w:rPr>
              <w:t>–</w:t>
            </w:r>
            <w:r>
              <w:tab/>
            </w:r>
            <w:r>
              <w:t xml:space="preserve">unter Hinweis auf die </w:t>
            </w:r>
            <w:r>
              <w:rPr>
                <w:b/>
                <w:i/>
              </w:rPr>
              <w:t>gemeinsamen Mitteilungen</w:t>
            </w:r>
            <w:r>
              <w:t xml:space="preserve"> der Kommission und des Hohen Vertreters der Union für Außen- und Sicherheitspolitik an den Europäischen Rat vom 29. November 2023 </w:t>
            </w:r>
            <w:r>
              <w:rPr>
                <w:b/>
                <w:i/>
              </w:rPr>
              <w:t>und vom 22. März 2021</w:t>
            </w:r>
            <w:r>
              <w:t xml:space="preserve"> über den aktuellen Stand der politischen, wirtschaftlichen und Handelsbeziehungen zwischen der EU und der Türkei (JOIN(2023)0050</w:t>
            </w:r>
            <w:r>
              <w:rPr>
                <w:b/>
                <w:i/>
              </w:rPr>
              <w:t>) und (JOIN(2021)0008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unter Hinweis auf die Mitteilung der Kommission vom </w:t>
            </w:r>
            <w:r>
              <w:rPr>
                <w:b/>
                <w:i/>
              </w:rPr>
              <w:t>26. September 2023</w:t>
            </w:r>
            <w:r>
              <w:t xml:space="preserve"> mit dem Titel „</w:t>
            </w:r>
            <w:r>
              <w:rPr>
                <w:b/>
                <w:i/>
              </w:rPr>
              <w:t>Siebter</w:t>
            </w:r>
            <w:r>
              <w:t xml:space="preserve"> Jahresbericht über die Fazilität für Flüchtlinge in der Türkei“ (</w:t>
            </w:r>
            <w:r>
              <w:rPr>
                <w:b/>
                <w:i/>
              </w:rPr>
              <w:t>COM(2023)0543</w:t>
            </w:r>
            <w:r>
              <w:t>),</w:t>
            </w:r>
          </w:p>
        </w:tc>
        <w:tc>
          <w:tcPr>
            <w:tcW w:w="4876" w:type="dxa"/>
            <w:tcBorders>
              <w:top w:val="nil"/>
              <w:left w:val="nil"/>
              <w:bottom w:val="nil"/>
              <w:right w:val="nil"/>
            </w:tcBorders>
          </w:tcPr>
          <w:p>
            <w:pPr>
              <w:pStyle w:val="Normal6a"/>
            </w:pPr>
            <w:r>
              <w:rPr>
                <w:b/>
                <w:i/>
              </w:rPr>
              <w:t>–</w:t>
            </w:r>
            <w:r>
              <w:tab/>
            </w:r>
            <w:r>
              <w:t xml:space="preserve">unter Hinweis auf die Mitteilung der Kommission vom </w:t>
            </w:r>
            <w:r>
              <w:rPr>
                <w:b/>
                <w:i/>
              </w:rPr>
              <w:t>19. Dezember 2024</w:t>
            </w:r>
            <w:r>
              <w:t xml:space="preserve"> mit dem Titel „</w:t>
            </w:r>
            <w:r>
              <w:rPr>
                <w:b/>
                <w:i/>
              </w:rPr>
              <w:t>Achter</w:t>
            </w:r>
            <w:r>
              <w:t xml:space="preserve"> Jahresbericht über die Fazilität für Flüchtlinge in der Türkei“ (</w:t>
            </w:r>
            <w:r>
              <w:rPr>
                <w:b/>
                <w:i/>
              </w:rPr>
              <w:t>COM(2024)0593</w:t>
            </w:r>
            <w:r>
              <w:t xml:space="preserve">) </w:t>
            </w:r>
            <w:r>
              <w:rPr>
                <w:b/>
                <w:i/>
              </w:rPr>
              <w:t>final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am 11. November 2019 aufgrund der rechtswidrigen Bohrtätigkeiten der Türkei im östlichen Mittelmeer von der EU festgelegten Rahmen für restriktive Maßnahmen, der zuletzt durch den Beschluss (GASP) 2024/2936 des Rates vom 25. November 2024 zur Änderung des Beschlusses (GASP) 2019/1894 des Rates über restriktive Maßnahmen angesichts der nicht genehmigten Bohrtätigkeiten der Türkei im östlichen Mittelmeer verlängert wurde,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von der EU am 11. November 2019 als Reaktion auf die rechtswidrigen Bohrtätigkeiten der Türkei im östlichen Mittelmeer festgelegten Rahmen für restriktive Maßnahmen, der zuletzt durch den Beschluss (GASP) 2024/2936 des Rates vom 25. November 2024 zur Änderung des Beschlusses (GASP) 2019/1894 des Rates über restriktive Maßnahmen angesichts der nicht genehmigten Bohrtätigkeiten der Türkei im östlichen Mittelmeer verlängert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von der EU am 11. November 2019 als Reaktion auf die rechtswidrigen Bohrtätigkeiten der Türkei im östlichen Mittelmeer festgelegten Rahmen für restriktive Maßnahmen, der zuletzt durch den Beschluss (GASP) 2024/2936 des Rates vom 25. November 2024 zur Änderung des Beschlusses (GASP) 2019/1894 des Rates über restriktive Maßnahmen angesichts der nicht genehmigten Bohrtätigkeiten der Türkei im östlichen Mittelmeer verlängert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von der EU am 11. November 2019 als Reaktion auf die rechtswidrigen Bohrtätigkeiten der Türkei im östlichen Mittelmeer festgelegten Rahmen für restriktive Maßnahmen, der zuletzt durch den Beschluss (GASP) 2024/2936 des Rates vom 25. November 2024 zur Änderung des Beschlusses (GASP) 2019/1894 des Rates über restriktive Maßnahmen angesichts der nicht genehmigten Bohrtätigkeiten der Türkei im östlichen Mittelmeer verlängert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Entschließung 2459 (2022) der Parlamentarischen Versammlung des Europarats vom 12. Oktober 2022 mit dem Titel „The honouring of obligations and commitments by Türkiye“ (Einhaltung der von der Türkei eingegangenen Pflichten und Verpflichtungen),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Sonderbericht des Europäischen Rechnungshofs aus dem Jahr 2024 über die Fazilität für Flüchtlinge in der Türkei,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Entschließung 2459 (2022) der Parlamentarischen Versammlung des Europarats vom 12. Oktober 2022 mit dem Titel „The honouring of obligations and commitments by Türkiye“ (Einhaltung der von der Türkei eingegangenen Pflichten und Verpflichtungen) und den entsprechenden Bericht ihres Begleitausschusses vom 14. September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Artikel 46 der Europäischen Menschenrechtskonvention (EMRK), wonach die Vertragsparteien verpflichtet sind, in allen Rechtssachen, in denen sie Partei sind, das endgültige Urteil des Europäischen Gerichtshofs für Menschenrechte (EGMR) zu befolgen, woraus sich die Verpflichtung der Türkei ergibt, alle Urteile des EGMR umzusetzen,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unter Hinweis auf Artikel 46 der Europäischen Menschenrechtskonvention (EMRK), wonach die Vertragsparteien verpflichtet sind, in allen Rechtssachen, in denen sie Partei sind, das endgültige Urteil des Europäischen Gerichtshofs für Menschenrechte (EGMR) zu befolgen, woraus sich die Verpflichtung der Türkei ergibt, alle Urteile des EGMR umzusetzen,</w:t>
            </w:r>
          </w:p>
        </w:tc>
        <w:tc>
          <w:tcPr>
            <w:tcW w:w="4876" w:type="dxa"/>
            <w:tcBorders>
              <w:top w:val="nil"/>
              <w:left w:val="nil"/>
              <w:bottom w:val="nil"/>
              <w:right w:val="nil"/>
            </w:tcBorders>
          </w:tcPr>
          <w:p>
            <w:pPr>
              <w:pStyle w:val="Normal6a"/>
            </w:pPr>
            <w:r>
              <w:rPr>
                <w:b/>
                <w:i/>
              </w:rPr>
              <w:t>–</w:t>
            </w:r>
            <w:r>
              <w:tab/>
            </w:r>
            <w:r>
              <w:t xml:space="preserve">unter Hinweis auf Artikel 46 der Europäischen Menschenrechtskonvention (EMRK), wonach die Vertragsparteien verpflichtet sind, in allen Rechtssachen, in denen sie Partei sind, das endgültige Urteil des Europäischen Gerichtshofs für Menschenrechte (EGMR) zu befolgen, woraus sich die Verpflichtung der Türkei ergibt, alle Urteile des EGMR </w:t>
            </w:r>
            <w:r>
              <w:rPr>
                <w:b/>
                <w:i/>
              </w:rPr>
              <w:t>und die Urteile aller europäischen Gerichte</w:t>
            </w:r>
            <w:r>
              <w:t xml:space="preserve"> umzusetzen,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einschlägigen Resolutionen des Sicherheitsrats der Vereinten Nationen zu Zypern, einschließlich der Resolution 186(1964) vom 4. März 1964, in der die Souveränität der Republik Zypern nochmals bekräftigt wird, der Resolution 550(1984) vom 11. Mai 1984 zu sezessionistischen Aktivitäten in Zypern und der Resolution 789(1992) vom 25. November 1992, in der alle an der Zypernfrage beteiligten Parteien dringend aufgefordert werden, sich hinter die in der Resolution aufgeführten vertrauensbildenden Maßnahmen zu stellen, wonach alle Versuche der Besiedelung von Teilen von Varosia durch andere Personen als die Ortseinwohner als unzulässig gelten, und mit der gefordert wird, dieses Gebiet der Verwaltung der Vereinten Nationen zu unterstellen,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einschlägigen Resolutionen des Sicherheitsrats der Vereinten Nationen zu Zypern, einschließlich der Resolution 186(1964) vom 4. März 1964, in der die Souveränität der Republik Zypern nochmals bekräftigt wird, der Resolution 550(1984) vom 11. Mai 1984 zu sezessionistischen Aktivitäten in Zypern und der Resolution 789(1992) vom 25. November 1992, in der alle an der Zypernfrage beteiligten Parteien dringend aufgefordert werden, sich hinter die in der Resolution aufgeführten vertrauensbildenden Maßnahmen zu stellen, wonach alle Versuche der Besiedelung von Teilen von Varosia durch andere Personen als die Ortseinwohner als unzulässig gelten, und mit der gefordert wird, dieses Gebiet der Verwaltung der Vereinten Nationen zu unterstellen,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einschlägigen Resolutionen des Sicherheitsrats der Vereinten Nationen zu Zypern, darunter die Resolution 186 (1964) vom 4. März 1964, in der die Souveränität der Republik Zypern bekräftigt wird, und die Resolution 550 (1984) vom 11. Mai 1984 zu sezessionistischen Aktivitäten auf Zypern, in der jeder Versuch, auf dem Gebiet von Varosha andere Menschen als seine Einwohner anzusiedeln, als unzulässig erachtet wird,</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Erklärungen des Hohen Vertreters und Vizepräsidenten Josep Borrell vom 7. November 2024 zu den Versuchen, die türkisch-zyprische Sezessionsbewegung zu legitimieren, und vom 6. Juli 2024 zur Teilnahme von Ministerpräsident Viktor Orbán am informellen Gipfeltreffen der Organisation der Turkstaaten,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Erklärungen des Hohen Vertreters und Vizepräsidenten Josep Borrell vom 7. November 2024 zu den Versuchen, die türkisch-zyprische Sezessionsbewegung zu legitimieren, und vom 6. Juli 2024 zur Teilnahme von Ministerpräsident Viktor Orbán am informellen Gipfeltreffen der Organisation der Turkstaaten,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Seerechtsübereinkommen der Vereinten Nationen (SRÜ), mit dem das Völkergewohnheitsrecht kodifiziert und für alle Staaten rechtsverbindlich wird,</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Seerechtsübereinkommen der Vereinten Nationen (SRÜ), mit dem das Völkergewohnheitsrecht kodifiziert und für alle Staaten rechtsverbindlich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Seerechtsübereinkommen der Vereinten Nationen (SRÜ), mit dem das Völkergewohnheitsrecht kodifiziert und für alle Staaten rechtsverbindlich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insbesondere auf das Urteil des Europäischen Gerichtshofs für Menschenrechte (EGMR) vom 10. Mai 2001,</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unter Hinweis auf die einschlägigen Entschließungen des Ministerkomitees des Europarats,</w:t>
            </w:r>
          </w:p>
        </w:tc>
        <w:tc>
          <w:tcPr>
            <w:tcW w:w="4876" w:type="dxa"/>
            <w:tcBorders>
              <w:top w:val="nil"/>
              <w:left w:val="nil"/>
              <w:bottom w:val="nil"/>
              <w:right w:val="nil"/>
            </w:tcBorders>
          </w:tcPr>
          <w:p>
            <w:pPr>
              <w:pStyle w:val="Normal6a"/>
            </w:pPr>
            <w:r>
              <w:rPr>
                <w:b/>
                <w:i/>
              </w:rPr>
              <w:t>–</w:t>
            </w:r>
            <w:r>
              <w:tab/>
            </w:r>
            <w:r>
              <w:t xml:space="preserve">unter Hinweis auf die einschlägigen Entschließungen des Ministerkomitees des Europarats, </w:t>
            </w:r>
            <w:r>
              <w:rPr>
                <w:b/>
                <w:i/>
              </w:rPr>
              <w:t>einschließlich der Interimsentschließung vom 16. September 2021 zur Vollstreckung des Urteils des Europäischen Gerichtshofs für Menschenrechte in der Rechtssache Zypern/</w:t>
            </w:r>
            <w:r>
              <w:t xml:space="preserve"> </w:t>
            </w:r>
            <w:r>
              <w:rPr>
                <w:b/>
                <w:i/>
              </w:rPr>
              <w:t>Türkei,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Lucia Yar, Hilde Vautmans, Dan Barna, Nathalie Loiseau, Petras Auštrevičius,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unter Hinweis auf den von Freedom House veröffentlichten Bericht von </w:t>
            </w:r>
            <w:r>
              <w:rPr>
                <w:b/>
                <w:i/>
              </w:rPr>
              <w:t>2024</w:t>
            </w:r>
            <w:r>
              <w:t xml:space="preserve"> mit dem Titel „Freedom in the World“ (</w:t>
            </w:r>
            <w:r>
              <w:rPr>
                <w:b/>
                <w:i/>
              </w:rPr>
              <w:t>Frieden</w:t>
            </w:r>
            <w:r>
              <w:t xml:space="preserve"> in der Welt),</w:t>
            </w:r>
          </w:p>
        </w:tc>
        <w:tc>
          <w:tcPr>
            <w:tcW w:w="4876" w:type="dxa"/>
            <w:tcBorders>
              <w:top w:val="nil"/>
              <w:left w:val="nil"/>
              <w:bottom w:val="nil"/>
              <w:right w:val="nil"/>
            </w:tcBorders>
          </w:tcPr>
          <w:p>
            <w:pPr>
              <w:pStyle w:val="Normal6a"/>
            </w:pPr>
            <w:r>
              <w:rPr>
                <w:b/>
                <w:i/>
              </w:rPr>
              <w:t>–</w:t>
            </w:r>
            <w:r>
              <w:tab/>
            </w:r>
            <w:r>
              <w:t xml:space="preserve">unter Hinweis auf den von Freedom House veröffentlichten Bericht von </w:t>
            </w:r>
            <w:r>
              <w:rPr>
                <w:b/>
                <w:i/>
              </w:rPr>
              <w:t>2025</w:t>
            </w:r>
            <w:r>
              <w:t xml:space="preserve"> mit dem Titel „Freedom in the World“ (</w:t>
            </w:r>
            <w:r>
              <w:rPr>
                <w:b/>
                <w:i/>
              </w:rPr>
              <w:t>Freiheit</w:t>
            </w:r>
            <w:r>
              <w:t xml:space="preserve"> in der Welt),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Lucia Yar, Hilde Vautmans, Dan Barna, Nathalie Loiseau, Petras Auštrevičius,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Globalen Bericht über das geschlechtsbedingte Gefälle von 2024, der vom Weltwirtschaftsforum veröffentlicht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Yannis Maniatis, Costas Mavrides,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Erklärung der UNESCO vom 10. Juli 2020 zur Änderung des Status der Hagia Sophia, einer Welterbestätte in Istanbul, und auf die einschlägigen Beschlüsse des UNESCO-Welterbekomitees 44 COM 7B.58 (2021) und 45 COM 7B.58 (2023), die jeweils auf seiner 44. und 45. Tagung angenommen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Erklärung der UNESCO vom 10. Juli 2020 zur Änderung des Status der Hagia Sophia in Istanbul und auf die einschlägigen Beschlüsse des UNESCO-Welterbekomitees 44 COM 7B.58 (2021) und 45 COM 7B.58 (2023), die jeweils auf seiner 44. und 45. Tagung angenommen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Erklärung der UNESCO vom 10. Juli 2020 zur Hagia Sophia,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unter Hinweis auf seine früheren Entschließungen zur Türkei, insbesondere die Entschließungen vom 13. September 2023 zu dem Bericht 2022 der Kommission über die Türkei</w:t>
            </w:r>
            <w:r>
              <w:rPr>
                <w:vertAlign w:val="superscript"/>
              </w:rPr>
              <w:t>1</w:t>
            </w:r>
            <w:r>
              <w:t>und vom 7. Juni 2022 zu dem Bericht 2021 der Kommission über die Türkei</w:t>
            </w:r>
            <w:r>
              <w:rPr>
                <w:vertAlign w:val="superscript"/>
              </w:rPr>
              <w:t>2</w:t>
            </w:r>
            <w:r>
              <w:t>sowie vom 26. November 2020 zu der Eskalation der Spannungen in Varosia nach dem rechtswidrigen Vorgehen der Türkei und zur dringend notwendigen Wiederaufnahme der Gespräche</w:t>
            </w:r>
            <w:r>
              <w:rPr>
                <w:vertAlign w:val="superscript"/>
              </w:rPr>
              <w:t>3</w:t>
            </w:r>
            <w:r>
              <w:t>,</w:t>
            </w:r>
          </w:p>
        </w:tc>
        <w:tc>
          <w:tcPr>
            <w:tcW w:w="4876" w:type="dxa"/>
            <w:tcBorders>
              <w:top w:val="nil"/>
              <w:left w:val="nil"/>
              <w:bottom w:val="nil"/>
              <w:right w:val="nil"/>
            </w:tcBorders>
          </w:tcPr>
          <w:p>
            <w:pPr>
              <w:pStyle w:val="Normal6a"/>
            </w:pPr>
            <w:r>
              <w:rPr>
                <w:b/>
                <w:i/>
              </w:rPr>
              <w:t>–</w:t>
            </w:r>
            <w:r>
              <w:tab/>
            </w:r>
            <w:r>
              <w:t xml:space="preserve">unter Hinweis auf seine früheren Entschließungen zur Türkei, insbesondere die Entschließungen vom </w:t>
            </w:r>
            <w:r>
              <w:rPr>
                <w:b/>
                <w:i/>
              </w:rPr>
              <w:t>15. April 2015 zu dem 100. Jahrestag des Völkermords an den Armeniern, vom</w:t>
            </w:r>
            <w:r>
              <w:t xml:space="preserve"> 13. September 2023 zu dem Bericht 2022 der Kommission über die Türkei</w:t>
            </w:r>
            <w:r>
              <w:rPr>
                <w:vertAlign w:val="superscript"/>
              </w:rPr>
              <w:t>1</w:t>
            </w:r>
            <w:r>
              <w:t xml:space="preserve"> und vom 7. Juni 2022 zu dem Bericht 2021 der Kommission über die Türkei</w:t>
            </w:r>
            <w:r>
              <w:rPr>
                <w:vertAlign w:val="superscript"/>
              </w:rPr>
              <w:t>2</w:t>
            </w:r>
            <w:r>
              <w:t xml:space="preserve"> sowie vom 26. November 2020 zu der Eskalation der Spannungen in Varosia nach dem rechtswidrigen Vorgehen der Türkei und zur dringend notwendigen Wiederaufnahme der Gespräche</w:t>
            </w:r>
            <w:r>
              <w:rPr>
                <w:vertAlign w:val="superscript"/>
              </w:rPr>
              <w:t>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ABl. C, C/2024/1760, 22.3.2024, ELI: http://data.europa.eu/eli/C/2024/1760/oj.</w:t>
            </w:r>
          </w:p>
        </w:tc>
        <w:tc>
          <w:tcPr>
            <w:tcW w:w="4876" w:type="dxa"/>
            <w:tcBorders>
              <w:top w:val="nil"/>
              <w:left w:val="nil"/>
              <w:bottom w:val="nil"/>
              <w:right w:val="nil"/>
            </w:tcBorders>
          </w:tcPr>
          <w:p>
            <w:pPr>
              <w:pStyle w:val="Normal6a"/>
            </w:pPr>
            <w:r>
              <w:rPr>
                <w:vertAlign w:val="superscript"/>
              </w:rPr>
              <w:t>1</w:t>
            </w:r>
            <w:r>
              <w:t xml:space="preserve"> </w:t>
            </w:r>
            <w:r>
              <w:t>ABl. C, C/2024/1760, 22.3.2024, ELI: http://data.europa.eu/eli/C/2024/1760/oj.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ABl. C 493 vom 27.12.2022, S. 2.</w:t>
            </w:r>
          </w:p>
        </w:tc>
        <w:tc>
          <w:tcPr>
            <w:tcW w:w="4876" w:type="dxa"/>
            <w:tcBorders>
              <w:top w:val="nil"/>
              <w:left w:val="nil"/>
              <w:bottom w:val="nil"/>
              <w:right w:val="nil"/>
            </w:tcBorders>
          </w:tcPr>
          <w:p>
            <w:pPr>
              <w:pStyle w:val="Normal6a"/>
            </w:pPr>
            <w:r>
              <w:rPr>
                <w:vertAlign w:val="superscript"/>
              </w:rPr>
              <w:t>2</w:t>
            </w:r>
            <w:r>
              <w:t xml:space="preserve"> </w:t>
            </w:r>
            <w:r>
              <w:t>ABl. C 493 vom 27.12.2022, S. 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ABl. C 425 vom 20.10.2021, S. 143.</w:t>
            </w:r>
          </w:p>
        </w:tc>
        <w:tc>
          <w:tcPr>
            <w:tcW w:w="4876" w:type="dxa"/>
            <w:tcBorders>
              <w:top w:val="nil"/>
              <w:left w:val="nil"/>
              <w:bottom w:val="nil"/>
              <w:right w:val="nil"/>
            </w:tcBorders>
          </w:tcPr>
          <w:p>
            <w:pPr>
              <w:pStyle w:val="Normal6a"/>
            </w:pPr>
            <w:r>
              <w:rPr>
                <w:vertAlign w:val="superscript"/>
              </w:rPr>
              <w:t>3</w:t>
            </w:r>
            <w:r>
              <w:t xml:space="preserve"> </w:t>
            </w:r>
            <w:r>
              <w:t>ABl. C 425 vom 20.10.2021, S. 143.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einschlägigen Resolutionen des Sicherheitsrats der Vereinten Nationen zu Zypern, einschließlich der Resolution 186 (1964), in der das Weiterbestehen der Republik Zypern bekräftigt wird, der Resolutionen 541 (1983) und 550 (1984) zu sezessionistischen Aktivitäten in Zypern und der Resolution 789 (1992), in der alle an der Zypernfrage beteiligten Parteien dringend aufgefordert werden, sich hinter die in der Resolution vorgeschriebenen vertrauensbildenden Maßnahmen zu stellen, und in der gleichzeitig der Standpunkt aus der Resolution 550 (1984) bekräftigt wird, dass jeder Versuch unzulässig ist, auf dem Gebiet von Varosia andere Menschen als seine Einwohner anzusiedeln, und in der gefordert wird, das Gebiet der Verwaltung der Vereinten Nationen zu unterstellen,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zentralen Grundsätze des Völkerrechts, die Charta der Vereinten Nationen, die von den politischen Oberhäuptern der beiden Volksgruppen geschlossene Vereinbarung auf hoher Ebene von 1979 sowie die einschlägigen Resolutionen des Sicherheitsrats der Vereinten Nationen zu Zypern, darunter die Resolutionen 541 (1983), 550 (1984), 789 (1992) und 2537 (2020),</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früheren Entschließungen, insbesondere die Entschließung vom 15. April 2015 zum 100. Jahrestag des Völkermords an den Armeniern und die Entschließung vom 13. Februar 2025 zu den jüngsten Amtsenthebungen und Verhaftungen von Bürgermeistern in der Türkei,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früheren Entschließungen, insbesondere die Entschließung vom 15. April 2015 zu dem 100. Jahrestag des Völkermords an den Armeniern und die Entschließung vom 13. Februar 2025 zu den jüngsten Amtsenthebungen und Verhaftungen von Bürgermeistern in der Türkei,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15. April 2015 zu dem 100. Jahrestag des Völkermords an den Armeniern,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Weigerung der Türkei, das Seerechtsübereinkommen der Vereinten Nationen (SRÜ) von 1982 zu unterzeichnen,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13. Februar 2025 zu den jüngsten Amtsenthebungen und Verhaftungen von Bürgermeistern in der Türkei,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15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Interimsentschließung vom 2. Dezember 2021 zur Vollstreckung des Urteils des Europäischen Gerichtshofes für Menschenrechte in der Rechtssache Selahattin Demirtaş / Türkei (Nr.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seine Entschließung vom 5. Mai 2022 zu dem Fall von Osman Kavala in der Türkei</w:t>
            </w:r>
            <w:r>
              <w:rPr>
                <w:b/>
                <w:i/>
                <w:vertAlign w:val="superscript"/>
              </w:rPr>
              <w:t>4</w:t>
            </w:r>
            <w:r>
              <w:rPr>
                <w:b/>
                <w:i/>
              </w:rPr>
              <w: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ABl.</w:t>
            </w:r>
            <w:r>
              <w:t xml:space="preserve"> </w:t>
            </w:r>
            <w:r>
              <w:rPr>
                <w:b/>
                <w:i/>
              </w:rPr>
              <w:t>C 465 vom 6.12.2022, S. 112.</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unter Hinweis auf seine Entschließung vom 10. Oktober 2024 zu dem Fall </w:t>
            </w:r>
            <w:r>
              <w:rPr>
                <w:b/>
                <w:i/>
              </w:rPr>
              <w:t>von</w:t>
            </w:r>
            <w:r>
              <w:t xml:space="preserve"> Bülent Mumay in der Türkei</w:t>
            </w:r>
            <w:r>
              <w:rPr>
                <w:vertAlign w:val="superscript"/>
              </w:rPr>
              <w:t>5</w:t>
            </w:r>
            <w:r>
              <w:t>,</w:t>
            </w:r>
          </w:p>
        </w:tc>
        <w:tc>
          <w:tcPr>
            <w:tcW w:w="4876" w:type="dxa"/>
            <w:tcBorders>
              <w:top w:val="nil"/>
              <w:left w:val="nil"/>
              <w:bottom w:val="nil"/>
              <w:right w:val="nil"/>
            </w:tcBorders>
          </w:tcPr>
          <w:p>
            <w:pPr>
              <w:pStyle w:val="Normal6a"/>
            </w:pPr>
            <w:r>
              <w:rPr>
                <w:b/>
                <w:i/>
              </w:rPr>
              <w:t>–</w:t>
            </w:r>
            <w:r>
              <w:tab/>
            </w:r>
            <w:r>
              <w:t xml:space="preserve">unter Hinweis auf seine Entschließung vom </w:t>
            </w:r>
            <w:r>
              <w:rPr>
                <w:b/>
                <w:i/>
              </w:rPr>
              <w:t>5. Mai 2022 zu dem Fall Osman Kavala in der Türkei</w:t>
            </w:r>
            <w:r>
              <w:t>4</w:t>
            </w:r>
            <w:r>
              <w:rPr>
                <w:b/>
                <w:i/>
              </w:rPr>
              <w:t>, auf seine Entschließung vom</w:t>
            </w:r>
            <w:r>
              <w:t xml:space="preserve"> 10. Oktober 2024 zu dem Fall Bülent Mumay in der Türkei</w:t>
            </w:r>
            <w:r>
              <w:rPr>
                <w:vertAlign w:val="superscript"/>
              </w:rPr>
              <w:t>5</w:t>
            </w:r>
            <w:r>
              <w:t xml:space="preserve">, </w:t>
            </w:r>
            <w:r>
              <w:rPr>
                <w:b/>
                <w:i/>
              </w:rPr>
              <w:t>und auf seine Entschließung vom 13. Februar 2025 zu den jüngsten Amtsenthebungen und Verhaftungen von Bürgermeistern in der Türkei,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Angenommene Texte, P10_TA(2024)0018.</w:t>
            </w:r>
          </w:p>
        </w:tc>
        <w:tc>
          <w:tcPr>
            <w:tcW w:w="4876" w:type="dxa"/>
            <w:tcBorders>
              <w:top w:val="nil"/>
              <w:left w:val="nil"/>
              <w:bottom w:val="nil"/>
              <w:right w:val="nil"/>
            </w:tcBorders>
          </w:tcPr>
          <w:p>
            <w:pPr>
              <w:pStyle w:val="Normal6a"/>
            </w:pPr>
            <w:r>
              <w:rPr>
                <w:vertAlign w:val="superscript"/>
              </w:rPr>
              <w:t>5</w:t>
            </w:r>
            <w:r>
              <w:t xml:space="preserve"> </w:t>
            </w:r>
            <w:r>
              <w:t>Angenommene Texte, P10_TA(2024)0018.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 Ivaylo Valchev, 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13. Februar 2025 zu den jüngsten Amtsenthebungen und Verhaftungen von Bürgermeistern in der Türkei (2025/2546(RSP)),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14. Februar 2025 zu den jüngsten Amtsenthebungen und Verhaftungen von Bürgermeistern in der Türkei,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13. Februar 2025 zu den jüngsten Amtsenthebungen und Verhaftungen von Bürgermeistern in der Türkei,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13. Februar 2025 zu den jüngsten Amtsenthebungen und Verhaftungen von Bürgermeistern in der Türkei,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im Dezember 2024 erfolgten Besuch von Kommissionspräsidentin Ursula von der Leyen in Ankara,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13. Februar 2025 zu den jüngsten Amtsenthebungen und Verhaftungen von Bürgermeistern in der Türkei (2025/2546(RSP)),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Protokoll Nr. 10 zur Akte über den Beitritt der Republik Zypern zur Europäischen Union,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die Türkei nach wie vor ein EU-Bewerberland ist und dass die Mitgliedschaft in der EU nach wie vor das wiederholt erklärte politische Ziel der türkischen Regierung ist;</w:t>
            </w:r>
          </w:p>
        </w:tc>
        <w:tc>
          <w:tcPr>
            <w:tcW w:w="4876" w:type="dxa"/>
            <w:tcBorders>
              <w:top w:val="nil"/>
              <w:left w:val="nil"/>
              <w:bottom w:val="nil"/>
              <w:right w:val="nil"/>
            </w:tcBorders>
          </w:tcPr>
          <w:p>
            <w:pPr>
              <w:pStyle w:val="Normal6a"/>
            </w:pPr>
            <w:r>
              <w:t>A.</w:t>
            </w:r>
            <w:r>
              <w:tab/>
            </w:r>
            <w:r>
              <w:t xml:space="preserve">in der Erwägung, dass die Türkei nach wie vor ein EU-Bewerberland ist und dass die Mitgliedschaft in der EU nach wie vor das wiederholt erklärte politische Ziel der türkischen Regierung ist; </w:t>
            </w:r>
            <w:r>
              <w:rPr>
                <w:b/>
                <w:i/>
              </w:rPr>
              <w:t>in der Erwägung, dass die EU-Beitrittsverhandlungen seit 2018 aufgrund der Verschlechterung der Rechtsstaatlichkeit und der Demokratie in der Türkei praktisch zum Stillstand gekommen sind;</w:t>
            </w:r>
            <w:r>
              <w:t xml:space="preserve"> </w:t>
            </w:r>
            <w:r>
              <w:rPr>
                <w:b/>
                <w:i/>
              </w:rPr>
              <w:t>in der Erwägung, dass die Türkei ihr Engagement für engere Beziehungen zur Union und für eine Angleichung an die EU glaubwürdig unter Beweis stellen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die Türkei nach wie vor ein EU-Bewerberland ist und dass die Mitgliedschaft in der EU nach wie vor das wiederholt erklärte politische Ziel der türkischen Regierung ist;</w:t>
            </w:r>
          </w:p>
        </w:tc>
        <w:tc>
          <w:tcPr>
            <w:tcW w:w="4876" w:type="dxa"/>
            <w:tcBorders>
              <w:top w:val="nil"/>
              <w:left w:val="nil"/>
              <w:bottom w:val="nil"/>
              <w:right w:val="nil"/>
            </w:tcBorders>
          </w:tcPr>
          <w:p>
            <w:pPr>
              <w:pStyle w:val="Normal6a"/>
            </w:pPr>
            <w:r>
              <w:t>A.</w:t>
            </w:r>
            <w:r>
              <w:tab/>
            </w:r>
            <w:r>
              <w:t xml:space="preserve">in der Erwägung, dass die Türkei nach wie vor ein EU-Bewerberland ist und dass die Mitgliedschaft in der EU nach wie vor das wiederholt erklärte politische Ziel der türkischen Regierung ist; </w:t>
            </w:r>
            <w:r>
              <w:rPr>
                <w:b/>
                <w:i/>
              </w:rPr>
              <w:t>in der Erwägung, dass die EU-Beitrittsverhandlungen seit 2018 aufgrund der Verschlechterung der Rechtsstaatlichkeit und der Demokratie in der Türkei praktisch zum Stillstand gekommen sind;</w:t>
            </w:r>
            <w:r>
              <w:t xml:space="preserve"> </w:t>
            </w:r>
            <w:r>
              <w:rPr>
                <w:b/>
                <w:i/>
              </w:rPr>
              <w:t>in der Erwägung, dass die Türkei ihr Engagement für engere Beziehungen zur Union und für eine Angleichung an die EU glaubwürdig unter Beweis stellen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die Türkei nach wie vor ein EU-Bewerberland ist und dass die Mitgliedschaft in der EU nach wie vor das wiederholt erklärte politische Ziel der türkischen Regierung ist;</w:t>
            </w:r>
          </w:p>
        </w:tc>
        <w:tc>
          <w:tcPr>
            <w:tcW w:w="4876" w:type="dxa"/>
            <w:tcBorders>
              <w:top w:val="nil"/>
              <w:left w:val="nil"/>
              <w:bottom w:val="nil"/>
              <w:right w:val="nil"/>
            </w:tcBorders>
          </w:tcPr>
          <w:p>
            <w:pPr>
              <w:pStyle w:val="Normal6a"/>
            </w:pPr>
            <w:r>
              <w:t>A.</w:t>
            </w:r>
            <w:r>
              <w:tab/>
            </w:r>
            <w:r>
              <w:t xml:space="preserve">in der Erwägung, dass die Türkei nach wie vor ein EU-Bewerberland ist und dass die Mitgliedschaft in der EU nach wie vor das wiederholt erklärte politische Ziel der türkischen Regierung ist; </w:t>
            </w:r>
            <w:r>
              <w:rPr>
                <w:b/>
                <w:i/>
              </w:rPr>
              <w:t>in der Erwägung, dass jedoch die geografischen und historischen Gegebenheiten sowie die kulturellen und religiösen Unterschiede zwischen der Türkei und den europäischen Ländern keinen Beitritt der Türkei zur EU zulassen;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die Türkei nach wie vor ein EU-Bewerberland ist und dass die Mitgliedschaft in der EU nach wie vor das wiederholt erklärte politische Ziel der türkischen Regierung ist;</w:t>
            </w:r>
          </w:p>
        </w:tc>
        <w:tc>
          <w:tcPr>
            <w:tcW w:w="4876" w:type="dxa"/>
            <w:tcBorders>
              <w:top w:val="nil"/>
              <w:left w:val="nil"/>
              <w:bottom w:val="nil"/>
              <w:right w:val="nil"/>
            </w:tcBorders>
          </w:tcPr>
          <w:p>
            <w:pPr>
              <w:pStyle w:val="Normal6a"/>
            </w:pPr>
            <w:r>
              <w:t>A.</w:t>
            </w:r>
            <w:r>
              <w:tab/>
            </w:r>
            <w:r>
              <w:t>in der Erwägung, dass die Türkei nach wie vor ein EU-Bewerberland ist und dass die Mitgliedschaft in der EU nach wie vor das wiederholt erklärte politische Ziel der türkischen Regierung ist</w:t>
            </w:r>
            <w:r>
              <w:rPr>
                <w:b/>
                <w:i/>
              </w:rPr>
              <w:t>, und in der Erwägung, dass diese Absicht in eklatantem Gegensatz zu der Tatsache steht, dass die Türkei auf Zypern EU-Gebiet besetzt und damit gegen jede Regel des Völkerrechts verstößt</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 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die Türkei nach wie vor ein EU-Bewerberland ist und dass die Mitgliedschaft in der EU nach wie vor das wiederholt erklärte politische Ziel der türkischen Regierung ist;</w:t>
            </w:r>
          </w:p>
        </w:tc>
        <w:tc>
          <w:tcPr>
            <w:tcW w:w="4876" w:type="dxa"/>
            <w:tcBorders>
              <w:top w:val="nil"/>
              <w:left w:val="nil"/>
              <w:bottom w:val="nil"/>
              <w:right w:val="nil"/>
            </w:tcBorders>
          </w:tcPr>
          <w:p>
            <w:pPr>
              <w:pStyle w:val="Normal6a"/>
            </w:pPr>
            <w:r>
              <w:t>A.</w:t>
            </w:r>
            <w:r>
              <w:tab/>
            </w:r>
            <w:r>
              <w:t>in der Erwägung, dass die Türkei nach wie vor ein EU-Bewerberland ist und dass die Mitgliedschaft in der EU nach wie vor das wiederholt erklärte politische Ziel der türkischen Regierung ist</w:t>
            </w:r>
            <w:r>
              <w:rPr>
                <w:b/>
                <w:i/>
              </w:rPr>
              <w:t>, obwohl sie sich von den Werten und Interessen in der EU immer weiter entfremdet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die Türkei nach wie vor ein EU-Bewerberland ist und dass die Mitgliedschaft in der EU nach wie vor das wiederholt erklärte politische Ziel der türkischen Regierung ist;</w:t>
            </w:r>
          </w:p>
        </w:tc>
        <w:tc>
          <w:tcPr>
            <w:tcW w:w="4876" w:type="dxa"/>
            <w:tcBorders>
              <w:top w:val="nil"/>
              <w:left w:val="nil"/>
              <w:bottom w:val="nil"/>
              <w:right w:val="nil"/>
            </w:tcBorders>
          </w:tcPr>
          <w:p>
            <w:pPr>
              <w:pStyle w:val="Normal6a"/>
            </w:pPr>
            <w:r>
              <w:t>A.</w:t>
            </w:r>
            <w:r>
              <w:tab/>
            </w:r>
            <w:r>
              <w:t xml:space="preserve">in der Erwägung, dass die Türkei nach wie vor ein </w:t>
            </w:r>
            <w:r>
              <w:rPr>
                <w:b/>
                <w:i/>
              </w:rPr>
              <w:t>strategischer Partner und ein</w:t>
            </w:r>
            <w:r>
              <w:t xml:space="preserve"> EU-Bewerberland ist und dass die Mitgliedschaft in der EU nach wie vor das wiederholt erklärte politische Ziel der türkischen Regierung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die Türkei islamistische Gruppen, die mit der Muslimbruderschaft in Verbindung stehen, politisch, finanziell und logistisch unterstützt hat;</w:t>
            </w:r>
            <w:r>
              <w:t xml:space="preserve"> </w:t>
            </w:r>
            <w:r>
              <w:rPr>
                <w:b/>
                <w:i/>
              </w:rPr>
              <w:t>in der Erwägung, dass Antisemitismus ein Kernelement der ideologischen Doktrin der Muslimbruderschaft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in der Erwägung, dass staatlich geförderte türkische Medien wie TRT und die Nachrichtenagentur Anadolu wiederholt Inhalte verbreitet haben, die antisemitische Verschwörungstheorien und antisemitische Rhetorik befeuern;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von jedem Beitrittsland erwartet wird, dass es demokratische Werte, die Rechtsstaatlichkeit und die Menschenrechte achtet und sich an die EU-Rechtsvorschriften hält;</w:t>
            </w:r>
          </w:p>
        </w:tc>
        <w:tc>
          <w:tcPr>
            <w:tcW w:w="4876" w:type="dxa"/>
            <w:tcBorders>
              <w:top w:val="nil"/>
              <w:left w:val="nil"/>
              <w:bottom w:val="nil"/>
              <w:right w:val="nil"/>
            </w:tcBorders>
          </w:tcPr>
          <w:p>
            <w:pPr>
              <w:pStyle w:val="Normal6a"/>
            </w:pPr>
            <w:r>
              <w:t>B.</w:t>
            </w:r>
            <w:r>
              <w:tab/>
            </w:r>
            <w:r>
              <w:t xml:space="preserve">in der Erwägung, dass von jedem Beitrittsland erwartet wird, dass es demokratische Werte, die Rechtsstaatlichkeit und die Menschenrechte achtet und sich an die EU-Rechtsvorschriften hält; </w:t>
            </w:r>
            <w:r>
              <w:rPr>
                <w:b/>
                <w:i/>
              </w:rPr>
              <w:t>in der Erwägung, dass der Status als Bewerberland die Bereitschaft voraussetzt, sich dem Besitzstand der EU schrittweise anzunähern und unter allen Gesichtspunkten auch die Werte, Interessen, Normen und politischen Strategien der EU zu übernehmen, die Kopenhagener Kriterien zu achten und zu wahren, die politischen Strategien und Ziele der EU zu übernehmen und ohne Unterschied gutnachbarliche Beziehungen zur EU und zu allen ihren Mitgliedstaaten zu pflegen und aufrechtzuerhalten;</w:t>
            </w:r>
            <w:r>
              <w:t xml:space="preserve"> </w:t>
            </w:r>
            <w:r>
              <w:rPr>
                <w:b/>
                <w:i/>
              </w:rPr>
              <w:t>in der Erwägung, dass eine Analyse der EU-Berichte aus den vergangenen Jahren zeigt, dass die Türkei immer noch weit von den Werten der EU und ihrem normativen Rahmen entfernt ist und dieser Abstand in grundlegenden Bereichen wie der Achtung des Völkerrechts, der Rechtsstaatlichkeit, der Menschenrechte, der individuellen Freiheiten, der bürgerlichen Rechte und des Rechts auf freie Meinungsäußerung sowie hinsichtlich gutnachbarlicher Beziehungen und der regionalen Zusammenarbeit sogar immer größer wird;</w:t>
            </w:r>
            <w:r>
              <w:t xml:space="preserve"> </w:t>
            </w:r>
            <w:r>
              <w:rPr>
                <w:b/>
                <w:i/>
              </w:rPr>
              <w:t>in der Erwägung, dass die Verbindungen zwischen der Zivilgesellschaft und den prodemokratischen Kräften in der Türkei und der EU nach wie vor eng sind, da sich die EU sehr für die Unterstützung der Bürgerinnen und Bürger der Türkei und Organisationen aus dem Land einsetzt, die europäische Normen und Werte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von jedem Beitrittsland erwartet wird, dass es demokratische Werte, die Rechtsstaatlichkeit und die Menschenrechte achtet und sich an die EU-Rechtsvorschriften hält;</w:t>
            </w:r>
          </w:p>
        </w:tc>
        <w:tc>
          <w:tcPr>
            <w:tcW w:w="4876" w:type="dxa"/>
            <w:tcBorders>
              <w:top w:val="nil"/>
              <w:left w:val="nil"/>
              <w:bottom w:val="nil"/>
              <w:right w:val="nil"/>
            </w:tcBorders>
          </w:tcPr>
          <w:p>
            <w:pPr>
              <w:pStyle w:val="Normal6a"/>
            </w:pPr>
            <w:r>
              <w:t>B.</w:t>
            </w:r>
            <w:r>
              <w:tab/>
            </w:r>
            <w:r>
              <w:t xml:space="preserve">in der Erwägung, dass von jedem Beitrittsland erwartet wird, dass es demokratische Werte, die Rechtsstaatlichkeit und die Menschenrechte achtet und sich an die EU-Rechtsvorschriften hält; </w:t>
            </w:r>
            <w:r>
              <w:rPr>
                <w:b/>
                <w:i/>
              </w:rPr>
              <w:t>in der Erwägung, dass der Status als Bewerberland die Bereitschaft voraussetzt, sich dem Besitzstand der EU schrittweise anzunähern und unter allen Gesichtspunkten auch die Werte, Interessen, Normen und politischen Strategien der EU zu übernehmen, die Kopenhagener Kriterien zu achten und zu wahren, die politischen Strategien und Ziele der EU zu übernehmen und ohne Unterschied gutnachbarliche Beziehungen zur EU und zu allen ihren Mitgliedstaaten zu pflegen und aufrechtzuerhalten;</w:t>
            </w:r>
            <w:r>
              <w:t xml:space="preserve"> </w:t>
            </w:r>
            <w:r>
              <w:rPr>
                <w:b/>
                <w:i/>
              </w:rPr>
              <w:t>in der Erwägung, dass eine Analyse der EU-Berichte aus den vergangenen Jahren zeigt, dass die Türkei immer noch weit von den Werten der EU und ihrem normativen Rahmen entfernt ist und dieser Abstand in grundlegenden Bereichen wie der Achtung des Völkerrechts, der Rechtsstaatlichkeit, der Menschenrechte, der individuellen Freiheiten, der bürgerlichen Rechte und des Rechts auf freie Meinungsäußerung sowie hinsichtlich gutnachbarlicher Beziehungen und der regionalen Zusammenarbeit sogar immer größer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von jedem Beitrittsland erwartet wird, dass es demokratische Werte, die Rechtsstaatlichkeit und die Menschenrechte achtet und sich an die EU-Rechtsvorschriften hält;</w:t>
            </w:r>
          </w:p>
        </w:tc>
        <w:tc>
          <w:tcPr>
            <w:tcW w:w="4876" w:type="dxa"/>
            <w:tcBorders>
              <w:top w:val="nil"/>
              <w:left w:val="nil"/>
              <w:bottom w:val="nil"/>
              <w:right w:val="nil"/>
            </w:tcBorders>
          </w:tcPr>
          <w:p>
            <w:pPr>
              <w:pStyle w:val="Normal6a"/>
            </w:pPr>
            <w:r>
              <w:t>B.</w:t>
            </w:r>
            <w:r>
              <w:tab/>
            </w:r>
            <w:r>
              <w:t xml:space="preserve">in der Erwägung, dass von jedem Beitrittsland erwartet wird, dass es demokratische Werte, die Rechtsstaatlichkeit und die Menschenrechte achtet und sich an die EU-Rechtsvorschriften hält; </w:t>
            </w:r>
            <w:r>
              <w:rPr>
                <w:b/>
                <w:i/>
              </w:rPr>
              <w:t>in der Erwägung, dass überdies von jedem Beitrittsland erwartet wird, von Provokationen gegen EU-Mitgliedstaaten abzusehen, seine Beziehungen zu allen EU-Mitgliedstaaten zu normalisieren, die uneingeschränkte und unterschiedslose Umsetzung der Verpflichtungen zu gewährleisten, die sich aus dem Verhandlungsrahmen von 2005 und dem Zusatzprotokoll zum Assoziierungsabkommen ergeben, und gutnachbarliche Beziehungen aufrechtzuerhalten;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von jedem Beitrittsland erwartet wird, dass es demokratische Werte, die Rechtsstaatlichkeit und die Menschenrechte achtet und sich an die </w:t>
            </w:r>
            <w:r>
              <w:rPr>
                <w:b/>
                <w:i/>
              </w:rPr>
              <w:t>EU-Rechtsvorschriften hält</w:t>
            </w:r>
            <w:r>
              <w:t>;</w:t>
            </w:r>
          </w:p>
        </w:tc>
        <w:tc>
          <w:tcPr>
            <w:tcW w:w="4876" w:type="dxa"/>
            <w:tcBorders>
              <w:top w:val="nil"/>
              <w:left w:val="nil"/>
              <w:bottom w:val="nil"/>
              <w:right w:val="nil"/>
            </w:tcBorders>
          </w:tcPr>
          <w:p>
            <w:pPr>
              <w:pStyle w:val="Normal6a"/>
            </w:pPr>
            <w:r>
              <w:t>B.</w:t>
            </w:r>
            <w:r>
              <w:tab/>
            </w:r>
            <w:r>
              <w:t xml:space="preserve">in der Erwägung, dass von jedem Beitrittsland erwartet wird, dass es demokratische Werte, die Rechtsstaatlichkeit und die Menschenrechte </w:t>
            </w:r>
            <w:r>
              <w:rPr>
                <w:b/>
                <w:i/>
              </w:rPr>
              <w:t>in jeder Hinsicht</w:t>
            </w:r>
            <w:r>
              <w:t xml:space="preserve"> achtet und sich an die </w:t>
            </w:r>
            <w:r>
              <w:rPr>
                <w:b/>
                <w:i/>
              </w:rPr>
              <w:t>Rechtsvorschriften, Strategien und Ziele der EU hält,</w:t>
            </w:r>
            <w:r>
              <w:t xml:space="preserve"> </w:t>
            </w:r>
            <w:r>
              <w:rPr>
                <w:b/>
                <w:i/>
              </w:rPr>
              <w:t>die Kopenhagener Kriterien achtet und aufrechterhält und sich den Zielen und der (auswärtigen) Politik der EU, einschließlich der Sanktionsregelung der EU, angleicht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von jedem Beitrittsland erwartet wird, dass es demokratische Werte, die Rechtsstaatlichkeit und die Menschenrechte achtet und sich an die EU-Rechtsvorschriften hält;</w:t>
            </w:r>
          </w:p>
        </w:tc>
        <w:tc>
          <w:tcPr>
            <w:tcW w:w="4876" w:type="dxa"/>
            <w:tcBorders>
              <w:top w:val="nil"/>
              <w:left w:val="nil"/>
              <w:bottom w:val="nil"/>
              <w:right w:val="nil"/>
            </w:tcBorders>
          </w:tcPr>
          <w:p>
            <w:pPr>
              <w:pStyle w:val="Normal6a"/>
            </w:pPr>
            <w:r>
              <w:t>B.</w:t>
            </w:r>
            <w:r>
              <w:tab/>
            </w:r>
            <w:r>
              <w:t xml:space="preserve">in der Erwägung, dass von jedem Beitrittsland erwartet wird, dass es demokratische Werte, die Rechtsstaatlichkeit und die Menschenrechte achtet und sich an die EU-Rechtsvorschriften hält; </w:t>
            </w:r>
            <w:r>
              <w:rPr>
                <w:b/>
                <w:i/>
              </w:rPr>
              <w:t>in der Erwägung, dass die Türkei ihr Engagement für engere Beziehungen zur Union und zu einer Angleichung an die Union glaubwürdig unter Beweis stellen muss, um ihre europäische Perspektive mit neuem Leben zu erfüllen;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von jedem Beitrittsland erwartet wird, dass es demokratische Werte, die Rechtsstaatlichkeit und die Menschenrechte achtet und sich an die EU-Rechtsvorschriften hält;</w:t>
            </w:r>
          </w:p>
        </w:tc>
        <w:tc>
          <w:tcPr>
            <w:tcW w:w="4876" w:type="dxa"/>
            <w:tcBorders>
              <w:top w:val="nil"/>
              <w:left w:val="nil"/>
              <w:bottom w:val="nil"/>
              <w:right w:val="nil"/>
            </w:tcBorders>
          </w:tcPr>
          <w:p>
            <w:pPr>
              <w:pStyle w:val="Normal6a"/>
            </w:pPr>
            <w:r>
              <w:t>B.</w:t>
            </w:r>
            <w:r>
              <w:tab/>
            </w:r>
            <w:r>
              <w:t xml:space="preserve">in der Erwägung, dass von jedem Beitrittsland erwartet wird, dass es demokratische Werte, die Rechtsstaatlichkeit und die Menschenrechte achtet und sich an die EU-Rechtsvorschriften hält; </w:t>
            </w:r>
            <w:r>
              <w:rPr>
                <w:b/>
                <w:i/>
              </w:rPr>
              <w:t>in der Erwägung, dass sich diese Erwartung auch auf die Angleichung an die Politik und die Standpunkte der Union, auch im Rahmen ihrer Gemeinsamen Außen- und Sicherheitspolitik (GASP), erstreckt;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sich die Türkei weiterhin geweigert hat, die Republik Zypern anzuerkennen und mit ihr zusammenzuarbeiten und ihren Verpflichtungen gemäß der Erklärung der Europäischen Gemeinschaft und ihrer Mitgliedstaaten vom 21. September 2005 und gemäß aller einschlägigen Schlussfolgerungen des Rates nachzukommen, dafür zu sorgen, dass das Zusatzprotokoll zum Assoziierungsabkommen vollständig und auf nicht diskriminierende Weise umgesetzt wird und dass alle Hindernisse für den freien Warenverkehr, einschließlich der Beschränkungen bei den direkten Verkehrsverbindungen mit der Republik Zypern, beseitigt werden;</w:t>
            </w:r>
            <w:r>
              <w:t xml:space="preserve"> </w:t>
            </w:r>
            <w:r>
              <w:rPr>
                <w:b/>
                <w:i/>
              </w:rPr>
              <w:t>in der Erwägung, dass die Türkei weiterhin ihr Veto gegen Anträge der Republik Zypern auf Beitritt zu mehreren internationalen Organisationen eingelegt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sich die Türkei weiterhin weigert, die Republik Zypern anzuerkennen und mit ihr zusammenzuarbeiten und ihren Verpflichtungen gemäß der Erklärung der Europäischen Gemeinschaft und ihrer Mitgliedstaaten vom 21. September 2005 nachzukommen, dafür zu sorgen, dass das Zusatzprotokoll zum Assoziierungsabkommen vollständig und auf nicht diskriminierende Weise umgesetzt wird und dass alle Hindernisse für den freien Warenverkehr, einschließlich der Beschränkungen bei den direkten Verkehrsverbindungen mit der Republik Zypern, beseitigt werden;</w:t>
            </w:r>
            <w:r>
              <w:t xml:space="preserve"> </w:t>
            </w:r>
            <w:r>
              <w:rPr>
                <w:b/>
                <w:i/>
              </w:rPr>
              <w:t>in der Erwägung, dass die Türkei weiterhin ihr Veto gegen Anträge der Republik Zypern auf Beitritt zu mehreren internationalen Organisationen einlegt;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die christlichen Gemeinschaften in der Türkei Anfang des 20. Jahrhunderts noch mehr als 20 % der türkischen Bevölkerung ausmachten, während es derzeit nur noch 0,5 % sind;</w:t>
            </w:r>
            <w:r>
              <w:t xml:space="preserve"> </w:t>
            </w:r>
            <w:r>
              <w:rPr>
                <w:b/>
                <w:i/>
              </w:rPr>
              <w:t>in der Erwägung, dass die massive Abwanderung von Mitgliedern dieser Gemeinschaften trotz ihrer jahrhundertealten Verankerung ein weiteres Beispiel für die tiefgehende Gegensätzlichkeit der Türkei und den europäischen Ländern ist;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die EU-Beitrittsverhandlungen seit 2018 aufgrund der Verschlechterung der Lage der Rechtsstaatlichkeit und der Demokratie in der Türkei praktisch zum Stillstand gekommen sind;</w:t>
            </w:r>
            <w:r>
              <w:t xml:space="preserve"> </w:t>
            </w:r>
            <w:r>
              <w:rPr>
                <w:b/>
                <w:i/>
              </w:rPr>
              <w:t>in der Erwägung, dass die Türkei ihr Engagement für engere Beziehungen zur Union und für eine Angleichung an die EU glaubwürdig unter Beweis stellen muss;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die Türkei nach wie vor versucht, den Bau des sogenannten Great Sea Interconnector, eines geplanten EU-Projekts von gemeinsamem Interesse, seit 2013 durch provokative Maßnahmen und Bedrohungen, auch in der ausschließlichen Wirtschaftszone Griechenlands, zu stoppen;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in der Erwägung, dass die Türkei wiederholt aufgefordert wurde, von allen Maßnahmen abzusehen, mit denen unter Verletzung des Völkerrechts und des Unionsrechts gegen die Souveränität und die souveränen Rechte der EU-Mitgliedstaaten verstoßen wird;</w:t>
            </w:r>
            <w:r>
              <w:t xml:space="preserve"> </w:t>
            </w:r>
            <w:r>
              <w:rPr>
                <w:b/>
                <w:i/>
              </w:rPr>
              <w:t>in der Erwägung, dass die Türkei trotz einer teilweisen Deeskalation im östlichen Mittelmeerraum nicht alle einseitigen Maßnahmen, einschließlich der aggressiven Rhetorik gegen EU-Mitgliedstaaten, eingestellt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in der Erwägung, dass die Türkei wiederholt aufgefordert wurde, von allen Maßnahmen abzusehen, mit denen unter Verletzung des Völkerrechts und des Unionsrechts gegen die Souveränität und die souveränen Rechte der EU-Mitgliedstaaten verstoßen wird;</w:t>
            </w:r>
            <w:r>
              <w:t xml:space="preserve"> </w:t>
            </w:r>
            <w:r>
              <w:rPr>
                <w:b/>
                <w:i/>
              </w:rPr>
              <w:t>in der Erwägung, dass die Türkei trotz der Deeskalation im östlichen Mittelmeerraum nicht alle einseitigen Maßnahmen, einschließlich der aggressiven Rhetorik gegen EU-Mitgliedstaaten, eingestellt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in der Erwägung, dass die Türkei ihre Versuche fortsetzt, die Umsetzung des sogenannten Great Sea Interconnector, eines EU-Projekts von gemeinsamem Interesse, zu behindern, und auf ihren Plänen für eine illegale Stromverbindungsleitung mit der abtrünnigen Entität im besetzten Gebiet Zyperns besteht;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in der Erwägung, dass die Türkei ihre Versuche fortgesetzt hat, die Umsetzung des sogenannten Great Sea Interconnector, eines EU-Projekts von gemeinsamem Interesse, zu behindern, und auf ihren Plänen für eine illegale Stromverbindungsleitung mit der abtrünnigen Entität im besetzten Zypern bestand;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in der Erwägung, dass die Türkei den von den Vereinten Nationen vereinbarten Rahmen weiterhin ablehnt, sich beharrlich für eine „Zweistaatenlösung“ in Zypern ausgesprochen und auf die Aufwertung des internationalen Status der sezessionistischen Einheit im besetzten Gebiet Zyperns unter Verstoß gegen die einschlägigen Resolutionen des Sicherheitsrats der Vereinten Nationen gedrängt hat;</w:t>
            </w:r>
            <w:r>
              <w:t xml:space="preserve"> </w:t>
            </w:r>
            <w:r>
              <w:rPr>
                <w:b/>
                <w:i/>
              </w:rPr>
              <w:t>in der Erwägung, dass die Türkei ihre einseitigen Maßnahmen in Varosia nicht rückgängig gemacht, sondern fortgesetzt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in der Erwägung, dass die Türkei den von den Vereinten Nationen vereinbarten Rahmen weiterhin abgelehnt hat, sich beharrlich für eine „Zweistaatenlösung“ in Zypern ausgesprochen und auf die Aufwertung des internationalen Status der sezessionistischen Einheit im besetzten Zypern unter Verstoß gegen die einschlägigen Resolutionen des Sicherheitsrats der Vereinten Nationen gedrängt hat;</w:t>
            </w:r>
            <w:r>
              <w:t xml:space="preserve"> </w:t>
            </w:r>
            <w:r>
              <w:rPr>
                <w:b/>
                <w:i/>
              </w:rPr>
              <w:t>in der Erwägung, dass die Türkei ihre einseitigen Maßnahmen in Varosia nicht rückgängig gemacht, sondern fortgesetzt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im Fortschrittsbericht 2023 der Kommission über die Türkei festgestellt wurde, dass keine Fortschritte zu verzeichnen waren, während der jüngste Fortschrittsbericht 2024 offenbar ein etwas positiveres Gesamtbild der Fortschritte bei den erweiterungsbezogenen Reformen in der Türkei zeichnet; in der Erwägung, dass dies jedoch nicht für die Kernfragen in Bezug auf Demokratie und Grundrechte gilt;</w:t>
            </w:r>
          </w:p>
        </w:tc>
        <w:tc>
          <w:tcPr>
            <w:tcW w:w="4876" w:type="dxa"/>
            <w:tcBorders>
              <w:top w:val="nil"/>
              <w:left w:val="nil"/>
              <w:bottom w:val="nil"/>
              <w:right w:val="nil"/>
            </w:tcBorders>
          </w:tcPr>
          <w:p>
            <w:pPr>
              <w:pStyle w:val="Normal6a"/>
            </w:pPr>
            <w:r>
              <w:t>C.</w:t>
            </w:r>
            <w:r>
              <w:tab/>
            </w:r>
            <w:r>
              <w:t xml:space="preserve">in der Erwägung, dass im Fortschrittsbericht 2023 der Kommission über die Türkei festgestellt wurde, dass keine Fortschritte zu verzeichnen waren, während der jüngste Fortschrittsbericht 2024 offenbar ein etwas positiveres Gesamtbild der Fortschritte bei den erweiterungsbezogenen Reformen in der Türkei zeichnet; in der Erwägung, dass dies jedoch nicht für die Kernfragen in Bezug auf Demokratie und Grundrechte gilt; </w:t>
            </w:r>
            <w:r>
              <w:rPr>
                <w:b/>
                <w:i/>
              </w:rPr>
              <w:t>in der Erwägung, dass sich die Türkei immer weiter von den Werten und dem normativen Rahmen der EU entfernt, wie dies aus immer mehr Rechtsvorschriften und Maßnahmen hervorgeht, durch die die Rechtsstaatlichkeit, die grundlegenden Freiheiten, die Menschenrechte und die bürgerlichen Freiheitsrechte eingeschränkt werden;</w:t>
            </w:r>
            <w:r>
              <w:t xml:space="preserve"> </w:t>
            </w:r>
            <w:r>
              <w:rPr>
                <w:b/>
                <w:i/>
              </w:rPr>
              <w:t>in der Erwägung, dass die Türkei Mitglied des Europarats ist und die Urteile des EGMR daher für das Land verbindlich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im Fortschrittsbericht 2023 der Kommission über die Türkei festgestellt wurde, dass </w:t>
            </w:r>
            <w:r>
              <w:rPr>
                <w:b/>
                <w:i/>
              </w:rPr>
              <w:t>keine Fortschritte</w:t>
            </w:r>
            <w:r>
              <w:t xml:space="preserve"> zu verzeichnen waren, während der jüngste Fortschrittsbericht 2024 offenbar ein etwas positiveres Gesamtbild der Fortschritte bei den erweiterungsbezogenen Reformen in der Türkei zeichnet; in der Erwägung, dass dies jedoch nicht für die Kernfragen in Bezug auf Demokratie und Grundrechte gilt;</w:t>
            </w:r>
          </w:p>
        </w:tc>
        <w:tc>
          <w:tcPr>
            <w:tcW w:w="4876" w:type="dxa"/>
            <w:tcBorders>
              <w:top w:val="nil"/>
              <w:left w:val="nil"/>
              <w:bottom w:val="nil"/>
              <w:right w:val="nil"/>
            </w:tcBorders>
          </w:tcPr>
          <w:p>
            <w:pPr>
              <w:pStyle w:val="Normal6a"/>
            </w:pPr>
            <w:r>
              <w:t>C.</w:t>
            </w:r>
            <w:r>
              <w:tab/>
            </w:r>
            <w:r>
              <w:t xml:space="preserve">in der Erwägung, dass im Fortschrittsbericht 2023 der Kommission über die Türkei festgestellt wurde, dass </w:t>
            </w:r>
            <w:r>
              <w:rPr>
                <w:b/>
                <w:i/>
              </w:rPr>
              <w:t>kontinuierlich Rückschritte</w:t>
            </w:r>
            <w:r>
              <w:t xml:space="preserve"> zu verzeichnen waren, während der jüngste Fortschrittsbericht 2024 offenbar ein etwas positiveres Gesamtbild der Fortschritte bei den erweiterungsbezogenen Reformen in der Türkei zeichnet</w:t>
            </w:r>
            <w:r>
              <w:rPr>
                <w:b/>
                <w:i/>
              </w:rPr>
              <w:t>, beispielsweise bei den wirtschafts- und währungspolitischen Maßnahmen</w:t>
            </w:r>
            <w:r>
              <w:t>; in der Erwägung, dass dies jedoch nicht für die Kernfragen in Bezug auf Demokratie und Grundrechte gilt</w:t>
            </w:r>
            <w:r>
              <w:rPr>
                <w:b/>
                <w:i/>
              </w:rPr>
              <w:t>, deren Lage sich seit der Veröffentlichung des jüngsten Berichts der Kommission noch weiter verschlechtert hat;</w:t>
            </w:r>
            <w:r>
              <w:t xml:space="preserve"> </w:t>
            </w:r>
            <w:r>
              <w:rPr>
                <w:b/>
                <w:i/>
              </w:rPr>
              <w:t>in der Erwägung, dass die Kluft zwischen der Türkei und den Werten und dem normativen Rahmen der EU daher in der letzten Zeit durch die anhaltende Anwendung von Gesetzen und Maßnahmen zur Einschränkung der Rechtsstaatlichkeit und der Menschenrechte nicht angegangen wurde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im Fortschrittsbericht 2023 der Kommission über die Türkei festgestellt wurde, dass keine Fortschritte zu verzeichnen waren, während der jüngste Fortschrittsbericht 2024 offenbar ein etwas positiveres Gesamtbild der Fortschritte bei den erweiterungsbezogenen Reformen in der Türkei zeichnet; in der Erwägung, dass dies jedoch nicht für die Kernfragen in Bezug auf Demokratie und Grundrechte gilt;</w:t>
            </w:r>
          </w:p>
        </w:tc>
        <w:tc>
          <w:tcPr>
            <w:tcW w:w="4876" w:type="dxa"/>
            <w:tcBorders>
              <w:top w:val="nil"/>
              <w:left w:val="nil"/>
              <w:bottom w:val="nil"/>
              <w:right w:val="nil"/>
            </w:tcBorders>
          </w:tcPr>
          <w:p>
            <w:pPr>
              <w:pStyle w:val="Normal6a"/>
            </w:pPr>
            <w:r>
              <w:t>C.</w:t>
            </w:r>
            <w:r>
              <w:tab/>
            </w:r>
            <w:r>
              <w:t>in der Erwägung, dass im Fortschrittsbericht 2023 der Kommission über die Türkei festgestellt wurde, dass keine Fortschritte zu verzeichnen waren, während der jüngste Fortschrittsbericht 2024 offenbar ein etwas positiveres Gesamtbild der Fortschritte bei den erweiterungsbezogenen Reformen in der Türkei zeichnet; in der Erwägung, dass dies jedoch nicht für die Kernfragen in Bezug auf Demokratie und Grundrechte gilt</w:t>
            </w:r>
            <w:r>
              <w:rPr>
                <w:b/>
                <w:i/>
              </w:rPr>
              <w:t>, da sich die Türkei immer weiter von den Werten und dem normativen Rahmen der EU entfernt, wie dies aus immer mehr Rechtsvorschriften und Maßnahmen hervorgeht, durch die die Rechtsstaatlichkeit, die grundlegenden Freiheiten, die Menschenrechte und die bürgerlichen Freiheitsrechte eingeschränkt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im Fortschrittsbericht 2023 der Kommission über die Türkei festgestellt wurde, dass keine Fortschritte zu verzeichnen waren, während der jüngste Fortschrittsbericht 2024 offenbar ein etwas positiveres Gesamtbild der Fortschritte bei den erweiterungsbezogenen Reformen in der Türkei zeichnet; in der Erwägung, dass dies jedoch nicht für die Kernfragen in Bezug auf Demokratie und Grundrechte gilt;</w:t>
            </w:r>
          </w:p>
        </w:tc>
        <w:tc>
          <w:tcPr>
            <w:tcW w:w="4876" w:type="dxa"/>
            <w:tcBorders>
              <w:top w:val="nil"/>
              <w:left w:val="nil"/>
              <w:bottom w:val="nil"/>
              <w:right w:val="nil"/>
            </w:tcBorders>
          </w:tcPr>
          <w:p>
            <w:pPr>
              <w:pStyle w:val="Normal6a"/>
            </w:pPr>
            <w:r>
              <w:t>C.</w:t>
            </w:r>
            <w:r>
              <w:tab/>
            </w:r>
            <w:r>
              <w:t>in der Erwägung, dass im Fortschrittsbericht 2023 der Kommission über die Türkei festgestellt wurde, dass keine Fortschritte zu verzeichnen waren, während der jüngste Fortschrittsbericht 2024 offenbar ein etwas positiveres Gesamtbild der Fortschritte bei den erweiterungsbezogenen Reformen in der Türkei zeichnet; in der Erwägung, dass dies jedoch nicht für die Kernfragen in Bezug auf Demokratie</w:t>
            </w:r>
            <w:r>
              <w:rPr>
                <w:b/>
                <w:i/>
              </w:rPr>
              <w:t>, Rechtsstaatlichkeit</w:t>
            </w:r>
            <w:r>
              <w:t xml:space="preserve"> und Grundrechte </w:t>
            </w:r>
            <w:r>
              <w:rPr>
                <w:b/>
                <w:i/>
              </w:rPr>
              <w:t>sowie in Bezug auf die Achtung des Völkerrechts und die gutnachbarlichen Beziehungen</w:t>
            </w:r>
            <w:r>
              <w:t xml:space="preserve"> gilt;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im Fortschrittsbericht 2023 der Kommission über die Türkei festgestellt wurde, dass keine Fortschritte zu verzeichnen waren, während der jüngste Fortschrittsbericht 2024 offenbar ein </w:t>
            </w:r>
            <w:r>
              <w:rPr>
                <w:b/>
                <w:i/>
              </w:rPr>
              <w:t>etwas</w:t>
            </w:r>
            <w:r>
              <w:t xml:space="preserve"> positiveres Gesamtbild der Fortschritte bei den erweiterungsbezogenen Reformen in der Türkei zeichnet; in der Erwägung, dass dies jedoch nicht für die Kernfragen in Bezug auf Demokratie und Grundrechte gilt;</w:t>
            </w:r>
          </w:p>
        </w:tc>
        <w:tc>
          <w:tcPr>
            <w:tcW w:w="4876" w:type="dxa"/>
            <w:tcBorders>
              <w:top w:val="nil"/>
              <w:left w:val="nil"/>
              <w:bottom w:val="nil"/>
              <w:right w:val="nil"/>
            </w:tcBorders>
          </w:tcPr>
          <w:p>
            <w:pPr>
              <w:pStyle w:val="Normal6a"/>
            </w:pPr>
            <w:r>
              <w:t>C.</w:t>
            </w:r>
            <w:r>
              <w:tab/>
            </w:r>
            <w:r>
              <w:t xml:space="preserve">in der Erwägung, dass im Fortschrittsbericht 2023 der Kommission über die Türkei festgestellt wurde, dass keine Fortschritte zu verzeichnen waren, während der jüngste Fortschrittsbericht 2024 offenbar ein </w:t>
            </w:r>
            <w:r>
              <w:rPr>
                <w:b/>
                <w:i/>
              </w:rPr>
              <w:t>in geringfügigem Maße</w:t>
            </w:r>
            <w:r>
              <w:t xml:space="preserve"> positiveres Gesamtbild der Fortschritte bei den erweiterungsbezogenen Reformen in der Türkei zeichnet; in der Erwägung, dass dies jedoch nicht für die Kernfragen in Bezug auf Demokratie und Grundrechte gilt;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in der Gemeinsamen Mitteilung über den Stand der Beziehungen zwischen der EU und der Türkei vom 29. November 2023 ein positiverer Tonfall in Bezug auf die Zusammenarbeit angeschlagen wurde und darin eine Reihe von Empfehlungen in Bereichen von gemeinsamem Interesse enthalten waren, die auf abgestufte, verhältnismäßige und umkehrbare Weise und auf der Grundlage der festgelegten Auflagen formuliert wurden;</w:t>
            </w:r>
            <w:r>
              <w:t xml:space="preserve"> </w:t>
            </w:r>
            <w:r>
              <w:rPr>
                <w:b/>
                <w:i/>
              </w:rPr>
              <w:t>in der Erwägung, dass bislang nur wenige konkrete Schritte im Einklang mit den darin enthaltenen Verpflichtungen unternommen wurden;</w:t>
            </w:r>
            <w:r>
              <w:t xml:space="preserve"> </w:t>
            </w:r>
            <w:r>
              <w:rPr>
                <w:b/>
                <w:i/>
              </w:rPr>
              <w:t>in der Erwägung, dass der Europäische Rat den Ausschuss der Ständigen Vertreter im April 2024 beauftragt hat, bei der Umsetzung dieser Gemeinsamen Mitteilung voranzukommen;</w:t>
            </w:r>
            <w:r>
              <w:t xml:space="preserve"> </w:t>
            </w:r>
            <w:r>
              <w:rPr>
                <w:b/>
                <w:i/>
              </w:rPr>
              <w:t>in der Erwägung, dass diese Gemeinsame Mitteilung jedoch noch nicht vom Rat politisch eindeutig gebilligt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sich die Türkei seit mehreren Jahren schrittweise, aber stetig immer weiter von den Werten und dem normativen Rahmen der EU entfernt, worin ein höchst beunruhigender und immer stärkerer Trend erkennbar wird, für den die steigende Zahl von Gesetzen und Maßnahmen zur Einschränkung der Rechtsstaatlichkeit, der Grundfreiheiten, der Menschenrechte und der bürgerlichen Freiheitsrechte sowie das im Widerspruch zum Völkerrecht und zu den gutnachbarlichen Beziehungen stehende Handeln der Türkei exemplarisch sind;</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das Fehlen greifbarer positiver Schritte seitens der Türkei die Aussichten auf einen konstruktiven und ergebnisorientierten Dialog beeinträchtigt und nicht mit der Gemeinsamen Mitteilung über den Stand der Beziehungen vom 29. November 2023 im Einklang 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Yannis Maniatis, Costas Mavrides,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die Türkei Mitglied des Europarats ist und die Urteile des EGMR daher für das Land verbindlich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in der Erwägung, dass die Türkei Mitglied des Europarats ist und die Urteile des EGMR daher für das Land verbindlich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w:t>
            </w:r>
            <w:r>
              <w:tab/>
            </w:r>
            <w:r>
              <w:rPr>
                <w:b/>
                <w:i/>
              </w:rPr>
              <w:t>in der Erwägung, dass in der Gemeinsamen Mitteilung vom 29. November 2023 über den Stand der Beziehungen darauf hingewiesen wird, dass die nachdrückliche Förderung einer „Zweistaatenlösung“ für Zypern durch die Türkei, ihre allgemeine Haltung in der Zypernfrage und die Weigerung, die Republik Zypern anzuerkennen, nach wie vor unterschiedliche Wege der Zusammenarbeit behindern und zu der Schlussfolgerung führen, dass die Ausschöpfung des vollen Potenzials einer positiven Agenda mit der Türkei ohne eine Lösung der Zypernfrage weiterhin äußerst schwierig sein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w:t>
            </w:r>
            <w:r>
              <w:tab/>
            </w:r>
            <w:r>
              <w:rPr>
                <w:b/>
                <w:i/>
              </w:rPr>
              <w:t>in der Erwägung, dass die Türkei Mitglied des Europarats ist und die Urteile des EGMR daher für das Land verbindlich sind;</w:t>
            </w:r>
            <w:r>
              <w:t xml:space="preserve"> </w:t>
            </w:r>
            <w:r>
              <w:rPr>
                <w:b/>
                <w:i/>
              </w:rPr>
              <w:t>in der Erwägung, dass die Türkei derzeit mit Vertragsverletzungsverfahren von historischer Bedeutung konfrontiert ist, da sie wegweisende Urteile des EGMR nicht anwendet;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die Türkei von Freedom House als „nicht frei“ eingestuft wird und in den vergangenen zehn Jahren einen der schwersten Einbrüche weltweit verzeichnet hat;</w:t>
            </w:r>
          </w:p>
        </w:tc>
        <w:tc>
          <w:tcPr>
            <w:tcW w:w="4876" w:type="dxa"/>
            <w:tcBorders>
              <w:top w:val="nil"/>
              <w:left w:val="nil"/>
              <w:bottom w:val="nil"/>
              <w:right w:val="nil"/>
            </w:tcBorders>
          </w:tcPr>
          <w:p>
            <w:pPr>
              <w:pStyle w:val="Normal6a"/>
            </w:pPr>
            <w:r>
              <w:t>D.</w:t>
            </w:r>
            <w:r>
              <w:tab/>
            </w:r>
            <w:r>
              <w:t xml:space="preserve">in der Erwägung, dass die Türkei von Freedom House als „nicht frei“ eingestuft wird und in den vergangenen zehn Jahren einen der schwersten Einbrüche weltweit verzeichnet hat; </w:t>
            </w:r>
            <w:r>
              <w:rPr>
                <w:b/>
                <w:i/>
              </w:rPr>
              <w:t>in der Erwägung, dass die Türkei auf der Weltrangliste der Pressefreiheit den 158. von 180 Plätzen einnimmt;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in der Erwägung, dass in der türkischen Verfassung zwar ein ausreichender Schutz der Grundrechte vorgesehen ist, dass jedoch die Vorgehensweise der Institutionen in der Praxis und der kritische Zustand des Justizwesens – einschließlich der mangelnden Achtung der Urteile des Verfassungsgerichts – die Hauptgründe für die katastrophale Lage der Rechtsstaatlichkeit und der Menschenrechte im Land sind, wie sie in den Berichten der EU, des Europarats und internationaler Organisationen wiederholt beschrieben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in der Erwägung, dass die Türkei stets zu den Ländern gehört hat, die am häufigsten gegen die durch die Europäische Menschenrechtskonvention geschützten Menschenrechte und Grundfreiheiten verstoßen;</w:t>
            </w:r>
            <w:r>
              <w:t xml:space="preserve"> </w:t>
            </w:r>
            <w:r>
              <w:rPr>
                <w:b/>
                <w:i/>
              </w:rPr>
              <w:t>in der Erwägung, dass die Türkei Ende November 2024 mit 22 450 Beschwerden die höchste Zahl anhängiger Rechtssachen beim EGMR aufwies, was 36,7 % der gesamten Zahl an 61 250 Fällen des Gerichtshofs entspricht;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in der Erwägung, dass die türkische Regierung zahlreiche Medienunternehmen geschlossen hat, regelmäßig Artikel im Internet sperrt, Berichten zufolge 85 % der nationalen Medien kontrolliert und ihre staatliche Nachrichtenagentur Anadolu als ein Organ der Propaganda und Desinformation für ihre außenpolitischen Interessen nutzt;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Lucia Yar, Hilde Vautmans, Dan Barna, Nathalie Loiseau, Petras Auštrevičius,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in der Erwägung, dass die Türkei im globalen Index zur Gleichstellung der Geschlechter 2024 den 127. Platz von 146 Ländern einnimmt, was auf schwerwiegende geschlechtsspezifische Ungleichheit und systemische Versäumnisse beim Schutz der Frauenrechte hindeutet;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in der Erwägung, dass sich die Türkei seit jeher die mit der Muslimbruderschaft verbundenen Gruppen und Führungspersonen unterstützt und aufgenommen sowie mit ihnen auf einer Linie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w:t>
            </w:r>
            <w:r>
              <w:tab/>
            </w:r>
            <w:r>
              <w:rPr>
                <w:b/>
                <w:i/>
              </w:rPr>
              <w:t>in der Erwägung, dass laut dem Bericht 2024 der Plattform zur Beendigung des Femizids (Kadın Cinayetlerini Durduracağız Platformu) in der Türkei in dem Jahr 394 Frauen von Männern ermordet wurden und 259 unter dubiosen Umständen ums Leben gekommen sind, was die höchste Zahl seit Beginn der Datenerhebung durch diese zivilgesellschaftliche Organisation im Jahr 2010 ist;</w:t>
            </w:r>
            <w:r>
              <w:t xml:space="preserve"> </w:t>
            </w:r>
            <w:r>
              <w:rPr>
                <w:b/>
                <w:i/>
              </w:rPr>
              <w:t>in der Erwägung, dass die Plattform in ihrem Bericht für das Jahr 2023 feststellte, dass 315 Frauen getötet und 248 Frauen unter verdächtigen Umständen tot aufgefunden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w:t>
            </w:r>
            <w:r>
              <w:tab/>
            </w:r>
            <w:r>
              <w:rPr>
                <w:b/>
                <w:i/>
              </w:rPr>
              <w:t>in der Erwägung, dass die Türkei die höchste Zahl inhaftierter Personen und die größte Gefängnispopulation aller Mitgliedstaaten des Europarats aufweist, wobei die Zahl der überfüllten Gefängnisse im Zeitraum von 2005 bis 2023 um 439 % angestiegen ist und derzeit mehr als ein Drittel aller Häftlinge in den Ländern des Europarats auf die Türkei entfallen;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w:t>
            </w:r>
            <w:r>
              <w:tab/>
            </w:r>
            <w:r>
              <w:rPr>
                <w:b/>
                <w:i/>
              </w:rPr>
              <w:t>in der Erwägung, dass sich die Türkei in der Vergangenheit an Aktivitäten beteiligt hat, die die soziale Dynamik, den Zusammenhalt und die Sicherheit in Europa beeinflusst haben, wozu auch die Einbindung der im Ausland lebenden Türken und türkischstämmigen Menschen gehört;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c.</w:t>
            </w:r>
            <w:r>
              <w:tab/>
            </w:r>
            <w:r>
              <w:rPr>
                <w:b/>
                <w:i/>
              </w:rPr>
              <w:t>in der Erwägung, dass 2024 in der Türkei mindestens 394 Frauen von Männern getötet wurden und 259 weitere unter verdächtigen Umständen ums Leben kamen, was die höchsten Werte seit 2010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c.</w:t>
            </w:r>
            <w:r>
              <w:tab/>
            </w:r>
            <w:r>
              <w:rPr>
                <w:b/>
                <w:i/>
              </w:rPr>
              <w:t>in der Erwägung, dass staatlich finanzierte türkische Medien wie TRT und die Nachrichtenagentur Anadolu Inhalte verbreiten, die antisemitische Verschwörungstheorien und Rhetorik befeuern;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d.</w:t>
            </w:r>
            <w:r>
              <w:tab/>
            </w:r>
            <w:r>
              <w:rPr>
                <w:b/>
                <w:i/>
              </w:rPr>
              <w:t>in der Erwägung, dass sich Präsident Erdoğan und hochrangige türkische Beamte mit hochrangigen Mitgliedern von in der entsprechenden EU-Liste aufgeführten Terrororganisationen wie der Hamas getroffen haben und dass die Türkei den Mitgliedern der Hamas Pässe und Personalausweise ausstellt;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e.</w:t>
            </w:r>
            <w:r>
              <w:tab/>
            </w:r>
            <w:r>
              <w:rPr>
                <w:b/>
                <w:i/>
              </w:rPr>
              <w:t>in der Erwägung, dass die Türkei offen ihre Unterstützung für die Ziele und Machenschaften der Hamas zum Ausdruck gebracht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f.</w:t>
            </w:r>
            <w:r>
              <w:tab/>
            </w:r>
            <w:r>
              <w:rPr>
                <w:b/>
                <w:i/>
              </w:rPr>
              <w:t>in der Erwägung, dass die Türkei der Hamas Hunderte Millionen Euro gespendet und ihre Unterstützung für die Organisation seit dem Massaker und der Entführung von Israelis am 7. Oktober 2023 verstärkt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die Türkei in den vergangenen Monaten Schritte in Richtung einer friedlichen Lösung der Kurdenfrage unternommen hat;</w:t>
            </w:r>
          </w:p>
        </w:tc>
        <w:tc>
          <w:tcPr>
            <w:tcW w:w="4876" w:type="dxa"/>
            <w:tcBorders>
              <w:top w:val="nil"/>
              <w:left w:val="nil"/>
              <w:bottom w:val="nil"/>
              <w:right w:val="nil"/>
            </w:tcBorders>
          </w:tcPr>
          <w:p>
            <w:pPr>
              <w:pStyle w:val="Normal6a"/>
            </w:pPr>
            <w:r>
              <w:t>E.</w:t>
            </w:r>
            <w:r>
              <w:tab/>
            </w:r>
            <w:r>
              <w:t xml:space="preserve">in der Erwägung, dass die Türkei in den vergangenen Monaten Schritte in Richtung einer friedlichen Lösung der Kurdenfrage unternommen hat; </w:t>
            </w:r>
            <w:r>
              <w:rPr>
                <w:b/>
                <w:i/>
              </w:rPr>
              <w:t>betont, dass die Türkei nach wie vor verstärkt zu Repressionen gegenüber den gesetzlichen Vertretern der kurdischen Bewegung greift, was in jüngster Zeit durch die Amtsenthebungen mehrerer kurdischer Bürgermeister im Osten des Landes veranschaulicht wurde;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in der Erwägung, dass die Türkei in den vergangenen Monaten Schritte in Richtung einer </w:t>
            </w:r>
            <w:r>
              <w:rPr>
                <w:b/>
                <w:i/>
              </w:rPr>
              <w:t>friedlichen</w:t>
            </w:r>
            <w:r>
              <w:t xml:space="preserve"> Lösung der Kurdenfrage unternommen hat;</w:t>
            </w:r>
          </w:p>
        </w:tc>
        <w:tc>
          <w:tcPr>
            <w:tcW w:w="4876" w:type="dxa"/>
            <w:tcBorders>
              <w:top w:val="nil"/>
              <w:left w:val="nil"/>
              <w:bottom w:val="nil"/>
              <w:right w:val="nil"/>
            </w:tcBorders>
          </w:tcPr>
          <w:p>
            <w:pPr>
              <w:pStyle w:val="Normal6a"/>
            </w:pPr>
            <w:r>
              <w:t>E.</w:t>
            </w:r>
            <w:r>
              <w:tab/>
            </w:r>
            <w:r>
              <w:t xml:space="preserve">in der Erwägung, dass die Türkei in den vergangenen Monaten Schritte in Richtung einer Lösung der Kurdenfrage unternommen hat; </w:t>
            </w:r>
            <w:r>
              <w:rPr>
                <w:b/>
                <w:i/>
              </w:rPr>
              <w:t>in der Erwägung, dass diese Bemühungen mit einer zunehmenden Unterdrückung und Einschränkung demokratisch gewählter Lokalregierungen einhergehen, insbesondere in Regionen mit kurdischer Mehrheit im Südosten der Türkei, einschließlich der Entlassung gewählter kurdischer Bürgermeister und anderer Bürgermeister von Oppositionsparteien;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die Türkei in den vergangenen Monaten Schritte in Richtung einer friedlichen Lösung der Kurdenfrage unternommen hat;</w:t>
            </w:r>
          </w:p>
        </w:tc>
        <w:tc>
          <w:tcPr>
            <w:tcW w:w="4876" w:type="dxa"/>
            <w:tcBorders>
              <w:top w:val="nil"/>
              <w:left w:val="nil"/>
              <w:bottom w:val="nil"/>
              <w:right w:val="nil"/>
            </w:tcBorders>
          </w:tcPr>
          <w:p>
            <w:pPr>
              <w:pStyle w:val="Normal6a"/>
            </w:pPr>
            <w:r>
              <w:t>E.</w:t>
            </w:r>
            <w:r>
              <w:tab/>
            </w:r>
            <w:r>
              <w:t xml:space="preserve">in der Erwägung, dass die Türkei in den vergangenen Monaten Schritte in Richtung einer friedlichen Lösung der Kurdenfrage unternommen hat; </w:t>
            </w:r>
            <w:r>
              <w:rPr>
                <w:b/>
                <w:i/>
              </w:rPr>
              <w:t>betont, dass die Türkei ihr hartes Vorgehen gegen rechtmäßige Vertreter der Kurdenbewegung weiter verstärkt, wie kürzlich die Absetzung mehrerer kurdischer Bürgermeister im Osten des Landes gezeigt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in der Erwägung, dass die Türkei in den vergangenen Monaten Schritte in Richtung </w:t>
            </w:r>
            <w:r>
              <w:rPr>
                <w:b/>
                <w:i/>
              </w:rPr>
              <w:t>einer</w:t>
            </w:r>
            <w:r>
              <w:t xml:space="preserve"> friedlichen Lösung der Kurdenfrage unternommen hat;</w:t>
            </w:r>
          </w:p>
        </w:tc>
        <w:tc>
          <w:tcPr>
            <w:tcW w:w="4876" w:type="dxa"/>
            <w:tcBorders>
              <w:top w:val="nil"/>
              <w:left w:val="nil"/>
              <w:bottom w:val="nil"/>
              <w:right w:val="nil"/>
            </w:tcBorders>
          </w:tcPr>
          <w:p>
            <w:pPr>
              <w:pStyle w:val="Normal6a"/>
            </w:pPr>
            <w:r>
              <w:t>E.</w:t>
            </w:r>
            <w:r>
              <w:tab/>
            </w:r>
            <w:r>
              <w:t xml:space="preserve">in der Erwägung, dass die Türkei in den vergangenen Monaten Schritte in Richtung </w:t>
            </w:r>
            <w:r>
              <w:rPr>
                <w:b/>
                <w:i/>
              </w:rPr>
              <w:t>der Wiederaufnehme eines Prozesses zur</w:t>
            </w:r>
            <w:r>
              <w:t xml:space="preserve"> friedlichen Lösung der Kurdenfrage unternommen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die Türkei in den vergangenen Monaten Schritte in Richtung einer friedlichen Lösung der Kurdenfrage unternommen hat;</w:t>
            </w:r>
          </w:p>
        </w:tc>
        <w:tc>
          <w:tcPr>
            <w:tcW w:w="4876" w:type="dxa"/>
            <w:tcBorders>
              <w:top w:val="nil"/>
              <w:left w:val="nil"/>
              <w:bottom w:val="nil"/>
              <w:right w:val="nil"/>
            </w:tcBorders>
          </w:tcPr>
          <w:p>
            <w:pPr>
              <w:pStyle w:val="Normal6a"/>
            </w:pPr>
            <w:r>
              <w:t>E.</w:t>
            </w:r>
            <w:r>
              <w:tab/>
            </w:r>
            <w:r>
              <w:t xml:space="preserve">in der Erwägung, dass die Türkei in den vergangenen Monaten </w:t>
            </w:r>
            <w:r>
              <w:rPr>
                <w:b/>
                <w:i/>
              </w:rPr>
              <w:t>angeblich</w:t>
            </w:r>
            <w:r>
              <w:t xml:space="preserve"> Schritte in Richtung einer friedlichen Lösung der Kurdenfrage unternommen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die Staatsorgane der Türkei die Hamas, die sie als Widerstandsbewegung und rechtmäßigen Gesprächspartner bezeichnen, seit Langem und kontinuierlich unterstützen;</w:t>
            </w:r>
            <w:r>
              <w:t xml:space="preserve"> </w:t>
            </w:r>
            <w:r>
              <w:rPr>
                <w:b/>
                <w:i/>
              </w:rPr>
              <w:t>in der Erwägung, dass sich die Türkei trotz der Gewalttaten vom 7. Oktober 2023 weiterhin weigert, sie in die Liste terroristischer Organisationen aufzunehmen;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die Türkei islamistischen Organisationen sehr nahesteht etwa den Muslimbrüdern über ihren türkischen Ableger „Millî Görüş“, die in mehreren Mitgliedstaaten der Europäischen Union präsent ist;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in der Erwägung, dass die Türkei islamistischen Organisationen wie der Muslimbruderschaft über ihren türkischen Ableger „Islamische Gemeinschaft Millî Görü“ sehr nahesteht, der wiederum in mehreren Mitgliedstaaten der Europäischen Union präsent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in der Erwägung, dass der militante Führer Abdullah Öcalan am 27. Februar 2025 seine Kurdische Arbeiterpartei (PKK) aufgefordert hat, die Waffen niederzulegen und sich aufzulösen und damit eine historische Gelegenheit zur Beendigung des türkisch-kurdischen Konflikts zu ergreifen;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in der Erwägung, dass die Spannungen zwischen der EU und der Türkei im Zusammenhang mit der Situation im östlichen Mittelmeerraum zwar abgenommen haben, aber immer noch bestehen;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in der Erwägung, dass die Türkei wiederholt aufgefordert worden ist, von allen Maßnahmen abzusehen, mit denen unter Verletzung des Völkerrechts und des Unionsrechts gegen die Souveränität und die souveränen Rechte der EU-Mitgliedstaaten verstoßen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in der Erwägung, dass das Land nicht nur ein Bewerber für den Beitritt zur EU, sondern auch ein NATO-Verbündeter und wichtiger Partner in den Bereichen Sicherheit, Handel, Wirtschaftsbeziehungen und Migration ist;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w:t>
            </w:r>
            <w:r>
              <w:rPr>
                <w:b/>
                <w:i/>
              </w:rPr>
              <w:t>das Land</w:t>
            </w:r>
            <w:r>
              <w:t xml:space="preserve"> nicht nur ein </w:t>
            </w:r>
            <w:r>
              <w:rPr>
                <w:b/>
                <w:i/>
              </w:rPr>
              <w:t>Bewerber</w:t>
            </w:r>
            <w:r>
              <w:t xml:space="preserve"> für den Beitritt zur </w:t>
            </w:r>
            <w:r>
              <w:rPr>
                <w:b/>
                <w:i/>
              </w:rPr>
              <w:t>EU</w:t>
            </w:r>
            <w:r>
              <w:t xml:space="preserve">, sondern auch ein </w:t>
            </w:r>
            <w:r>
              <w:rPr>
                <w:b/>
                <w:i/>
              </w:rPr>
              <w:t>NATO-Verbündeter und wichtiger Partner in den Bereichen Sicherheit, Handel, Wirtschaftsbeziehungen und Migration ist</w:t>
            </w:r>
            <w:r>
              <w:t>;</w:t>
            </w:r>
          </w:p>
        </w:tc>
        <w:tc>
          <w:tcPr>
            <w:tcW w:w="4876" w:type="dxa"/>
            <w:tcBorders>
              <w:top w:val="nil"/>
              <w:left w:val="nil"/>
              <w:bottom w:val="nil"/>
              <w:right w:val="nil"/>
            </w:tcBorders>
          </w:tcPr>
          <w:p>
            <w:pPr>
              <w:pStyle w:val="Normal6a"/>
            </w:pPr>
            <w:r>
              <w:t>F.</w:t>
            </w:r>
            <w:r>
              <w:tab/>
            </w:r>
            <w:r>
              <w:t xml:space="preserve">in der Erwägung, dass </w:t>
            </w:r>
            <w:r>
              <w:rPr>
                <w:b/>
                <w:i/>
              </w:rPr>
              <w:t>die Türkei</w:t>
            </w:r>
            <w:r>
              <w:t xml:space="preserve"> nicht nur ein </w:t>
            </w:r>
            <w:r>
              <w:rPr>
                <w:b/>
                <w:i/>
              </w:rPr>
              <w:t>Kandidat</w:t>
            </w:r>
            <w:r>
              <w:t xml:space="preserve"> für den Beitritt zur </w:t>
            </w:r>
            <w:r>
              <w:rPr>
                <w:b/>
                <w:i/>
              </w:rPr>
              <w:t>Europäischen Union ist, obwohl sie sich nicht in Europa befindet</w:t>
            </w:r>
            <w:r>
              <w:t xml:space="preserve">, sondern auch ein </w:t>
            </w:r>
            <w:r>
              <w:rPr>
                <w:b/>
                <w:i/>
              </w:rPr>
              <w:t>NATO-Mitglied ist, das destabilisierende Handlungen im östlichen Mittelmeer und in der Ägäis gegen französische Schiffe sowie gegen griechische, zyprische und italienische Interessen begeht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in der Erwägung, dass das Land nicht nur ein Bewerber für den Beitritt zur EU, sondern auch ein NATO-Verbündeter und wichtiger Partner in den Bereichen Sicherheit, Handel, Wirtschaftsbeziehungen und Migration ist;</w:t>
            </w:r>
          </w:p>
        </w:tc>
        <w:tc>
          <w:tcPr>
            <w:tcW w:w="4876" w:type="dxa"/>
            <w:tcBorders>
              <w:top w:val="nil"/>
              <w:left w:val="nil"/>
              <w:bottom w:val="nil"/>
              <w:right w:val="nil"/>
            </w:tcBorders>
          </w:tcPr>
          <w:p>
            <w:pPr>
              <w:pStyle w:val="Normal6a"/>
            </w:pPr>
            <w:r>
              <w:t>F.</w:t>
            </w:r>
            <w:r>
              <w:tab/>
            </w:r>
            <w:r>
              <w:t xml:space="preserve">in der Erwägung, dass das Land nicht nur ein Bewerber für den Beitritt zur EU, sondern auch ein NATO-Verbündeter und wichtiger Partner in den Bereichen Sicherheit, Handel, Wirtschaftsbeziehungen und Migration ist; </w:t>
            </w:r>
            <w:r>
              <w:rPr>
                <w:b/>
                <w:i/>
              </w:rPr>
              <w:t>in der Erwägung, dass die Türkei nach wie vor eine Schlüsselrolle in der Region spielt und als Brücke zwischen Europa und Asien fungiert;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das Land nicht nur ein Bewerber für den Beitritt zur EU, sondern auch </w:t>
            </w:r>
            <w:r>
              <w:rPr>
                <w:b/>
                <w:i/>
              </w:rPr>
              <w:t>ein NATO-Verbündeter und wichtiger Partner in den Bereichen Sicherheit, Handel, Wirtschaftsbeziehungen und Migration ist</w:t>
            </w:r>
            <w:r>
              <w:t>;</w:t>
            </w:r>
          </w:p>
        </w:tc>
        <w:tc>
          <w:tcPr>
            <w:tcW w:w="4876" w:type="dxa"/>
            <w:tcBorders>
              <w:top w:val="nil"/>
              <w:left w:val="nil"/>
              <w:bottom w:val="nil"/>
              <w:right w:val="nil"/>
            </w:tcBorders>
          </w:tcPr>
          <w:p>
            <w:pPr>
              <w:pStyle w:val="Normal6a"/>
            </w:pPr>
            <w:r>
              <w:t>F.</w:t>
            </w:r>
            <w:r>
              <w:tab/>
            </w:r>
            <w:r>
              <w:t xml:space="preserve">in der Erwägung, dass das Land nicht nur ein Bewerber für den Beitritt zur EU, </w:t>
            </w:r>
            <w:r>
              <w:rPr>
                <w:b/>
                <w:i/>
              </w:rPr>
              <w:t>obwohl sie nicht in Europa liegt, </w:t>
            </w:r>
            <w:r>
              <w:t xml:space="preserve">sondern auch </w:t>
            </w:r>
            <w:r>
              <w:rPr>
                <w:b/>
                <w:i/>
              </w:rPr>
              <w:t>NATO-Mitglied ist, das im östlichen Mittelmeerraum und in der Ägäis destabilisierende Handlungen gegen französische Schiffe sowie gegen die Interessen Zyperns und Italiens durchführt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in der Erwägung, dass das Land nicht nur ein Bewerber für den Beitritt zur EU, sondern auch ein NATO-Verbündeter und wichtiger Partner in den Bereichen Sicherheit, Handel, Wirtschaftsbeziehungen und Migration ist;</w:t>
            </w:r>
          </w:p>
        </w:tc>
        <w:tc>
          <w:tcPr>
            <w:tcW w:w="4876" w:type="dxa"/>
            <w:tcBorders>
              <w:top w:val="nil"/>
              <w:left w:val="nil"/>
              <w:bottom w:val="nil"/>
              <w:right w:val="nil"/>
            </w:tcBorders>
          </w:tcPr>
          <w:p>
            <w:pPr>
              <w:pStyle w:val="Normal6a"/>
            </w:pPr>
            <w:r>
              <w:t>F.</w:t>
            </w:r>
            <w:r>
              <w:tab/>
            </w:r>
            <w:r>
              <w:t xml:space="preserve">in der Erwägung, dass das Land nicht nur ein Bewerber für den Beitritt zur EU, sondern auch ein NATO-Verbündeter und wichtiger Partner in den Bereichen </w:t>
            </w:r>
            <w:r>
              <w:rPr>
                <w:b/>
                <w:i/>
              </w:rPr>
              <w:t>Terrorismusbekämpfung,</w:t>
            </w:r>
            <w:r>
              <w:t xml:space="preserve"> Sicherheit, Handel, Wirtschaftsbeziehungen und Migration ist;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das Land nicht nur ein Bewerber für den Beitritt zur EU, sondern auch ein NATO-Verbündeter und wichtiger Partner in den Bereichen </w:t>
            </w:r>
            <w:r>
              <w:rPr>
                <w:b/>
                <w:i/>
              </w:rPr>
              <w:t>Sicherheit,</w:t>
            </w:r>
            <w:r>
              <w:t xml:space="preserve"> Handel, Wirtschaftsbeziehungen und Migration ist;</w:t>
            </w:r>
          </w:p>
        </w:tc>
        <w:tc>
          <w:tcPr>
            <w:tcW w:w="4876" w:type="dxa"/>
            <w:tcBorders>
              <w:top w:val="nil"/>
              <w:left w:val="nil"/>
              <w:bottom w:val="nil"/>
              <w:right w:val="nil"/>
            </w:tcBorders>
          </w:tcPr>
          <w:p>
            <w:pPr>
              <w:pStyle w:val="Normal6a"/>
            </w:pPr>
            <w:r>
              <w:t>F.</w:t>
            </w:r>
            <w:r>
              <w:tab/>
            </w:r>
            <w:r>
              <w:t>in der Erwägung, dass das Land nicht nur ein Bewerber für den Beitritt zur EU, sondern auch ein NATO-Verbündeter und wichtiger Partner in den Bereichen Handel, Wirtschaftsbeziehungen</w:t>
            </w:r>
            <w:r>
              <w:rPr>
                <w:b/>
                <w:i/>
              </w:rPr>
              <w:t>, Sicherheit</w:t>
            </w:r>
            <w:r>
              <w:t xml:space="preserve"> und Migration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Emmanouil Fragkos, Galato Alexandraki,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w:t>
            </w:r>
            <w:r>
              <w:rPr>
                <w:b/>
                <w:i/>
              </w:rPr>
              <w:t>das Land</w:t>
            </w:r>
            <w:r>
              <w:t xml:space="preserve"> nicht nur </w:t>
            </w:r>
            <w:r>
              <w:rPr>
                <w:b/>
                <w:i/>
              </w:rPr>
              <w:t>ein Bewerber für den Beitritt zur EU</w:t>
            </w:r>
            <w:r>
              <w:t xml:space="preserve">, sondern </w:t>
            </w:r>
            <w:r>
              <w:rPr>
                <w:b/>
                <w:i/>
              </w:rPr>
              <w:t>auch ein</w:t>
            </w:r>
            <w:r>
              <w:t xml:space="preserve"> NATO-Verbündeter </w:t>
            </w:r>
            <w:r>
              <w:rPr>
                <w:b/>
                <w:i/>
              </w:rPr>
              <w:t>und wichtiger Partner in den Bereichen Sicherheit, Handel, Wirtschaftsbeziehungen und Migration</w:t>
            </w:r>
            <w:r>
              <w:t xml:space="preserve"> ist;</w:t>
            </w:r>
          </w:p>
        </w:tc>
        <w:tc>
          <w:tcPr>
            <w:tcW w:w="4876" w:type="dxa"/>
            <w:tcBorders>
              <w:top w:val="nil"/>
              <w:left w:val="nil"/>
              <w:bottom w:val="nil"/>
              <w:right w:val="nil"/>
            </w:tcBorders>
          </w:tcPr>
          <w:p>
            <w:pPr>
              <w:pStyle w:val="Normal6a"/>
            </w:pPr>
            <w:r>
              <w:t>F.</w:t>
            </w:r>
            <w:r>
              <w:tab/>
            </w:r>
            <w:r>
              <w:t xml:space="preserve">in der Erwägung, dass </w:t>
            </w:r>
            <w:r>
              <w:rPr>
                <w:b/>
                <w:i/>
              </w:rPr>
              <w:t>die Türkei</w:t>
            </w:r>
            <w:r>
              <w:t xml:space="preserve"> nicht nur </w:t>
            </w:r>
            <w:r>
              <w:rPr>
                <w:b/>
                <w:i/>
              </w:rPr>
              <w:t>theoretisch weiterhin ein Kandidat für die EU-Mitgliedschaft</w:t>
            </w:r>
            <w:r>
              <w:t xml:space="preserve">, sondern </w:t>
            </w:r>
            <w:r>
              <w:rPr>
                <w:b/>
                <w:i/>
              </w:rPr>
              <w:t>zudem theoretisch ein „</w:t>
            </w:r>
            <w:r>
              <w:t>NATO-Verbündeter</w:t>
            </w:r>
            <w:r>
              <w:rPr>
                <w:b/>
                <w:i/>
              </w:rPr>
              <w:t>“</w:t>
            </w:r>
            <w:r>
              <w:t xml:space="preserve">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in der Erwägung, dass das Land nicht nur ein Bewerber für den Beitritt zur EU, sondern auch ein NATO-Verbündeter und wichtiger Partner in den Bereichen Sicherheit, Handel</w:t>
            </w:r>
            <w:r>
              <w:rPr>
                <w:b/>
                <w:i/>
              </w:rPr>
              <w:t>, Wirtschaftsbeziehungen und Migration ist</w:t>
            </w:r>
            <w:r>
              <w:t>;</w:t>
            </w:r>
          </w:p>
        </w:tc>
        <w:tc>
          <w:tcPr>
            <w:tcW w:w="4876" w:type="dxa"/>
            <w:tcBorders>
              <w:top w:val="nil"/>
              <w:left w:val="nil"/>
              <w:bottom w:val="nil"/>
              <w:right w:val="nil"/>
            </w:tcBorders>
          </w:tcPr>
          <w:p>
            <w:pPr>
              <w:pStyle w:val="Normal6a"/>
            </w:pPr>
            <w:r>
              <w:t>F.</w:t>
            </w:r>
            <w:r>
              <w:tab/>
            </w:r>
            <w:r>
              <w:t xml:space="preserve">in der Erwägung, dass das Land nicht nur ein Bewerber für den Beitritt zur EU, sondern auch ein NATO-Verbündeter und wichtiger Partner in den Bereichen Sicherheit, Handel </w:t>
            </w:r>
            <w:r>
              <w:rPr>
                <w:b/>
                <w:i/>
              </w:rPr>
              <w:t>und Wirtschaftsbeziehungen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dem Statistischen Amt der Europäischen Union zufolge mehr als 1,9 Millionen türkische Bürger in Europa leben und dass Deutschland mit etwa 1,3 Millionen Staatsangehörigen, gefolgt von Frankreich (210 351 Personen) und Österreich (117 625 Personen), die größte türkische Gemeinschaft hat;</w:t>
            </w:r>
            <w:r>
              <w:t xml:space="preserve"> </w:t>
            </w:r>
            <w:r>
              <w:rPr>
                <w:b/>
                <w:i/>
              </w:rPr>
              <w:t>in der Erwägung, dass es nach Angaben des türkischen Außenministeriums tatsächlich mehr als 5 Millionen Menschen sind;</w:t>
            </w:r>
            <w:r>
              <w:t xml:space="preserve"> </w:t>
            </w:r>
            <w:r>
              <w:rPr>
                <w:b/>
                <w:i/>
              </w:rPr>
              <w:t>in der Erwägung, dass der türkische Präsident Recep Tayyip Erdoğan die türkische Diaspora mehrfach aufgefordert hat, sich in die Aufnahmeländer zu integrieren, sich aber keinesfalls um eine Assimilierung zu bemühen;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in der Erwägung, dass sich die Türkei den EU-Sanktionen gegen Russland nicht angeschlossen hat;</w:t>
            </w:r>
            <w:r>
              <w:t xml:space="preserve"> </w:t>
            </w:r>
            <w:r>
              <w:rPr>
                <w:b/>
                <w:i/>
              </w:rPr>
              <w:t>in der Erwägung, dass sich der Handel zwischen der Türkei und Russland seit der Verhängung der EU-Sanktionen gegen Russland fast verdoppelt hat;</w:t>
            </w:r>
            <w:r>
              <w:t xml:space="preserve"> </w:t>
            </w:r>
            <w:r>
              <w:rPr>
                <w:b/>
                <w:i/>
              </w:rPr>
              <w:t>in der Erwägung, dass die Türkei trotz einiger Schritte die Umgehung der EU-Sanktionen gegen Russland über ihr Hoheitsgebiet nicht gestoppt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Lucia Yar, Hilde Vautmans, Dan Barna, Nathalie Loiseau, Petras Auštrevičius,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in der Erwägung, dass die Türkei nach wie vor eine wichtige Rolle im Syrienkonflikt spielt und ihre militärische Präsenz im Norden Syriens aufrechterhält;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in der Erwägung, dass Millî Görüş, ein europäischer islamischer Verband mit Sitz in Köln (Deutschland), der bekanntermaßen den Muslimbrüdern und der AKP nahesteht, mehr als 500 Moscheen in Westeuropa verwaltet;</w:t>
            </w:r>
            <w:r>
              <w:t xml:space="preserve"> </w:t>
            </w:r>
            <w:r>
              <w:rPr>
                <w:b/>
                <w:i/>
              </w:rPr>
              <w:t>in der Erwägung, dass Millî Görüş daher in mehreren Mitgliedstaaten eine wichtige Einflussmöglichkeit für den türkischen Präsidenten Recep Tayyip Erdoğan darstellt;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in der Erwägung, dass die Türkei der fünftgrößte Handelspartner der EU und die EU bei Weitem der größte Handelspartner der Türkei sowie ihre Hauptquelle für ausländische Direktinvestitionen ist;</w:t>
            </w:r>
          </w:p>
        </w:tc>
        <w:tc>
          <w:tcPr>
            <w:tcW w:w="4876" w:type="dxa"/>
            <w:tcBorders>
              <w:top w:val="nil"/>
              <w:left w:val="nil"/>
              <w:bottom w:val="nil"/>
              <w:right w:val="nil"/>
            </w:tcBorders>
          </w:tcPr>
          <w:p>
            <w:pPr>
              <w:pStyle w:val="Normal6a"/>
            </w:pPr>
            <w:r>
              <w:t>G.</w:t>
            </w:r>
            <w:r>
              <w:tab/>
            </w:r>
            <w:r>
              <w:t xml:space="preserve">in der Erwägung, dass die Türkei der fünftgrößte Handelspartner der EU und die EU bei Weitem der größte Handelspartner der Türkei sowie ihre Hauptquelle für ausländische Direktinvestitionen ist; </w:t>
            </w:r>
            <w:r>
              <w:rPr>
                <w:b/>
                <w:i/>
              </w:rPr>
              <w:t>stellt fest, dass die Türkei gleichzeitig ihre Wirtschaftsbeziehungen zu China stärkt, unter anderem durch die Anwerbung von Investitionen in Energie, Telekommunikation und umweltfreundliche Technologien;</w:t>
            </w:r>
            <w:r>
              <w:t xml:space="preserve"> </w:t>
            </w:r>
            <w:r>
              <w:rPr>
                <w:b/>
                <w:i/>
              </w:rPr>
              <w:t>weist darauf hin, dass die Türkei seit 2022 ihre Strategie für weit entfernte Länder umsetzt, die darauf abzielt, den Handel mit entfernten Volkswirtschaften, darunter China, Brasilien und Indien, zu vervierfachen;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in der Erwägung, dass die Türkei der fünftgrößte Handelspartner der EU und die EU bei Weitem der größte Handelspartner der Türkei sowie ihre Hauptquelle für ausländische Direktinvestitionen ist;</w:t>
            </w:r>
          </w:p>
        </w:tc>
        <w:tc>
          <w:tcPr>
            <w:tcW w:w="4876" w:type="dxa"/>
            <w:tcBorders>
              <w:top w:val="nil"/>
              <w:left w:val="nil"/>
              <w:bottom w:val="nil"/>
              <w:right w:val="nil"/>
            </w:tcBorders>
          </w:tcPr>
          <w:p>
            <w:pPr>
              <w:pStyle w:val="Normal6a"/>
            </w:pPr>
            <w:r>
              <w:t>G.</w:t>
            </w:r>
            <w:r>
              <w:tab/>
            </w:r>
            <w:r>
              <w:t xml:space="preserve">in der Erwägung, dass die Türkei der fünftgrößte Handelspartner der EU und die EU bei Weitem der größte Handelspartner der Türkei sowie ihre Hauptquelle für ausländische Direktinvestitionen ist; </w:t>
            </w:r>
            <w:r>
              <w:rPr>
                <w:b/>
                <w:i/>
              </w:rPr>
              <w:t>stellt fest, dass die Türkei gleichzeitig ihre wirtschaftlichen Beziehungen zu China stärkt, insbesondere indem sie um Investitionen in den Bereichen Energie, Telekommunikation und grüne Technologien aus dem Land wirbt;</w:t>
            </w:r>
            <w:r>
              <w:t xml:space="preserve"> </w:t>
            </w:r>
            <w:r>
              <w:rPr>
                <w:b/>
                <w:i/>
              </w:rPr>
              <w:t>weist darauf hin, dass die Türkei seit 2022 ihre „Strategie für weit entfernte Länder“ umsetzt, die darauf abzielt, den Handel mit weit entfernten Volkswirtschaften, einschließlich China, Brasilien und Indien, zu vervierfachen;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in der Erwägung, dass die Türkei der fünftgrößte Handelspartner der EU und die EU bei Weitem der größte Handelspartner der Türkei sowie ihre Hauptquelle für ausländische Direktinvestitionen ist;</w:t>
            </w:r>
          </w:p>
        </w:tc>
        <w:tc>
          <w:tcPr>
            <w:tcW w:w="4876" w:type="dxa"/>
            <w:tcBorders>
              <w:top w:val="nil"/>
              <w:left w:val="nil"/>
              <w:bottom w:val="nil"/>
              <w:right w:val="nil"/>
            </w:tcBorders>
          </w:tcPr>
          <w:p>
            <w:pPr>
              <w:pStyle w:val="Normal6a"/>
            </w:pPr>
            <w:r>
              <w:t>G.</w:t>
            </w:r>
            <w:r>
              <w:tab/>
            </w:r>
            <w:r>
              <w:t xml:space="preserve">in der Erwägung, dass die Türkei der fünftgrößte Handelspartner der EU und die EU bei Weitem der größte Handelspartner der Türkei sowie ihre Hauptquelle für ausländische Direktinvestitionen ist; </w:t>
            </w:r>
            <w:r>
              <w:rPr>
                <w:b/>
                <w:i/>
              </w:rPr>
              <w:t>in der Erwägung, dass sich die Türkei jedoch weigert, ihrer Verpflichtung bezüglich der umfassenden und diskriminierungsfreien Umsetzung des Zusatzprotokolls zum Abkommen von Ankara gegenüber allen Mitgliedstaaten – auch gegenüber der Republik Zypern – nachzukommen;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in der Erwägung, dass die Türkei </w:t>
            </w:r>
            <w:r>
              <w:rPr>
                <w:b/>
                <w:i/>
              </w:rPr>
              <w:t>der fünftgrößte</w:t>
            </w:r>
            <w:r>
              <w:t xml:space="preserve"> Handelspartner der EU und die EU bei Weitem der größte Handelspartner der Türkei sowie ihre Hauptquelle für ausländische Direktinvestitionen ist;</w:t>
            </w:r>
          </w:p>
        </w:tc>
        <w:tc>
          <w:tcPr>
            <w:tcW w:w="4876" w:type="dxa"/>
            <w:tcBorders>
              <w:top w:val="nil"/>
              <w:left w:val="nil"/>
              <w:bottom w:val="nil"/>
              <w:right w:val="nil"/>
            </w:tcBorders>
          </w:tcPr>
          <w:p>
            <w:pPr>
              <w:pStyle w:val="Normal6a"/>
            </w:pPr>
            <w:r>
              <w:t>G.</w:t>
            </w:r>
            <w:r>
              <w:tab/>
            </w:r>
            <w:r>
              <w:t xml:space="preserve">in der Erwägung, dass die Türkei </w:t>
            </w:r>
            <w:r>
              <w:rPr>
                <w:b/>
                <w:i/>
              </w:rPr>
              <w:t>ein</w:t>
            </w:r>
            <w:r>
              <w:t xml:space="preserve"> Handelspartner der EU und die EU bei Weitem der größte Handelspartner der Türkei sowie ihre Hauptquelle für ausländische Direktinvestitionen ist;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in der Erwägung, dass sich die Türkei den EU-Sanktionen gegen Russland nicht angeschlossen hat;</w:t>
            </w:r>
            <w:r>
              <w:t xml:space="preserve"> </w:t>
            </w:r>
            <w:r>
              <w:rPr>
                <w:b/>
                <w:i/>
              </w:rPr>
              <w:t>in der Erwägung, dass sich die Angleichung der Außenpolitik der Türkei an die Erklärungen der Gemeinsamen Außen- und Sicherheitspolitik (GASP) der EU zwischen 2023 und 2024 von 9 % auf nur 5 % verschlechtert hat, was unter allen Erweiterungsländern bei weitem der niedrigste Wert ist;</w:t>
            </w:r>
            <w:r>
              <w:t xml:space="preserve"> </w:t>
            </w:r>
            <w:r>
              <w:rPr>
                <w:b/>
                <w:i/>
              </w:rPr>
              <w:t>in der Erwägung, dass sich der Handel zwischen der Türkei und Russland seit der Verhängung der EU-Sanktionen gegen Russland fast verdoppelt hat;</w:t>
            </w:r>
            <w:r>
              <w:t xml:space="preserve"> </w:t>
            </w:r>
            <w:r>
              <w:rPr>
                <w:b/>
                <w:i/>
              </w:rPr>
              <w:t>in der Erwägung, dass die Türkei trotz einiger Schritte die Umgehung der EU-Sanktionen gegen Russland über ihr Hoheitsgebiet nicht gestoppt hat;</w:t>
            </w:r>
            <w:r>
              <w:t xml:space="preserve"> </w:t>
            </w:r>
            <w:r>
              <w:rPr>
                <w:b/>
                <w:i/>
              </w:rPr>
              <w:t>in der Erwägung, dass eine aktive Zusammenarbeit der Türkei mit der EU bei der Verhinderung und Aufdeckung der Umgehung von EU-Sanktionen, auch in Bezug auf Güter mit doppeltem Verwendungszweck, sowie der ‚falschen Durchfuhr‘ und der Wiederausfuhr von Gütern nach Russland durch Zwischenhändler aus Drittländern nach wie vor von entscheidender Bedeutung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in der Erwägung, dass die Türkei einen Antrag auf Beitritt zu den BRICS-Ländern gestellt hat und beabsichtigt, Mitglied der Schanghaier Organisation für Zusammenarbeit zu werden, was eine Abkehr von Europa bedeutet;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in der Erwägung, dass die Türkei einen Antrag auf Beitritt zu den BRICS-Ländern gestellt hat und beabsichtigt, Mitglied der Schanghaier Organisation für Zusammenarbeit zu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in der Erwägung, dass die Zusammenarbeit zwischen der EU und der Türkei im vergangenen Jahr sowohl bei fachlichen Sitzungen als auch bei hochrangigen Treffen in sektoralen Bereichen zugenommen hat;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in der Erwägung, dass die Türkei einen Antrag auf Mitgliedschaft in den BRICS-Ländern gestellt und Interesse daran gezeigt hat, der Schanghaier Organisation für Zusammenarbeit (SCO) beizutreten;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w:t>
            </w:r>
            <w:r>
              <w:tab/>
            </w:r>
            <w:r>
              <w:rPr>
                <w:b/>
                <w:i/>
              </w:rPr>
              <w:t>in der Erwägung, dass die Türkei nach einer Zeit unorthodoxer Wirtschaftspolitik im vergangenen Jahr eine strengere Geldpolitik umgesetzt hat, die zu einem Abbau der außenwirtschaftlichen Ungleichgewichte und einer Abschwächung des Inflationsdrucks geführt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in der Erwägung, dass die Türkei mit etwa 3,4 Millionen registrierten Flüchtlingen, vor allem aus Syrien, dem Irak und Afghanistan, weltweit am meisten Flüchtlinge aufgenommen hat;</w:t>
            </w:r>
          </w:p>
        </w:tc>
        <w:tc>
          <w:tcPr>
            <w:tcW w:w="4876" w:type="dxa"/>
            <w:tcBorders>
              <w:top w:val="nil"/>
              <w:left w:val="nil"/>
              <w:bottom w:val="nil"/>
              <w:right w:val="nil"/>
            </w:tcBorders>
          </w:tcPr>
          <w:p>
            <w:pPr>
              <w:pStyle w:val="Normal6a"/>
            </w:pPr>
            <w:r>
              <w:t>I.</w:t>
            </w:r>
            <w:r>
              <w:tab/>
            </w:r>
            <w:r>
              <w:t xml:space="preserve">in der Erwägung, dass die Türkei mit etwa 3,4 Millionen registrierten Flüchtlingen, vor allem aus Syrien, dem Irak und Afghanistan, weltweit am meisten Flüchtlinge aufgenommen hat; </w:t>
            </w:r>
            <w:r>
              <w:rPr>
                <w:b/>
                <w:i/>
              </w:rPr>
              <w:t>in der Erwägung, dass laut einem glaubwürdigen Untersuchungsbericht von „Lighthouse Reports“ und acht Medienpartnern die EU Abschiebungseinrichtungen in der Türkei finanziert, die unter dem Deckmantel einer freiwilligen Rückkehr operieren, aber mit der Inhaftierung, Misshandlung und Zwangsdeportation von Flüchtlingen in Verbindung gebracht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in der Erwägung, dass die Türkei mit etwa 3,4 Millionen registrierten Flüchtlingen, vor allem aus Syrien, dem Irak und Afghanistan, weltweit am meisten Flüchtlinge aufgenommen hat;</w:t>
            </w:r>
          </w:p>
        </w:tc>
        <w:tc>
          <w:tcPr>
            <w:tcW w:w="4876" w:type="dxa"/>
            <w:tcBorders>
              <w:top w:val="nil"/>
              <w:left w:val="nil"/>
              <w:bottom w:val="nil"/>
              <w:right w:val="nil"/>
            </w:tcBorders>
          </w:tcPr>
          <w:p>
            <w:pPr>
              <w:pStyle w:val="Normal6a"/>
            </w:pPr>
            <w:r>
              <w:t>I.</w:t>
            </w:r>
            <w:r>
              <w:tab/>
            </w:r>
            <w:r>
              <w:t xml:space="preserve">in der Erwägung, dass die Türkei mit etwa 3,4 Millionen registrierten Flüchtlingen, vor allem aus Syrien, dem Irak und Afghanistan, weltweit am meisten Flüchtlinge aufgenommen hat; </w:t>
            </w:r>
            <w:r>
              <w:rPr>
                <w:b/>
                <w:i/>
              </w:rPr>
              <w:t>bedauert, dass das Regime die EU dauerhaft mit der Migration erpresst, was sich seit der Migrationskrise von 2015 verschärft hat, und dass das Regime destabilisierende Operationen an der griechischen Grenze durchgeführt hat;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in der Erwägung, dass die Türkei mit etwa 3,4 Millionen registrierten Flüchtlingen, vor allem aus Syrien, dem Irak und Afghanistan, weltweit am meisten Flüchtlinge aufgenommen hat;</w:t>
            </w:r>
          </w:p>
        </w:tc>
        <w:tc>
          <w:tcPr>
            <w:tcW w:w="4876" w:type="dxa"/>
            <w:tcBorders>
              <w:top w:val="nil"/>
              <w:left w:val="nil"/>
              <w:bottom w:val="nil"/>
              <w:right w:val="nil"/>
            </w:tcBorders>
          </w:tcPr>
          <w:p>
            <w:pPr>
              <w:pStyle w:val="Normal6a"/>
            </w:pPr>
            <w:r>
              <w:t>I.</w:t>
            </w:r>
            <w:r>
              <w:tab/>
            </w:r>
            <w:r>
              <w:t xml:space="preserve">in der Erwägung, dass die Türkei mit etwa 3,4 Millionen registrierten Flüchtlingen, vor allem aus Syrien, dem Irak und Afghanistan, weltweit am meisten Flüchtlinge aufgenommen hat; </w:t>
            </w:r>
            <w:r>
              <w:rPr>
                <w:b/>
                <w:i/>
              </w:rPr>
              <w:t>bedauert die anhaltende Erpressung der EU im Zusammenhang mit der Migration durch das türkische Regime, die seit der Migrationskrise von 2015 eskaliert ist, sowie die Einsätze zur Destabilisierung, die es an der griechischen Grenze durchführt;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in der Erwägung, dass die Türkei mit etwa 3,4 Millionen registrierten Flüchtlingen, vor allem aus Syrien, dem Irak und Afghanistan, weltweit am meisten Flüchtlinge aufgenommen hat;</w:t>
            </w:r>
          </w:p>
        </w:tc>
        <w:tc>
          <w:tcPr>
            <w:tcW w:w="4876" w:type="dxa"/>
            <w:tcBorders>
              <w:top w:val="nil"/>
              <w:left w:val="nil"/>
              <w:bottom w:val="nil"/>
              <w:right w:val="nil"/>
            </w:tcBorders>
          </w:tcPr>
          <w:p>
            <w:pPr>
              <w:pStyle w:val="Normal6a"/>
            </w:pPr>
            <w:r>
              <w:t>I.</w:t>
            </w:r>
            <w:r>
              <w:tab/>
            </w:r>
            <w:r>
              <w:t xml:space="preserve">in der Erwägung, dass die Türkei mit etwa 3,4 Millionen registrierten Flüchtlingen, vor allem aus Syrien, dem Irak und Afghanistan, weltweit am meisten Flüchtlinge aufgenommen hat; </w:t>
            </w:r>
            <w:r>
              <w:rPr>
                <w:b/>
                <w:i/>
              </w:rPr>
              <w:t>in der Erwägung, dass die EU seit 2011 insgesamt 110 Mrd. EUR für die Unterstützung von Flüchtlingen und Kommunen in der Türkei, die Flüchtlinge aufgenommen haben, bereitgestellt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die Türkei mit etwa 3,4 Millionen registrierten Flüchtlingen, vor allem aus Syrien, dem Irak und Afghanistan, </w:t>
            </w:r>
            <w:r>
              <w:rPr>
                <w:b/>
                <w:i/>
              </w:rPr>
              <w:t>weltweit am meisten</w:t>
            </w:r>
            <w:r>
              <w:t xml:space="preserve"> Flüchtlinge aufgenommen hat;</w:t>
            </w:r>
          </w:p>
        </w:tc>
        <w:tc>
          <w:tcPr>
            <w:tcW w:w="4876" w:type="dxa"/>
            <w:tcBorders>
              <w:top w:val="nil"/>
              <w:left w:val="nil"/>
              <w:bottom w:val="nil"/>
              <w:right w:val="nil"/>
            </w:tcBorders>
          </w:tcPr>
          <w:p>
            <w:pPr>
              <w:pStyle w:val="Normal6a"/>
            </w:pPr>
            <w:r>
              <w:t>I.</w:t>
            </w:r>
            <w:r>
              <w:tab/>
            </w:r>
            <w:r>
              <w:t xml:space="preserve">in der Erwägung, dass die Türkei mit etwa 3,4 Millionen registrierten Flüchtlingen, vor allem aus Syrien, dem Irak und Afghanistan, </w:t>
            </w:r>
            <w:r>
              <w:rPr>
                <w:b/>
                <w:i/>
              </w:rPr>
              <w:t>sehr viele Flüchtlinge aufgenommen hat;</w:t>
            </w:r>
            <w:r>
              <w:t xml:space="preserve"> </w:t>
            </w:r>
            <w:r>
              <w:rPr>
                <w:b/>
                <w:i/>
              </w:rPr>
              <w:t>in der Erwägung, dass die EU seit 2011 mehr als 10 Mrd. EUR für die Unterstützung von Flüchtlingen und Kommunen in der Türkei, die</w:t>
            </w:r>
            <w:r>
              <w:t xml:space="preserve"> Flüchtlinge aufgenommen </w:t>
            </w:r>
            <w:r>
              <w:rPr>
                <w:b/>
                <w:i/>
              </w:rPr>
              <w:t>haben, bereitgestellt</w:t>
            </w:r>
            <w:r>
              <w:t xml:space="preserve">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die Türkei mit etwa </w:t>
            </w:r>
            <w:r>
              <w:rPr>
                <w:b/>
                <w:i/>
              </w:rPr>
              <w:t>3,4</w:t>
            </w:r>
            <w:r>
              <w:t xml:space="preserve"> Millionen registrierten Flüchtlingen, vor allem aus Syrien, dem Irak und Afghanistan, weltweit am meisten Flüchtlinge aufgenommen hat;</w:t>
            </w:r>
          </w:p>
        </w:tc>
        <w:tc>
          <w:tcPr>
            <w:tcW w:w="4876" w:type="dxa"/>
            <w:tcBorders>
              <w:top w:val="nil"/>
              <w:left w:val="nil"/>
              <w:bottom w:val="nil"/>
              <w:right w:val="nil"/>
            </w:tcBorders>
          </w:tcPr>
          <w:p>
            <w:pPr>
              <w:pStyle w:val="Normal6a"/>
            </w:pPr>
            <w:r>
              <w:t>I.</w:t>
            </w:r>
            <w:r>
              <w:tab/>
            </w:r>
            <w:r>
              <w:t xml:space="preserve">in der Erwägung, dass die Türkei mit etwa </w:t>
            </w:r>
            <w:r>
              <w:rPr>
                <w:b/>
                <w:i/>
              </w:rPr>
              <w:t>3,1</w:t>
            </w:r>
            <w:r>
              <w:t> Millionen registrierten Flüchtlingen, vor allem aus Syrien, dem Irak und Afghanistan, weltweit am meisten Flüchtlinge aufgenommen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die Türkei </w:t>
            </w:r>
            <w:r>
              <w:rPr>
                <w:b/>
                <w:i/>
              </w:rPr>
              <w:t>mit</w:t>
            </w:r>
            <w:r>
              <w:t xml:space="preserve"> etwa 3,4 Millionen </w:t>
            </w:r>
            <w:r>
              <w:rPr>
                <w:b/>
                <w:i/>
              </w:rPr>
              <w:t>registrierten Flüchtlingen</w:t>
            </w:r>
            <w:r>
              <w:t xml:space="preserve">, vor allem aus Syrien, dem Irak und Afghanistan, </w:t>
            </w:r>
            <w:r>
              <w:rPr>
                <w:b/>
                <w:i/>
              </w:rPr>
              <w:t>weltweit am meisten Flüchtlinge</w:t>
            </w:r>
            <w:r>
              <w:t xml:space="preserve"> aufgenommen hat;</w:t>
            </w:r>
          </w:p>
        </w:tc>
        <w:tc>
          <w:tcPr>
            <w:tcW w:w="4876" w:type="dxa"/>
            <w:tcBorders>
              <w:top w:val="nil"/>
              <w:left w:val="nil"/>
              <w:bottom w:val="nil"/>
              <w:right w:val="nil"/>
            </w:tcBorders>
          </w:tcPr>
          <w:p>
            <w:pPr>
              <w:pStyle w:val="Normal6a"/>
            </w:pPr>
            <w:r>
              <w:t>I.</w:t>
            </w:r>
            <w:r>
              <w:tab/>
            </w:r>
            <w:r>
              <w:t xml:space="preserve">in der Erwägung, dass die Türkei etwa 3,4 Millionen </w:t>
            </w:r>
            <w:r>
              <w:rPr>
                <w:b/>
                <w:i/>
              </w:rPr>
              <w:t>registrierte Flüchtlinge</w:t>
            </w:r>
            <w:r>
              <w:t>, vor allem aus Syrien, dem Irak und Afghanistan, aufgenommen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die Türkei den Terroranschlag vom 7. Oktober nicht verurteilt und sich für die von der EU als Terrororganisation eingestufte Hamas ausgesprochen hat, was in vollständigem Gegensatz zum Standpunkt der EU steht;</w:t>
            </w:r>
            <w:r>
              <w:t xml:space="preserve"> </w:t>
            </w:r>
            <w:r>
              <w:rPr>
                <w:b/>
                <w:i/>
              </w:rPr>
              <w:t>in der Erwägung, dass der Präsident der Türkei anschließend im April 2024 in Istanbul den politischen Führer der Hamas Ismail Hanija getroffen hat;</w:t>
            </w:r>
            <w:r>
              <w:t xml:space="preserve"> </w:t>
            </w:r>
            <w:r>
              <w:rPr>
                <w:b/>
                <w:i/>
              </w:rPr>
              <w:t>in der Erwägung, dass die Türkei die Hamas nicht als terroristische Vereinigung, sondern als „Befreiungsbewegung“ ansieht und dass es jetzt glaubwürdige Berichte darüber gibt, dass die Führung der terroristischen Vereinigung sich in der Türkei niedergelassen hat, von wo aus sie Terroranschläge, auch gegen Israel, plant und durchführt;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die Gesetze zur Terrorismusbekämpfung missbräuchlich eingesetzt wurden, um Einzelpersonen und Organisationen aus der EU, die mit dem türkischen Regime nicht einverstanden sind, fälschlich zu beschuldigen und sie zu zwingen, ihre Aktivitäten einzustellen, wie in den Entschließungen des Europäischen Parlaments vom 5. Mai 2022 zu dem Fall von Osman Kavala und vom 10. Oktober 2024 zu dem Fall Bülent Mumay beschrieben;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die EU der Türkei seit 2011 fast 10 Milliarden Euro für syrische Flüchtlinge zur Verfügung gestellt hat;</w:t>
            </w:r>
            <w:r>
              <w:t xml:space="preserve"> </w:t>
            </w:r>
            <w:r>
              <w:rPr>
                <w:b/>
                <w:i/>
              </w:rPr>
              <w:t>in der Erwägung, dass Erdoğan im Dezember 2024 von der Präsidentin der Europäischen Kommission von der Leyen eine zusätzliche Milliarde für syrische Flüchtlinge in der Türkei angefordert und von ihr erhalten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im Fortschrittsbericht 2024 der Kommission über die Türkei festgestellt wird, dass das Land gemäß den einschlägigen Erklärungen der Hohen Vertreterin im Namen der EU und den einschlägigen Beschlüssen des Rates mit dem Stand vom 30. September 2024 eine sehr niedrige Angleichungsquote von 5 % gegenüber 9 % im Jahr 2023 beibehalten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die Türkei die Gesetze zur Terrorismusbekämpfung systematisch missbraucht, um gewählte Amtsträger, Oppositionspolitiker und Menschenrechtsverteidiger ins Visier zu nehmen, wie der Sonderberichterstatter der Vereinten Nationen und die Venedig-Kommission festgestellt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die Angleichung der Außenpolitik der Türkei an die GASP der EU stetig abnimmt und einen historischen Tiefstand von 5 % erreicht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sich die Angleichung der Außenpolitik der Türkei an die GASP der EU kontinuierlich abnimmt und einen historischen Tiefstand von 5 % erreicht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die Türkei nach wie vor ein wichtiger Partner für die Stabilität im gesamten östlichen Mittelmeerraum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Engagement für </w:t>
            </w:r>
            <w:r>
              <w:rPr>
                <w:b/>
                <w:i/>
              </w:rPr>
              <w:t>den</w:t>
            </w:r>
            <w:r>
              <w:t xml:space="preserve"> EU-Beitritt</w:t>
            </w:r>
          </w:p>
        </w:tc>
        <w:tc>
          <w:tcPr>
            <w:tcW w:w="4876" w:type="dxa"/>
            <w:tcBorders>
              <w:top w:val="nil"/>
              <w:left w:val="nil"/>
              <w:bottom w:val="nil"/>
              <w:right w:val="nil"/>
            </w:tcBorders>
          </w:tcPr>
          <w:p>
            <w:pPr>
              <w:pStyle w:val="Normal6a"/>
            </w:pPr>
            <w:r>
              <w:t xml:space="preserve">Engagement für </w:t>
            </w:r>
            <w:r>
              <w:rPr>
                <w:b/>
                <w:i/>
              </w:rPr>
              <w:t>das endgültige Ende des Prozesses für einen</w:t>
            </w:r>
            <w:r>
              <w:t xml:space="preserve"> EU-Beitritt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Costas Mavrides, Andreas Schieder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begrüßt die jüngsten Erklärungen der türkischen Regierung, in denen sie ihr Engagement für die EU-Mitgliedschaft als strategisches Ziel bekräftigt, und das in einem konstruktiveren Umfeld für die Wiederbelebung der Beziehungen zwischen der EU und der Türkei;</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begrüßt die jüngsten Erklärungen der türkischen Regierung, in denen sie ihr Engagement für die EU-Mitgliedschaft als strategisches Ziel bekräftigt, und das in einem konstruktiveren Umfeld für die Wiederbelebung der Beziehungen zwischen der EU und der Türkei;</w:t>
            </w:r>
          </w:p>
        </w:tc>
        <w:tc>
          <w:tcPr>
            <w:tcW w:w="4876" w:type="dxa"/>
            <w:tcBorders>
              <w:top w:val="nil"/>
              <w:left w:val="nil"/>
              <w:bottom w:val="nil"/>
              <w:right w:val="nil"/>
            </w:tcBorders>
          </w:tcPr>
          <w:p>
            <w:pPr>
              <w:pStyle w:val="Normal6a"/>
            </w:pPr>
            <w:r>
              <w:t>1.</w:t>
            </w:r>
            <w:r>
              <w:tab/>
            </w:r>
            <w:r>
              <w:t xml:space="preserve">begrüßt die jüngsten Erklärungen der türkischen Regierung, in denen sie ihr Engagement für die EU-Mitgliedschaft als strategisches Ziel bekräftigt, und das in einem konstruktiveren Umfeld für die Wiederbelebung der Beziehungen zwischen der EU und der Türkei; </w:t>
            </w:r>
            <w:r>
              <w:rPr>
                <w:b/>
                <w:i/>
              </w:rPr>
              <w:t>betont jedoch, dass die Mitgliedschaft in der EU von der Erfüllung der Beitrittskriterien („Kopenhagener Kriterien“) abhängt, wonach stabile Institutionen erforderlich sind, mit denen die Demokratie, Rechtsstaatlichkeit, Menschenrechte sowie die Achtung und den Schutz von Minderheiten garantiert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begrüßt</w:t>
            </w:r>
            <w:r>
              <w:t xml:space="preserve"> die jüngsten Erklärungen der türkischen Regierung, in denen sie ihr Engagement für die EU-Mitgliedschaft als strategisches Ziel bekräftigt, </w:t>
            </w:r>
            <w:r>
              <w:rPr>
                <w:b/>
                <w:i/>
              </w:rPr>
              <w:t>und das in einem konstruktiveren Umfeld für die Wiederbelebung der</w:t>
            </w:r>
            <w:r>
              <w:t xml:space="preserve"> Beziehungen zwischen der EU und der Türkei;</w:t>
            </w:r>
          </w:p>
        </w:tc>
        <w:tc>
          <w:tcPr>
            <w:tcW w:w="4876" w:type="dxa"/>
            <w:tcBorders>
              <w:top w:val="nil"/>
              <w:left w:val="nil"/>
              <w:bottom w:val="nil"/>
              <w:right w:val="nil"/>
            </w:tcBorders>
          </w:tcPr>
          <w:p>
            <w:pPr>
              <w:pStyle w:val="Normal6a"/>
            </w:pPr>
            <w:r>
              <w:t>1.</w:t>
            </w:r>
            <w:r>
              <w:tab/>
            </w:r>
            <w:r>
              <w:rPr>
                <w:b/>
                <w:i/>
              </w:rPr>
              <w:t>ist erstaunt über</w:t>
            </w:r>
            <w:r>
              <w:t xml:space="preserve"> die jüngsten Erklärungen der türkischen Regierung, in denen sie ihr Engagement für die EU-Mitgliedschaft als strategisches Ziel bekräftigt, </w:t>
            </w:r>
            <w:r>
              <w:rPr>
                <w:b/>
                <w:i/>
              </w:rPr>
              <w:t>obwohl die Türkei und mehrere EU-Mitgliedstaaten große politische Divergenzen aufweisen;</w:t>
            </w:r>
            <w:r>
              <w:t xml:space="preserve"> </w:t>
            </w:r>
            <w:r>
              <w:rPr>
                <w:b/>
                <w:i/>
              </w:rPr>
              <w:t>fordert den Europäischen Rat auf, die</w:t>
            </w:r>
            <w:r>
              <w:t xml:space="preserve"> Beziehungen zwischen der EU und der Türkei </w:t>
            </w:r>
            <w:r>
              <w:rPr>
                <w:b/>
                <w:i/>
              </w:rPr>
              <w:t>unverzüglich zu klären, indem er dem türkischen Präsidenten über das endgültige Ende des EU-Beitrittsprozesses der Türkei informiert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begrüßt die jüngsten Erklärungen der türkischen Regierung, in denen sie ihr Engagement für die EU-Mitgliedschaft als strategisches Ziel bekräftigt, </w:t>
            </w:r>
            <w:r>
              <w:rPr>
                <w:b/>
                <w:i/>
              </w:rPr>
              <w:t>und das in einem konstruktiveren</w:t>
            </w:r>
            <w:r>
              <w:t xml:space="preserve"> Umfeld für die Wiederbelebung der Beziehungen zwischen der EU und der Türkei;</w:t>
            </w:r>
          </w:p>
        </w:tc>
        <w:tc>
          <w:tcPr>
            <w:tcW w:w="4876" w:type="dxa"/>
            <w:tcBorders>
              <w:top w:val="nil"/>
              <w:left w:val="nil"/>
              <w:bottom w:val="nil"/>
              <w:right w:val="nil"/>
            </w:tcBorders>
          </w:tcPr>
          <w:p>
            <w:pPr>
              <w:pStyle w:val="Normal6a"/>
            </w:pPr>
            <w:r>
              <w:t>1.</w:t>
            </w:r>
            <w:r>
              <w:tab/>
            </w:r>
            <w:r>
              <w:t xml:space="preserve">begrüßt die jüngsten Erklärungen der türkischen Regierung, in denen sie ihr Engagement für die EU-Mitgliedschaft als strategisches Ziel bekräftigt, </w:t>
            </w:r>
            <w:r>
              <w:rPr>
                <w:b/>
                <w:i/>
              </w:rPr>
              <w:t>das den notwendigen Impuls für ein konstruktiveres</w:t>
            </w:r>
            <w:r>
              <w:t xml:space="preserve"> Umfeld für die Wiederbelebung der Beziehungen zwischen der EU und der Türkei </w:t>
            </w:r>
            <w:r>
              <w:rPr>
                <w:b/>
                <w:i/>
              </w:rPr>
              <w:t>in der in früheren Schlussfolgerungen des Europäischen Rates vorgeschriebenen abgestuften, verhältnismäßigen und reversiblen Weise geben kann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begrüßt</w:t>
            </w:r>
            <w:r>
              <w:t xml:space="preserve"> die jüngsten Erklärungen der türkischen Regierung, in denen sie ihr Engagement für die EU-Mitgliedschaft als strategisches Ziel bekräftigt, und das in einem konstruktiveren Umfeld für die Wiederbelebung der Beziehungen zwischen der EU und der Türkei;</w:t>
            </w:r>
          </w:p>
        </w:tc>
        <w:tc>
          <w:tcPr>
            <w:tcW w:w="4876" w:type="dxa"/>
            <w:tcBorders>
              <w:top w:val="nil"/>
              <w:left w:val="nil"/>
              <w:bottom w:val="nil"/>
              <w:right w:val="nil"/>
            </w:tcBorders>
          </w:tcPr>
          <w:p>
            <w:pPr>
              <w:pStyle w:val="Normal6a"/>
            </w:pPr>
            <w:r>
              <w:t>1.</w:t>
            </w:r>
            <w:r>
              <w:tab/>
            </w:r>
            <w:r>
              <w:rPr>
                <w:b/>
                <w:i/>
              </w:rPr>
              <w:t>nimmt</w:t>
            </w:r>
            <w:r>
              <w:t xml:space="preserve"> die jüngsten Erklärungen der türkischen Regierung </w:t>
            </w:r>
            <w:r>
              <w:rPr>
                <w:b/>
                <w:i/>
              </w:rPr>
              <w:t>zur Kenntnis</w:t>
            </w:r>
            <w:r>
              <w:t xml:space="preserve">, in denen sie ihr Engagement für die EU-Mitgliedschaft als strategisches Ziel bekräftigt, und das in einem konstruktiveren Umfeld für die Wiederbelebung der Beziehungen zwischen der EU und der Türkei; </w:t>
            </w:r>
            <w:r>
              <w:rPr>
                <w:b/>
                <w:i/>
              </w:rPr>
              <w:t>fordert die türkische Regierung nachdrücklich auf, sich eher auf substanzielle Reformen als auf Rhetorik zu konzentrieren, mit der versucht wird, die Schuld auf die EU abzuwälzen;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begrüßt die jüngsten Erklärungen der türkischen Regierung, in denen sie ihr Engagement für die EU-Mitgliedschaft als strategisches Ziel bekräftigt, und das in einem konstruktiveren Umfeld für die Wiederbelebung der Beziehungen zwischen der EU und der Türkei;</w:t>
            </w:r>
          </w:p>
        </w:tc>
        <w:tc>
          <w:tcPr>
            <w:tcW w:w="4876" w:type="dxa"/>
            <w:tcBorders>
              <w:top w:val="nil"/>
              <w:left w:val="nil"/>
              <w:bottom w:val="nil"/>
              <w:right w:val="nil"/>
            </w:tcBorders>
          </w:tcPr>
          <w:p>
            <w:pPr>
              <w:pStyle w:val="Normal6a"/>
            </w:pPr>
            <w:r>
              <w:t>1.</w:t>
            </w:r>
            <w:r>
              <w:tab/>
            </w:r>
            <w:r>
              <w:t xml:space="preserve">begrüßt die jüngsten Erklärungen der türkischen Regierung, in denen sie ihr Engagement für die EU-Mitgliedschaft als strategisches Ziel bekräftigt, und das in einem konstruktiveren Umfeld für die Wiederbelebung der Beziehungen zwischen der EU und der Türkei; </w:t>
            </w:r>
            <w:r>
              <w:rPr>
                <w:b/>
                <w:i/>
              </w:rPr>
              <w:t>erkennt die Zusage der EU an, dieses Engagement durch einen intensiveren Dialog und verstärkte Zusammenarbeit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begrüßt</w:t>
            </w:r>
            <w:r>
              <w:t xml:space="preserve"> die jüngsten Erklärungen der türkischen Regierung, in denen sie ihr Engagement für die EU-Mitgliedschaft als strategisches Ziel </w:t>
            </w:r>
            <w:r>
              <w:rPr>
                <w:b/>
                <w:i/>
              </w:rPr>
              <w:t>bekräftigt, und das</w:t>
            </w:r>
            <w:r>
              <w:t xml:space="preserve"> in einem konstruktiveren Umfeld für die Wiederbelebung der Beziehungen zwischen der EU und der Türkei;</w:t>
            </w:r>
          </w:p>
        </w:tc>
        <w:tc>
          <w:tcPr>
            <w:tcW w:w="4876" w:type="dxa"/>
            <w:tcBorders>
              <w:top w:val="nil"/>
              <w:left w:val="nil"/>
              <w:bottom w:val="nil"/>
              <w:right w:val="nil"/>
            </w:tcBorders>
          </w:tcPr>
          <w:p>
            <w:pPr>
              <w:pStyle w:val="Normal6a"/>
            </w:pPr>
            <w:r>
              <w:t>1.</w:t>
            </w:r>
            <w:r>
              <w:tab/>
            </w:r>
            <w:r>
              <w:rPr>
                <w:b/>
                <w:i/>
              </w:rPr>
              <w:t>weist darauf hin, dass</w:t>
            </w:r>
            <w:r>
              <w:t xml:space="preserve"> die jüngsten Erklärungen der türkischen Regierung, in denen sie ihr Engagement für die EU-Mitgliedschaft als strategisches Ziel in einem konstruktiveren Umfeld für die Wiederbelebung der Beziehungen zwischen der EU und der Türkei </w:t>
            </w:r>
            <w:r>
              <w:rPr>
                <w:b/>
                <w:i/>
              </w:rPr>
              <w:t>bekräftigt, von bedeutenden Handlungen begleitet werden müssen, die das Bekenntnis zur europäischen Perspektive in der Praxis zum Ausdruck bringen</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begrüßt die jüngsten Erklärungen der türkischen Regierung, in denen sie ihr Engagement für die EU-Mitgliedschaft als strategisches Ziel </w:t>
            </w:r>
            <w:r>
              <w:rPr>
                <w:b/>
                <w:i/>
              </w:rPr>
              <w:t>bekräftigt, und das in einem konstruktiveren Umfeld für die Wiederbelebung der</w:t>
            </w:r>
            <w:r>
              <w:t xml:space="preserve"> Beziehungen zwischen der EU und der Türkei;</w:t>
            </w:r>
          </w:p>
        </w:tc>
        <w:tc>
          <w:tcPr>
            <w:tcW w:w="4876" w:type="dxa"/>
            <w:tcBorders>
              <w:top w:val="nil"/>
              <w:left w:val="nil"/>
              <w:bottom w:val="nil"/>
              <w:right w:val="nil"/>
            </w:tcBorders>
          </w:tcPr>
          <w:p>
            <w:pPr>
              <w:pStyle w:val="Normal6a"/>
            </w:pPr>
            <w:r>
              <w:t>1.</w:t>
            </w:r>
            <w:r>
              <w:tab/>
            </w:r>
            <w:r>
              <w:t xml:space="preserve">begrüßt die jüngsten Erklärungen der türkischen Regierung, in denen sie ihr Engagement für die EU-Mitgliedschaft als strategisches Ziel </w:t>
            </w:r>
            <w:r>
              <w:rPr>
                <w:b/>
                <w:i/>
              </w:rPr>
              <w:t>im Rahmen der Bemühungen bekräftigt, die</w:t>
            </w:r>
            <w:r>
              <w:t xml:space="preserve"> Beziehungen zwischen der EU und der Türkei </w:t>
            </w:r>
            <w:r>
              <w:rPr>
                <w:b/>
                <w:i/>
              </w:rPr>
              <w:t>im Einklang mit den Schlussfolgerungen des Europäischen Rates vom April 2024 wiederzubeleben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begrüßt</w:t>
            </w:r>
            <w:r>
              <w:t xml:space="preserve"> die jüngsten Erklärungen der türkischen Regierung, in denen sie ihr Engagement für die EU-Mitgliedschaft als strategisches Ziel bekräftigt, </w:t>
            </w:r>
            <w:r>
              <w:rPr>
                <w:b/>
                <w:i/>
              </w:rPr>
              <w:t>und das in einem konstruktiveren Umfeld für die Wiederbelebung der Beziehungen zwischen der EU und der Türkei</w:t>
            </w:r>
            <w:r>
              <w:t>;</w:t>
            </w:r>
          </w:p>
        </w:tc>
        <w:tc>
          <w:tcPr>
            <w:tcW w:w="4876" w:type="dxa"/>
            <w:tcBorders>
              <w:top w:val="nil"/>
              <w:left w:val="nil"/>
              <w:bottom w:val="nil"/>
              <w:right w:val="nil"/>
            </w:tcBorders>
          </w:tcPr>
          <w:p>
            <w:pPr>
              <w:pStyle w:val="Normal6a"/>
            </w:pPr>
            <w:r>
              <w:t>1.</w:t>
            </w:r>
            <w:r>
              <w:tab/>
            </w:r>
            <w:r>
              <w:rPr>
                <w:b/>
                <w:i/>
              </w:rPr>
              <w:t>hinterfragt</w:t>
            </w:r>
            <w:r>
              <w:t xml:space="preserve"> die jüngsten Erklärungen der türkischen Regierung, in denen sie ihr Engagement für die EU-Mitgliedschaft als strategisches Ziel bekräftigt, </w:t>
            </w:r>
            <w:r>
              <w:rPr>
                <w:b/>
                <w:i/>
              </w:rPr>
              <w:t>da die EU bereits stark überdehnt ist und von einer weiteren Erweiterung absehen sollte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begrüßt</w:t>
            </w:r>
            <w:r>
              <w:t xml:space="preserve"> die jüngsten Erklärungen der türkischen Regierung, in denen sie ihr Engagement für die EU-Mitgliedschaft als strategisches Ziel bekräftigt, und das in einem konstruktiveren Umfeld für die Wiederbelebung der Beziehungen zwischen der EU und der Türkei;</w:t>
            </w:r>
          </w:p>
        </w:tc>
        <w:tc>
          <w:tcPr>
            <w:tcW w:w="4876" w:type="dxa"/>
            <w:tcBorders>
              <w:top w:val="nil"/>
              <w:left w:val="nil"/>
              <w:bottom w:val="nil"/>
              <w:right w:val="nil"/>
            </w:tcBorders>
          </w:tcPr>
          <w:p>
            <w:pPr>
              <w:pStyle w:val="Normal6a"/>
            </w:pPr>
            <w:r>
              <w:t>1.</w:t>
            </w:r>
            <w:r>
              <w:tab/>
            </w:r>
            <w:r>
              <w:rPr>
                <w:b/>
                <w:i/>
              </w:rPr>
              <w:t>nimmt</w:t>
            </w:r>
            <w:r>
              <w:t xml:space="preserve"> die jüngsten Erklärungen der türkischen Regierung </w:t>
            </w:r>
            <w:r>
              <w:rPr>
                <w:b/>
                <w:i/>
              </w:rPr>
              <w:t>zur Kenntnis</w:t>
            </w:r>
            <w:r>
              <w:t>, in denen sie ihr Engagement für die EU-Mitgliedschaft als strategisches Ziel bekräftigt, und das in einem konstruktiveren Umfeld für die Wiederbelebung der Beziehungen zwischen der EU und der Türkei;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begrüßt</w:t>
            </w:r>
            <w:r>
              <w:t xml:space="preserve"> die jüngsten Erklärungen der türkischen Regierung, in denen sie ihr Engagement für die EU-Mitgliedschaft als strategisches Ziel bekräftigt, </w:t>
            </w:r>
            <w:r>
              <w:rPr>
                <w:b/>
                <w:i/>
              </w:rPr>
              <w:t>und das in einem konstruktiveren Umfeld</w:t>
            </w:r>
            <w:r>
              <w:t xml:space="preserve"> für die Wiederbelebung der </w:t>
            </w:r>
            <w:r>
              <w:rPr>
                <w:b/>
                <w:i/>
              </w:rPr>
              <w:t>Beziehungen</w:t>
            </w:r>
            <w:r>
              <w:t xml:space="preserve"> zwischen der EU und der Türkei;</w:t>
            </w:r>
          </w:p>
        </w:tc>
        <w:tc>
          <w:tcPr>
            <w:tcW w:w="4876" w:type="dxa"/>
            <w:tcBorders>
              <w:top w:val="nil"/>
              <w:left w:val="nil"/>
              <w:bottom w:val="nil"/>
              <w:right w:val="nil"/>
            </w:tcBorders>
          </w:tcPr>
          <w:p>
            <w:pPr>
              <w:pStyle w:val="Normal6a"/>
            </w:pPr>
            <w:r>
              <w:t>1.</w:t>
            </w:r>
            <w:r>
              <w:tab/>
            </w:r>
            <w:r>
              <w:rPr>
                <w:b/>
                <w:i/>
              </w:rPr>
              <w:t>nimmt</w:t>
            </w:r>
            <w:r>
              <w:t xml:space="preserve"> die jüngsten Erklärungen der türkischen Regierung </w:t>
            </w:r>
            <w:r>
              <w:rPr>
                <w:b/>
                <w:i/>
              </w:rPr>
              <w:t>zur Kenntnis</w:t>
            </w:r>
            <w:r>
              <w:t xml:space="preserve">, in denen sie ihr Engagement für die EU-Mitgliedschaft als strategisches Ziel bekräftigt, </w:t>
            </w:r>
            <w:r>
              <w:rPr>
                <w:b/>
                <w:i/>
              </w:rPr>
              <w:t>ist jedoch der Ansicht, dass diese</w:t>
            </w:r>
            <w:r>
              <w:t xml:space="preserve"> für die Wiederbelebung der </w:t>
            </w:r>
            <w:r>
              <w:rPr>
                <w:b/>
                <w:i/>
              </w:rPr>
              <w:t>Beitrittsverhandlungen</w:t>
            </w:r>
            <w:r>
              <w:t xml:space="preserve"> zwischen der EU und der Türkei </w:t>
            </w:r>
            <w:r>
              <w:rPr>
                <w:b/>
                <w:i/>
              </w:rPr>
              <w:t>nicht ausreichen</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begrüßt</w:t>
            </w:r>
            <w:r>
              <w:t xml:space="preserve"> die jüngsten Erklärungen der türkischen Regierung, in denen sie ihr Engagement für die EU-Mitgliedschaft als strategisches Ziel bekräftigt, und das in einem konstruktiveren Umfeld für die Wiederbelebung der Beziehungen zwischen der EU und der Türkei;</w:t>
            </w:r>
          </w:p>
        </w:tc>
        <w:tc>
          <w:tcPr>
            <w:tcW w:w="4876" w:type="dxa"/>
            <w:tcBorders>
              <w:top w:val="nil"/>
              <w:left w:val="nil"/>
              <w:bottom w:val="nil"/>
              <w:right w:val="nil"/>
            </w:tcBorders>
          </w:tcPr>
          <w:p>
            <w:pPr>
              <w:pStyle w:val="Normal6a"/>
            </w:pPr>
            <w:r>
              <w:t>1.</w:t>
            </w:r>
            <w:r>
              <w:tab/>
            </w:r>
            <w:r>
              <w:rPr>
                <w:b/>
                <w:i/>
              </w:rPr>
              <w:t>bedauert</w:t>
            </w:r>
            <w:r>
              <w:t xml:space="preserve"> die jüngsten Erklärungen der türkischen Regierung, in denen sie ihr Engagement für die EU-Mitgliedschaft als strategisches Ziel bekräftigt, und das in einem konstruktiveren Umfeld für die Wiederbelebung der Beziehungen zwischen der EU und der Türkei;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begrüßt</w:t>
            </w:r>
            <w:r>
              <w:t xml:space="preserve"> die jüngsten Erklärungen der türkischen Regierung, in denen sie ihr Engagement für die EU-Mitgliedschaft als strategisches Ziel bekräftigt, und das in einem konstruktiveren Umfeld für die Wiederbelebung der Beziehungen zwischen der EU und der Türkei;</w:t>
            </w:r>
          </w:p>
        </w:tc>
        <w:tc>
          <w:tcPr>
            <w:tcW w:w="4876" w:type="dxa"/>
            <w:tcBorders>
              <w:top w:val="nil"/>
              <w:left w:val="nil"/>
              <w:bottom w:val="nil"/>
              <w:right w:val="nil"/>
            </w:tcBorders>
          </w:tcPr>
          <w:p>
            <w:pPr>
              <w:pStyle w:val="Normal6a"/>
            </w:pPr>
            <w:r>
              <w:t>1.</w:t>
            </w:r>
            <w:r>
              <w:tab/>
            </w:r>
            <w:r>
              <w:rPr>
                <w:b/>
                <w:i/>
              </w:rPr>
              <w:t>bedauert</w:t>
            </w:r>
            <w:r>
              <w:t xml:space="preserve"> die jüngsten Erklärungen der türkischen Regierung, in denen sie ihr Engagement für die EU-Mitgliedschaft als strategisches Ziel bekräftigt, und das in einem konstruktiveren Umfeld für die Wiederbelebung der Beziehungen zwischen der EU und der Türkei;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begrüßt die jüngsten</w:t>
            </w:r>
            <w:r>
              <w:t xml:space="preserve"> Erklärungen der türkischen Regierung, in denen sie </w:t>
            </w:r>
            <w:r>
              <w:rPr>
                <w:b/>
                <w:i/>
              </w:rPr>
              <w:t>ihr</w:t>
            </w:r>
            <w:r>
              <w:t xml:space="preserve"> Engagement für die EU-Mitgliedschaft als strategisches Ziel </w:t>
            </w:r>
            <w:r>
              <w:rPr>
                <w:b/>
                <w:i/>
              </w:rPr>
              <w:t>bekräftigt, und das in einem konstruktiveren Umfeld für die Wiederbelebung der Beziehungen zwischen der EU und der Türkei</w:t>
            </w:r>
            <w:r>
              <w:t>;</w:t>
            </w:r>
          </w:p>
        </w:tc>
        <w:tc>
          <w:tcPr>
            <w:tcW w:w="4876" w:type="dxa"/>
            <w:tcBorders>
              <w:top w:val="nil"/>
              <w:left w:val="nil"/>
              <w:bottom w:val="nil"/>
              <w:right w:val="nil"/>
            </w:tcBorders>
          </w:tcPr>
          <w:p>
            <w:pPr>
              <w:pStyle w:val="Normal6a"/>
            </w:pPr>
            <w:r>
              <w:t>1.</w:t>
            </w:r>
            <w:r>
              <w:tab/>
            </w:r>
            <w:r>
              <w:rPr>
                <w:b/>
                <w:i/>
              </w:rPr>
              <w:t>nimmt die wiederholten theoretischen</w:t>
            </w:r>
            <w:r>
              <w:t xml:space="preserve"> Erklärungen der türkischen Regierung </w:t>
            </w:r>
            <w:r>
              <w:rPr>
                <w:b/>
                <w:i/>
              </w:rPr>
              <w:t>zur Kenntnis</w:t>
            </w:r>
            <w:r>
              <w:t xml:space="preserve">, in denen sie </w:t>
            </w:r>
            <w:r>
              <w:rPr>
                <w:b/>
                <w:i/>
              </w:rPr>
              <w:t>von ihrem „</w:t>
            </w:r>
            <w:r>
              <w:t>Engagement für die EU-Mitgliedschaft als strategisches Ziel</w:t>
            </w:r>
            <w:r>
              <w:rPr>
                <w:b/>
                <w:i/>
              </w:rPr>
              <w:t>“ spricht, wobei die EU und die Türkei gleichzeitig zunehmend in Konkurrenz zueinander treten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begrüßt</w:t>
            </w:r>
            <w:r>
              <w:t xml:space="preserve"> die jüngsten Erklärungen der türkischen Regierung, in denen sie ihr Engagement für die EU-Mitgliedschaft als strategisches Ziel bekräftigt, </w:t>
            </w:r>
            <w:r>
              <w:rPr>
                <w:b/>
                <w:i/>
              </w:rPr>
              <w:t>und das in einem konstruktiveren Umfeld für die Wiederbelebung der Beziehungen zwischen der EU und der Türkei</w:t>
            </w:r>
            <w:r>
              <w:t>;</w:t>
            </w:r>
          </w:p>
        </w:tc>
        <w:tc>
          <w:tcPr>
            <w:tcW w:w="4876" w:type="dxa"/>
            <w:tcBorders>
              <w:top w:val="nil"/>
              <w:left w:val="nil"/>
              <w:bottom w:val="nil"/>
              <w:right w:val="nil"/>
            </w:tcBorders>
          </w:tcPr>
          <w:p>
            <w:pPr>
              <w:pStyle w:val="Normal6a"/>
            </w:pPr>
            <w:r>
              <w:t>1.</w:t>
            </w:r>
            <w:r>
              <w:tab/>
            </w:r>
            <w:r>
              <w:rPr>
                <w:b/>
                <w:i/>
              </w:rPr>
              <w:t>nimmt</w:t>
            </w:r>
            <w:r>
              <w:t xml:space="preserve"> die jüngsten Erklärungen der türkischen Regierung </w:t>
            </w:r>
            <w:r>
              <w:rPr>
                <w:b/>
                <w:i/>
              </w:rPr>
              <w:t>zur Kenntnis</w:t>
            </w:r>
            <w:r>
              <w:t xml:space="preserve">, in denen sie ihr Engagement für die EU-Mitgliedschaft als strategisches Ziel bekräftigt, </w:t>
            </w:r>
            <w:r>
              <w:rPr>
                <w:b/>
                <w:i/>
              </w:rPr>
              <w:t>ist jedoch nach wie vor skeptisch, was die Zuverlässigkeit dieser Erklärungen betrifft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stellt fest, dass eine politische Interaktion mit der Türkei zu keinen wesentlichen Ergebnissen führt, es sei denn, sie geht mit Handelssanktionen gemäß dem „Magnitski-Gesetz“ und einer erheblichen Erhöhung der Zölle einher, um spezifische Ziele damit zu erreichen;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Jordan Bardella, 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bekräftigt, dass die Türkei ein asiatisches Land ist, das aufgrund seiner geografischen Lage niemals die Absicht haben wird, der Europäischen Union beizutreten;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weist darauf hin, dass dem Beitritt der Türkei zur EU erhebliche geografische, kulturelle, historische und religiöse Hindernisse entgegenstehen;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weist erneut darauf hin, dass die Türkei ein Land Asiens ist, das aufgrund seiner geografischen Lage nie dazu bestimmt sein wird, der Europäischen Union beizutreten;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betont jedoch, dass die Mitgliedschaft in der EU von der Erfüllung der Beitrittskriterien („Kopenhagener Kriterien“) abhängt, die stabile Institutionen erfordern, die Demokratie, Rechtsstaatlichkeit, Menschenrechte sowie die Achtung und den Schutz von Minderheiten garantieren;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Costas Mavrides, Andreas Schieder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betont jedoch, dass die Mitgliedschaft in der EU von der Erfüllung der Beitrittskriterien („Kopenhagener Kriterien“) abhängt, </w:t>
            </w:r>
            <w:r>
              <w:rPr>
                <w:b/>
                <w:i/>
              </w:rPr>
              <w:t>die</w:t>
            </w:r>
            <w:r>
              <w:t xml:space="preserve"> stabile Institutionen </w:t>
            </w:r>
            <w:r>
              <w:rPr>
                <w:b/>
                <w:i/>
              </w:rPr>
              <w:t>erfordern, die</w:t>
            </w:r>
            <w:r>
              <w:t xml:space="preserve"> Demokratie, Rechtsstaatlichkeit, Menschenrechte sowie die Achtung und </w:t>
            </w:r>
            <w:r>
              <w:rPr>
                <w:b/>
                <w:i/>
              </w:rPr>
              <w:t>den</w:t>
            </w:r>
            <w:r>
              <w:t xml:space="preserve"> Schutz von Minderheiten </w:t>
            </w:r>
            <w:r>
              <w:rPr>
                <w:b/>
                <w:i/>
              </w:rPr>
              <w:t>garantieren</w:t>
            </w:r>
            <w:r>
              <w:t>;</w:t>
            </w:r>
          </w:p>
        </w:tc>
        <w:tc>
          <w:tcPr>
            <w:tcW w:w="4876" w:type="dxa"/>
            <w:tcBorders>
              <w:top w:val="nil"/>
              <w:left w:val="nil"/>
              <w:bottom w:val="nil"/>
              <w:right w:val="nil"/>
            </w:tcBorders>
          </w:tcPr>
          <w:p>
            <w:pPr>
              <w:pStyle w:val="Normal6a"/>
            </w:pPr>
            <w:r>
              <w:t>2.</w:t>
            </w:r>
            <w:r>
              <w:tab/>
            </w:r>
            <w:r>
              <w:t xml:space="preserve">betont jedoch, dass die Mitgliedschaft in der EU von der Erfüllung der Beitrittskriterien („Kopenhagener Kriterien“) abhängt, </w:t>
            </w:r>
            <w:r>
              <w:rPr>
                <w:b/>
                <w:i/>
              </w:rPr>
              <w:t>wonach</w:t>
            </w:r>
            <w:r>
              <w:t xml:space="preserve"> stabile Institutionen </w:t>
            </w:r>
            <w:r>
              <w:rPr>
                <w:b/>
                <w:i/>
              </w:rPr>
              <w:t>erforderlich sind, mit denen</w:t>
            </w:r>
            <w:r>
              <w:t xml:space="preserve"> Demokratie, Rechtsstaatlichkeit, Menschenrechte sowie die Achtung und </w:t>
            </w:r>
            <w:r>
              <w:rPr>
                <w:b/>
                <w:i/>
              </w:rPr>
              <w:t>der</w:t>
            </w:r>
            <w:r>
              <w:t xml:space="preserve"> Schutz von Minderheiten </w:t>
            </w:r>
            <w:r>
              <w:rPr>
                <w:b/>
                <w:i/>
              </w:rPr>
              <w:t>sowie die Achtung des Völkerrechts und gutnachbarschaftliche Beziehungen garantiert werden;</w:t>
            </w:r>
            <w:r>
              <w:t xml:space="preserve"> </w:t>
            </w:r>
            <w:r>
              <w:rPr>
                <w:b/>
                <w:i/>
              </w:rPr>
              <w:t>bedauert, dass sich die Türkei seit 20 Jahren weigert, die gegenüber der EU eingegangenen Verpflichtungen, einschließlich der Verpflichtungen in Bezug auf Zypern, gemäß dem Verhandlungsrahmen vom Oktober 2005 umzusetzen</w:t>
            </w:r>
            <w:r>
              <w:t xml:space="preserve">; </w:t>
            </w:r>
            <w:r>
              <w:rPr>
                <w:b/>
                <w:i/>
              </w:rPr>
              <w:t>bekräftigt, dass die Anerkennung sämtlicher Mitgliedstaaten notwendiger Bestandteil des Beitrittsprozesses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betont jedoch, dass die Mitgliedschaft in der EU von der Erfüllung der Beitrittskriterien („Kopenhagener Kriterien“) abhängt, </w:t>
            </w:r>
            <w:r>
              <w:rPr>
                <w:b/>
                <w:i/>
              </w:rPr>
              <w:t>die</w:t>
            </w:r>
            <w:r>
              <w:t xml:space="preserve"> stabile Institutionen </w:t>
            </w:r>
            <w:r>
              <w:rPr>
                <w:b/>
                <w:i/>
              </w:rPr>
              <w:t>erfordern, die</w:t>
            </w:r>
            <w:r>
              <w:t xml:space="preserve"> Demokratie, Rechtsstaatlichkeit, Menschenrechte sowie die Achtung und </w:t>
            </w:r>
            <w:r>
              <w:rPr>
                <w:b/>
                <w:i/>
              </w:rPr>
              <w:t>den</w:t>
            </w:r>
            <w:r>
              <w:t xml:space="preserve"> Schutz von Minderheiten </w:t>
            </w:r>
            <w:r>
              <w:rPr>
                <w:b/>
                <w:i/>
              </w:rPr>
              <w:t>garantieren</w:t>
            </w:r>
            <w:r>
              <w:t>;</w:t>
            </w:r>
          </w:p>
        </w:tc>
        <w:tc>
          <w:tcPr>
            <w:tcW w:w="4876" w:type="dxa"/>
            <w:tcBorders>
              <w:top w:val="nil"/>
              <w:left w:val="nil"/>
              <w:bottom w:val="nil"/>
              <w:right w:val="nil"/>
            </w:tcBorders>
          </w:tcPr>
          <w:p>
            <w:pPr>
              <w:pStyle w:val="Normal6a"/>
            </w:pPr>
            <w:r>
              <w:t>2.</w:t>
            </w:r>
            <w:r>
              <w:tab/>
            </w:r>
            <w:r>
              <w:t xml:space="preserve">betont jedoch, dass die Mitgliedschaft in der EU von der Erfüllung der Beitrittskriterien („Kopenhagener Kriterien“) abhängt, </w:t>
            </w:r>
            <w:r>
              <w:rPr>
                <w:b/>
                <w:i/>
              </w:rPr>
              <w:t>wonach</w:t>
            </w:r>
            <w:r>
              <w:t xml:space="preserve"> stabile Institutionen </w:t>
            </w:r>
            <w:r>
              <w:rPr>
                <w:b/>
                <w:i/>
              </w:rPr>
              <w:t>erforderlich sind, mit denen</w:t>
            </w:r>
            <w:r>
              <w:t xml:space="preserve"> Demokratie, Rechtsstaatlichkeit, Menschenrechte sowie die Achtung und </w:t>
            </w:r>
            <w:r>
              <w:rPr>
                <w:b/>
                <w:i/>
              </w:rPr>
              <w:t>der</w:t>
            </w:r>
            <w:r>
              <w:t xml:space="preserve"> Schutz von Minderheiten </w:t>
            </w:r>
            <w:r>
              <w:rPr>
                <w:b/>
                <w:i/>
              </w:rPr>
              <w:t>sowie die Achtung des Völkerrechts und gutnachbarschaftliche Beziehungen garantiert werden, und wonach eine weitere Voraussetzung die Fähigkeit ist, die aus der Mitgliedschaft erwachsenden Verpflichtungen zu übernehmen, indem man sich den Zielen der EU anschließt und ihren Besitzstand übernimmt;</w:t>
            </w:r>
            <w:r>
              <w:t xml:space="preserve"> </w:t>
            </w:r>
            <w:r>
              <w:rPr>
                <w:b/>
                <w:i/>
              </w:rPr>
              <w:t>erinnert daran, dass die Türkei auch an die Verpflichtungen gebunden ist, die im Rahmen des Verhandlungsrahmens von 2005 eingegangen wurden, wozu Fortschritte bei der Normalisierung der bilateralen Beziehungen zwischen der Türkei und der Republik Zypern gehören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betont jedoch, dass die Mitgliedschaft in der EU von der Erfüllung der Beitrittskriterien („Kopenhagener Kriterien“) abhängt, </w:t>
            </w:r>
            <w:r>
              <w:rPr>
                <w:b/>
                <w:i/>
              </w:rPr>
              <w:t>die</w:t>
            </w:r>
            <w:r>
              <w:t xml:space="preserve"> stabile Institutionen </w:t>
            </w:r>
            <w:r>
              <w:rPr>
                <w:b/>
                <w:i/>
              </w:rPr>
              <w:t>erfordern, die</w:t>
            </w:r>
            <w:r>
              <w:t xml:space="preserve"> Demokratie, Rechtsstaatlichkeit, Menschenrechte sowie die Achtung und </w:t>
            </w:r>
            <w:r>
              <w:rPr>
                <w:b/>
                <w:i/>
              </w:rPr>
              <w:t>den</w:t>
            </w:r>
            <w:r>
              <w:t xml:space="preserve"> Schutz von Minderheiten </w:t>
            </w:r>
            <w:r>
              <w:rPr>
                <w:b/>
                <w:i/>
              </w:rPr>
              <w:t>garantieren</w:t>
            </w:r>
            <w:r>
              <w:t>;</w:t>
            </w:r>
          </w:p>
        </w:tc>
        <w:tc>
          <w:tcPr>
            <w:tcW w:w="4876" w:type="dxa"/>
            <w:tcBorders>
              <w:top w:val="nil"/>
              <w:left w:val="nil"/>
              <w:bottom w:val="nil"/>
              <w:right w:val="nil"/>
            </w:tcBorders>
          </w:tcPr>
          <w:p>
            <w:pPr>
              <w:pStyle w:val="Normal6a"/>
            </w:pPr>
            <w:r>
              <w:t>2.</w:t>
            </w:r>
            <w:r>
              <w:tab/>
            </w:r>
            <w:r>
              <w:t xml:space="preserve">betont jedoch, dass die Mitgliedschaft in der EU von der Erfüllung der Beitrittskriterien („Kopenhagener Kriterien“) abhängt, </w:t>
            </w:r>
            <w:r>
              <w:rPr>
                <w:b/>
                <w:i/>
              </w:rPr>
              <w:t>wonach</w:t>
            </w:r>
            <w:r>
              <w:t> stabile Institutionen </w:t>
            </w:r>
            <w:r>
              <w:rPr>
                <w:b/>
                <w:i/>
              </w:rPr>
              <w:t>erforderlich sind, mit denen</w:t>
            </w:r>
            <w:r>
              <w:t> Demokratie, Rechtsstaatlichkeit, Menschenrechte sowie die Achtung und </w:t>
            </w:r>
            <w:r>
              <w:rPr>
                <w:b/>
                <w:i/>
              </w:rPr>
              <w:t>der</w:t>
            </w:r>
            <w:r>
              <w:t> Schutz von Minderheiten </w:t>
            </w:r>
            <w:r>
              <w:rPr>
                <w:b/>
                <w:i/>
              </w:rPr>
              <w:t>garantiert werden;</w:t>
            </w:r>
            <w:r>
              <w:t xml:space="preserve"> </w:t>
            </w:r>
            <w:r>
              <w:rPr>
                <w:b/>
                <w:i/>
              </w:rPr>
              <w:t>bedauert, dass sich die Türkei seit 20 Jahren weigert, die gegenüber der EU eingegangenen Verpflichtungen, einschließlich der Verpflichtungen in Bezug auf Zypern, gemäß dem Verhandlungsrahmen vom Oktober 2005 umzusetzen</w:t>
            </w:r>
            <w:r>
              <w:t xml:space="preserve">; </w:t>
            </w:r>
            <w:r>
              <w:rPr>
                <w:b/>
                <w:i/>
              </w:rPr>
              <w:t>bekräftigt, dass die Anerkennung sämtlicher Mitgliedstaaten notwendiger Bestandteil des Beitrittsprozesses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betont jedoch, dass die Mitgliedschaft in der EU von der Erfüllung der Beitrittskriterien („Kopenhagener Kriterien“) abhängt, die stabile Institutionen erfordern, die Demokratie, Rechtsstaatlichkeit, Menschenrechte sowie die Achtung und den Schutz von Minderheiten garantieren;</w:t>
            </w:r>
          </w:p>
        </w:tc>
        <w:tc>
          <w:tcPr>
            <w:tcW w:w="4876" w:type="dxa"/>
            <w:tcBorders>
              <w:top w:val="nil"/>
              <w:left w:val="nil"/>
              <w:bottom w:val="nil"/>
              <w:right w:val="nil"/>
            </w:tcBorders>
          </w:tcPr>
          <w:p>
            <w:pPr>
              <w:pStyle w:val="Normal6a"/>
            </w:pPr>
            <w:r>
              <w:t>2.</w:t>
            </w:r>
            <w:r>
              <w:tab/>
            </w:r>
            <w:r>
              <w:t xml:space="preserve">betont jedoch, dass die Mitgliedschaft in der EU von der Erfüllung der Beitrittskriterien („Kopenhagener Kriterien“) abhängt, die stabile Institutionen erfordern, die Demokratie, Rechtsstaatlichkeit, Menschenrechte sowie die Achtung und den Schutz von Minderheiten garantieren; </w:t>
            </w:r>
            <w:r>
              <w:rPr>
                <w:b/>
                <w:i/>
              </w:rPr>
              <w:t>weist darauf hin, dass die Türkei sich stets geweigert hat, die Hamas als terroristische Organisation zu betrachten, obwohl sie von der EU 2013 als terroristische Organisation eingestuft wurde;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betont jedoch, dass die Mitgliedschaft in der EU von der Erfüllung der Beitrittskriterien („Kopenhagener Kriterien“) abhängt, </w:t>
            </w:r>
            <w:r>
              <w:rPr>
                <w:b/>
                <w:i/>
              </w:rPr>
              <w:t>die</w:t>
            </w:r>
            <w:r>
              <w:t xml:space="preserve"> stabile Institutionen </w:t>
            </w:r>
            <w:r>
              <w:rPr>
                <w:b/>
                <w:i/>
              </w:rPr>
              <w:t>erfordern, die</w:t>
            </w:r>
            <w:r>
              <w:t xml:space="preserve"> Demokratie, Rechtsstaatlichkeit, Menschenrechte sowie die Achtung und </w:t>
            </w:r>
            <w:r>
              <w:rPr>
                <w:b/>
                <w:i/>
              </w:rPr>
              <w:t>den</w:t>
            </w:r>
            <w:r>
              <w:t xml:space="preserve"> Schutz von Minderheiten </w:t>
            </w:r>
            <w:r>
              <w:rPr>
                <w:b/>
                <w:i/>
              </w:rPr>
              <w:t>garantieren</w:t>
            </w:r>
            <w:r>
              <w:t>;</w:t>
            </w:r>
          </w:p>
        </w:tc>
        <w:tc>
          <w:tcPr>
            <w:tcW w:w="4876" w:type="dxa"/>
            <w:tcBorders>
              <w:top w:val="nil"/>
              <w:left w:val="nil"/>
              <w:bottom w:val="nil"/>
              <w:right w:val="nil"/>
            </w:tcBorders>
          </w:tcPr>
          <w:p>
            <w:pPr>
              <w:pStyle w:val="Normal6a"/>
            </w:pPr>
            <w:r>
              <w:t>2.</w:t>
            </w:r>
            <w:r>
              <w:tab/>
            </w:r>
            <w:r>
              <w:t xml:space="preserve">betont jedoch, dass die Mitgliedschaft in der EU von der Erfüllung der Beitrittskriterien („Kopenhagener Kriterien“) abhängt, </w:t>
            </w:r>
            <w:r>
              <w:rPr>
                <w:b/>
                <w:i/>
              </w:rPr>
              <w:t>wonach</w:t>
            </w:r>
            <w:r>
              <w:t> stabile Institutionen </w:t>
            </w:r>
            <w:r>
              <w:rPr>
                <w:b/>
                <w:i/>
              </w:rPr>
              <w:t>erforderlich sind, mit denen</w:t>
            </w:r>
            <w:r>
              <w:t> Demokratie, Rechtsstaatlichkeit, Menschenrechte sowie die Achtung und </w:t>
            </w:r>
            <w:r>
              <w:rPr>
                <w:b/>
                <w:i/>
              </w:rPr>
              <w:t>der</w:t>
            </w:r>
            <w:r>
              <w:t> Schutz von Minderheiten </w:t>
            </w:r>
            <w:r>
              <w:rPr>
                <w:b/>
                <w:i/>
              </w:rPr>
              <w:t>garantiert werden;</w:t>
            </w:r>
            <w:r>
              <w:t xml:space="preserve"> </w:t>
            </w:r>
            <w:r>
              <w:rPr>
                <w:b/>
                <w:i/>
              </w:rPr>
              <w:t>weist darauf hin, dass sich die Türkei bislang weigert, die Hamas-Bewegung als terroristische Organisation einzustufen, obwohl die Hamas seit 2013 von der Europäischen Union als solche eingestuft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betont jedoch, dass die Mitgliedschaft in der EU von der Erfüllung der Beitrittskriterien („Kopenhagener Kriterien“) abhängt, </w:t>
            </w:r>
            <w:r>
              <w:rPr>
                <w:b/>
                <w:i/>
              </w:rPr>
              <w:t>die</w:t>
            </w:r>
            <w:r>
              <w:t xml:space="preserve"> stabile Institutionen </w:t>
            </w:r>
            <w:r>
              <w:rPr>
                <w:b/>
                <w:i/>
              </w:rPr>
              <w:t>erfordern, die</w:t>
            </w:r>
            <w:r>
              <w:t xml:space="preserve"> Demokratie, Rechtsstaatlichkeit, Menschenrechte sowie die Achtung und </w:t>
            </w:r>
            <w:r>
              <w:rPr>
                <w:b/>
                <w:i/>
              </w:rPr>
              <w:t>den</w:t>
            </w:r>
            <w:r>
              <w:t xml:space="preserve"> Schutz von Minderheiten </w:t>
            </w:r>
            <w:r>
              <w:rPr>
                <w:b/>
                <w:i/>
              </w:rPr>
              <w:t>garantieren</w:t>
            </w:r>
            <w:r>
              <w:t>;</w:t>
            </w:r>
          </w:p>
        </w:tc>
        <w:tc>
          <w:tcPr>
            <w:tcW w:w="4876" w:type="dxa"/>
            <w:tcBorders>
              <w:top w:val="nil"/>
              <w:left w:val="nil"/>
              <w:bottom w:val="nil"/>
              <w:right w:val="nil"/>
            </w:tcBorders>
          </w:tcPr>
          <w:p>
            <w:pPr>
              <w:pStyle w:val="Normal6a"/>
            </w:pPr>
            <w:r>
              <w:t>2.</w:t>
            </w:r>
            <w:r>
              <w:tab/>
            </w:r>
            <w:r>
              <w:t xml:space="preserve">betont jedoch, dass die Mitgliedschaft in der EU von der Erfüllung der Beitrittskriterien („Kopenhagener Kriterien“) abhängt, </w:t>
            </w:r>
            <w:r>
              <w:rPr>
                <w:b/>
                <w:i/>
              </w:rPr>
              <w:t>wonach</w:t>
            </w:r>
            <w:r>
              <w:t xml:space="preserve"> stabile Institutionen </w:t>
            </w:r>
            <w:r>
              <w:rPr>
                <w:b/>
                <w:i/>
              </w:rPr>
              <w:t>erforderlich sind, mit denen</w:t>
            </w:r>
            <w:r>
              <w:t xml:space="preserve"> Demokratie, Rechtsstaatlichkeit, Menschenrechte sowie die Achtung und </w:t>
            </w:r>
            <w:r>
              <w:rPr>
                <w:b/>
                <w:i/>
              </w:rPr>
              <w:t>der</w:t>
            </w:r>
            <w:r>
              <w:t xml:space="preserve"> Schutz von Minderheiten </w:t>
            </w:r>
            <w:r>
              <w:rPr>
                <w:b/>
                <w:i/>
              </w:rPr>
              <w:t>garantiert werden;</w:t>
            </w:r>
            <w:r>
              <w:t xml:space="preserve"> </w:t>
            </w:r>
            <w:r>
              <w:rPr>
                <w:b/>
                <w:i/>
              </w:rPr>
              <w:t>stellt ferner fest, dass es sich dabei um absolute Kriterien und nicht um Fragen handelt, die Gegenstand transaktioneller strategischer Überlegungen und Verhandlungen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betont jedoch, dass die Mitgliedschaft in der EU von der Erfüllung der Beitrittskriterien („Kopenhagener Kriterien“) abhängt, </w:t>
            </w:r>
            <w:r>
              <w:rPr>
                <w:b/>
                <w:i/>
              </w:rPr>
              <w:t>die</w:t>
            </w:r>
            <w:r>
              <w:t xml:space="preserve"> stabile Institutionen </w:t>
            </w:r>
            <w:r>
              <w:rPr>
                <w:b/>
                <w:i/>
              </w:rPr>
              <w:t>erfordern, die</w:t>
            </w:r>
            <w:r>
              <w:t xml:space="preserve"> Demokratie, Rechtsstaatlichkeit, Menschenrechte sowie die Achtung und </w:t>
            </w:r>
            <w:r>
              <w:rPr>
                <w:b/>
                <w:i/>
              </w:rPr>
              <w:t>den</w:t>
            </w:r>
            <w:r>
              <w:t xml:space="preserve"> Schutz von Minderheiten </w:t>
            </w:r>
            <w:r>
              <w:rPr>
                <w:b/>
                <w:i/>
              </w:rPr>
              <w:t>garantieren</w:t>
            </w:r>
            <w:r>
              <w:t>;</w:t>
            </w:r>
          </w:p>
        </w:tc>
        <w:tc>
          <w:tcPr>
            <w:tcW w:w="4876" w:type="dxa"/>
            <w:tcBorders>
              <w:top w:val="nil"/>
              <w:left w:val="nil"/>
              <w:bottom w:val="nil"/>
              <w:right w:val="nil"/>
            </w:tcBorders>
          </w:tcPr>
          <w:p>
            <w:pPr>
              <w:pStyle w:val="Normal6a"/>
            </w:pPr>
            <w:r>
              <w:t>2.</w:t>
            </w:r>
            <w:r>
              <w:tab/>
            </w:r>
            <w:r>
              <w:t xml:space="preserve">betont jedoch, dass die Mitgliedschaft in der EU von der Erfüllung der Beitrittskriterien („Kopenhagener Kriterien“) abhängt, </w:t>
            </w:r>
            <w:r>
              <w:rPr>
                <w:b/>
                <w:i/>
              </w:rPr>
              <w:t>wonach</w:t>
            </w:r>
            <w:r>
              <w:t xml:space="preserve"> stabile Institutionen </w:t>
            </w:r>
            <w:r>
              <w:rPr>
                <w:b/>
                <w:i/>
              </w:rPr>
              <w:t>erforderlich sind, mit denen</w:t>
            </w:r>
            <w:r>
              <w:t xml:space="preserve"> Demokratie, Rechtsstaatlichkeit, Menschenrechte sowie die Achtung und </w:t>
            </w:r>
            <w:r>
              <w:rPr>
                <w:b/>
                <w:i/>
              </w:rPr>
              <w:t>der</w:t>
            </w:r>
            <w:r>
              <w:t xml:space="preserve"> Schutz von Minderheiten </w:t>
            </w:r>
            <w:r>
              <w:rPr>
                <w:b/>
                <w:i/>
              </w:rPr>
              <w:t>sowie die Achtung des Völkerrechts und gutnachbarschaftliche Beziehungen garantiert werden, und dass diese Kriterien in keiner Weise Gegenstand transaktioneller strategischer Überlegungen und Verhandlungen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betont jedoch, dass die Mitgliedschaft in der EU von der Erfüllung der Beitrittskriterien („Kopenhagener Kriterien“) abhängt, </w:t>
            </w:r>
            <w:r>
              <w:rPr>
                <w:b/>
                <w:i/>
              </w:rPr>
              <w:t>die</w:t>
            </w:r>
            <w:r>
              <w:t xml:space="preserve"> stabile Institutionen </w:t>
            </w:r>
            <w:r>
              <w:rPr>
                <w:b/>
                <w:i/>
              </w:rPr>
              <w:t>erfordern, die</w:t>
            </w:r>
            <w:r>
              <w:t xml:space="preserve"> Demokratie, Rechtsstaatlichkeit, Menschenrechte sowie die Achtung und </w:t>
            </w:r>
            <w:r>
              <w:rPr>
                <w:b/>
                <w:i/>
              </w:rPr>
              <w:t>den</w:t>
            </w:r>
            <w:r>
              <w:t xml:space="preserve"> Schutz von Minderheiten </w:t>
            </w:r>
            <w:r>
              <w:rPr>
                <w:b/>
                <w:i/>
              </w:rPr>
              <w:t>garantieren</w:t>
            </w:r>
            <w:r>
              <w:t>;</w:t>
            </w:r>
          </w:p>
        </w:tc>
        <w:tc>
          <w:tcPr>
            <w:tcW w:w="4876" w:type="dxa"/>
            <w:tcBorders>
              <w:top w:val="nil"/>
              <w:left w:val="nil"/>
              <w:bottom w:val="nil"/>
              <w:right w:val="nil"/>
            </w:tcBorders>
          </w:tcPr>
          <w:p>
            <w:pPr>
              <w:pStyle w:val="Normal6a"/>
            </w:pPr>
            <w:r>
              <w:t>2.</w:t>
            </w:r>
            <w:r>
              <w:tab/>
            </w:r>
            <w:r>
              <w:t xml:space="preserve">betont jedoch, dass die Mitgliedschaft in der EU von der Erfüllung der Beitrittskriterien („Kopenhagener Kriterien“) abhängt, </w:t>
            </w:r>
            <w:r>
              <w:rPr>
                <w:b/>
                <w:i/>
              </w:rPr>
              <w:t>wonach</w:t>
            </w:r>
            <w:r>
              <w:t xml:space="preserve"> stabile Institutionen </w:t>
            </w:r>
            <w:r>
              <w:rPr>
                <w:b/>
                <w:i/>
              </w:rPr>
              <w:t>erforderlich sind, mit denen</w:t>
            </w:r>
            <w:r>
              <w:t xml:space="preserve"> Demokratie, Rechtsstaatlichkeit, Menschenrechte</w:t>
            </w:r>
            <w:r>
              <w:rPr>
                <w:b/>
                <w:i/>
              </w:rPr>
              <w:t>, gutnachbarschaftlichen Beziehungen</w:t>
            </w:r>
            <w:r>
              <w:t xml:space="preserve"> sowie die Achtung und </w:t>
            </w:r>
            <w:r>
              <w:rPr>
                <w:b/>
                <w:i/>
              </w:rPr>
              <w:t>der</w:t>
            </w:r>
            <w:r>
              <w:t xml:space="preserve"> Schutz von Minderheiten </w:t>
            </w:r>
            <w:r>
              <w:rPr>
                <w:b/>
                <w:i/>
              </w:rPr>
              <w:t>garantiert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betont jedoch, dass die Mitgliedschaft in der EU von der Erfüllung der Beitrittskriterien („Kopenhagener Kriterien“) abhängt, die stabile Institutionen erfordern, die Demokratie, Rechtsstaatlichkeit, Menschenrechte </w:t>
            </w:r>
            <w:r>
              <w:rPr>
                <w:b/>
                <w:i/>
              </w:rPr>
              <w:t>sowie</w:t>
            </w:r>
            <w:r>
              <w:t xml:space="preserve"> die Achtung und </w:t>
            </w:r>
            <w:r>
              <w:rPr>
                <w:b/>
                <w:i/>
              </w:rPr>
              <w:t>den</w:t>
            </w:r>
            <w:r>
              <w:t xml:space="preserve"> Schutz von Minderheiten </w:t>
            </w:r>
            <w:r>
              <w:rPr>
                <w:b/>
                <w:i/>
              </w:rPr>
              <w:t>garantieren</w:t>
            </w:r>
            <w:r>
              <w:t>;</w:t>
            </w:r>
          </w:p>
        </w:tc>
        <w:tc>
          <w:tcPr>
            <w:tcW w:w="4876" w:type="dxa"/>
            <w:tcBorders>
              <w:top w:val="nil"/>
              <w:left w:val="nil"/>
              <w:bottom w:val="nil"/>
              <w:right w:val="nil"/>
            </w:tcBorders>
          </w:tcPr>
          <w:p>
            <w:pPr>
              <w:pStyle w:val="Normal6a"/>
            </w:pPr>
            <w:r>
              <w:t>2.</w:t>
            </w:r>
            <w:r>
              <w:tab/>
            </w:r>
            <w:r>
              <w:t>betont jedoch, dass die Mitgliedschaft in der EU von der Erfüllung der Beitrittskriterien („Kopenhagener Kriterien“) abhängt, die stabile Institutionen erfordern, die Demokratie, Rechtsstaatlichkeit, Menschenrechte</w:t>
            </w:r>
            <w:r>
              <w:rPr>
                <w:b/>
                <w:i/>
              </w:rPr>
              <w:t>,</w:t>
            </w:r>
            <w:r>
              <w:t xml:space="preserve"> die Achtung und </w:t>
            </w:r>
            <w:r>
              <w:rPr>
                <w:b/>
                <w:i/>
              </w:rPr>
              <w:t>der</w:t>
            </w:r>
            <w:r>
              <w:t xml:space="preserve"> Schutz von Minderheiten </w:t>
            </w:r>
            <w:r>
              <w:rPr>
                <w:b/>
                <w:i/>
              </w:rPr>
              <w:t>sowie die Angleichung an die Gemeinsame Außen- und Sicherheitspolitik (GASP) der EU garantiert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betont jedoch, dass die Mitgliedschaft in der EU von der Erfüllung der Beitrittskriterien („Kopenhagener Kriterien“) abhängt, </w:t>
            </w:r>
            <w:r>
              <w:rPr>
                <w:b/>
                <w:i/>
              </w:rPr>
              <w:t>die</w:t>
            </w:r>
            <w:r>
              <w:t xml:space="preserve"> stabile Institutionen </w:t>
            </w:r>
            <w:r>
              <w:rPr>
                <w:b/>
                <w:i/>
              </w:rPr>
              <w:t>erfordern, die Demokratie, Rechtsstaatlichkeit, Menschenrechte sowie</w:t>
            </w:r>
            <w:r>
              <w:t xml:space="preserve"> die Achtung und </w:t>
            </w:r>
            <w:r>
              <w:rPr>
                <w:b/>
                <w:i/>
              </w:rPr>
              <w:t>den</w:t>
            </w:r>
            <w:r>
              <w:t xml:space="preserve"> Schutz von Minderheiten </w:t>
            </w:r>
            <w:r>
              <w:rPr>
                <w:b/>
                <w:i/>
              </w:rPr>
              <w:t>garantieren</w:t>
            </w:r>
            <w:r>
              <w:t>;</w:t>
            </w:r>
          </w:p>
        </w:tc>
        <w:tc>
          <w:tcPr>
            <w:tcW w:w="4876" w:type="dxa"/>
            <w:tcBorders>
              <w:top w:val="nil"/>
              <w:left w:val="nil"/>
              <w:bottom w:val="nil"/>
              <w:right w:val="nil"/>
            </w:tcBorders>
          </w:tcPr>
          <w:p>
            <w:pPr>
              <w:pStyle w:val="Normal6a"/>
            </w:pPr>
            <w:r>
              <w:t>2.</w:t>
            </w:r>
            <w:r>
              <w:tab/>
            </w:r>
            <w:r>
              <w:t xml:space="preserve">betont jedoch, dass die Mitgliedschaft in der EU von der Erfüllung der Beitrittskriterien („Kopenhagener Kriterien“) abhängt, </w:t>
            </w:r>
            <w:r>
              <w:rPr>
                <w:b/>
                <w:i/>
              </w:rPr>
              <w:t>wonach</w:t>
            </w:r>
            <w:r>
              <w:t xml:space="preserve"> stabile Institutionen </w:t>
            </w:r>
            <w:r>
              <w:rPr>
                <w:b/>
                <w:i/>
              </w:rPr>
              <w:t>erforderlich sind, mit denen Demokratie,</w:t>
            </w:r>
            <w:r>
              <w:t xml:space="preserve"> die Achtung und </w:t>
            </w:r>
            <w:r>
              <w:rPr>
                <w:b/>
                <w:i/>
              </w:rPr>
              <w:t>der</w:t>
            </w:r>
            <w:r>
              <w:t xml:space="preserve"> Schutz von Minderheiten</w:t>
            </w:r>
            <w:r>
              <w:rPr>
                <w:b/>
                <w:i/>
              </w:rPr>
              <w:t>, die Rechtsstaatlichkeit, die Menschenrechte und gutnachbarschaftliche Beziehungen garantiert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stellt fest, dass die EU im Sinne des Völkerrechts handeln muss, insbesondere wenn es um den Schutz ihrer Mitgliedstaaten geht;</w:t>
            </w:r>
            <w:r>
              <w:t xml:space="preserve"> </w:t>
            </w:r>
            <w:r>
              <w:rPr>
                <w:b/>
                <w:i/>
              </w:rPr>
              <w:t>fordert daher die buchstabengetreue Umsetzung des Vertrags von Lausanne;</w:t>
            </w:r>
            <w:r>
              <w:t xml:space="preserve"> </w:t>
            </w:r>
            <w:r>
              <w:rPr>
                <w:b/>
                <w:i/>
              </w:rPr>
              <w:t>fordert insbesondere die Rückgabe von Eigentum an die Griechen aus Konstantinopel, Imbros und Tenedos sowie eine Entschädigung für die grausame Verfolgung durch den türkischen „Staat im Staate“;</w:t>
            </w:r>
            <w:r>
              <w:t xml:space="preserve"> </w:t>
            </w:r>
            <w:r>
              <w:rPr>
                <w:b/>
                <w:i/>
              </w:rPr>
              <w:t>fordert darüber hinaus, dass diplomatische und militärische Maßnahmen ergriffen werden, um gegen die illegale Besetzung von Land in der Republik Zypern, in Syrien und im Irak durch die türkischen Streitkräfte vorzugehen;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weist darauf hin, dass die Republik Türkei sich weiterhin geweigert hat, die Republik Zypern anzuerkennen und mit ihr zusammenzuarbeiten, und dass sie ihren Verpflichtungen, die in der Erklärung der Europäischen Gemeinschaft und ihrer Mitgliedstaaten vom 21. September 2005 und auf allen einschlägigen Tagungen des Rates dargelegt wurden, immer noch nicht nachgekommen ist, und stellt fest, dass die Republik Türkei weiterhin ihr Veto gegen die Anträge der Republik Zypern auf Mitgliedschaft in verschiedenen internationalen Organisationen eingelegt hat;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weist darauf hin, dass die Türkei wiederholt aufgefordert wurde, alle Handlungen zu unterlassen, die einen Verstoß gegen die Souveränität und die souveränen Rechte aller EU-Mitgliedstaaten sowie gegen das Völkerrecht und das EU-Recht darstellen; stellt fest, dass die Türkei ihre einseitigen Maßnahmen im östlichen Mittelmeerraum, einschließlich ihrer aggressiven Äußerungen gegenüber EU-Mitgliedstaaten, nicht vollständig eingestellt hat;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w:t>
            </w:r>
            <w:r>
              <w:tab/>
            </w:r>
            <w:r>
              <w:rPr>
                <w:b/>
                <w:i/>
              </w:rPr>
              <w:t>bedauert, dass es an Initiativen zur Umsetzung von Artikel 14 des Vertrags von Lausanne über den Sonderstatus von Imbros und Tenedos mangelt;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in der Erwägung, dass die Republik Türkei ihre rechtswidrigen Handlungen zur Behinderung des Ausbaus der unterseeischen Stromverbindungsleitung „Great Sea Interconnector“, die ein Vorhaben von gemeinsamem Interesse für die EU war, fortsetzt und an ihren Plänen für eine illegale Stromverbindungsleitung mit der sezessionistischen Einheit im besetzten Teil Zyperns festhält;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Ivaylo Valchev, 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c.</w:t>
            </w:r>
            <w:r>
              <w:tab/>
            </w:r>
            <w:r>
              <w:rPr>
                <w:b/>
                <w:i/>
              </w:rPr>
              <w:t>betont, dass die Beschränkungen bei der Ausbildung, Ernennung und Nachfolge von Geistlichen aufgehoben werden müssen, dass die Wiedereröffnung des Seminars von Chalki, das seit 1971 geschlossen ist, gestattet werden muss und dass alle Hindernisse für einen reibungslosen Seminarbetrieb beseitigt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d.</w:t>
            </w:r>
            <w:r>
              <w:tab/>
            </w:r>
            <w:r>
              <w:rPr>
                <w:b/>
                <w:i/>
              </w:rPr>
              <w:t>bedauert, dass bislang keinerlei Initiativen ergriffen wurden, um die Griechen aus Konstantinopel sowie von Imbros und Tenedos zu entschädigen, die während der Ereignisse im September 1955 oder im Anschluss daran vom türkischen Staat aus ihren angestammten Häusern vertrieben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Emmanouil Fragkos, Galato Alexandraki, Ivaylo Valchev, 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e.</w:t>
            </w:r>
            <w:r>
              <w:tab/>
            </w:r>
            <w:r>
              <w:rPr>
                <w:b/>
                <w:i/>
              </w:rPr>
              <w:t>fordert die Türkei erneut auf, die Rolle des Ökumenischen Patriarchats für orthodoxe Christen auf der ganzen Welt, dessen Rechtspersönlichkeit sowie die öffentliche Verwendung des geistlichen Titels des Ökumenischen Patriarchen anzuerkennen;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bedauert in diesem Zusammenhang, dass den genannten positiven Erklärungen bislang keine tatsächlichen Maßnahmen der türkischen Staatsorgane gefolgt sind, um die nach wie vor große Kluft zwischen der Türkei und der EU in Bezug auf Werte und Normen zu schließen, insbesondere im Hinblick auf die Grundlagen des Beitrittsprozesses;</w:t>
            </w:r>
          </w:p>
        </w:tc>
        <w:tc>
          <w:tcPr>
            <w:tcW w:w="4876" w:type="dxa"/>
            <w:tcBorders>
              <w:top w:val="nil"/>
              <w:left w:val="nil"/>
              <w:bottom w:val="nil"/>
              <w:right w:val="nil"/>
            </w:tcBorders>
          </w:tcPr>
          <w:p>
            <w:pPr>
              <w:pStyle w:val="Normal6a"/>
            </w:pPr>
            <w:r>
              <w:t>3.</w:t>
            </w:r>
            <w:r>
              <w:tab/>
            </w:r>
            <w:r>
              <w:t xml:space="preserve">bedauert in diesem Zusammenhang, dass den genannten positiven Erklärungen bislang keine tatsächlichen Maßnahmen der türkischen Staatsorgane gefolgt sind, um die nach wie vor große Kluft zwischen der Türkei und der EU in Bezug auf Werte und Normen zu schließen, insbesondere im Hinblick auf die Grundlagen des Beitrittsprozesses; </w:t>
            </w:r>
            <w:r>
              <w:rPr>
                <w:b/>
                <w:i/>
              </w:rPr>
              <w:t>bekräftigt seine bereits angenommene Schlussfolgerung, dass es der türkischen Regierung wie bereits in den vergangenen Jahren nach wie vor an einem klaren politischen Willen mangelt, die notwendigen Reformen durchzuführen, um den Beitrittsprozess wiederzubeleben, sondern sich weiterhin nach einem tief verfestigten autoritären Verständnis von einem Präsidialsystem richtet;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bedauert in diesem Zusammenhang, dass den genannten positiven Erklärungen bislang keine tatsächlichen Maßnahmen der türkischen Staatsorgane gefolgt sind, um die nach wie vor große Kluft zwischen der Türkei und der EU in Bezug auf Werte und Normen zu schließen, insbesondere im Hinblick auf die Grundlagen des Beitrittsprozesses;</w:t>
            </w:r>
          </w:p>
        </w:tc>
        <w:tc>
          <w:tcPr>
            <w:tcW w:w="4876" w:type="dxa"/>
            <w:tcBorders>
              <w:top w:val="nil"/>
              <w:left w:val="nil"/>
              <w:bottom w:val="nil"/>
              <w:right w:val="nil"/>
            </w:tcBorders>
          </w:tcPr>
          <w:p>
            <w:pPr>
              <w:pStyle w:val="Normal6a"/>
            </w:pPr>
            <w:r>
              <w:t>3.</w:t>
            </w:r>
            <w:r>
              <w:tab/>
            </w:r>
            <w:r>
              <w:t xml:space="preserve">bedauert in diesem Zusammenhang, dass den genannten positiven Erklärungen bislang keine tatsächlichen Maßnahmen der türkischen Staatsorgane gefolgt sind, um die nach wie vor große Kluft zwischen der Türkei und der EU in Bezug auf Werte und Normen zu schließen, insbesondere im Hinblick auf die Grundlagen des Beitrittsprozesses; </w:t>
            </w:r>
            <w:r>
              <w:rPr>
                <w:b/>
                <w:i/>
              </w:rPr>
              <w:t>bekräftigt seine bereits angenommene Schlussfolgerung, dass es der türkischen Regierung wie bereits in den vergangenen Jahren nach wie vor an einem klaren politischen Willen mangelt, die notwendigen Reformen durchzuführen, um den Beitrittsprozess wiederzubeleben, sondern sich weiterhin nach einem tief verfestigten autoritären Verständnis von einem Präsidialsystem richtet;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bedauert in diesem Zusammenhang, dass den genannten positiven Erklärungen bislang keine tatsächlichen Maßnahmen der türkischen Staatsorgane gefolgt sind, um die nach wie vor große Kluft zwischen der Türkei und der EU in Bezug auf Werte und Normen zu schließen, insbesondere im Hinblick auf die Grundlagen des Beitrittsprozesses;</w:t>
            </w:r>
          </w:p>
        </w:tc>
        <w:tc>
          <w:tcPr>
            <w:tcW w:w="4876" w:type="dxa"/>
            <w:tcBorders>
              <w:top w:val="nil"/>
              <w:left w:val="nil"/>
              <w:bottom w:val="nil"/>
              <w:right w:val="nil"/>
            </w:tcBorders>
          </w:tcPr>
          <w:p>
            <w:pPr>
              <w:pStyle w:val="Normal6a"/>
            </w:pPr>
            <w:r>
              <w:t>3.</w:t>
            </w:r>
            <w:r>
              <w:tab/>
            </w:r>
            <w:r>
              <w:t xml:space="preserve">bedauert in diesem Zusammenhang, dass den genannten positiven Erklärungen bislang keine tatsächlichen Maßnahmen der türkischen Staatsorgane gefolgt sind, um die nach wie vor große Kluft zwischen der Türkei und der EU in Bezug auf Werte und Normen zu schließen, insbesondere im Hinblick auf die Grundlagen des Beitrittsprozesses; </w:t>
            </w:r>
            <w:r>
              <w:rPr>
                <w:b/>
                <w:i/>
              </w:rPr>
              <w:t>fordert die Kommission und den Rat auf, die finanzielle Unterstützung der Türkei im Rahmen von IPA III und NDICI strikt von der Achtung der Rechtsstaatlichkeit und der Grundrechte abhängig zu machen;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bedauert in diesem Zusammenhang, dass den genannten positiven Erklärungen bislang keine tatsächlichen Maßnahmen der türkischen Staatsorgane gefolgt sind, um die nach wie vor große Kluft zwischen der Türkei und der EU in Bezug auf Werte und Normen zu schließen, insbesondere im Hinblick auf die Grundlagen des Beitrittsprozesses;</w:t>
            </w:r>
          </w:p>
        </w:tc>
        <w:tc>
          <w:tcPr>
            <w:tcW w:w="4876" w:type="dxa"/>
            <w:tcBorders>
              <w:top w:val="nil"/>
              <w:left w:val="nil"/>
              <w:bottom w:val="nil"/>
              <w:right w:val="nil"/>
            </w:tcBorders>
          </w:tcPr>
          <w:p>
            <w:pPr>
              <w:pStyle w:val="Normal6a"/>
            </w:pPr>
            <w:r>
              <w:t>3.</w:t>
            </w:r>
            <w:r>
              <w:tab/>
            </w:r>
            <w:r>
              <w:t>bedauert in diesem Zusammenhang, dass den genannten positiven Erklärungen bislang keine tatsächlichen Maßnahmen der türkischen Staatsorgane gefolgt sind, um die nach wie vor große Kluft zwischen der Türkei und der EU in Bezug auf Werte und Normen zu schließen, insbesondere im Hinblick auf die Grundlagen des Beitrittsprozesses</w:t>
            </w:r>
            <w:r>
              <w:rPr>
                <w:b/>
                <w:i/>
              </w:rPr>
              <w:t>, und um ihren Verpflichtungen gemäß dem Verhandlungsrahmen von 2005 nachzukommen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bedauert in diesem Zusammenhang, dass den genannten positiven Erklärungen bislang keine </w:t>
            </w:r>
            <w:r>
              <w:rPr>
                <w:b/>
                <w:i/>
              </w:rPr>
              <w:t>tatsächlichen</w:t>
            </w:r>
            <w:r>
              <w:t xml:space="preserve"> Maßnahmen der türkischen Staatsorgane gefolgt sind, um die nach wie vor große Kluft zwischen der Türkei und der EU in Bezug auf Werte und Normen zu schließen, insbesondere im Hinblick auf die Grundlagen des Beitrittsprozesses;</w:t>
            </w:r>
          </w:p>
        </w:tc>
        <w:tc>
          <w:tcPr>
            <w:tcW w:w="4876" w:type="dxa"/>
            <w:tcBorders>
              <w:top w:val="nil"/>
              <w:left w:val="nil"/>
              <w:bottom w:val="nil"/>
              <w:right w:val="nil"/>
            </w:tcBorders>
          </w:tcPr>
          <w:p>
            <w:pPr>
              <w:pStyle w:val="Normal6a"/>
            </w:pPr>
            <w:r>
              <w:t>3.</w:t>
            </w:r>
            <w:r>
              <w:tab/>
            </w:r>
            <w:r>
              <w:t xml:space="preserve">bedauert in diesem Zusammenhang, dass den genannten positiven Erklärungen bislang keine </w:t>
            </w:r>
            <w:r>
              <w:rPr>
                <w:b/>
                <w:i/>
              </w:rPr>
              <w:t>konkreten</w:t>
            </w:r>
            <w:r>
              <w:t xml:space="preserve"> Maßnahmen der türkischen Staatsorgane gefolgt sind, um die nach wie vor große Kluft zwischen der Türkei und der EU in Bezug auf Werte und Normen zu schließen, insbesondere im Hinblick auf die Grundlagen des Beitrittsprozesses;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bedauert in diesem Zusammenhang, dass den genannten </w:t>
            </w:r>
            <w:r>
              <w:rPr>
                <w:b/>
                <w:i/>
              </w:rPr>
              <w:t>positiven</w:t>
            </w:r>
            <w:r>
              <w:t xml:space="preserve"> Erklärungen bislang keine tatsächlichen Maßnahmen der türkischen Staatsorgane gefolgt sind, um die nach wie vor große Kluft zwischen der Türkei und der EU in Bezug auf Werte und Normen zu schließen, insbesondere im Hinblick auf die Grundlagen des Beitrittsprozesses;</w:t>
            </w:r>
          </w:p>
        </w:tc>
        <w:tc>
          <w:tcPr>
            <w:tcW w:w="4876" w:type="dxa"/>
            <w:tcBorders>
              <w:top w:val="nil"/>
              <w:left w:val="nil"/>
              <w:bottom w:val="nil"/>
              <w:right w:val="nil"/>
            </w:tcBorders>
          </w:tcPr>
          <w:p>
            <w:pPr>
              <w:pStyle w:val="Normal6a"/>
            </w:pPr>
            <w:r>
              <w:t>3.</w:t>
            </w:r>
            <w:r>
              <w:tab/>
            </w:r>
            <w:r>
              <w:t>bedauert in diesem Zusammenhang, dass den genannten Erklärungen bislang keine tatsächlichen Maßnahmen der türkischen Staatsorgane gefolgt sind, um die nach wie vor große Kluft zwischen der Türkei und der EU in Bezug auf Werte und Normen zu schließen, insbesondere im Hinblick auf die Grundlagen des Beitrittsprozesses;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bedauert in diesem Zusammenhang, dass den genannten </w:t>
            </w:r>
            <w:r>
              <w:rPr>
                <w:b/>
                <w:i/>
              </w:rPr>
              <w:t>positiven</w:t>
            </w:r>
            <w:r>
              <w:t xml:space="preserve"> Erklärungen bislang keine tatsächlichen Maßnahmen der türkischen Staatsorgane gefolgt sind, um die nach wie vor große Kluft zwischen der Türkei und der EU in Bezug auf Werte und Normen zu schließen, insbesondere im Hinblick auf die Grundlagen des Beitrittsprozesses;</w:t>
            </w:r>
          </w:p>
        </w:tc>
        <w:tc>
          <w:tcPr>
            <w:tcW w:w="4876" w:type="dxa"/>
            <w:tcBorders>
              <w:top w:val="nil"/>
              <w:left w:val="nil"/>
              <w:bottom w:val="nil"/>
              <w:right w:val="nil"/>
            </w:tcBorders>
          </w:tcPr>
          <w:p>
            <w:pPr>
              <w:pStyle w:val="Normal6a"/>
            </w:pPr>
            <w:r>
              <w:t>3.</w:t>
            </w:r>
            <w:r>
              <w:tab/>
            </w:r>
            <w:r>
              <w:t>bedauert in diesem Zusammenhang, dass den genannten Erklärungen bislang keine tatsächlichen Maßnahmen der türkischen Staatsorgane gefolgt sind, um die nach wie vor große Kluft zwischen der Türkei und der EU in Bezug auf Werte und Normen zu schließen, insbesondere im Hinblick auf die Grundlagen des Beitrittsprozesses;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bedauert in diesem Zusammenhang, dass den genannten positiven Erklärungen bislang keine tatsächlichen Maßnahmen der türkischen Staatsorgane gefolgt sind, um die nach wie vor große Kluft zwischen der Türkei und der EU in Bezug auf Werte und Normen zu schließen, </w:t>
            </w:r>
            <w:r>
              <w:rPr>
                <w:b/>
                <w:i/>
              </w:rPr>
              <w:t>insbesondere im Hinblick auf die Grundlagen des Beitrittsprozesses</w:t>
            </w:r>
            <w:r>
              <w:t>;</w:t>
            </w:r>
          </w:p>
        </w:tc>
        <w:tc>
          <w:tcPr>
            <w:tcW w:w="4876" w:type="dxa"/>
            <w:tcBorders>
              <w:top w:val="nil"/>
              <w:left w:val="nil"/>
              <w:bottom w:val="nil"/>
              <w:right w:val="nil"/>
            </w:tcBorders>
          </w:tcPr>
          <w:p>
            <w:pPr>
              <w:pStyle w:val="Normal6a"/>
            </w:pPr>
            <w:r>
              <w:t>3.</w:t>
            </w:r>
            <w:r>
              <w:tab/>
            </w:r>
            <w:r>
              <w:t xml:space="preserve">bedauert in diesem Zusammenhang, dass den genannten positiven Erklärungen bislang keine tatsächlichen Maßnahmen der türkischen Staatsorgane gefolgt sind, um die nach wie vor große Kluft zwischen der Türkei und der EU in Bezug auf Werte und Normen zu schließen, </w:t>
            </w:r>
            <w:r>
              <w:rPr>
                <w:b/>
                <w:i/>
              </w:rPr>
              <w:t>und dass sich die Türkei in Wahrheit von Europa immer weiter wegbewegt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in der Erwägung, dass das Motto der EU „in Vielfalt geeint“ lautet;</w:t>
            </w:r>
            <w:r>
              <w:t xml:space="preserve"> </w:t>
            </w:r>
            <w:r>
              <w:rPr>
                <w:b/>
                <w:i/>
              </w:rPr>
              <w:t>weist darauf hin, dass die EU gemäß Artikel 4 Absatz 2 des Vertrags über die Europäische Union die nationale Identität ihrer Mitgliedstaaten achten muss, die auch die kulturellen Besonderheiten jedes Mitgliedstaats wie Landessprache und religiöse Angelegenheiten umfasst;</w:t>
            </w:r>
            <w:r>
              <w:t xml:space="preserve"> </w:t>
            </w:r>
            <w:r>
              <w:rPr>
                <w:b/>
                <w:i/>
              </w:rPr>
              <w:t>fordert die EU auf, auch die nationale Identität der Türkei als Bewerberland zu achten;</w:t>
            </w:r>
            <w:r>
              <w:t xml:space="preserve"> </w:t>
            </w:r>
            <w:r>
              <w:rPr>
                <w:b/>
                <w:i/>
              </w:rPr>
              <w:t>respektiert in diesem Zusammenhang den Rücktritt der Türkei aus dem Übereinkommen von Istanbul;</w:t>
            </w:r>
            <w:r>
              <w:t xml:space="preserve"> </w:t>
            </w:r>
            <w:r>
              <w:rPr>
                <w:b/>
                <w:i/>
              </w:rPr>
              <w:t>stellt fest, dass dieses kontroverse Übereinkommen auf den ideologischen Annahmen der Gender-Theorie beruht, bei der man davon ausgeht, dass Weiblichkeit und Männlichkeit kulturelle Prägungen sind, mit denen ungleiche Machtverhältnisse systematisch verstärkt werden;</w:t>
            </w:r>
            <w:r>
              <w:t xml:space="preserve"> </w:t>
            </w:r>
            <w:r>
              <w:rPr>
                <w:b/>
                <w:i/>
              </w:rPr>
              <w:t>weist darauf hin, dass Bulgarien, die Tschechische Republik, Ungarn, Litauen und die Slowakei das Übereinkommen von Istanbul nicht ratifiziert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weist darauf hin, dass die Türkei seit Oktober 2024 in ihren Lehrplänen offiziell den Begriff „Zentralasien“ durch „Turkestan“ ersetzt hat;</w:t>
            </w:r>
            <w:r>
              <w:t xml:space="preserve"> </w:t>
            </w:r>
            <w:r>
              <w:rPr>
                <w:b/>
                <w:i/>
              </w:rPr>
              <w:t>verurteilt in diesem Zusammenhang die expansiven Bestrebungen der Türkei in Zentralasien, die der neo-ottomanischen Ideologie von Erdoğan folgen;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weist darauf hin, dass die Türkei seit Oktober 2024 in ihren Bildungsplänen offiziell den Begriff „Zentralasien“ durch „Turkestan“ ersetzt hat;</w:t>
            </w:r>
            <w:r>
              <w:t xml:space="preserve"> </w:t>
            </w:r>
            <w:r>
              <w:rPr>
                <w:b/>
                <w:i/>
              </w:rPr>
              <w:t>missbilligt diesem Zusammenhang die offen expansiven Bestrebungen der Türkei in Zentralasien, die mit der von Erdoğan geförderten „neo-osmanischen“ Vision im Einklang 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erkennt die strategische und geopolitische Bedeutung der Türkei und ihre engere Zusammenarbeit mit der EU an, auf die die türkische Regierung wiederholt Bezug genommen hat, betont jedoch, dass dies keinesfalls ein Ersatz für die notwendigen echten Fortschritte sein kann, die die Türkei als Bewerberland im Hinblick auf die Erfüllung der grundlegenden Voraussetzungen für einen Beitritt erzielen muss;</w:t>
            </w:r>
          </w:p>
        </w:tc>
        <w:tc>
          <w:tcPr>
            <w:tcW w:w="4876" w:type="dxa"/>
            <w:tcBorders>
              <w:top w:val="nil"/>
              <w:left w:val="nil"/>
              <w:bottom w:val="nil"/>
              <w:right w:val="nil"/>
            </w:tcBorders>
          </w:tcPr>
          <w:p>
            <w:pPr>
              <w:pStyle w:val="Normal6a"/>
            </w:pPr>
            <w:r>
              <w:t>4.</w:t>
            </w:r>
            <w:r>
              <w:tab/>
            </w:r>
            <w:r>
              <w:t xml:space="preserve">erkennt die strategische und geopolitische Bedeutung der Türkei und ihre </w:t>
            </w:r>
            <w:r>
              <w:rPr>
                <w:b/>
                <w:i/>
              </w:rPr>
              <w:t>geostrategische Rolle in der Sicherheitsarchitektur des Schwarzen Meeres und insbesondere im Hinblick auf die Sicherheit der Ukraine, die mit der russischen Aggression konfrontiert ist, sowie die</w:t>
            </w:r>
            <w:r>
              <w:t xml:space="preserve"> engere Zusammenarbeit </w:t>
            </w:r>
            <w:r>
              <w:rPr>
                <w:b/>
                <w:i/>
              </w:rPr>
              <w:t>der Türkei</w:t>
            </w:r>
            <w:r>
              <w:t xml:space="preserve"> mit der EU an, auf die die türkische Regierung wiederholt Bezug genommen hat, betont jedoch, dass dies keinesfalls ein Ersatz für die notwendigen echten Fortschritte sein kann, die die Türkei als Bewerberland im Hinblick auf die Erfüllung der grundlegenden Voraussetzungen für einen Beitritt erzielen muss; </w:t>
            </w:r>
            <w:r>
              <w:rPr>
                <w:b/>
                <w:i/>
              </w:rPr>
              <w:t>weist auf die wachsende Notwendigkeit hin, die Partnerschaft zwischen der EU und der Türkei zu stärken, indem der Modernisierung und Verbesserung des derzeitigen Assoziierungsabkommens sowie häufigeren politischen Dialogen auf hoher Ebene Vorrang eingeräumt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erkennt die strategische und geopolitische Bedeutung</w:t>
            </w:r>
            <w:r>
              <w:t xml:space="preserve"> der Türkei und </w:t>
            </w:r>
            <w:r>
              <w:rPr>
                <w:b/>
                <w:i/>
              </w:rPr>
              <w:t>ihre engere</w:t>
            </w:r>
            <w:r>
              <w:t xml:space="preserve"> Zusammenarbeit mit der EU </w:t>
            </w:r>
            <w:r>
              <w:rPr>
                <w:b/>
                <w:i/>
              </w:rPr>
              <w:t>an</w:t>
            </w:r>
            <w:r>
              <w:t>, auf die die türkische Regierung wiederholt Bezug genommen hat, betont jedoch, dass dies keinesfalls ein Ersatz für die notwendigen echten Fortschritte sein kann, die die Türkei als Bewerberland im Hinblick auf die Erfüllung der grundlegenden Voraussetzungen für einen Beitritt erzielen muss;</w:t>
            </w:r>
          </w:p>
        </w:tc>
        <w:tc>
          <w:tcPr>
            <w:tcW w:w="4876" w:type="dxa"/>
            <w:tcBorders>
              <w:top w:val="nil"/>
              <w:left w:val="nil"/>
              <w:bottom w:val="nil"/>
              <w:right w:val="nil"/>
            </w:tcBorders>
          </w:tcPr>
          <w:p>
            <w:pPr>
              <w:pStyle w:val="Normal6a"/>
            </w:pPr>
            <w:r>
              <w:t>4.</w:t>
            </w:r>
            <w:r>
              <w:tab/>
            </w:r>
            <w:r>
              <w:rPr>
                <w:b/>
                <w:i/>
              </w:rPr>
              <w:t>nimmt die Rolle</w:t>
            </w:r>
            <w:r>
              <w:t xml:space="preserve"> der Türkei und </w:t>
            </w:r>
            <w:r>
              <w:rPr>
                <w:b/>
                <w:i/>
              </w:rPr>
              <w:t>die Bedeutung der</w:t>
            </w:r>
            <w:r>
              <w:t xml:space="preserve"> Zusammenarbeit mit der EU </w:t>
            </w:r>
            <w:r>
              <w:rPr>
                <w:b/>
                <w:i/>
              </w:rPr>
              <w:t>zur Kenntnis</w:t>
            </w:r>
            <w:r>
              <w:t xml:space="preserve">, auf die die türkische Regierung wiederholt Bezug genommen hat, betont jedoch, dass dies keinesfalls ein Ersatz für die notwendigen echten Fortschritte sein kann, die die Türkei als Bewerberland im Hinblick auf die Erfüllung der grundlegenden Voraussetzungen für einen Beitritt erzielen muss; </w:t>
            </w:r>
            <w:r>
              <w:rPr>
                <w:b/>
                <w:i/>
              </w:rPr>
              <w:t>betont, dass es keine schnellen Fortschritte bei wichtigen Dossiers wie der Modernisierung der Zollunion, der Wiederaufnahme der verbleibenden Dialoge auf hoher Ebene und der Visaliberalisierung geben kann, ohne die Konditionalität der EU, auch in Bezug auf Zypern, zur Sprache zu bringen;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erkennt die strategische und geopolitische Bedeutung der Türkei und ihre engere Zusammenarbeit mit der EU an, auf die die türkische Regierung wiederholt Bezug genommen hat, betont jedoch, dass dies keinesfalls ein Ersatz für die notwendigen echten Fortschritte sein kann, die die Türkei als Bewerberland im Hinblick auf die Erfüllung der grundlegenden Voraussetzungen für einen Beitritt erzielen muss;</w:t>
            </w:r>
          </w:p>
        </w:tc>
        <w:tc>
          <w:tcPr>
            <w:tcW w:w="4876" w:type="dxa"/>
            <w:tcBorders>
              <w:top w:val="nil"/>
              <w:left w:val="nil"/>
              <w:bottom w:val="nil"/>
              <w:right w:val="nil"/>
            </w:tcBorders>
          </w:tcPr>
          <w:p>
            <w:pPr>
              <w:pStyle w:val="Normal6a"/>
            </w:pPr>
            <w:r>
              <w:t>4.</w:t>
            </w:r>
            <w:r>
              <w:tab/>
            </w:r>
            <w:r>
              <w:t xml:space="preserve">erkennt die strategische und geopolitische Bedeutung der Türkei und ihre engere Zusammenarbeit mit der EU an, auf die die türkische Regierung wiederholt Bezug genommen hat, betont jedoch, dass dies keinesfalls ein Ersatz für die notwendigen echten Fortschritte sein kann, die die Türkei als Bewerberland im Hinblick auf die Erfüllung der grundlegenden Voraussetzungen für einen Beitritt erzielen muss; </w:t>
            </w:r>
            <w:r>
              <w:rPr>
                <w:b/>
                <w:i/>
              </w:rPr>
              <w:t>betont, dass es keine schnellen Fortschritte bei wichtigen Dossiers wie der Modernisierung der Zollunion, der Wiederaufnahme der verbleibenden Dialoge auf hoher Ebene und der Visaliberalisierung geben kann, ohne die Konditionalität der EU, auch in Bezug auf Zypern, anzusprechen;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erkennt die strategische und geopolitische Bedeutung der Türkei </w:t>
            </w:r>
            <w:r>
              <w:rPr>
                <w:b/>
                <w:i/>
              </w:rPr>
              <w:t>und ihre engere</w:t>
            </w:r>
            <w:r>
              <w:t xml:space="preserve"> Zusammenarbeit mit der EU </w:t>
            </w:r>
            <w:r>
              <w:rPr>
                <w:b/>
                <w:i/>
              </w:rPr>
              <w:t>an</w:t>
            </w:r>
            <w:r>
              <w:t>, auf die die türkische Regierung wiederholt Bezug genommen hat, betont jedoch, dass dies keinesfalls ein Ersatz für die notwendigen echten Fortschritte sein kann, die die Türkei als Bewerberland im Hinblick auf die Erfüllung der grundlegenden Voraussetzungen für einen Beitritt erzielen muss;</w:t>
            </w:r>
          </w:p>
        </w:tc>
        <w:tc>
          <w:tcPr>
            <w:tcW w:w="4876" w:type="dxa"/>
            <w:tcBorders>
              <w:top w:val="nil"/>
              <w:left w:val="nil"/>
              <w:bottom w:val="nil"/>
              <w:right w:val="nil"/>
            </w:tcBorders>
          </w:tcPr>
          <w:p>
            <w:pPr>
              <w:pStyle w:val="Normal6a"/>
            </w:pPr>
            <w:r>
              <w:t>4.</w:t>
            </w:r>
            <w:r>
              <w:tab/>
            </w:r>
            <w:r>
              <w:t xml:space="preserve">erkennt die strategische und geopolitische Bedeutung der Türkei </w:t>
            </w:r>
            <w:r>
              <w:rPr>
                <w:b/>
                <w:i/>
              </w:rPr>
              <w:t>an und nimmt ihre zunehmende politische, wirtschaftliche und militärische Präsenz und ihren zunehmenden Einfluss in für die internationale Sicherheit kritischen Bereichen zur Kenntnis;</w:t>
            </w:r>
            <w:r>
              <w:t xml:space="preserve"> </w:t>
            </w:r>
            <w:r>
              <w:rPr>
                <w:b/>
                <w:i/>
              </w:rPr>
              <w:t>ist sich des Potenzials einer engeren</w:t>
            </w:r>
            <w:r>
              <w:t xml:space="preserve"> Zusammenarbeit mit der EU </w:t>
            </w:r>
            <w:r>
              <w:rPr>
                <w:b/>
                <w:i/>
              </w:rPr>
              <w:t>bewusst</w:t>
            </w:r>
            <w:r>
              <w:t>, auf die die türkische Regierung wiederholt Bezug genommen hat, betont jedoch, dass dies keinesfalls ein Ersatz für die notwendigen echten Fortschritte sein kann, die die Türkei als Bewerberland im Hinblick auf die Erfüllung der grundlegenden Voraussetzungen für einen Beitritt erzielen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erkennt die strategische und geopolitische Bedeutung der Türkei und ihre engere Zusammenarbeit mit der EU an, auf die die türkische Regierung wiederholt Bezug genommen hat, betont jedoch, dass dies keinesfalls ein Ersatz für die notwendigen echten Fortschritte sein kann, die die Türkei als Bewerberland im Hinblick auf die Erfüllung der grundlegenden Voraussetzungen für einen Beitritt erzielen muss;</w:t>
            </w:r>
          </w:p>
        </w:tc>
        <w:tc>
          <w:tcPr>
            <w:tcW w:w="4876" w:type="dxa"/>
            <w:tcBorders>
              <w:top w:val="nil"/>
              <w:left w:val="nil"/>
              <w:bottom w:val="nil"/>
              <w:right w:val="nil"/>
            </w:tcBorders>
          </w:tcPr>
          <w:p>
            <w:pPr>
              <w:pStyle w:val="Normal6a"/>
            </w:pPr>
            <w:r>
              <w:t>4.</w:t>
            </w:r>
            <w:r>
              <w:tab/>
            </w:r>
            <w:r>
              <w:t xml:space="preserve">erkennt die strategische und geopolitische Bedeutung der Türkei und ihre engere Zusammenarbeit mit der EU an, auf die die türkische Regierung wiederholt Bezug genommen hat, betont jedoch, dass dies keinesfalls ein Ersatz für die notwendigen echten Fortschritte sein kann, die die Türkei als Bewerberland im Hinblick auf die Erfüllung der grundlegenden Voraussetzungen für einen Beitritt erzielen muss; </w:t>
            </w:r>
            <w:r>
              <w:rPr>
                <w:b/>
                <w:i/>
              </w:rPr>
              <w:t>hebt in diesem Zusammenhang hervor, dass es beim Beitrittsprozess keine Abkürzungen gibt und kein Argument vorgebracht werden kann, um einer Diskussion über die demokratischen Grundsätze, die im Mittelpunkt des Beitrittsprozesses stehen, aus dem Wege zu 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erkennt </w:t>
            </w:r>
            <w:r>
              <w:rPr>
                <w:b/>
                <w:i/>
              </w:rPr>
              <w:t>die strategische und geopolitische Bedeutung</w:t>
            </w:r>
            <w:r>
              <w:t xml:space="preserve"> der Türkei </w:t>
            </w:r>
            <w:r>
              <w:rPr>
                <w:b/>
                <w:i/>
              </w:rPr>
              <w:t>und ihre engere Zusammenarbeit mit der EU an, auf die die türkische Regierung wiederholt Bezug genommen hat,</w:t>
            </w:r>
            <w:r>
              <w:t xml:space="preserve"> betont jedoch, dass dies keinesfalls ein Ersatz für die notwendigen echten Fortschritte sein kann, die die Türkei als </w:t>
            </w:r>
            <w:r>
              <w:rPr>
                <w:b/>
                <w:i/>
              </w:rPr>
              <w:t>Bewerberland im Hinblick auf die Erfüllung der grundlegenden Voraussetzungen für einen Beitritt</w:t>
            </w:r>
            <w:r>
              <w:t xml:space="preserve"> erzielen muss;</w:t>
            </w:r>
          </w:p>
        </w:tc>
        <w:tc>
          <w:tcPr>
            <w:tcW w:w="4876" w:type="dxa"/>
            <w:tcBorders>
              <w:top w:val="nil"/>
              <w:left w:val="nil"/>
              <w:bottom w:val="nil"/>
              <w:right w:val="nil"/>
            </w:tcBorders>
          </w:tcPr>
          <w:p>
            <w:pPr>
              <w:pStyle w:val="Normal6a"/>
            </w:pPr>
            <w:r>
              <w:t>4.</w:t>
            </w:r>
            <w:r>
              <w:tab/>
            </w:r>
            <w:r>
              <w:t xml:space="preserve">erkennt </w:t>
            </w:r>
            <w:r>
              <w:rPr>
                <w:b/>
                <w:i/>
              </w:rPr>
              <w:t>den geografischen Wert</w:t>
            </w:r>
            <w:r>
              <w:t xml:space="preserve"> der Türkei </w:t>
            </w:r>
            <w:r>
              <w:rPr>
                <w:b/>
                <w:i/>
              </w:rPr>
              <w:t>an,</w:t>
            </w:r>
            <w:r>
              <w:t xml:space="preserve"> betont jedoch, dass dies keinesfalls ein Ersatz für die notwendigen echten Fortschritte sein kann, die die Türkei als </w:t>
            </w:r>
            <w:r>
              <w:rPr>
                <w:b/>
                <w:i/>
              </w:rPr>
              <w:t>Mitglied der Vereinten Nationen und Nachbar der EU</w:t>
            </w:r>
            <w:r>
              <w:t xml:space="preserve"> erzielen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erkennt die </w:t>
            </w:r>
            <w:r>
              <w:rPr>
                <w:b/>
                <w:i/>
              </w:rPr>
              <w:t>strategische und geopolitische</w:t>
            </w:r>
            <w:r>
              <w:t xml:space="preserve"> Bedeutung der Türkei und ihre engere Zusammenarbeit mit der EU an, auf die die türkische Regierung wiederholt Bezug genommen hat, betont jedoch, dass dies keinesfalls ein Ersatz für die notwendigen echten Fortschritte sein kann, die die Türkei als Bewerberland im Hinblick auf die Erfüllung der grundlegenden Voraussetzungen für einen Beitritt erzielen muss;</w:t>
            </w:r>
          </w:p>
        </w:tc>
        <w:tc>
          <w:tcPr>
            <w:tcW w:w="4876" w:type="dxa"/>
            <w:tcBorders>
              <w:top w:val="nil"/>
              <w:left w:val="nil"/>
              <w:bottom w:val="nil"/>
              <w:right w:val="nil"/>
            </w:tcBorders>
          </w:tcPr>
          <w:p>
            <w:pPr>
              <w:pStyle w:val="Normal6a"/>
            </w:pPr>
            <w:r>
              <w:t>4.</w:t>
            </w:r>
            <w:r>
              <w:tab/>
            </w:r>
            <w:r>
              <w:t xml:space="preserve">erkennt die </w:t>
            </w:r>
            <w:r>
              <w:rPr>
                <w:b/>
                <w:i/>
              </w:rPr>
              <w:t>geografische</w:t>
            </w:r>
            <w:r>
              <w:t xml:space="preserve"> Bedeutung der Türkei und ihre engere Zusammenarbeit mit der EU an, auf die die türkische Regierung wiederholt Bezug genommen hat, betont jedoch, dass dies keinesfalls ein Ersatz für die notwendigen echten Fortschritte sein kann, die die Türkei als Bewerberland im Hinblick auf die Erfüllung der grundlegenden Voraussetzungen für einen Beitritt erzielen muss</w:t>
            </w:r>
            <w:r>
              <w:rPr>
                <w:b/>
                <w:i/>
              </w:rPr>
              <w:t>, einschließlich der Anerkennung der Republik Zypern und des vollständigen Abzugs der türkischen Truppen aus den besetzten Gebieten in der Republik Zypern</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erkennt die strategische und geopolitische Bedeutung der Türkei und ihre</w:t>
            </w:r>
            <w:r>
              <w:t xml:space="preserve"> engere Zusammenarbeit mit der EU </w:t>
            </w:r>
            <w:r>
              <w:rPr>
                <w:b/>
                <w:i/>
              </w:rPr>
              <w:t>an</w:t>
            </w:r>
            <w:r>
              <w:t>, auf die die türkische Regierung wiederholt Bezug genommen hat, betont jedoch, dass dies keinesfalls ein Ersatz für die notwendigen echten Fortschritte sein kann, die die Türkei als Bewerberland im Hinblick auf die Erfüllung der grundlegenden Voraussetzungen für einen Beitritt erzielen muss;</w:t>
            </w:r>
          </w:p>
        </w:tc>
        <w:tc>
          <w:tcPr>
            <w:tcW w:w="4876" w:type="dxa"/>
            <w:tcBorders>
              <w:top w:val="nil"/>
              <w:left w:val="nil"/>
              <w:bottom w:val="nil"/>
              <w:right w:val="nil"/>
            </w:tcBorders>
          </w:tcPr>
          <w:p>
            <w:pPr>
              <w:pStyle w:val="Normal6a"/>
            </w:pPr>
            <w:r>
              <w:t>4.</w:t>
            </w:r>
            <w:r>
              <w:tab/>
            </w:r>
            <w:r>
              <w:rPr>
                <w:b/>
                <w:i/>
              </w:rPr>
              <w:t>bekräftigt, dass die Türkei ein strategischer Partner und NATO-Verbündeter sowie ein Land ist, zu dem die EU enge Beziehungen in den Bereichen Sicherheit, Handel, Wirtschaft und Migration unterhält;</w:t>
            </w:r>
            <w:r>
              <w:t xml:space="preserve"> </w:t>
            </w:r>
            <w:r>
              <w:rPr>
                <w:b/>
                <w:i/>
              </w:rPr>
              <w:t>begrüßt eine</w:t>
            </w:r>
            <w:r>
              <w:t xml:space="preserve"> engere Zusammenarbeit mit der EU, auf die die türkische Regierung wiederholt Bezug genommen hat, betont jedoch, dass dies keinesfalls ein Ersatz für die notwendigen echten Fortschritte sein kann, die die Türkei als Bewerberland im Hinblick auf die Erfüllung der grundlegenden Voraussetzungen für einen Beitritt erzielen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erkennt die strategische und geopolitische Bedeutung der Türkei </w:t>
            </w:r>
            <w:r>
              <w:rPr>
                <w:b/>
                <w:i/>
              </w:rPr>
              <w:t>und ihre engere Zusammenarbeit mit der EU an, auf die die türkische Regierung wiederholt Bezug genommen hat,</w:t>
            </w:r>
            <w:r>
              <w:t xml:space="preserve"> betont jedoch, dass dies keinesfalls ein Ersatz für die notwendigen echten Fortschritte sein kann, die die Türkei als Bewerberland im Hinblick auf die Erfüllung der grundlegenden Voraussetzungen für einen Beitritt erzielen muss;</w:t>
            </w:r>
          </w:p>
        </w:tc>
        <w:tc>
          <w:tcPr>
            <w:tcW w:w="4876" w:type="dxa"/>
            <w:tcBorders>
              <w:top w:val="nil"/>
              <w:left w:val="nil"/>
              <w:bottom w:val="nil"/>
              <w:right w:val="nil"/>
            </w:tcBorders>
          </w:tcPr>
          <w:p>
            <w:pPr>
              <w:pStyle w:val="Normal6a"/>
            </w:pPr>
            <w:r>
              <w:t>4.</w:t>
            </w:r>
            <w:r>
              <w:tab/>
            </w:r>
            <w:r>
              <w:t xml:space="preserve">erkennt die strategische und geopolitische Bedeutung der Türkei </w:t>
            </w:r>
            <w:r>
              <w:rPr>
                <w:b/>
                <w:i/>
              </w:rPr>
              <w:t>an,</w:t>
            </w:r>
            <w:r>
              <w:t xml:space="preserve"> betont jedoch, dass dies keinesfalls ein Ersatz für die notwendigen echten Fortschritte sein kann, die die Türkei als Bewerberland im Hinblick auf die Erfüllung der grundlegenden Voraussetzungen für einen Beitritt erzielen muss; </w:t>
            </w:r>
            <w:r>
              <w:rPr>
                <w:b/>
                <w:i/>
              </w:rPr>
              <w:t>fordert daher, dass der Beitrittsprozess der Türkei endgültig eingestellt wird;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erkennt die strategische und geopolitische Bedeutung der Türkei und ihre engere Zusammenarbeit mit der EU an, auf die die türkische Regierung wiederholt Bezug genommen hat</w:t>
            </w:r>
            <w:r>
              <w:t>, betont jedoch, dass dies keinesfalls ein Ersatz für die notwendigen echten Fortschritte sein kann, die die Türkei als Bewerberland im Hinblick auf die Erfüllung der grundlegenden Voraussetzungen für einen Beitritt erzielen muss;</w:t>
            </w:r>
          </w:p>
        </w:tc>
        <w:tc>
          <w:tcPr>
            <w:tcW w:w="4876" w:type="dxa"/>
            <w:tcBorders>
              <w:top w:val="nil"/>
              <w:left w:val="nil"/>
              <w:bottom w:val="nil"/>
              <w:right w:val="nil"/>
            </w:tcBorders>
          </w:tcPr>
          <w:p>
            <w:pPr>
              <w:pStyle w:val="Normal6a"/>
            </w:pPr>
            <w:r>
              <w:t>4.</w:t>
            </w:r>
            <w:r>
              <w:tab/>
            </w:r>
            <w:r>
              <w:rPr>
                <w:b/>
                <w:i/>
              </w:rPr>
              <w:t>ist sich der strategischen und geopolitischen der Türkei bewusst</w:t>
            </w:r>
            <w:r>
              <w:t xml:space="preserve">, betont jedoch, dass dies keinesfalls ein Ersatz für die notwendigen echten Fortschritte sein kann, die die Türkei als Bewerberland im Hinblick auf die Erfüllung der grundlegenden Voraussetzungen für einen Beitritt erzielen muss; </w:t>
            </w:r>
            <w:r>
              <w:rPr>
                <w:b/>
                <w:i/>
              </w:rPr>
              <w:t>fordert daher, dass der Beitrittsprozess der Türkei endgültig eingestellt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stellt fest, dass der Bericht 2024 der Kommission über die Türkei ein positiveres Bild von der Umsetzung von Reformen im Zusammenhang mit dem Beitrittsprozess der Türkei vermittelt als der entsprechende Bericht 2023, in dem von einer weiteren Verschlechterung bis hin zu „ausbleibenden Fortschritten“ in Bezug auf Rechtsstaatlichkeit und Menschenrechtsfragen die Rede ist;</w:t>
            </w:r>
            <w:r>
              <w:t xml:space="preserve"> </w:t>
            </w:r>
            <w:r>
              <w:rPr>
                <w:b/>
                <w:i/>
              </w:rPr>
              <w:t>ist jedoch der Ansicht, dass dies zumindest in Schlüsselbereichen wie Demokratie, Rechtsstaatlichkeit und Grundrechte darauf zurückzuführen ist, dass bereits ein sehr niedriger Punkt erreicht wurde und diese Situation unverändert geblieben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weist darauf hin, dass die EU-Bewerberländer förmlich verpflichtet sind, sich schrittweise an die GASP der Europäischen Union anzugleichen;</w:t>
            </w:r>
            <w:r>
              <w:t xml:space="preserve"> </w:t>
            </w:r>
            <w:r>
              <w:rPr>
                <w:b/>
                <w:i/>
              </w:rPr>
              <w:t>bedauert, dass die Türkei diesbezüglich keine Schritte unternommen hat, insbesondere indem sie es versäumt hat, sich den EU-Sanktionen gegen Russland anzuschließen, und in dem sie Russland Beihilfe zur Umgehung von Sanktionen leistet;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fordert die türkische Regierung auf, keine falschen Beschuldigungen gegen die Europäische Union zu erheben;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w:t>
            </w:r>
            <w:r>
              <w:tab/>
            </w:r>
            <w:r>
              <w:rPr>
                <w:b/>
                <w:i/>
              </w:rPr>
              <w:t>nimmt ferner zur Kenntnis, dass im Bericht 2024 über die Türkei im Vergleich zum Bericht 2023 eine gewisse Verschiebung des Fokus weg vom Beitrittsprozess hin zu einer strategischen Partnerschaft zwischen der Europäischen Union und der Türkei festzustellen ist;</w:t>
            </w:r>
            <w:r>
              <w:t xml:space="preserve"> </w:t>
            </w:r>
            <w:r>
              <w:rPr>
                <w:b/>
                <w:i/>
              </w:rPr>
              <w:t>ist der Ansicht, dass der kritische Stand des Beitrittsprozesses die Kommission und den Rat dazu veranlasst hat, sich nur auf die partnerschaftliche Dimension unserer Beziehungen zu konzentrieren, was auch in den Gemeinsamen Mitteilungen über den Stand der Beziehungen zwischen der EU und der Türkei vom 29. November 2023 und 22. März 2021 zum Ausdruck kommt;</w:t>
            </w:r>
            <w:r>
              <w:t xml:space="preserve"> </w:t>
            </w:r>
            <w:r>
              <w:rPr>
                <w:b/>
                <w:i/>
              </w:rPr>
              <w:t>hebt die zunehmende Tendenz hervor, zu einem anderen Rahmen für die Beziehungen überzugehen, was auf Kosten des Beitrittsprozesses geschehen könnte, der dann Gefahr läuft, vollständig im Sande zu verlaufen;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ist der Ansicht, dass die jüngsten Entschließungen des Parlaments zu diesem Thema in Bezug auf Menschenrechte und Rechtsstaatlichkeit angesichts der anhaltenden katastrophalen Menschenrechtslage und der demokratischen Rückschritte in der Türkei im vergangenen Jahr nach wie vor Gültigkeit besitzen;</w:t>
            </w:r>
          </w:p>
        </w:tc>
        <w:tc>
          <w:tcPr>
            <w:tcW w:w="4876" w:type="dxa"/>
            <w:tcBorders>
              <w:top w:val="nil"/>
              <w:left w:val="nil"/>
              <w:bottom w:val="nil"/>
              <w:right w:val="nil"/>
            </w:tcBorders>
          </w:tcPr>
          <w:p>
            <w:pPr>
              <w:pStyle w:val="Normal6a"/>
            </w:pPr>
            <w:r>
              <w:t>5.</w:t>
            </w:r>
            <w:r>
              <w:tab/>
            </w:r>
            <w:r>
              <w:t xml:space="preserve">ist der Ansicht, dass die jüngsten Entschließungen des Parlaments zu diesem Thema in Bezug auf Menschenrechte und Rechtsstaatlichkeit angesichts der anhaltenden katastrophalen Menschenrechtslage und der demokratischen Rückschritte in der Türkei im vergangenen Jahr nach wie vor Gültigkeit besitzen; </w:t>
            </w:r>
            <w:r>
              <w:rPr>
                <w:b/>
                <w:i/>
              </w:rPr>
              <w:t>unterstützt uneingeschränkt die Entschließung der Parlamentarischen Versammlung des Europarats vom 12. Oktober 2022 und den zugehörigen Bericht ihres Begleitausschusses über die Einhaltung der von der Türkei eingegangenen Verpflichtungen und Zusagen sowie die Entschließungen des Ministerkomitees des Europarats zur ausstehenden Umsetzung der Urteile des EGMR, in denen detailliert die breite Palette der schwerwiegenden Mängel im Bereich Menschenrechte dargelegt wird, wie von renommierten lokalen und internationalen Menschenrechtsorganisationen laufend berichtet;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ist der Ansicht, dass die jüngsten Entschließungen des Parlaments zu diesem Thema in Bezug auf Menschenrechte und Rechtsstaatlichkeit angesichts der anhaltenden katastrophalen Menschenrechtslage und der demokratischen Rückschritte in der Türkei im vergangenen Jahr nach wie vor Gültigkeit besitzen;</w:t>
            </w:r>
          </w:p>
        </w:tc>
        <w:tc>
          <w:tcPr>
            <w:tcW w:w="4876" w:type="dxa"/>
            <w:tcBorders>
              <w:top w:val="nil"/>
              <w:left w:val="nil"/>
              <w:bottom w:val="nil"/>
              <w:right w:val="nil"/>
            </w:tcBorders>
          </w:tcPr>
          <w:p>
            <w:pPr>
              <w:pStyle w:val="Normal6a"/>
            </w:pPr>
            <w:r>
              <w:t>5.</w:t>
            </w:r>
            <w:r>
              <w:tab/>
            </w:r>
            <w:r>
              <w:t xml:space="preserve">ist der Ansicht, dass die jüngsten Entschließungen des Parlaments zu diesem Thema in Bezug auf Menschenrechte und Rechtsstaatlichkeit angesichts der anhaltenden katastrophalen Menschenrechtslage und der demokratischen Rückschritte in der Türkei im vergangenen Jahr nach wie vor Gültigkeit besitzen; </w:t>
            </w:r>
            <w:r>
              <w:rPr>
                <w:b/>
                <w:i/>
              </w:rPr>
              <w:t>unterstützt uneingeschränkt die Entschließung der Parlamentarischen Versammlung des Europarats vom 12. Oktober 2022 und den zugehörigen Bericht ihres Begleitausschusses über die Einhaltung der von der Türkei eingegangenen Verpflichtungen und Zusagen sowie die Entschließungen des Ministerkomitees des Europarats zur ausstehenden Umsetzung der Urteile des EGMR, in denen detailliert die breite Palette der schwerwiegenden Mängel im Bereich Menschenrechte dargelegt wird, wie von renommierten lokalen und internationalen Menschenrechtsorganisationen laufend berichtet;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verurteilt aufs Schärfste und ist zutiefst besorgt über die straflos gebliebenen Gräueltaten, Kriegsverbrechen und schweren Verstöße gegen das humanitäre Völkerrecht, einschließlich sexueller Gewalt, geschlechtsspezifischer Gewalt, der Verschleppung von Kindern sowie der Folterung und Tötung von Zivilisten und Kriegsgefangenen, die von den türkischen Streitkräften und ihren Stellvertretern im Rahmen des illegalen, ungerechtfertigten und unprovozierten Kriegs gegen die Republik Zypern begangen wurden;</w:t>
            </w:r>
            <w:r>
              <w:t xml:space="preserve"> </w:t>
            </w:r>
            <w:r>
              <w:rPr>
                <w:b/>
                <w:i/>
              </w:rPr>
              <w:t>weist darauf hin, dass die Unterstützung der Republik Zypern bei ihrem Widerstand gegen die illegale türkische Besetzung ihres Hoheitsgebiets von zentraler Bedeutung für die Wahrung einer regelbasierten internationalen Ordnung ist;</w:t>
            </w:r>
            <w:r>
              <w:t xml:space="preserve"> </w:t>
            </w:r>
            <w:r>
              <w:rPr>
                <w:b/>
                <w:i/>
              </w:rPr>
              <w:t>fordert nachdrücklich, dass alle erforderlichen Maßnahmen ergriffen werden, um sicherzustellen, dass diejenigen, die gegen die Republik Zypern gerichteten Kriegsverbrechen und Menschenrechtsverletzungen begangen haben, ermittelt und zur Rechenschaft gezogen werden;</w:t>
            </w:r>
            <w:r>
              <w:t xml:space="preserve"> </w:t>
            </w:r>
            <w:r>
              <w:rPr>
                <w:b/>
                <w:i/>
              </w:rPr>
              <w:t>fordert die EU und ihre Mitgliedstaaten auf, der Republik Zypern ihre uneingeschränkte Unterstützung sowie Maßnahmen und Mechanismen zur Förderung ihrer Unabhängigkeit und territorialen Integrität anzubieten;</w:t>
            </w:r>
            <w:r>
              <w:t xml:space="preserve"> </w:t>
            </w:r>
            <w:r>
              <w:rPr>
                <w:b/>
                <w:i/>
              </w:rPr>
              <w:t>erachtet es als dringend geboten, Beweise für Kriegsverbrechen und Verbrechen gegen die Menschlichkeit zu sichern, und begrüßt alle diesbezüglichen Bemühungen;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erklärt sich äußerst besorgt über die Verschlechterung der Lage bei den Frauenrechten, die geschlechtsbezogene Gewalt und die zunehmende Zahl von Femiziden, die allesamt deutlich machen, dass in der Türkei gravierende Mängel hinsichtlich des Schutzes von Frauen bestehen;</w:t>
            </w:r>
            <w:r>
              <w:t xml:space="preserve"> </w:t>
            </w:r>
            <w:r>
              <w:rPr>
                <w:b/>
                <w:i/>
              </w:rPr>
              <w:t>verurteilt erneut aufs Schärfste den Austritt der Türkei aus dem Übereinkommen von Istanbul per Präsidialdekret als enormen Rückschlag für die Bemühungen um die Förderung der Frauenrechte im Land und bekräftigt seine Forderung an die Regierung der Türkei, diese inakzeptable Entscheidung rückgängig zu machen und die internationalen Verträge, Vereinbarungen und Verpflichtungen, die sie unterzeichnet hat, einzuhalten und sich danach zu richten;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ist äußerst besorgt über die Verschlechterung der Rechte von Frauen, die zunehmende Zahl von Frauenmorden (Femiziden) und die anhaltenden Angriffe auf LGBTI+ bzw. deren anhaltende Schikanierung,</w:t>
            </w:r>
            <w:r>
              <w:t xml:space="preserve"> </w:t>
            </w:r>
            <w:r>
              <w:rPr>
                <w:b/>
                <w:i/>
              </w:rPr>
              <w:t>verurteilt die Erosion der Frauenrechte durch die türkische Regierung, insbesondere ihren Rückzug aus dem Übereinkommen von Istanbul, sowie ihre aggressive Kampagne gegen LGBTIQ+, die durch üble Hetze vonseiten hochrangiger politischer Persönlichkeiten gekennzeichnet ist;</w:t>
            </w:r>
            <w:r>
              <w:t xml:space="preserve"> </w:t>
            </w:r>
            <w:r>
              <w:rPr>
                <w:b/>
                <w:i/>
              </w:rPr>
              <w:t>ist beunruhigt über die stetig steigende Zahl von Femiziden in der Türkei und fordert die Regierung nachdrücklich auf, Gewalt gegen Frauen und Mädchen zu verhindern und dagegen vorzugehen, indem das türkische Schutzgesetz Nr. 6284 vollständig umgesetzt wird und die anhaltende Politik der Straflosigkeit beendet wird, sodass Täter zur Rechenschaft gezogen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weist mit großer Besorgnis darauf hin, dass die Regierung mit Chip ausgestattete nationale Personalausweise, die Angaben über die Religionszugehörigkeit enthalten, ausstellt;</w:t>
            </w:r>
            <w:r>
              <w:t xml:space="preserve"> </w:t>
            </w:r>
            <w:r>
              <w:rPr>
                <w:b/>
                <w:i/>
              </w:rPr>
              <w:t>stellt fest, dass die Informationen über die Religionszugehörigkeit auf dem Chip gespeichert sind und für mit entsprechenden Befugnissen ausgestattete Amtsträger weiterhin als „qualifizierte personenbezogene Daten“ zugänglich sind, wodurch Christen leicht diskriminiert werden können</w:t>
            </w:r>
            <w:r>
              <w:rPr>
                <w:b/>
                <w:i/>
                <w:vertAlign w:val="superscript"/>
              </w:rPr>
              <w:t>5a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https://2021-2025.state.gov/report/custom/c3652eaa50/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ist nach wie vor besorgt über die engen Beziehungen der türkischen Regierung mit in verschiedenen EU-Ländern lebenden Türken und türkisch-stämmigen Menschen und die gelegentliche Einmischung der türkischen Regierung in deren Angelegenheiten;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w:t>
            </w:r>
            <w:r>
              <w:tab/>
            </w:r>
            <w:r>
              <w:rPr>
                <w:b/>
                <w:i/>
              </w:rPr>
              <w:t>weist auf den ideologisch motivierten totalitären Völkermord an Christen im Osmanischen Reich und der Türkei hin, der bis heute systematisch umgesetzt wird;</w:t>
            </w:r>
            <w:r>
              <w:t xml:space="preserve"> </w:t>
            </w:r>
            <w:r>
              <w:rPr>
                <w:b/>
                <w:i/>
              </w:rPr>
              <w:t>stellt fest, dass die europäischen Institutionen keine Initiativen ergriffen haben, um auf Gerechtigkeit für die armenischen, griechischen und assyrischen Opfer des Völkermords zu drängen;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c.</w:t>
            </w:r>
            <w:r>
              <w:tab/>
            </w:r>
            <w:r>
              <w:rPr>
                <w:b/>
                <w:i/>
              </w:rPr>
              <w:t>fordert die Türkei erneut auf, den Völkermord an Christen (Armeniern, Griechen und Assyrern) anzuerkennen, um den Weg für die Rehabilitierung der Vertriebenen zu ebnen und den Verpflichtungen der Türkei zum Schutz des christlichen Kulturerbes uneingeschränkt nachzukommen;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bedauert zutiefst, dass sich die Unabhängigkeit der Justiz in der Türkei trotz einer Reformstrategie, die neun Pakete von Justizreformen umfasst, nach wie vor in einem desolaten Zustand befindet, </w:t>
            </w:r>
            <w:r>
              <w:rPr>
                <w:b/>
                <w:i/>
              </w:rPr>
              <w:t>nachdem</w:t>
            </w:r>
            <w:r>
              <w:t xml:space="preserve"> die Regierung systematisch in das Justizsystem </w:t>
            </w:r>
            <w:r>
              <w:rPr>
                <w:b/>
                <w:i/>
              </w:rPr>
              <w:t>eingegriffen</w:t>
            </w:r>
            <w:r>
              <w:t xml:space="preserve"> und es politisch instrumentalisiert </w:t>
            </w:r>
            <w:r>
              <w:rPr>
                <w:b/>
                <w:i/>
              </w:rPr>
              <w:t>hat</w:t>
            </w:r>
            <w:r>
              <w:t>;</w:t>
            </w:r>
          </w:p>
        </w:tc>
        <w:tc>
          <w:tcPr>
            <w:tcW w:w="4876" w:type="dxa"/>
            <w:tcBorders>
              <w:top w:val="nil"/>
              <w:left w:val="nil"/>
              <w:bottom w:val="nil"/>
              <w:right w:val="nil"/>
            </w:tcBorders>
          </w:tcPr>
          <w:p>
            <w:pPr>
              <w:pStyle w:val="Normal6a"/>
            </w:pPr>
            <w:r>
              <w:t>6.</w:t>
            </w:r>
            <w:r>
              <w:tab/>
            </w:r>
            <w:r>
              <w:t xml:space="preserve">bedauert zutiefst, dass sich die Unabhängigkeit der Justiz in der Türkei trotz einer Reformstrategie, die neun Pakete von Justizreformen umfasst, nach wie vor in einem desolaten Zustand befindet, </w:t>
            </w:r>
            <w:r>
              <w:rPr>
                <w:b/>
                <w:i/>
              </w:rPr>
              <w:t>da</w:t>
            </w:r>
            <w:r>
              <w:t xml:space="preserve"> die Regierung systematisch in das Justizsystem </w:t>
            </w:r>
            <w:r>
              <w:rPr>
                <w:b/>
                <w:i/>
              </w:rPr>
              <w:t>eingreift</w:t>
            </w:r>
            <w:r>
              <w:t xml:space="preserve"> und es politisch instrumentalisiert </w:t>
            </w:r>
            <w:r>
              <w:rPr>
                <w:b/>
                <w:i/>
              </w:rPr>
              <w:t>sowie Angehörige der Rechtsberufe verfolgt – darunter zuletzt die Klage der Generalstaatsanwaltschaft Istanbul, mit der die führenden Vertreter der Anwaltskammer von Istanbul ihrer Posten enthoben werden sollen, und zwar wegen der Anschuldigung der „Verbreitung von Propaganda für eine terroristische Organisation“ und der „öffentlichen Verbreitung irreführender Informationen“ im Zusammenhang mit ihrer Forderung nach einer Untersuchung der Morde an zwei kurdischen Journalisten in Syrien;</w:t>
            </w:r>
            <w:r>
              <w:t xml:space="preserve"> </w:t>
            </w:r>
            <w:r>
              <w:rPr>
                <w:b/>
                <w:i/>
              </w:rPr>
              <w:t>ist beunruhigt über die eklatante mangelnde Umsetzung von Entscheidungen des Verfassungsgerichts – auch im Fall des Parlamentsabgeordneten Can Atalay –, die zu einer schweren Justizkrise geführt hat, da das Kassationsgericht eine Strafbeschwerde gegen neun Richter des Verfassungsgerichts eingereicht hat;</w:t>
            </w:r>
            <w:r>
              <w:t xml:space="preserve"> </w:t>
            </w:r>
            <w:r>
              <w:rPr>
                <w:b/>
                <w:i/>
              </w:rPr>
              <w:t>ist besorgt über die jüngste Entscheidung des Kassationsgerichts, die Strafen aufzuheben und sechs Angeklagte, die wegen der unmittelbaren Beteiligung am Anschlag des IS auf den Atatürk-Flughafen in Istanbul, bei dem im Jahr 2016 45 Menschen ums Leben kamen, zu 46 lebenslangen Haftstrafen unter erschwerten Bedingungen verurteilt worden waren, und einen Angeklagten, der deswegen 2018 zu einer Haftstrafe von zwölf Jahren verurteilt wurde, freizulassen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bedauert zutiefst, dass sich die Unabhängigkeit der Justiz in der Türkei trotz einer Reformstrategie, die neun Pakete von Justizreformen umfasst, nach wie vor in einem desolaten Zustand befindet, nachdem die Regierung systematisch in das Justizsystem eingegriffen und es politisch instrumentalisiert hat;</w:t>
            </w:r>
          </w:p>
        </w:tc>
        <w:tc>
          <w:tcPr>
            <w:tcW w:w="4876" w:type="dxa"/>
            <w:tcBorders>
              <w:top w:val="nil"/>
              <w:left w:val="nil"/>
              <w:bottom w:val="nil"/>
              <w:right w:val="nil"/>
            </w:tcBorders>
          </w:tcPr>
          <w:p>
            <w:pPr>
              <w:pStyle w:val="Normal6a"/>
            </w:pPr>
            <w:r>
              <w:t>6.</w:t>
            </w:r>
            <w:r>
              <w:tab/>
            </w:r>
            <w:r>
              <w:rPr>
                <w:b/>
                <w:i/>
              </w:rPr>
              <w:t>nimmt das erklärte Engagement der türkischen Regierung für eine Justizreform und die Einführung organisatorischer Maßnahmen zur Kenntnis;</w:t>
            </w:r>
            <w:r>
              <w:t xml:space="preserve"> </w:t>
            </w:r>
            <w:r>
              <w:rPr>
                <w:b/>
                <w:i/>
              </w:rPr>
              <w:t>betont, dass strukturelle Maßnahmen eingeführt werden müssen, die eine Verbesserung der Unabhängigkeit der Justiz ermöglichen;</w:t>
            </w:r>
            <w:r>
              <w:t xml:space="preserve"> bedauert </w:t>
            </w:r>
            <w:r>
              <w:rPr>
                <w:b/>
                <w:i/>
              </w:rPr>
              <w:t>jedoch</w:t>
            </w:r>
            <w:r>
              <w:t xml:space="preserve"> zutiefst, dass sich die Unabhängigkeit der Justiz in der Türkei trotz einer Reformstrategie, die neun Pakete von Justizreformen umfasst, nach wie vor in einem desolaten Zustand befindet, nachdem die Regierung systematisch in das Justizsystem eingegriffen und es politisch instrumentalisiert hat </w:t>
            </w:r>
            <w:r>
              <w:rPr>
                <w:b/>
                <w:i/>
              </w:rPr>
              <w:t>und dass diese Änderungen noch nicht zu wesentlichen strukturellen Fortschritten geführt haben, da die Justiz nach wie vor anfällig für politische Einflussnahme ist, wodurch die Rechtsstaatlichkeit und die Grundrechte untergraben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bedauert zutiefst, dass sich die Unabhängigkeit der Justiz in der Türkei trotz einer Reformstrategie, die neun Pakete von Justizreformen umfasst, nach wie vor in einem desolaten Zustand befindet, nachdem die Regierung systematisch in das Justizsystem eingegriffen und es politisch instrumentalisiert hat;</w:t>
            </w:r>
          </w:p>
        </w:tc>
        <w:tc>
          <w:tcPr>
            <w:tcW w:w="4876" w:type="dxa"/>
            <w:tcBorders>
              <w:top w:val="nil"/>
              <w:left w:val="nil"/>
              <w:bottom w:val="nil"/>
              <w:right w:val="nil"/>
            </w:tcBorders>
          </w:tcPr>
          <w:p>
            <w:pPr>
              <w:pStyle w:val="Normal6a"/>
            </w:pPr>
            <w:r>
              <w:t>6.</w:t>
            </w:r>
            <w:r>
              <w:tab/>
            </w:r>
            <w:r>
              <w:t>bedauert zutiefst, dass sich die Unabhängigkeit der Justiz in der Türkei trotz einer Reformstrategie, die neun Pakete von Justizreformen umfasst, nach wie vor in einem desolaten Zustand befindet, nachdem die Regierung systematisch in das Justizsystem eingegriffen und es politisch instrumentalisiert hat</w:t>
            </w:r>
            <w:r>
              <w:rPr>
                <w:b/>
                <w:i/>
              </w:rPr>
              <w:t>,</w:t>
            </w:r>
            <w:r>
              <w:t xml:space="preserve"> </w:t>
            </w:r>
            <w:r>
              <w:rPr>
                <w:b/>
                <w:i/>
              </w:rPr>
              <w:t>was zu einem fast vollständigen Verlust der Unabhängigkeit der Justiz, zur Schwächung der verbleibenden verfassungsrechtlichen Überprüfungsmechanismen, insbesondere individueller Anträge, und zu häufigen Verstößen gegen ein ordnungsgemäßes Verfahren führt;</w:t>
            </w:r>
            <w:r>
              <w:t xml:space="preserve"> </w:t>
            </w:r>
            <w:r>
              <w:rPr>
                <w:b/>
                <w:i/>
              </w:rPr>
              <w:t>fordert die Türkei nachdrücklich auf, von der Einführung neuer drakonischer Rechtsvorschriften, einschließlich des Gesetzes über Einflussnahme aus dem Ausland und des Gesetzes über Cybersicherheit, abzusehen, mit denen die Grundfreiheiten weiter beschnitten würden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bedauert zutiefst, dass sich die Unabhängigkeit der Justiz in der Türkei trotz einer Reformstrategie, die neun Pakete von Justizreformen umfasst, nach wie vor in einem desolaten Zustand befindet, nachdem die Regierung systematisch in das Justizsystem eingegriffen und es politisch instrumentalisiert hat;</w:t>
            </w:r>
          </w:p>
        </w:tc>
        <w:tc>
          <w:tcPr>
            <w:tcW w:w="4876" w:type="dxa"/>
            <w:tcBorders>
              <w:top w:val="nil"/>
              <w:left w:val="nil"/>
              <w:bottom w:val="nil"/>
              <w:right w:val="nil"/>
            </w:tcBorders>
          </w:tcPr>
          <w:p>
            <w:pPr>
              <w:pStyle w:val="Normal6a"/>
            </w:pPr>
            <w:r>
              <w:t>6.</w:t>
            </w:r>
            <w:r>
              <w:tab/>
            </w:r>
            <w:r>
              <w:t xml:space="preserve">bedauert zutiefst, dass sich die Unabhängigkeit der Justiz in der Türkei trotz einer Reformstrategie, die neun Pakete von Justizreformen umfasst, nach wie vor in einem desolaten Zustand befindet, nachdem die Regierung systematisch in das Justizsystem eingegriffen und es politisch instrumentalisiert hat; </w:t>
            </w:r>
            <w:r>
              <w:rPr>
                <w:b/>
                <w:i/>
              </w:rPr>
              <w:t>fordert die Türkei auf, ihr Engagement für eine demokratische Staatsführung zu intensivieren, und zwar insbesondere durch Reformen, mit denen eine unabhängige Justiz sichergestellt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nimmt die jüngste Ankündigung der vierten Justizreformstrategie für den Zeitraum 2025-2029 zur Kenntnis;</w:t>
            </w:r>
            <w:r>
              <w:t xml:space="preserve"> </w:t>
            </w:r>
            <w:r>
              <w:rPr>
                <w:b/>
                <w:i/>
              </w:rPr>
              <w:t>fordert die türkische Regierung auf, von den oberflächlichen Änderungen, die bisher im Rahmen wiederkehrender Reformpakete und Aktionspläne vorgenommen wurden, zu einer tiefgreifenden, langfristigen Reform überzugehen, mit der durch echten politischen Willen die schwerwiegenden und strukturellen Mängel der türkischen Justiz behoben werden;</w:t>
            </w:r>
            <w:r>
              <w:t xml:space="preserve"> </w:t>
            </w:r>
            <w:r>
              <w:rPr>
                <w:b/>
                <w:i/>
              </w:rPr>
              <w:t>betont, dass man für die Beendigung der politischen Einmischung in die Justiz keine Strategie und kein Reformpaket benötigt, sondern nur den politischen Willen, dies zu tun;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betont die ernste Lage von Ausländern, die Christen und mit türkischen Staatsangehörigen verheiratet sind und denen die Einreise in das Land oder die Wiedereinreise in das Land untersagt wurde;</w:t>
            </w:r>
            <w:r>
              <w:t xml:space="preserve"> </w:t>
            </w:r>
            <w:r>
              <w:rPr>
                <w:b/>
                <w:i/>
              </w:rPr>
              <w:t>weist darauf hin, dass mehreren ausländischen Christen ein Gesetz über Einwanderungsbeschränkungen erteilt wurde, was dazu geführt hat, dass ihnen die Einreise in die Türkei verweigert wurde</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https://realeast.biz/en/kody-deporta-v-turczii/ file:///C:/Users/estefanescu/Downloads/Turkey-Full_Country_Dossier-ODI-2025.pdf Open Doors International / World Watch Research January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ist der Ansicht, dass jede Einmischung in die Ausübung der Souveränität und der souveränen Rechte der Mitgliedstaaten, die sich aus dem Völkerrecht ergibt, ein völlig inakzeptabler Akt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ist nach wie vor zutiefst besorgt über das anhaltende und unerbittliche scharfe Vorgehen der türkischen Behörden gegen kritische Stimmen;</w:t>
            </w:r>
          </w:p>
        </w:tc>
        <w:tc>
          <w:tcPr>
            <w:tcW w:w="4876" w:type="dxa"/>
            <w:tcBorders>
              <w:top w:val="nil"/>
              <w:left w:val="nil"/>
              <w:bottom w:val="nil"/>
              <w:right w:val="nil"/>
            </w:tcBorders>
          </w:tcPr>
          <w:p>
            <w:pPr>
              <w:pStyle w:val="Normal6a"/>
            </w:pPr>
            <w:r>
              <w:t>7.</w:t>
            </w:r>
            <w:r>
              <w:tab/>
            </w:r>
            <w:r>
              <w:t xml:space="preserve">ist nach wie vor zutiefst besorgt über das anhaltende und unerbittliche scharfe Vorgehen der türkischen Behörden gegen kritische Stimmen </w:t>
            </w:r>
            <w:r>
              <w:rPr>
                <w:b/>
                <w:i/>
              </w:rPr>
              <w:t>durch eine zunehmende Zahl repressiver Gesetze, den willkürlichen Einsatz von Antiterrorgesetzen – einschließlich ihrer Anwendung auf Minderjährige wie beim „Kız Çocukları Davası“-Gesetz gegen Teenager – sowie über den unverhältnismäßigen Einsatz des Straftatbestands der Beleidigung eines Amtsträgers, die vielfach genutzte Praxis, geheime Zeugen aufzurufen, und über ruhende Fälle in fehlerhaften Gerichtsverfahren oder die häufig angewandte unverhältnismäßige Praxis der Festnahmen in der Nacht und der Wohnungsdurchsuchungen, um die ins Visier genommenen Personen damit als extrem gefährlich darzustellen;</w:t>
            </w:r>
            <w:r>
              <w:t xml:space="preserve"> </w:t>
            </w:r>
            <w:r>
              <w:rPr>
                <w:b/>
                <w:i/>
              </w:rPr>
              <w:t>begrüßt, dass im November 2024 der Entwurf einer Änderung der Spionagegesetze der Türkei – besser bekannt als Gesetz über „Einflussagenten“ – zurückgezogen wurde;</w:t>
            </w:r>
            <w:r>
              <w:t xml:space="preserve"> </w:t>
            </w:r>
            <w:r>
              <w:rPr>
                <w:b/>
                <w:i/>
              </w:rPr>
              <w:t>fordert die türkischen staatlichen Stellen nachdrücklich auf, künftig von der Wiedereinführung eines ähnlich weit gefassten und vagen Gesetzes abzusehen, da es eine ernsthafte Bedrohung für die Organisationen der Zivilgesellschaft im Land darstellen würde und weiterhin dazu missbraucht werden könnte, deren legitime Tätigkeiten unter Strafe zu stellen;</w:t>
            </w:r>
            <w:r>
              <w:t xml:space="preserve"> </w:t>
            </w:r>
            <w:r>
              <w:rPr>
                <w:b/>
                <w:i/>
              </w:rPr>
              <w:t>fordert die türkischen staatlichen Stellen auf, dafür zu sorgen, dass das Gesetz über Cybersicherheit, das derzeit erörtert wird, seinem legitimen Zweck, die Privatsphäre und die nationale Sicherheit zu schützen, gerecht wird, ohne möglichen Verletzungen der Grundrechte Vorschub zu leisten oder ein weiteres Instrument für noch mehr Repressionen zu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Lucia Yar, Hilde Vautmans, Dan Barna, Nathalie Loiseau, Petras Auštrevičius,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ist nach wie vor zutiefst besorgt über das anhaltende und unerbittliche scharfe Vorgehen der türkischen Behörden gegen kritische Stimmen;</w:t>
            </w:r>
          </w:p>
        </w:tc>
        <w:tc>
          <w:tcPr>
            <w:tcW w:w="4876" w:type="dxa"/>
            <w:tcBorders>
              <w:top w:val="nil"/>
              <w:left w:val="nil"/>
              <w:bottom w:val="nil"/>
              <w:right w:val="nil"/>
            </w:tcBorders>
          </w:tcPr>
          <w:p>
            <w:pPr>
              <w:pStyle w:val="Normal6a"/>
            </w:pPr>
            <w:r>
              <w:t>7.</w:t>
            </w:r>
            <w:r>
              <w:tab/>
            </w:r>
            <w:r>
              <w:t xml:space="preserve">ist nach wie vor zutiefst besorgt über das anhaltende und unerbittliche scharfe Vorgehen der türkischen Behörden gegen kritische Stimmen </w:t>
            </w:r>
            <w:r>
              <w:rPr>
                <w:b/>
                <w:i/>
              </w:rPr>
              <w:t>und über die Repressionen gegen unabhängige Medien;</w:t>
            </w:r>
            <w:r>
              <w:t xml:space="preserve"> </w:t>
            </w:r>
            <w:r>
              <w:rPr>
                <w:b/>
                <w:i/>
              </w:rPr>
              <w:t>ist nach wie vor zutiefst besorgt über die anhaltenden Einschränkungen und Zensur der Medien;</w:t>
            </w:r>
            <w:r>
              <w:t xml:space="preserve"> </w:t>
            </w:r>
            <w:r>
              <w:rPr>
                <w:b/>
                <w:i/>
              </w:rPr>
              <w:t>fordert die türkischen Staatsorgane auf, von weiteren Angriffen auf unabhängige Medien abzusehen und die Grundrechte und bürgerlichen Freiheiten wie die Rede- und Pressefreiheit zu wahren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ist nach wie vor zutiefst besorgt über das anhaltende und unerbittliche scharfe Vorgehen der türkischen Behörden gegen kritische Stimmen;</w:t>
            </w:r>
          </w:p>
        </w:tc>
        <w:tc>
          <w:tcPr>
            <w:tcW w:w="4876" w:type="dxa"/>
            <w:tcBorders>
              <w:top w:val="nil"/>
              <w:left w:val="nil"/>
              <w:bottom w:val="nil"/>
              <w:right w:val="nil"/>
            </w:tcBorders>
          </w:tcPr>
          <w:p>
            <w:pPr>
              <w:pStyle w:val="Normal6a"/>
            </w:pPr>
            <w:r>
              <w:t>7.</w:t>
            </w:r>
            <w:r>
              <w:tab/>
            </w:r>
            <w:r>
              <w:t>ist nach wie vor zutiefst besorgt über das anhaltende und unerbittliche scharfe Vorgehen der türkischen Behörden gegen kritische Stimmen</w:t>
            </w:r>
            <w:r>
              <w:rPr>
                <w:b/>
                <w:i/>
              </w:rPr>
              <w:t>,</w:t>
            </w:r>
            <w:r>
              <w:t xml:space="preserve"> </w:t>
            </w:r>
            <w:r>
              <w:rPr>
                <w:b/>
                <w:i/>
              </w:rPr>
              <w:t>wobei in jüngster Zeit insbesondere Journalisten und Künstler ins Visier genommen wurden und man ihnen die Freiheit genommen hat, ihre beruflichen Aufgaben wahrzunehmen, die für die Information der Öffentlichkeit als Teil einer funktionierenden demokratischen Gesellschaft von wesentlicher Bedeutung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ist nach wie vor zutiefst besorgt über das anhaltende und unerbittliche scharfe Vorgehen der türkischen Behörden gegen kritische Stimmen;</w:t>
            </w:r>
          </w:p>
        </w:tc>
        <w:tc>
          <w:tcPr>
            <w:tcW w:w="4876" w:type="dxa"/>
            <w:tcBorders>
              <w:top w:val="nil"/>
              <w:left w:val="nil"/>
              <w:bottom w:val="nil"/>
              <w:right w:val="nil"/>
            </w:tcBorders>
          </w:tcPr>
          <w:p>
            <w:pPr>
              <w:pStyle w:val="Normal6a"/>
            </w:pPr>
            <w:r>
              <w:t>7.</w:t>
            </w:r>
            <w:r>
              <w:tab/>
            </w:r>
            <w:r>
              <w:t xml:space="preserve">ist nach wie vor zutiefst besorgt über das anhaltende und unerbittliche scharfe Vorgehen der türkischen Behörden gegen kritische Stimmen; </w:t>
            </w:r>
            <w:r>
              <w:rPr>
                <w:b/>
                <w:i/>
              </w:rPr>
              <w:t>nimmt das praktisch vollständige Verbot, sich friedlich zu versammeln, zur Kenntnis;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ist nach wie vor zutiefst besorgt über das anhaltende und unerbittliche scharfe Vorgehen der türkischen Behörden gegen kritische Stimmen;</w:t>
            </w:r>
          </w:p>
        </w:tc>
        <w:tc>
          <w:tcPr>
            <w:tcW w:w="4876" w:type="dxa"/>
            <w:tcBorders>
              <w:top w:val="nil"/>
              <w:left w:val="nil"/>
              <w:bottom w:val="nil"/>
              <w:right w:val="nil"/>
            </w:tcBorders>
          </w:tcPr>
          <w:p>
            <w:pPr>
              <w:pStyle w:val="Normal6a"/>
            </w:pPr>
            <w:r>
              <w:t>7.</w:t>
            </w:r>
            <w:r>
              <w:tab/>
            </w:r>
            <w:r>
              <w:t xml:space="preserve">ist nach wie vor zutiefst besorgt über das anhaltende und unerbittliche scharfe Vorgehen der türkischen Behörden gegen kritische Stimmen </w:t>
            </w:r>
            <w:r>
              <w:rPr>
                <w:b/>
                <w:i/>
              </w:rPr>
              <w:t>durch den regelmäßigen Missbrauch der Antiterrorgesetze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ist besorgt über die kürzlich erfolgte Genehmigung von Rechtsvorschriften, mit denen der staatlichen Aufsichtsstelle (DDK) und dem Sparkassenversicherungsfonds (TMSF) außerordentliche Befugnisse übertragen werden, einschließlich der Möglichkeit für Erstere, Amtsträger aller Art und Ebenen zu entlassen und Treuhänder zu ernennen, die willkürlich eingesetzt werden könnten;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fordert die türkischen Staatsorgane auf, die derzeitigen schwerwiegenden Einschränkungen der Grundfreiheiten und die ständigen Angriffe auf die Grundrechte von Mitgliedern der Opposition, Menschenrechtsverteidigern, Rechtsanwälten, Gewerkschaftern, Angehörigen von Minderheiten, Journalisten, Wissenschaftlern und Aktivisten der Zivilgesellschaft zu beenden;</w:t>
            </w:r>
          </w:p>
        </w:tc>
        <w:tc>
          <w:tcPr>
            <w:tcW w:w="4876" w:type="dxa"/>
            <w:tcBorders>
              <w:top w:val="nil"/>
              <w:left w:val="nil"/>
              <w:bottom w:val="nil"/>
              <w:right w:val="nil"/>
            </w:tcBorders>
          </w:tcPr>
          <w:p>
            <w:pPr>
              <w:pStyle w:val="Normal6a"/>
            </w:pPr>
            <w:r>
              <w:t>8.</w:t>
            </w:r>
            <w:r>
              <w:tab/>
            </w:r>
            <w:r>
              <w:t>fordert die türkischen Staatsorgane auf, die derzeitigen schwerwiegenden Einschränkungen der Grundfreiheiten</w:t>
            </w:r>
            <w:r>
              <w:rPr>
                <w:b/>
                <w:i/>
              </w:rPr>
              <w:t>, insbesondere der Meinungs,- Versammlungs- und Vereinigungsfreiheit,</w:t>
            </w:r>
            <w:r>
              <w:t xml:space="preserve"> und die ständigen Angriffe auf die Grundrechte von Mitgliedern der Opposition, Menschenrechtsverteidigern, Rechtsanwälten, Gewerkschaftern, Angehörigen von Minderheiten, Journalisten, Wissenschaftlern und Aktivisten der Zivilgesellschaft zu beenden; </w:t>
            </w:r>
            <w:r>
              <w:rPr>
                <w:b/>
                <w:i/>
              </w:rPr>
              <w:t>ist besorgt über die jüngsten Wellen von Massenverhaftungen und Inhaftierungen wegen mutmaßlicher Terrorverbindungen, von denen Politiker, Wissenschaftler und Journalisten betroffen sind, darunter die Festnahme des unabhängigen Journalisten Elif Akgül, von Yıldız Tar, Chefredakteur der LGBT+-Nachrichtenplattform Kasos GL, und von Ender İmrekof, Kolummnist der Zeitung „Evrensel“ –, die sich wegen ihres Engagements in Menschenrechtsfragen einen Namen gemacht haben;</w:t>
            </w:r>
            <w:r>
              <w:t xml:space="preserve"> </w:t>
            </w:r>
            <w:r>
              <w:rPr>
                <w:b/>
                <w:i/>
              </w:rPr>
              <w:t>bedauert die anhaltende Strafverfolgung, Zensur und Schikanierung von Journalisten und unabhängigen Medien, die bestehenden Rechtsvorschriften, mit denen ein offenes und freies Internet verhindert wird, und die fortgesetzte Nutzung des Obersten Rundfunk- und Fernsehrats (RTÜK), die dazu dienen, Kritik in den Medien zu unterbinden oder sogar gegen Medien vorzugehen, die beschuldigt werden, „Pessimismus“ anstelle positiver Nachrichten zu verbreiten;</w:t>
            </w:r>
            <w:r>
              <w:t xml:space="preserve"> </w:t>
            </w:r>
            <w:r>
              <w:rPr>
                <w:b/>
                <w:i/>
              </w:rPr>
              <w:t>würdigt die positiven Entwicklungen im Zusammenhang mit der teilweisen Aufhebung der Beschränkungen für die wöchentlichen Mahnwachen der Samstagsmütter (Cumartesi Anneleri) auf dem Galatasaray-Platz von Istanbul durch den Innenminister; </w:t>
            </w:r>
            <w:r>
              <w:t xml:space="preserve"> </w:t>
            </w:r>
            <w:r>
              <w:rPr>
                <w:b/>
                <w:i/>
              </w:rPr>
              <w:t>fordert die vollständige Aufhebung aller Beschränkungen der friedlichen Proteste der Samstagsmütter unter uneingeschränkter Einhaltung des einschlägigen Urteils des Verfassungsgerichts und die Einstellung des laufenden Gerichtsverfahrens gegen mehrere ihrer Mitglieder und Sympathisanten;</w:t>
            </w:r>
            <w:r>
              <w:t xml:space="preserve"> </w:t>
            </w:r>
            <w:r>
              <w:rPr>
                <w:b/>
                <w:i/>
              </w:rPr>
              <w:t>ist besorgt über die anhaltende Inhaftierung des prominenten Menschenrechtsverteidigers Nimet Tanrıkulu, der sich seit dem 29. November 2024 in Untersuchungshaft befindet;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fordert die türkischen Staatsorgane auf, die derzeitigen schwerwiegenden Einschränkungen der Grundfreiheiten und die ständigen Angriffe auf die Grundrechte von Mitgliedern der Opposition, Menschenrechtsverteidigern, Rechtsanwälten, Gewerkschaftern, Angehörigen von Minderheiten, Journalisten, Wissenschaftlern und Aktivisten der Zivilgesellschaft zu beenden;</w:t>
            </w:r>
          </w:p>
        </w:tc>
        <w:tc>
          <w:tcPr>
            <w:tcW w:w="4876" w:type="dxa"/>
            <w:tcBorders>
              <w:top w:val="nil"/>
              <w:left w:val="nil"/>
              <w:bottom w:val="nil"/>
              <w:right w:val="nil"/>
            </w:tcBorders>
          </w:tcPr>
          <w:p>
            <w:pPr>
              <w:pStyle w:val="Normal6a"/>
            </w:pPr>
            <w:r>
              <w:t>8.</w:t>
            </w:r>
            <w:r>
              <w:tab/>
            </w:r>
            <w:r>
              <w:t xml:space="preserve">fordert die türkischen Staatsorgane auf, die derzeitigen schwerwiegenden Einschränkungen der Grundfreiheiten und die ständigen Angriffe auf die Grundrechte von Mitgliedern der Opposition, Menschenrechtsverteidigern, Rechtsanwälten, Gewerkschaftern, Angehörigen von Minderheiten, Journalisten, Wissenschaftlern und Aktivisten der Zivilgesellschaft zu beenden; </w:t>
            </w:r>
            <w:r>
              <w:rPr>
                <w:b/>
                <w:i/>
              </w:rPr>
              <w:t>verurteilt die jüngsten strafrechtlichen Ermittlungen und Klagen gegen die Anwaltskammer von Istanbul und die Inhaftierung eines ihrer Vorstandsmitglieder nach einer Reise ihrer Vertreter nach Straßburg, wo sie sich mit Vertretern von Organen des Europarats getroffen haben;</w:t>
            </w: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fordert die türkischen Staatsorgane auf, die derzeitigen schwerwiegenden Einschränkungen der Grundfreiheiten und die ständigen Angriffe auf die Grundrechte von Mitgliedern der Opposition, Menschenrechtsverteidigern, Rechtsanwälten, Gewerkschaftern, Angehörigen von Minderheiten, Journalisten, Wissenschaftlern und Aktivisten der Zivilgesellschaft zu beenden;</w:t>
            </w:r>
          </w:p>
        </w:tc>
        <w:tc>
          <w:tcPr>
            <w:tcW w:w="4876" w:type="dxa"/>
            <w:tcBorders>
              <w:top w:val="nil"/>
              <w:left w:val="nil"/>
              <w:bottom w:val="nil"/>
              <w:right w:val="nil"/>
            </w:tcBorders>
          </w:tcPr>
          <w:p>
            <w:pPr>
              <w:pStyle w:val="Normal6a"/>
            </w:pPr>
            <w:r>
              <w:t>8.</w:t>
            </w:r>
            <w:r>
              <w:tab/>
            </w:r>
            <w:r>
              <w:t xml:space="preserve">fordert die türkischen Staatsorgane auf, die derzeitigen schwerwiegenden Einschränkungen der Grundfreiheiten und die ständigen Angriffe auf die Grundrechte von Mitgliedern der Opposition, Menschenrechtsverteidigern, Rechtsanwälten, Gewerkschaftern, Angehörigen von Minderheiten, Journalisten, Wissenschaftlern und Aktivisten der Zivilgesellschaft zu beenden; </w:t>
            </w:r>
            <w:r>
              <w:rPr>
                <w:b/>
                <w:i/>
              </w:rPr>
              <w:t>begrüßt, dass das nach russischem Vorbild konzipierte Gesetz über „Einflussagenten“ im November 2024 zurückgezogen wurde, betont jedoch, dass sich der Justizapparat nach wie vor stark restriktiv verhält, da das Gesetz über Desinformation aus dem Jahr 2022 die unabhängige Berichterstattung behindert;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fordert die türkischen Staatsorgane auf, die derzeitigen schwerwiegenden Einschränkungen der Grundfreiheiten und die ständigen Angriffe auf die Grundrechte von Mitgliedern der Opposition, Menschenrechtsverteidigern, Rechtsanwälten, Gewerkschaftern, Angehörigen von Minderheiten, Journalisten, Wissenschaftlern und Aktivisten der Zivilgesellschaft zu beenden;</w:t>
            </w:r>
          </w:p>
        </w:tc>
        <w:tc>
          <w:tcPr>
            <w:tcW w:w="4876" w:type="dxa"/>
            <w:tcBorders>
              <w:top w:val="nil"/>
              <w:left w:val="nil"/>
              <w:bottom w:val="nil"/>
              <w:right w:val="nil"/>
            </w:tcBorders>
          </w:tcPr>
          <w:p>
            <w:pPr>
              <w:pStyle w:val="Normal6a"/>
            </w:pPr>
            <w:r>
              <w:t>8.</w:t>
            </w:r>
            <w:r>
              <w:tab/>
            </w:r>
            <w:r>
              <w:t>fordert die türkischen Staatsorgane auf, die derzeitigen schwerwiegenden Einschränkungen der Grundfreiheiten und die ständigen Angriffe auf die Grundrechte von Mitgliedern der Opposition, Menschenrechtsverteidigern, Rechtsanwälten, Gewerkschaftern, Angehörigen von Minderheiten, Journalisten, Wissenschaftlern und Aktivisten der Zivilgesellschaft zu beenden</w:t>
            </w:r>
            <w:r>
              <w:rPr>
                <w:b/>
                <w:i/>
              </w:rPr>
              <w:t>, was durch eine fehlende Unabhängigkeit der Justiz zusätzlich erschwert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fordert die türkischen Staatsorgane auf, die derzeitigen schwerwiegenden Einschränkungen der Grundfreiheiten und die ständigen Angriffe auf die Grundrechte von Mitgliedern der Opposition, Menschenrechtsverteidigern, Rechtsanwälten, Gewerkschaftern, Angehörigen von Minderheiten, Journalisten, Wissenschaftlern und Aktivisten der Zivilgesellschaft zu beenden;</w:t>
            </w:r>
          </w:p>
        </w:tc>
        <w:tc>
          <w:tcPr>
            <w:tcW w:w="4876" w:type="dxa"/>
            <w:tcBorders>
              <w:top w:val="nil"/>
              <w:left w:val="nil"/>
              <w:bottom w:val="nil"/>
              <w:right w:val="nil"/>
            </w:tcBorders>
          </w:tcPr>
          <w:p>
            <w:pPr>
              <w:pStyle w:val="Normal6a"/>
            </w:pPr>
            <w:r>
              <w:t>8.</w:t>
            </w:r>
            <w:r>
              <w:tab/>
            </w:r>
            <w:r>
              <w:t xml:space="preserve">fordert die türkischen Staatsorgane </w:t>
            </w:r>
            <w:r>
              <w:rPr>
                <w:b/>
                <w:i/>
              </w:rPr>
              <w:t>nachdrücklich</w:t>
            </w:r>
            <w:r>
              <w:t xml:space="preserve"> auf, die derzeitigen schwerwiegenden Einschränkungen der Grundfreiheiten und die ständigen Angriffe auf die Grundrechte von Mitgliedern der Opposition, Menschenrechtsverteidigern, Rechtsanwälten, Gewerkschaftern, Angehörigen von Minderheiten, Journalisten, Wissenschaftlern und Aktivisten der Zivilgesellschaft zu beenden;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fordert die türkischen Staatsorgane auf, die Führungs- und Verwaltungsstrukturen nicht muslimischer Minderheiten, darunter das armenische Apostolische Patriarchat von Konstantinopel, das Ökumenische Patriarchat von Konstantinopel und das Oberrabbinat, offiziell als juristische Personen anzuerkennen;</w:t>
            </w:r>
            <w:r>
              <w:t xml:space="preserve"> </w:t>
            </w:r>
            <w:r>
              <w:rPr>
                <w:b/>
                <w:i/>
              </w:rPr>
              <w:t>stellt mit Besorgnis fest, dass Vertreter verschiedener protestantischer Kirchen bei dem Versuch, Kultstätten zu registrieren, nach wie vor mit bürokratischen Hindernissen konfrontiert sind und berichtet haben, dass sie gezwungen waren, Dienstleistungen an nicht registrierten Orten in Anspruch zu nehmen, weil die lokalen Behörden die Genehmigung von Registrierungsanträgen verweigerten und dass sie weiterhin Beschränkungen hinsichtlich der Zonenabgrenzung für Kirchen verhängt hätten;</w:t>
            </w:r>
            <w:r>
              <w:t xml:space="preserve"> </w:t>
            </w:r>
            <w:r>
              <w:rPr>
                <w:b/>
                <w:i/>
              </w:rPr>
              <w:t>hebt hervor, dass dies eine eklatante Diskriminierung unterschiedlicher Kongregationen und eine Verletzung des Rechts auf Religions- und Weltanschauungsfreiheit darstellt, da türkische Regierungsbeamte diese Einschränkungen sunnitischen muslimischen Kongregationen nicht auferlegt haben, denen es gestattet ist, Gebetsstätten an Orten wie Einkaufszentren, Flughäfen und anderen kleineren Orten zu errichten</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https://www.state.gov/reports/2023-report-on-international-religious-freedom/turkey/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ist zutiefst besorgt über die Verschlechterung der demokratischen Standards in der Türkei, das unermüdliche Vorgehen gegen kritische Stimmen, unabhängige Medien und das Recht auf freie Meinungsäußerung, insbesondere im Zusammenhang mit den Wahlen, und die anhaltende Beschneidung der Pressefreiheit und der Meinungsfreiheit in der Türkei;</w:t>
            </w:r>
            <w:r>
              <w:t xml:space="preserve"> </w:t>
            </w:r>
            <w:r>
              <w:rPr>
                <w:b/>
                <w:i/>
              </w:rPr>
              <w:t>bedauert, dass die türkische Regierung mittels einer Reihe von Gesetzen, darunter das Gesetz über soziale Medien von 2020, das Gesetz zur Bekämpfung von Geldwäsche von 2021 und das Gesetz über Desinformation von 2022, ein komplexes Netz von Rechtsvorschriften geschaffen hat, das als Instrument dafür dient, Journalisten systematisch zu kontrollieren und zum Schweigen zu bringen;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ist zutiefst besorgt über hassmotivierte Straftaten, einschließlich Hetze, die sich gegen Minderheiten und vornehmlich gegen Syrer, Griechen, Armenier, Juden und Alewiten richten;</w:t>
            </w:r>
            <w:r>
              <w:t xml:space="preserve"> </w:t>
            </w:r>
            <w:r>
              <w:rPr>
                <w:b/>
                <w:i/>
              </w:rPr>
              <w:t>fordert die türkische Regierung auf, ihre Rechtsvorschriften an internationale Standards anzupassen;</w:t>
            </w:r>
            <w:r>
              <w:t xml:space="preserve"> </w:t>
            </w:r>
            <w:r>
              <w:rPr>
                <w:b/>
                <w:i/>
              </w:rPr>
              <w:t>verurteilt aufs Schärfste die antisemitischen Äußerungen, die in den Medien und von hochrangigen Amtsträgern nach den von der Hamas verübten und gegen Israel gerichteten Terroranschlägen 7. Oktober getätigt wurden;</w:t>
            </w:r>
            <w:r>
              <w:t xml:space="preserve"> </w:t>
            </w:r>
            <w:r>
              <w:rPr>
                <w:b/>
                <w:i/>
              </w:rPr>
              <w:t>fordert die türkische Regierung auf, die Veranstaltungen im Freien anlässlich des „Tages zum Gedenken an den Völkermord an den Armeniern“ zu genehmigen, die im April 2024 verboten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weist darauf hin, dass die Türkei den Völkermord an den Armeniern von 1915 immer noch nicht eingeräumt hat;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weist darauf hin, dass die Türkei den Völkermord an den Armeniern von 1915 immer noch nicht anerkennt;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w:t>
            </w:r>
            <w:r>
              <w:tab/>
            </w:r>
            <w:r>
              <w:rPr>
                <w:b/>
                <w:i/>
              </w:rPr>
              <w:t>Ist besorgt und fordert die türkischen Behörden nachdrücklich auf, sich mit Berichten einiger protestantischer Kirchen zu befassen, wonach die lokalen Behörden sie daran gehindert haben, Kreuze auf der Außenseite ihrer Gebäude anzubringen</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https://www.state.gov/reports/2023-report-on-international-religious-freedom/turkey/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c.</w:t>
            </w:r>
            <w:r>
              <w:tab/>
            </w:r>
            <w:r>
              <w:rPr>
                <w:b/>
                <w:i/>
              </w:rPr>
              <w:t>fordert die Regierung auf, ihre langjährige Politik zu beenden, die darin besteht, den Ökumenische Patriarchen Bartholomew nicht offiziell als obersten Würdenträger der rund 300 Millionen orthodoxen Christen in der Welt anzuerkennen</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https://www.state.gov/wp-content/uploads/2022/05/TURKEY-2021-INTERNATIONAL-RELIGIOUS-FREEDOM-REPORT.pdf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ist nach wie vor entsetzt über die türkischen Staatsorgane, insbesondere über die türkische Justiz, die richtungsweisende Urteile des EGMR anhaltend missachtet und nicht anwendet;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Yannis Maniatis, Costas Mavrides,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ist nach wie vor entsetzt über die türkischen Staatsorgane, insbesondere </w:t>
            </w:r>
            <w:r>
              <w:rPr>
                <w:b/>
                <w:i/>
              </w:rPr>
              <w:t>über</w:t>
            </w:r>
            <w:r>
              <w:t xml:space="preserve"> die türkische Justiz, die richtungsweisende Urteile des EGMR anhaltend missachtet und nicht anwendet;</w:t>
            </w:r>
          </w:p>
        </w:tc>
        <w:tc>
          <w:tcPr>
            <w:tcW w:w="4876" w:type="dxa"/>
            <w:tcBorders>
              <w:top w:val="nil"/>
              <w:left w:val="nil"/>
              <w:bottom w:val="nil"/>
              <w:right w:val="nil"/>
            </w:tcBorders>
          </w:tcPr>
          <w:p>
            <w:pPr>
              <w:pStyle w:val="Normal6a"/>
            </w:pPr>
            <w:r>
              <w:t>9.</w:t>
            </w:r>
            <w:r>
              <w:tab/>
            </w:r>
            <w:r>
              <w:rPr>
                <w:b/>
                <w:i/>
              </w:rPr>
              <w:t>fordert die Türkei auf, alle Urteile des EGMR im Einklang mit Artikel 46 EMRK vollständig umzusetzen;</w:t>
            </w:r>
            <w:r>
              <w:t xml:space="preserve"> Ist nach wie vor entsetzt über die türkischen Staatsorgane, insbesondere die türkische Justiz, die richtungsweisende Urteile des EGMR </w:t>
            </w:r>
            <w:r>
              <w:rPr>
                <w:b/>
                <w:i/>
              </w:rPr>
              <w:t>wie den Fall Fokas (29. September 2009), in dem festgestellt wurde, dass die Türkei gegen Artikel 1 des Protokolls Nr. 1 zur EMRK über das Recht auf friedliche Nutzung des Eigentums verstößt,</w:t>
            </w:r>
            <w:r>
              <w:t xml:space="preserve"> anhaltend missachtet und nicht anwendet; </w:t>
            </w:r>
            <w:r>
              <w:rPr>
                <w:b/>
                <w:i/>
              </w:rPr>
              <w:t>weist in diesem Zusammenhang auf die Entschließung der Parlamentarischen Versammlung des Europarats vom 12. Oktober 2022 und den zugehörigen Bericht ihres Begleitausschusses über die Einhaltung der von der Türkei eingegangenen Verpflichtungen und Zusagen sowie die Entschließungen des Ministerkomitees des Europarats zur ausstehenden Umsetzung der Urteile des EGMR hin, in denen detailliert die breite Palette der schwerwiegenden Mängel im Bereich Menschenrechte dargelegt wird, wie von renommierten lokalen und internationalen Menschenrechtsorganisationen laufend berichtet;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ist nach wie vor entsetzt über die türkischen Staatsorgane, insbesondere über die türkische Justiz, </w:t>
            </w:r>
            <w:r>
              <w:rPr>
                <w:b/>
                <w:i/>
              </w:rPr>
              <w:t>die richtungsweisende</w:t>
            </w:r>
            <w:r>
              <w:t xml:space="preserve"> Urteile des EGMR </w:t>
            </w:r>
            <w:r>
              <w:rPr>
                <w:b/>
                <w:i/>
              </w:rPr>
              <w:t>anhaltend missachtet und nicht anwendet</w:t>
            </w:r>
            <w:r>
              <w:t>;</w:t>
            </w:r>
          </w:p>
        </w:tc>
        <w:tc>
          <w:tcPr>
            <w:tcW w:w="4876" w:type="dxa"/>
            <w:tcBorders>
              <w:top w:val="nil"/>
              <w:left w:val="nil"/>
              <w:bottom w:val="nil"/>
              <w:right w:val="nil"/>
            </w:tcBorders>
          </w:tcPr>
          <w:p>
            <w:pPr>
              <w:pStyle w:val="Normal6a"/>
            </w:pPr>
            <w:r>
              <w:t>9.</w:t>
            </w:r>
            <w:r>
              <w:tab/>
            </w:r>
            <w:r>
              <w:t xml:space="preserve">Ist nach wie vor entsetzt über die türkischen Staatsorgane, insbesondere über die </w:t>
            </w:r>
            <w:r>
              <w:rPr>
                <w:b/>
                <w:i/>
              </w:rPr>
              <w:t>anhaltende Missachtung und Nichtanwendung wegweisender Urteile des EGMR durch die</w:t>
            </w:r>
            <w:r>
              <w:t xml:space="preserve"> türkische Justiz, </w:t>
            </w:r>
            <w:r>
              <w:rPr>
                <w:b/>
                <w:i/>
              </w:rPr>
              <w:t>etwa in den Fällen Selahattin Demirta- und Osman Kavala, für die die Türkei in historischen Vertragsverletzungsverfahren vor dem Europarat mit lang erwarteten Folgen , die noch festzulegen sind, verantworten muss;</w:t>
            </w:r>
            <w:r>
              <w:t xml:space="preserve"> </w:t>
            </w:r>
            <w:r>
              <w:rPr>
                <w:b/>
                <w:i/>
              </w:rPr>
              <w:t>fordert die Türkei erneut auf, alle</w:t>
            </w:r>
            <w:r>
              <w:t xml:space="preserve"> Urteile des EGMR </w:t>
            </w:r>
            <w:r>
              <w:rPr>
                <w:b/>
                <w:i/>
              </w:rPr>
              <w:t>im Einklang mit den bedingungslosen Verpflichtungen aus Artikel 90 der türkischen Verfassung und der Mitgliedschaft der Türkei im Europarat vollständig umzusetzen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ist nach wie vor entsetzt über die türkischen Staatsorgane, insbesondere über die türkische Justiz, </w:t>
            </w:r>
            <w:r>
              <w:rPr>
                <w:b/>
                <w:i/>
              </w:rPr>
              <w:t>die richtungsweisende Urteile des EGMR anhaltend missachtet und nicht anwendet</w:t>
            </w:r>
            <w:r>
              <w:t>;</w:t>
            </w:r>
          </w:p>
        </w:tc>
        <w:tc>
          <w:tcPr>
            <w:tcW w:w="4876" w:type="dxa"/>
            <w:tcBorders>
              <w:top w:val="nil"/>
              <w:left w:val="nil"/>
              <w:bottom w:val="nil"/>
              <w:right w:val="nil"/>
            </w:tcBorders>
          </w:tcPr>
          <w:p>
            <w:pPr>
              <w:pStyle w:val="Normal6a"/>
            </w:pPr>
            <w:r>
              <w:t>9.</w:t>
            </w:r>
            <w:r>
              <w:tab/>
            </w:r>
            <w:r>
              <w:t xml:space="preserve">Ist nach wie vor entsetzt über die türkischen Staatsorgane, insbesondere über die </w:t>
            </w:r>
            <w:r>
              <w:rPr>
                <w:b/>
                <w:i/>
              </w:rPr>
              <w:t>anhaltende Missachtung und Nichtumsetzung wichtiger Urteile des EGMR durch die</w:t>
            </w:r>
            <w:r>
              <w:t xml:space="preserve"> türkische Justiz, </w:t>
            </w:r>
            <w:r>
              <w:rPr>
                <w:b/>
                <w:i/>
              </w:rPr>
              <w:t>zu deren Umsetzung das Land gemäß der Europäischen Menschenrechtskonvention verpflichtet ist;</w:t>
            </w:r>
            <w:r>
              <w:t xml:space="preserve"> </w:t>
            </w:r>
            <w:r>
              <w:rPr>
                <w:b/>
                <w:i/>
              </w:rPr>
              <w:t>verurteilt erneut die Weigerung der Türkei, den Menschenrechtsverteidiger Osman Kavala und die Oppositionspolitiker Selahattin Demirtaş and Figen Yüksekdağ Şenoğlu aus der Haft zu entlassen, sowie die mangelnde Bereitschaft der Türkei, gegen die Verstöße vorzugehen, die der Anlass für das Vertragsverletzungsverfahren des Ministerkomitees sind</w:t>
            </w:r>
            <w:r>
              <w:t>;</w:t>
            </w: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Lucia Yar, Hilde Vautmans, Dan Barna, Nathalie Loiseau, Petras Auštrevičius,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ist nach wie vor entsetzt über die türkischen Staatsorgane, insbesondere über die türkische Justiz, die richtungsweisende Urteile des EGMR anhaltend missachtet und nicht anwendet;</w:t>
            </w:r>
          </w:p>
        </w:tc>
        <w:tc>
          <w:tcPr>
            <w:tcW w:w="4876" w:type="dxa"/>
            <w:tcBorders>
              <w:top w:val="nil"/>
              <w:left w:val="nil"/>
              <w:bottom w:val="nil"/>
              <w:right w:val="nil"/>
            </w:tcBorders>
          </w:tcPr>
          <w:p>
            <w:pPr>
              <w:pStyle w:val="Normal6a"/>
            </w:pPr>
            <w:r>
              <w:t>9.</w:t>
            </w:r>
            <w:r>
              <w:tab/>
            </w:r>
            <w:r>
              <w:t xml:space="preserve">ist nach wie vor entsetzt über die türkischen Staatsorgane, insbesondere über die türkische Justiz, die richtungsweisende Urteile des EGMR anhaltend missachtet und nicht anwendet; </w:t>
            </w:r>
            <w:r>
              <w:rPr>
                <w:b/>
                <w:i/>
              </w:rPr>
              <w:t>verurteilt den eklatanten Missbrauch des Justizsystems zur Unterdrückung der politischen Opposition, wie der Fall Selahattin Demirta- und Figen Yüksekdağ zeigt;</w:t>
            </w:r>
            <w:r>
              <w:t xml:space="preserve"> </w:t>
            </w:r>
            <w:r>
              <w:rPr>
                <w:b/>
                <w:i/>
              </w:rPr>
              <w:t>bedauert den politisch motivierten Charakter dieser Strafverfolgung, die Teil eines breiteren Musters der Schikanierung von Oppositionspolitikern, Aktivisten und kritischen Stimmen in der Türkei durch die Justiz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ist nach wie vor entsetzt über die türkischen Staatsorgane, insbesondere </w:t>
            </w:r>
            <w:r>
              <w:rPr>
                <w:b/>
                <w:i/>
              </w:rPr>
              <w:t>über</w:t>
            </w:r>
            <w:r>
              <w:t xml:space="preserve"> die türkische Justiz, die richtungsweisende Urteile des EGMR anhaltend missachtet und nicht anwendet;</w:t>
            </w:r>
          </w:p>
        </w:tc>
        <w:tc>
          <w:tcPr>
            <w:tcW w:w="4876" w:type="dxa"/>
            <w:tcBorders>
              <w:top w:val="nil"/>
              <w:left w:val="nil"/>
              <w:bottom w:val="nil"/>
              <w:right w:val="nil"/>
            </w:tcBorders>
          </w:tcPr>
          <w:p>
            <w:pPr>
              <w:pStyle w:val="Normal6a"/>
            </w:pPr>
            <w:r>
              <w:t>9.</w:t>
            </w:r>
            <w:r>
              <w:tab/>
            </w:r>
            <w:r>
              <w:rPr>
                <w:b/>
                <w:i/>
              </w:rPr>
              <w:t>fordert die Türkei auf, alle Urteile des EGMR im Einklang mit Artikel 46 EMRK vollständig umzusetzen;</w:t>
            </w:r>
            <w:r>
              <w:t xml:space="preserve"> Ist nach wie vor entsetzt über die türkischen Staatsorgane, insbesondere die türkische Justiz, die richtungsweisende Urteile des EGMR </w:t>
            </w:r>
            <w:r>
              <w:rPr>
                <w:b/>
                <w:i/>
              </w:rPr>
              <w:t>wie den Fall Fokas (29. September 2009), in dem festgestellt wurde, dass die Türkei gegen Artikel 1 des Protokolls Nr. 1 zur EMRK über das Recht auf friedliche Nutzung des Eigentums verstößt,</w:t>
            </w:r>
            <w:r>
              <w:t xml:space="preserve"> anhaltend missachtet und nicht anwendet;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ist nach wie vor entsetzt über die türkischen Staatsorgane, insbesondere </w:t>
            </w:r>
            <w:r>
              <w:rPr>
                <w:b/>
                <w:i/>
              </w:rPr>
              <w:t>über</w:t>
            </w:r>
            <w:r>
              <w:t xml:space="preserve"> die türkische Justiz, die richtungsweisende Urteile des EGMR anhaltend missachtet und nicht anwendet;</w:t>
            </w:r>
          </w:p>
        </w:tc>
        <w:tc>
          <w:tcPr>
            <w:tcW w:w="4876" w:type="dxa"/>
            <w:tcBorders>
              <w:top w:val="nil"/>
              <w:left w:val="nil"/>
              <w:bottom w:val="nil"/>
              <w:right w:val="nil"/>
            </w:tcBorders>
          </w:tcPr>
          <w:p>
            <w:pPr>
              <w:pStyle w:val="Normal6a"/>
            </w:pPr>
            <w:r>
              <w:t>9.</w:t>
            </w:r>
            <w:r>
              <w:tab/>
            </w:r>
            <w:r>
              <w:rPr>
                <w:b/>
                <w:i/>
              </w:rPr>
              <w:t>fordert die Türkei auf, alle Urteile des EGMR gemäß Artikel 46 EMRK umzusetzen;</w:t>
            </w:r>
            <w:r>
              <w:t xml:space="preserve"> ist nach wie vor entsetzt über die türkischen Staatsorgane, insbesondere die türkische Justiz, die richtungsweisende Urteile des EGMR </w:t>
            </w:r>
            <w:r>
              <w:rPr>
                <w:b/>
                <w:i/>
              </w:rPr>
              <w:t>wie den Fall Fokas (29. September 2009), in dem festgestellt wurde, dass die Türkei gegen Artikel 1 des Protokolls Nr. 1 zur EMRK über das Recht auf friedliche Nutzung des Eigentums verstößt,</w:t>
            </w:r>
            <w:r>
              <w:t xml:space="preserve"> anhaltend missachtet und nicht anwendet;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ist nach wie vor entsetzt über die türkischen Staatsorgane, insbesondere über die türkische Justiz, die richtungsweisende Urteile des EGMR anhaltend missachtet und nicht anwendet;</w:t>
            </w:r>
          </w:p>
        </w:tc>
        <w:tc>
          <w:tcPr>
            <w:tcW w:w="4876" w:type="dxa"/>
            <w:tcBorders>
              <w:top w:val="nil"/>
              <w:left w:val="nil"/>
              <w:bottom w:val="nil"/>
              <w:right w:val="nil"/>
            </w:tcBorders>
          </w:tcPr>
          <w:p>
            <w:pPr>
              <w:pStyle w:val="Normal6a"/>
            </w:pPr>
            <w:r>
              <w:t>9.</w:t>
            </w:r>
            <w:r>
              <w:tab/>
            </w:r>
            <w:r>
              <w:t>ist nach wie vor entsetzt über die türkischen Staatsorgane, insbesondere über die türkische Justiz, die richtungsweisende Urteile des EGMR anhaltend missachtet und nicht anwendet</w:t>
            </w:r>
            <w:r>
              <w:rPr>
                <w:b/>
                <w:i/>
              </w:rPr>
              <w:t>, wodurch verdeutlicht wird, dass die Gewaltenteilung in der Türkei nach wie vor eine rechtliche Fiktion ist, die ihre Integration in die Europäische Union faktisch unmöglich macht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ist nach wie vor entsetzt über die türkischen Staatsorgane, insbesondere über die türkische Justiz, </w:t>
            </w:r>
            <w:r>
              <w:rPr>
                <w:b/>
                <w:i/>
              </w:rPr>
              <w:t>die richtungsweisende Urteile des EGMR anhaltend missachtet und nicht anwendet</w:t>
            </w:r>
            <w:r>
              <w:t>;</w:t>
            </w:r>
          </w:p>
        </w:tc>
        <w:tc>
          <w:tcPr>
            <w:tcW w:w="4876" w:type="dxa"/>
            <w:tcBorders>
              <w:top w:val="nil"/>
              <w:left w:val="nil"/>
              <w:bottom w:val="nil"/>
              <w:right w:val="nil"/>
            </w:tcBorders>
          </w:tcPr>
          <w:p>
            <w:pPr>
              <w:pStyle w:val="Normal6a"/>
            </w:pPr>
            <w:r>
              <w:t>9.</w:t>
            </w:r>
            <w:r>
              <w:tab/>
            </w:r>
            <w:r>
              <w:t xml:space="preserve">Ist nach wie vor entsetzt über die türkischen Staatsorgane, insbesondere über die </w:t>
            </w:r>
            <w:r>
              <w:rPr>
                <w:b/>
                <w:i/>
              </w:rPr>
              <w:t>anhaltende Missachtung und Nichtanwendung wegweisender Urteile des EGMR durch die</w:t>
            </w:r>
            <w:r>
              <w:t xml:space="preserve"> türkische Justiz, </w:t>
            </w:r>
            <w:r>
              <w:rPr>
                <w:b/>
                <w:i/>
              </w:rPr>
              <w:t>was zeigt, dass die Gewaltenteilung in der Türkei nach wie vor eine rechtliche Fiktion ist, wodurch ihre Integration in die Europäische Union de facto verhindert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bringt seine tiefe Besorgnis über die katastrophale Lage in türkischen Gefängnissen zum Ausdruck, die auf die starke Überbelegung und schlechte Lebensbedingungen zurückzuführen ist, wobei Berichten zufolge Folter und Misshandlung systemisch und weit verbreitet sind und der Zugang zu grundlegenden Bedürfnissen wie Hygiene und Informationen stark eingeschränkt ist;</w:t>
            </w:r>
            <w:r>
              <w:t xml:space="preserve"> </w:t>
            </w:r>
            <w:r>
              <w:rPr>
                <w:b/>
                <w:i/>
              </w:rPr>
              <w:t>ist besonders besorgt über die Haftbedingungen älterer und schwer kranker Gefangener;</w:t>
            </w:r>
            <w:r>
              <w:t xml:space="preserve"> </w:t>
            </w:r>
            <w:r>
              <w:rPr>
                <w:b/>
                <w:i/>
              </w:rPr>
              <w:t>ist besorgt über den fortgesetzten Einsatz von erniedrigenden Leibesvisitationen in Haftanstalten und Gefängnissen und über die anhaltende Schikanierung des Parlamentsabgeordneten Ömer Faruk Gergerlioğlu, der sich derzeit in sechs Verfahren wegen der Aberkennung seines parlamentarischen Mandats und der Aufhebung seiner Immunität verantworten muss, weil er unter anderem diese Praxis angeprangert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fordert die Republik Türkei auf, das Urteil des Europäischen Gerichtshofs für Menschenrechte (EGMR) vom 10. Mai 2001 vollständig umzusetzen, indem sie alle wirksamen Maßnahmen ergreift, um das humanitäre Problem der vermissten Personen auf Zypern zu lösen, das auch 50 Jahre nach der Invasion leider immer noch ungelöst ist;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fordert die türkischen Staatsorgane auf, die Instrumentalisierung von Gesetzen, einschließlich des Gesetzes über Desinformation, des Gesetzes zur Verhinderung der Finanzierung und Verbreitung von Massenvernichtungswaffen von 2021 (Gesetz Nr. 7262) und des Antiterrorgesetzes (Nr. 7145) von 2018, gegen Journalisten und Menschenrechtsverteidiger einzustellen;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w:t>
            </w:r>
            <w:r>
              <w:tab/>
            </w:r>
            <w:r>
              <w:rPr>
                <w:b/>
                <w:i/>
              </w:rPr>
              <w:t>fordert die Kommission und die Mitgliedstaaten auf, alle diplomatischen Kanäle zu nutzen, um die Türkei nachdrücklich aufzufordern, Urteile des EGMR umzusetzen, wobei der Schwerpunkt auf symbolträchtigen Fällen wie den von Osman Kavala, Selahattin Demirtaş und Figen Yüksekdağ Şenoğlu liegen sollte;</w:t>
            </w:r>
            <w:r>
              <w:t xml:space="preserve"> </w:t>
            </w:r>
            <w:r>
              <w:rPr>
                <w:b/>
                <w:i/>
              </w:rPr>
              <w:t>schlägt der Kommission vor, Finanzmittel für die Türkei von messbaren Fortschritten bei der Unabhängigkeit der Justiz und der Einhaltung der Urteile des EGMR abhängig zu machen;</w:t>
            </w:r>
            <w:r>
              <w:t xml:space="preserve"> </w:t>
            </w:r>
            <w:r>
              <w:rPr>
                <w:b/>
                <w:i/>
              </w:rPr>
              <w:t>schlägt eigens eine Unterstützung von und Ressourcen für Organisationen der türkischen Zivilgesellschaft vor, die sich für Reformen und den Schutz der Unabhängigkeit der Justiz einsetzen;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verurteilt aufs Schärfste die Entscheidung der türkischen Regierung, die demokratisch gewählten Bürgermeister von </w:t>
            </w:r>
            <w:r>
              <w:rPr>
                <w:b/>
                <w:i/>
              </w:rPr>
              <w:t>zehn</w:t>
            </w:r>
            <w:r>
              <w:t xml:space="preserve"> Gemeinden und Bezirken </w:t>
            </w:r>
            <w:r>
              <w:rPr>
                <w:b/>
                <w:i/>
              </w:rPr>
              <w:t>abzusetzen und sie durch</w:t>
            </w:r>
            <w:r>
              <w:t xml:space="preserve"> vom Innenministerium ernannte </w:t>
            </w:r>
            <w:r>
              <w:rPr>
                <w:b/>
                <w:i/>
              </w:rPr>
              <w:t>Vertreter zu ersetzen</w:t>
            </w:r>
            <w:r>
              <w:t>; betrachtet diese langjährige Praxis der Ernennung von Vertretern als einen eklatanten Angriff auf die grundlegendsten Grundsätze der lokalen Demokratie;</w:t>
            </w:r>
          </w:p>
        </w:tc>
        <w:tc>
          <w:tcPr>
            <w:tcW w:w="4876" w:type="dxa"/>
            <w:tcBorders>
              <w:top w:val="nil"/>
              <w:left w:val="nil"/>
              <w:bottom w:val="nil"/>
              <w:right w:val="nil"/>
            </w:tcBorders>
          </w:tcPr>
          <w:p>
            <w:pPr>
              <w:pStyle w:val="Normal6a"/>
            </w:pPr>
            <w:r>
              <w:t>10.</w:t>
            </w:r>
            <w:r>
              <w:tab/>
            </w:r>
            <w:r>
              <w:t xml:space="preserve">verurteilt aufs Schärfste die </w:t>
            </w:r>
            <w:r>
              <w:rPr>
                <w:b/>
                <w:i/>
              </w:rPr>
              <w:t>bis heute gültige</w:t>
            </w:r>
            <w:r>
              <w:t xml:space="preserve"> Entscheidung der türkischen Regierung, die demokratisch gewählten Bürgermeister von </w:t>
            </w:r>
            <w:r>
              <w:rPr>
                <w:b/>
                <w:i/>
              </w:rPr>
              <w:t>zwölf</w:t>
            </w:r>
            <w:r>
              <w:t xml:space="preserve"> Gemeinden und Bezirken </w:t>
            </w:r>
            <w:r>
              <w:rPr>
                <w:b/>
                <w:i/>
              </w:rPr>
              <w:t>(Hakkari, Mardin, Batman, Halfeti, Tunceli, Bahçesaray, Akdeniz, Siirt, Van und Kağızman, wo die Partei DEM die Wahl gewonnen hat,</w:t>
            </w:r>
            <w:r>
              <w:t xml:space="preserve"> </w:t>
            </w:r>
            <w:r>
              <w:rPr>
                <w:b/>
                <w:i/>
              </w:rPr>
              <w:t>und Esenyurt und Ovacık, wo die Partei CHP der Wahlsieger war) ihrer Ämter zu entheben und an ihrer Stelle</w:t>
            </w:r>
            <w:r>
              <w:t xml:space="preserve"> vom Innenministerium ernannte </w:t>
            </w:r>
            <w:r>
              <w:rPr>
                <w:b/>
                <w:i/>
              </w:rPr>
              <w:t>Treuhänder einzustezen</w:t>
            </w:r>
            <w:r>
              <w:t xml:space="preserve">; betrachtet diese langjährige Praxis der Ernennung von Vertretern als einen eklatanten Angriff auf die grundlegendsten Grundsätze der lokalen Demokratie; </w:t>
            </w:r>
            <w:r>
              <w:rPr>
                <w:b/>
                <w:i/>
              </w:rPr>
              <w:t>fordert die türkischen Staatsorgane nachdrücklich auf, diese Praxis gemäß den Empfehlungen des Kongresses der Gemeinden und Regionen des Europarates und der Venedig-Kommission abzuschaffen;</w:t>
            </w:r>
            <w:r>
              <w:t xml:space="preserve"> </w:t>
            </w:r>
            <w:r>
              <w:rPr>
                <w:b/>
                <w:i/>
              </w:rPr>
              <w:t>fordert die HR/VP erneut auf, in der Zwischenzeit im Rahmen der globalen Sanktionsregelung der EU im Bereich der Menschenrechte die Verhängung restriktiver Maßnahmen gegen türkische Amtsträger, die die Rolle eines Treuhänders übernehmen, sowie gegen diejenigen, die sie ernennen, zu erwägen;</w:t>
            </w:r>
            <w:r>
              <w:t xml:space="preserve"> </w:t>
            </w:r>
            <w:r>
              <w:rPr>
                <w:b/>
                <w:i/>
              </w:rPr>
              <w:t>ist der Ansicht, dass die Entscheidung der türkischen Regierung, nach der letzten Kommunalwahl im März 2024 zu dieser Praxis zurückzukehren, ein klares Zeichen dafür ist, dass sie nicht entschlossen ist, die demokratischen Mängel im Land zu beheben, und in eindeutigem Widerspruch zu der erklärten Bereitschaft steht, den Beitrittsprozess wiederzubeleben;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verurteilt aufs Schärfste die Entscheidung der türkischen Regierung, die demokratisch gewählten Bürgermeister von zehn Gemeinden und Bezirken abzusetzen und sie durch vom Innenministerium ernannte Vertreter zu ersetzen; betrachtet diese langjährige Praxis der Ernennung von Vertretern als einen eklatanten Angriff auf die grundlegendsten Grundsätze der lokalen Demokratie;</w:t>
            </w:r>
          </w:p>
        </w:tc>
        <w:tc>
          <w:tcPr>
            <w:tcW w:w="4876" w:type="dxa"/>
            <w:tcBorders>
              <w:top w:val="nil"/>
              <w:left w:val="nil"/>
              <w:bottom w:val="nil"/>
              <w:right w:val="nil"/>
            </w:tcBorders>
          </w:tcPr>
          <w:p>
            <w:pPr>
              <w:pStyle w:val="Normal6a"/>
            </w:pPr>
            <w:r>
              <w:t>10.</w:t>
            </w:r>
            <w:r>
              <w:tab/>
            </w:r>
            <w:r>
              <w:t xml:space="preserve">verurteilt aufs Schärfste die Entscheidung der türkischen Regierung, </w:t>
            </w:r>
            <w:r>
              <w:rPr>
                <w:b/>
                <w:i/>
              </w:rPr>
              <w:t>nach der Kommunalwahl vom März 2024</w:t>
            </w:r>
            <w:r>
              <w:t xml:space="preserve"> die demokratisch gewählten Bürgermeister von </w:t>
            </w:r>
            <w:r>
              <w:rPr>
                <w:b/>
                <w:i/>
              </w:rPr>
              <w:t>mehr als</w:t>
            </w:r>
            <w:r>
              <w:t xml:space="preserve"> zehn Gemeinden und Bezirken abzusetzen und sie durch vom Innenministerium ernannte Vertreter zu ersetzen; betrachtet diese langjährige Praxis der Ernennung von Vertretern als einen eklatanten Angriff auf die grundlegendsten Grundsätze der lokalen Demokratie; </w:t>
            </w:r>
            <w:r>
              <w:rPr>
                <w:b/>
                <w:i/>
              </w:rPr>
              <w:t>fordert die sofortige und bedingungslose Freilassung von, den Freispruch für und die Wiedereinsetzung von allen anderen willkürlich festgenommenen und ihres Postens enthobenen Bürgermeister;</w:t>
            </w:r>
            <w:r>
              <w:t xml:space="preserve"> </w:t>
            </w:r>
            <w:r>
              <w:rPr>
                <w:b/>
                <w:i/>
              </w:rPr>
              <w:t>fordert die türkischen Staatsorgane nachdrücklich auf, die Unterdrückung der politischen Opposition unverzüglich einzustellen und rückgängig zu machen und das Recht der Wähler auf Wahl ihrer gewählten Vertreter gemäß den Empfehlungen des Kongresses der Gemeinden und Regionen des Europarates und der Venedig-Kommission zu achten;</w:t>
            </w:r>
            <w:r>
              <w:t xml:space="preserve"> </w:t>
            </w:r>
            <w:r>
              <w:rPr>
                <w:b/>
                <w:i/>
              </w:rPr>
              <w:t>fordert die HR/VP auf, restriktive Maßnahmen im Rahmen der globalen Sanktionsregelung im Bereich der Menschenrechte gegen türkische Amtsträger, die für die rechtswidrige Abberufung gewählter Bürgermeister verantwortlich sind, und gegen diejenigen zu prüfen, die als von der Regierung ernannte Mandatsträger fungieren, um die gewählten Bürgermeister zu ersetzen;</w:t>
            </w:r>
            <w:r>
              <w:t xml:space="preserve"> </w:t>
            </w:r>
            <w:r>
              <w:rPr>
                <w:b/>
                <w:i/>
              </w:rPr>
              <w:t>verurteilt die heftige Unterdrückung der Proteste gegen die Absetzung gewählter Bürgermeister, einschließlich der willkürlichen Festnahme von Hunderten von Demonstranten, einschließlich Minderjähriger;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verurteilt aufs Schärfste die Entscheidung der türkischen Regierung, die demokratisch gewählten Bürgermeister von zehn Gemeinden und Bezirken abzusetzen und sie durch vom Innenministerium ernannte </w:t>
            </w:r>
            <w:r>
              <w:rPr>
                <w:b/>
                <w:i/>
              </w:rPr>
              <w:t>Vertreter</w:t>
            </w:r>
            <w:r>
              <w:t xml:space="preserve"> zu ersetzen; betrachtet diese langjährige Praxis der Ernennung von Vertretern als einen eklatanten Angriff auf die grundlegendsten Grundsätze der lokalen Demokratie;</w:t>
            </w:r>
          </w:p>
        </w:tc>
        <w:tc>
          <w:tcPr>
            <w:tcW w:w="4876" w:type="dxa"/>
            <w:tcBorders>
              <w:top w:val="nil"/>
              <w:left w:val="nil"/>
              <w:bottom w:val="nil"/>
              <w:right w:val="nil"/>
            </w:tcBorders>
          </w:tcPr>
          <w:p>
            <w:pPr>
              <w:pStyle w:val="Normal6a"/>
            </w:pPr>
            <w:r>
              <w:t>10.</w:t>
            </w:r>
            <w:r>
              <w:tab/>
            </w:r>
            <w:r>
              <w:t xml:space="preserve">verurteilt aufs Schärfste die Entscheidung der türkischen Regierung, die demokratisch gewählten Bürgermeister von zehn Gemeinden und Bezirken abzusetzen und sie durch vom Innenministerium ernannte </w:t>
            </w:r>
            <w:r>
              <w:rPr>
                <w:b/>
                <w:i/>
              </w:rPr>
              <w:t>Treuhänder der Regierung</w:t>
            </w:r>
            <w:r>
              <w:t xml:space="preserve"> zu ersetzen; betrachtet diese langjährige Praxis der Ernennung von Vertretern als einen eklatanten Angriff auf die grundlegendsten Grundsätze der lokalen Demokratie; </w:t>
            </w:r>
            <w:r>
              <w:rPr>
                <w:b/>
                <w:i/>
              </w:rPr>
              <w:t>betont, dass mit solchen Maßnahmen die Aussichten auf eine stärkere und umfassendere Partnerschaft mit der EU untergraben werden, da sie den langfristigen Fortschritten auf dem Weg zu einer engeren Zusammenarbeit abträglich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verurteilt aufs Schärfste die Entscheidung der türkischen Regierung, die demokratisch gewählten Bürgermeister von zehn Gemeinden und Bezirken abzusetzen und sie durch vom Innenministerium ernannte Vertreter zu ersetzen; betrachtet diese langjährige Praxis der Ernennung von Vertretern als einen eklatanten Angriff auf die grundlegendsten Grundsätze der lokalen Demokratie;</w:t>
            </w:r>
          </w:p>
        </w:tc>
        <w:tc>
          <w:tcPr>
            <w:tcW w:w="4876" w:type="dxa"/>
            <w:tcBorders>
              <w:top w:val="nil"/>
              <w:left w:val="nil"/>
              <w:bottom w:val="nil"/>
              <w:right w:val="nil"/>
            </w:tcBorders>
          </w:tcPr>
          <w:p>
            <w:pPr>
              <w:pStyle w:val="Normal6a"/>
            </w:pPr>
            <w:r>
              <w:t>10.</w:t>
            </w:r>
            <w:r>
              <w:tab/>
            </w:r>
            <w:r>
              <w:t xml:space="preserve">verurteilt aufs Schärfste die Entscheidung der türkischen Regierung, die demokratisch gewählten Bürgermeister von zehn Gemeinden und Bezirken abzusetzen und sie durch vom Innenministerium ernannte Vertreter zu ersetzen; betrachtet diese langjährige Praxis der Ernennung von Vertretern als einen eklatanten Angriff auf die grundlegendsten Grundsätze der lokalen Demokratie; </w:t>
            </w:r>
            <w:r>
              <w:rPr>
                <w:b/>
                <w:i/>
              </w:rPr>
              <w:t>betont, dass diese jüngsten Entscheidungen Teil einer zunehmenden Unterdrückung der kurdischen Gemeinschaft sind;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verurteilt aufs Schärfste die Entscheidung der türkischen Regierung, die demokratisch gewählten Bürgermeister von zehn Gemeinden und Bezirken abzusetzen und sie durch vom Innenministerium ernannte Vertreter zu ersetzen; betrachtet diese langjährige Praxis der Ernennung von Vertretern als einen eklatanten Angriff auf die grundlegendsten Grundsätze der lokalen Demokratie;</w:t>
            </w:r>
          </w:p>
        </w:tc>
        <w:tc>
          <w:tcPr>
            <w:tcW w:w="4876" w:type="dxa"/>
            <w:tcBorders>
              <w:top w:val="nil"/>
              <w:left w:val="nil"/>
              <w:bottom w:val="nil"/>
              <w:right w:val="nil"/>
            </w:tcBorders>
          </w:tcPr>
          <w:p>
            <w:pPr>
              <w:pStyle w:val="Normal6a"/>
            </w:pPr>
            <w:r>
              <w:t>10.</w:t>
            </w:r>
            <w:r>
              <w:tab/>
            </w:r>
            <w:r>
              <w:t xml:space="preserve">verurteilt aufs Schärfste die Entscheidung der türkischen Regierung, die demokratisch gewählten Bürgermeister von zehn Gemeinden und Bezirken abzusetzen und sie durch vom Innenministerium ernannte Vertreter zu ersetzen; betrachtet diese langjährige Praxis der Ernennung von Vertretern als einen eklatanten Angriff auf die grundlegendsten Grundsätze der lokalen Demokratie; </w:t>
            </w:r>
            <w:r>
              <w:rPr>
                <w:b/>
                <w:i/>
              </w:rPr>
              <w:t>betont, dass diese jüngsten Beschlüsse Teil eines verstärkten Vorgehens gegen die kurdische Gemeinschaft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Evin Incir, 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verurteilt aufs Schärfste die Entscheidung der türkischen Regierung, die demokratisch gewählten Bürgermeister von zehn Gemeinden und Bezirken abzusetzen und sie durch vom Innenministerium ernannte Vertreter zu ersetzen; betrachtet diese langjährige Praxis der Ernennung von Vertretern als einen eklatanten Angriff auf die grundlegendsten Grundsätze der lokalen Demokratie;</w:t>
            </w:r>
          </w:p>
        </w:tc>
        <w:tc>
          <w:tcPr>
            <w:tcW w:w="4876" w:type="dxa"/>
            <w:tcBorders>
              <w:top w:val="nil"/>
              <w:left w:val="nil"/>
              <w:bottom w:val="nil"/>
              <w:right w:val="nil"/>
            </w:tcBorders>
          </w:tcPr>
          <w:p>
            <w:pPr>
              <w:pStyle w:val="Normal6a"/>
            </w:pPr>
            <w:r>
              <w:t>10.</w:t>
            </w:r>
            <w:r>
              <w:tab/>
            </w:r>
            <w:r>
              <w:t>verurteilt aufs Schärfste die Entscheidung der türkischen Regierung, die demokratisch gewählten Bürgermeister von zehn Gemeinden und Bezirken abzusetzen</w:t>
            </w:r>
            <w:r>
              <w:rPr>
                <w:b/>
                <w:i/>
              </w:rPr>
              <w:t>, von denen die meisten kurdischer Herkunft sind,</w:t>
            </w:r>
            <w:r>
              <w:t xml:space="preserve"> und sie durch vom Innenministerium ernannte Vertreter zu ersetzen; betrachtet diese langjährige Praxis der Ernennung von Vertretern als einen eklatanten Angriff auf die grundlegendsten Grundsätze der lokalen Demokratie;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bedauert den zunehmenden politischen und sicherheitsrelevanten Einfluss der Türkei in den EU-Mitgliedstaaten, insbesondere durch seine Diaspora und politisch-religiöse Netze;</w:t>
            </w:r>
            <w:r>
              <w:t xml:space="preserve"> </w:t>
            </w:r>
            <w:r>
              <w:rPr>
                <w:b/>
                <w:i/>
              </w:rPr>
              <w:t>verurteilt die Einmischung der Türkei in die internen politischen Prozesse der Mitgliedstaaten und die Gewalttaten durch mit Ankara in Verbindung stehenden Gruppen wie die „Grauen Wölfe“;</w:t>
            </w:r>
            <w:r>
              <w:t xml:space="preserve"> </w:t>
            </w:r>
            <w:r>
              <w:rPr>
                <w:b/>
                <w:i/>
              </w:rPr>
              <w:t>fordert die Mitgliedstaaten auf, die erforderlichen Maßnahmen zu ergreifen, um den feindseligen Einfluss der Türkei auf ihrem jeweiligen Hoheitsgebiet zu begrenzen;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Özlem Demirel,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würdigt den Aufruf des Führers und Mitbegründers der PKK, Abdullah Öcalan, an die Mitglieder, ihre Waffen niederzulegen und die PKK aufzulösen, und betont, dass dies ein wichtiger Schritt auf dem Weg zu einer friedlichen, demokratischen und nachhaltigen Lösung der Kurdenfrage in der Türkei sein könnte;</w:t>
            </w:r>
            <w:r>
              <w:t xml:space="preserve"> </w:t>
            </w:r>
            <w:r>
              <w:rPr>
                <w:b/>
                <w:i/>
              </w:rPr>
              <w:t>verurteilt gleichzeitig aufs Schärfste die von den türkischen Staatsorganen betriebenen massiven Repressionen und Massenverhaftungen, die sich gegen weite Teile der Opposition richten;</w:t>
            </w:r>
            <w:r>
              <w:t xml:space="preserve"> </w:t>
            </w:r>
            <w:r>
              <w:rPr>
                <w:b/>
                <w:i/>
              </w:rPr>
              <w:t>bekräftigt, dass die Forderung von Öcalan eine positive Entwicklung ist und mit echtem politischen Willen und konkreten Maßnahmen der Türkei einhergehen muss, um einen konstruktiven Ansatz für eine dauerhafte Lösung der Kurdenfrage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begrüßt den Aufruf des militanten Führers Abdullah Öcalan an die PKK, ihre Waffen niederzulegen, und fordert die türkische Regierung nachdrücklich auf, diese Gelegenheit zu nutzen, um eine friedliche Lösung des türkisch-kurdischen Konflikts auszuhandeln, bei der Garantien für Demokratie, politische Rechte und Menschenrechte für die kurdische Bevölkerung der Türkei in den Mittelpunkt dieser Bemühungen gestellt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ist nach wie vor zutiefst besorgt über die Lage der verbleibenden christlichen Gemeinschaften in der Türkei und bedauert ihr allmähliches Verschwinden trotz ihrer historischen Verankerung;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bedauert, dass politische Parteien und Mitglieder der Opposition, die nach wie vor unter zunehmendem Druck stehen, weiterhin gezielt ins Visier genommen werden;</w:t>
            </w:r>
          </w:p>
        </w:tc>
        <w:tc>
          <w:tcPr>
            <w:tcW w:w="4876" w:type="dxa"/>
            <w:tcBorders>
              <w:top w:val="nil"/>
              <w:left w:val="nil"/>
              <w:bottom w:val="nil"/>
              <w:right w:val="nil"/>
            </w:tcBorders>
          </w:tcPr>
          <w:p>
            <w:pPr>
              <w:pStyle w:val="Normal6a"/>
            </w:pPr>
            <w:r>
              <w:t>11.</w:t>
            </w:r>
            <w:r>
              <w:tab/>
            </w:r>
            <w:r>
              <w:t>bedauert, dass politische Parteien und Mitglieder der Opposition, die nach wie vor unter zunehmendem Druck stehen, weiterhin gezielt ins Visier genommen werden;</w:t>
            </w:r>
            <w:r>
              <w:rPr>
                <w:b/>
                <w:i/>
              </w:rPr>
              <w:t>, wie die jüngsten gesonderten Verfahren gegen den CHP-Bürgermeister Rıza Akpolat in Istanbul, den CHP-Bürgermeister des Stadtteils Beykoz in Istanbul, Alaattin Köseler, den Vorsitzenden der CHP-Jugendabteilung Cem Aydın, den Vorsitzenden der Partei Zafer, Ümit Özdag, sowie neue und laufende Verfahren gegen den CHP Bürgermeister Ekrem İmamoğlu der Metropolite Istanbul zeigen;</w:t>
            </w:r>
            <w:r>
              <w:t xml:space="preserve"> </w:t>
            </w:r>
            <w:r>
              <w:rPr>
                <w:b/>
                <w:i/>
              </w:rPr>
              <w:t>ist entsetzt über das unerbittliche Vorgehen gegen jede Art von Kritik, das die türkischen Staatsorgane in jüngster Zeit auf alle Bereiche der türkischen Gesellschaft ausdehnen, wie es unter anderem an folgenden Beispielen abzulesen ist:</w:t>
            </w:r>
            <w:r>
              <w:t xml:space="preserve"> </w:t>
            </w:r>
            <w:r>
              <w:rPr>
                <w:b/>
                <w:i/>
              </w:rPr>
              <w:t>der Fall von Aye Barım, eines bekannter Talentscouts, der seit dem 27. Januar 2025 wegen mutmaßlicher Beteiligung an den „Gezi-Protesten“ vor zwölf Jahren inhaftiert wurde, die Ermittlungen gegen den Präsidenten und einen Geschäftsführer der großen Unternehmensgruppe TÜSIAD – Orhan Turan und Ömer Aras – oder die Anklage gegen den Chefredakteur von Halk TV, Suat Tokta, und die Journalisten Seda Selek, Barın Pehlivan, Serhan Asker und Kürnad Oğuz, denen dadurch lange Haftstrafen drohen;</w:t>
            </w:r>
            <w:r>
              <w:t xml:space="preserve"> </w:t>
            </w:r>
            <w:r>
              <w:rPr>
                <w:b/>
                <w:i/>
              </w:rPr>
              <w:t>ist besorgt über die Beteiligung des kürzlich ernannten Generalstaatsanwalts von Istanbul, Akın Gürlek, an allen oben genannten Fällen, der seit Langem in verschiedenen Positionen in prominenten Fällen im Zusammenhang mit politischen Persönlichkeiten tätig ist, was ein Grund sein könnte, die Anwendung restriktiver Maßnahmen im Rahmen der Sanktionsregelung der EU im Bereich der Menschenrechte in Erwägung zu ziehen;</w:t>
            </w:r>
            <w:r>
              <w:t xml:space="preserve"> </w:t>
            </w:r>
            <w:r>
              <w:rPr>
                <w:b/>
                <w:i/>
              </w:rPr>
              <w:t>ist ferner besorgt über den zunehmenden finanziellen Druck auf die Orte, in denen Kandidaten der Opposition die Wahl gewonnen haben, und kontroverse Ankündigungen wie die im Zusammenhang mit den Tagesbetreuungszentren, die von diesen Kommunen betrieben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bedauert</w:t>
            </w:r>
            <w:r>
              <w:t xml:space="preserve">, dass politische Parteien und Mitglieder der Opposition, die nach wie vor </w:t>
            </w:r>
            <w:r>
              <w:rPr>
                <w:b/>
                <w:i/>
              </w:rPr>
              <w:t>unter zunehmendem</w:t>
            </w:r>
            <w:r>
              <w:t xml:space="preserve"> Druck stehen</w:t>
            </w:r>
            <w:r>
              <w:rPr>
                <w:b/>
                <w:i/>
              </w:rPr>
              <w:t>, weiterhin gezielt ins Visier genommen</w:t>
            </w:r>
            <w:r>
              <w:t xml:space="preserve"> werden;</w:t>
            </w:r>
          </w:p>
        </w:tc>
        <w:tc>
          <w:tcPr>
            <w:tcW w:w="4876" w:type="dxa"/>
            <w:tcBorders>
              <w:top w:val="nil"/>
              <w:left w:val="nil"/>
              <w:bottom w:val="nil"/>
              <w:right w:val="nil"/>
            </w:tcBorders>
          </w:tcPr>
          <w:p>
            <w:pPr>
              <w:pStyle w:val="Normal6a"/>
            </w:pPr>
            <w:r>
              <w:t>11.</w:t>
            </w:r>
            <w:r>
              <w:tab/>
            </w:r>
            <w:r>
              <w:rPr>
                <w:b/>
                <w:i/>
              </w:rPr>
              <w:t>verurteilt aufs Schärfste</w:t>
            </w:r>
            <w:r>
              <w:t xml:space="preserve">, dass politische Parteien </w:t>
            </w:r>
            <w:r>
              <w:rPr>
                <w:b/>
                <w:i/>
              </w:rPr>
              <w:t>weiterhin ins Visier genommen</w:t>
            </w:r>
            <w:r>
              <w:t xml:space="preserve"> und Mitglieder der Opposition, </w:t>
            </w:r>
            <w:r>
              <w:rPr>
                <w:b/>
                <w:i/>
              </w:rPr>
              <w:t>darunter gewählte Vertreter, Journalisten und Akteure der Zivilgesellschaft, wegen politisch motivierter Anschuldigungen inhaftiert werden,</w:t>
            </w:r>
            <w:r>
              <w:t xml:space="preserve"> die nach wie vor </w:t>
            </w:r>
            <w:r>
              <w:rPr>
                <w:b/>
                <w:i/>
              </w:rPr>
              <w:t>zunehmend unter</w:t>
            </w:r>
            <w:r>
              <w:t xml:space="preserve"> Druck stehen</w:t>
            </w:r>
            <w:r>
              <w:rPr>
                <w:b/>
                <w:i/>
              </w:rPr>
              <w:t>;</w:t>
            </w:r>
            <w:r>
              <w:t xml:space="preserve"> </w:t>
            </w:r>
            <w:r>
              <w:rPr>
                <w:b/>
                <w:i/>
              </w:rPr>
              <w:t>fordert die türkischen Staatsorgane nachdrücklich auf, dafür zu sorgen, dass alle Personen, die wegen der Ausübung ihrer Grundfreiheiten inhaftiert wurden, unverzüglich freigelassen</w:t>
            </w:r>
            <w:r>
              <w:t xml:space="preserve"> werden</w:t>
            </w:r>
            <w:r>
              <w:rPr>
                <w:b/>
                <w:i/>
              </w:rPr>
              <w:t>, und den Missbrauch von Mechanismen zur Terrorismusbekämpfung und von gerichtlichen Mechanismen, um damit kritische Stimmen zu unterdrücken, einzustellen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bedauert, dass politische Parteien und Mitglieder der Opposition, die nach wie vor unter zunehmendem Druck stehen, weiterhin gezielt ins Visier genommen werden;</w:t>
            </w:r>
          </w:p>
        </w:tc>
        <w:tc>
          <w:tcPr>
            <w:tcW w:w="4876" w:type="dxa"/>
            <w:tcBorders>
              <w:top w:val="nil"/>
              <w:left w:val="nil"/>
              <w:bottom w:val="nil"/>
              <w:right w:val="nil"/>
            </w:tcBorders>
          </w:tcPr>
          <w:p>
            <w:pPr>
              <w:pStyle w:val="Normal6a"/>
            </w:pPr>
            <w:r>
              <w:t>11.</w:t>
            </w:r>
            <w:r>
              <w:tab/>
            </w:r>
            <w:r>
              <w:t xml:space="preserve">bedauert, dass politische Parteien und Mitglieder der Opposition, die nach wie vor unter zunehmendem Druck stehen, weiterhin gezielt ins Visier genommen werden; </w:t>
            </w:r>
            <w:r>
              <w:rPr>
                <w:b/>
                <w:i/>
              </w:rPr>
              <w:t>begrüßt die historische Ankündigung der PKK, einen Waffenstillstand anzustreben, ihren bewaffneten Kampf aufzugeben und sich selbst aufzulösen;</w:t>
            </w:r>
            <w:r>
              <w:t xml:space="preserve"> </w:t>
            </w:r>
            <w:r>
              <w:rPr>
                <w:b/>
                <w:i/>
              </w:rPr>
              <w:t>hofft auf einen ebenso bedeutenden Wandel im demokratischen Leben der Türkei unter Berücksichtigung der legitimen Bestrebungen der kurdischen Bevölkerungsgruppe und ist vorsichtig optimistisch, was friedliche Beziehungen in der gesamten Region angeht;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Evin Incir, 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bedauert, dass </w:t>
            </w:r>
            <w:r>
              <w:rPr>
                <w:b/>
                <w:i/>
              </w:rPr>
              <w:t>politische Parteien und Mitglieder der Opposition</w:t>
            </w:r>
            <w:r>
              <w:t>, die nach wie vor unter zunehmendem Druck stehen, weiterhin gezielt ins Visier genommen werden;</w:t>
            </w:r>
          </w:p>
        </w:tc>
        <w:tc>
          <w:tcPr>
            <w:tcW w:w="4876" w:type="dxa"/>
            <w:tcBorders>
              <w:top w:val="nil"/>
              <w:left w:val="nil"/>
              <w:bottom w:val="nil"/>
              <w:right w:val="nil"/>
            </w:tcBorders>
          </w:tcPr>
          <w:p>
            <w:pPr>
              <w:pStyle w:val="Normal6a"/>
            </w:pPr>
            <w:r>
              <w:t>11.</w:t>
            </w:r>
            <w:r>
              <w:tab/>
            </w:r>
            <w:r>
              <w:t xml:space="preserve">bedauert, dass </w:t>
            </w:r>
            <w:r>
              <w:rPr>
                <w:b/>
                <w:i/>
              </w:rPr>
              <w:t>Mitglieder der Opposition und von politischen Parteien</w:t>
            </w:r>
            <w:r>
              <w:t>, die nach wie vor unter zunehmendem Druck stehen</w:t>
            </w:r>
            <w:r>
              <w:rPr>
                <w:b/>
                <w:i/>
              </w:rPr>
              <w:t>, darunter Selahattin Demirtaş und Figen Yüksekdağ</w:t>
            </w:r>
            <w:r>
              <w:t>, weiterhin gezielt ins Visier genommen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bedauert, dass politische Parteien und Mitglieder der Opposition, die nach wie vor unter zunehmendem Druck stehen, weiterhin gezielt ins Visier genommen werden;</w:t>
            </w:r>
          </w:p>
        </w:tc>
        <w:tc>
          <w:tcPr>
            <w:tcW w:w="4876" w:type="dxa"/>
            <w:tcBorders>
              <w:top w:val="nil"/>
              <w:left w:val="nil"/>
              <w:bottom w:val="nil"/>
              <w:right w:val="nil"/>
            </w:tcBorders>
          </w:tcPr>
          <w:p>
            <w:pPr>
              <w:pStyle w:val="Normal6a"/>
            </w:pPr>
            <w:r>
              <w:t>11.</w:t>
            </w:r>
            <w:r>
              <w:tab/>
            </w:r>
            <w:r>
              <w:t>bedauert, dass politische Parteien und Mitglieder der Opposition, die nach wie vor unter zunehmendem Druck stehen, weiterhin gezielt ins Visier genommen werden</w:t>
            </w:r>
            <w:r>
              <w:rPr>
                <w:b/>
                <w:i/>
              </w:rPr>
              <w:t>, wozu auch Repressionen gegen kurdische Politiker gehören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fordert die Türkei auf, bei der Verhinderung und Bekämpfung des illegalen Handels und der vorsätzlichen Zerstörung kulturellen Erbes in der Türkei und dem besetzten Teil Zyperns mit einschlägigen internationalen Organisationen zusammenzuarbeiten, insbesondere mit dem Europarat;</w:t>
            </w:r>
            <w:r>
              <w:t xml:space="preserve"> </w:t>
            </w:r>
            <w:r>
              <w:rPr>
                <w:b/>
                <w:i/>
              </w:rPr>
              <w:t>betont, dass der Austausch mit einschlägigen internationalen Organisationen und der EU über die Erhaltung des kulturellen und religiösen Erbes unbedingt fortgesetzt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bedauert, dass beim Schutz der Rechte von Mitgliedern und Stiftungen nicht muslimischer Minderheiten keine Fortschritte erzielt wurden; betont, dass die Rechtsvorschriften über Eigentumsrechte für Mitglieder und Stiftungen nicht muslimischer Minderheiten überarbeitet werden müssen, um einen umfassenderen Rahmen im Einklang mit den Urteilen des EGMR und den EU-Standards zu schaffen;</w:t>
            </w:r>
            <w:r>
              <w:t xml:space="preserve"> </w:t>
            </w:r>
            <w:r>
              <w:rPr>
                <w:b/>
                <w:i/>
              </w:rPr>
              <w:t>fordert die Türkei auf, die seit langem erwartete Verordnung über die Wahl von Vorstandsmitgliedern in Stiftungen nicht muslimischer Minderheiten, die Träger kommunaler Krankenhäuser sind, anzunehmen;</w:t>
            </w:r>
            <w:r>
              <w:t xml:space="preserve"> </w:t>
            </w:r>
            <w:r>
              <w:rPr>
                <w:b/>
                <w:i/>
              </w:rPr>
              <w:t>weist erneut darauf hin, dass die Türkei alle Empfehlungen der Resolution 1625(2008) des Europarats uneingeschränkt umsetzen muss, insbesondere was die Rechte der griechisch-orthodoxen Bevölkerung und ihrer Stiftungen auf den Inseln Imbros und Ténedos auf Rückgabe ihres Eigentums sowie Erbrechte betrifft, und dass die Türkei alle erforderlichen Maßnahmen für eine positive Diskriminierung ergreifen muss, um Familien, die einer Minderheit angehören und auf die Inseln zurückkehren möchten, bei der Repatriierung zu unterstützen;</w:t>
            </w:r>
            <w:r>
              <w:t xml:space="preserve"> </w:t>
            </w:r>
            <w:r>
              <w:rPr>
                <w:b/>
                <w:i/>
              </w:rPr>
              <w:t>betont, dass der bikulturelle Charakter der Inseln bewahrt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stellt fest, dass beim Schutz der Rechte der Angehörigen und Stiftungen nicht muslimischer Minderheiten, einschließlich der Rechte der griechisch-orthodoxen Bevölkerung auf den Inseln Gökçeada (Imbros) und Bozcaada (Tenedos), keine Fortschritte zu verzeichnen sind;</w:t>
            </w:r>
            <w:r>
              <w:t xml:space="preserve"> </w:t>
            </w:r>
            <w:r>
              <w:rPr>
                <w:b/>
                <w:i/>
              </w:rPr>
              <w:t>betont, dass die Rechtsvorschriften über Eigentumsrechte für Mitglieder und Stiftungen nicht muslimischer Minderheiten überarbeitet werden müssen, um einen umfassenderen Rahmen im Einklang mit den Urteilen des EGMR und den EU-Normen sicherzustellen;</w:t>
            </w:r>
            <w:r>
              <w:t xml:space="preserve"> </w:t>
            </w:r>
            <w:r>
              <w:rPr>
                <w:b/>
                <w:i/>
              </w:rPr>
              <w:t>fordert die Türkei auf, die seit langem erwartete Verordnung über die Wahl von Vorstandsmitgliedern in Stiftungen nicht muslimischer Minderheiten, die Träger kommunaler Krankenhäuser sind, anzunehmen;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stellt fest, dass beim Schutz der Rechte der Angehörigen und Stiftungen nicht muslimischer Minderheiten, einschließlich der Rechte der griechisch-orthodoxen Bevölkerung auf den Inseln Gökçeada (Imbros) und Bozcaada (Tenedos), keine Fortschritte zu verzeichnen sind;</w:t>
            </w:r>
            <w:r>
              <w:t xml:space="preserve"> </w:t>
            </w:r>
            <w:r>
              <w:rPr>
                <w:b/>
                <w:i/>
              </w:rPr>
              <w:t>betont, dass die Rechtsvorschriften über Eigentumsrechte für Mitglieder und Stiftungen nicht muslimischer Minderheiten überarbeitet werden müssen, um einen umfassenderen Rahmen im Einklang mit den Urteilen des EGMR und den EU-Normen sicherzustellen;</w:t>
            </w:r>
            <w:r>
              <w:t xml:space="preserve"> </w:t>
            </w:r>
            <w:r>
              <w:rPr>
                <w:b/>
                <w:i/>
              </w:rPr>
              <w:t>fordert die Türkei auf, die seit langem erwartete Verordnung über die Wahl von Vorstandsmitgliedern in Stiftungen nicht muslimischer Minderheiten, die Träger kommunaler Krankenhäuser sind, anzunehmen;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bedauert, dass es im Jahr 2024 die höchste Zahl an Frauenmorden (Femiziden) in der Türkei seit 2010,dem Jahr vor der Unterzeichnung des Übereinkommens von Istanbul, gegeben hat;</w:t>
            </w:r>
            <w:r>
              <w:t xml:space="preserve"> </w:t>
            </w:r>
            <w:r>
              <w:rPr>
                <w:b/>
                <w:i/>
              </w:rPr>
              <w:t>bekräftigt seine entschiedene Verurteilung de Kündigung dieses internationalen Abkommens durch die Türkei per Präsidialerlass und fordert erneut, diesen Beschluss rückgängig zu machen;</w:t>
            </w:r>
            <w:r>
              <w:t xml:space="preserve"> </w:t>
            </w:r>
            <w:r>
              <w:rPr>
                <w:b/>
                <w:i/>
              </w:rPr>
              <w:t>fordert die türkischen staatlichen Stellen nachdrücklich auf, den Rechtsrahmen und seine Umsetzung zu verbessern, damit wirksam gegen alle Formen von Gewalt gegen Frauen vorgegangen wird und Fortschritte bei der Gleichstellung der Geschlechter erzielt werden, insbesondere im Hinblick auf die Mitwirkung von Frauen in Entscheidungsprozessen und bei der Politikgestaltung;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Evin Incir,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begrüßt die jüngsten Entwicklungen in Bezug auf die Kurdenfrage in der Türkei, einschließlich der Forderung des inhaftierten PKK-Führers Abdullah Öcalan, sich an einem Friedensprozess zu beteiligen und die Waffen niederzulegen;</w:t>
            </w:r>
            <w:r>
              <w:t xml:space="preserve"> </w:t>
            </w:r>
            <w:r>
              <w:rPr>
                <w:b/>
                <w:i/>
              </w:rPr>
              <w:t>betont, dass dies eine große Chance darstellt und von einem politischen und inklusiven Prozess zur friedlichen Beilegung des Konflikts begleitet werden muss, und fordert, dass mit diesem Prozess für Gerechtigkeit und die uneingeschränkte Verwirklichung gleicher Rechte für die kurdischen Bevölkerungsgruppen und andere Minderheitengruppen in der Türkei gesorgt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Fordert die türkische Regierung auf, sich an einem erneuerten und inklusiven politischen Dialog zu beteiligen, der auf eine friedliche Lösung der Kurdenfrage abzielt;</w:t>
            </w:r>
            <w:r>
              <w:t xml:space="preserve"> </w:t>
            </w:r>
            <w:r>
              <w:rPr>
                <w:b/>
                <w:i/>
              </w:rPr>
              <w:t>betont, dass die Menschenrechte, politischer Pluralismus und die Bürgerrechte für alle Bürger, einschließlich der Kurden, gewahrt werden müssen;</w:t>
            </w:r>
            <w:r>
              <w:t xml:space="preserve"> </w:t>
            </w:r>
            <w:r>
              <w:rPr>
                <w:b/>
                <w:i/>
              </w:rPr>
              <w:t>bedauert die anhaltende politische Unterdrückung, Schikanierung durch die Justiz und Beschneidung der kulturellen und sprachlichen Rechte der kurdischen Bürger, wodurch die demokratischen Grundsätze und der soziale Zusammenhalt untergraben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verurteilt aufs Schärfste die systematische Förderung extremistischer Ideologien durch die Türkei, einschließlich ihrer Annäherung an islamistische Bewegungen, die den Grundsätzen der Demokratie und den jüdisch-christlichen Werten feindselig gegenüberstehen;</w:t>
            </w:r>
            <w:r>
              <w:t xml:space="preserve"> </w:t>
            </w:r>
            <w:r>
              <w:rPr>
                <w:b/>
                <w:i/>
              </w:rPr>
              <w:t>verurteilt ferner die aktive Rolle der türkischen Regierung bei der Förderung von Antisemitismus durch staatlich gelenkte Institutionen und Medien sowie mittels der Außenpolitik;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stellt fest, dass der Bruch der Türkei mit der internationalen Legitimität, der Achtung der nationalen Souveränität ihrer Nachbarstaaten und den grundlegenden europäischen Voraussetzungen für die Rechtsstaatlichkeit eine entsprechende europäische Reaktion erfordert;</w:t>
            </w:r>
            <w:r>
              <w:t xml:space="preserve"> </w:t>
            </w:r>
            <w:r>
              <w:rPr>
                <w:b/>
                <w:i/>
              </w:rPr>
              <w:t>ist daher der Ansicht, dass europäische Ausgaben, die der Türkei in irgendeiner Weise zugutekommen, ausgesetzt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bedauert, dass die Freiheit des Internets in der Türkei nach wie vor eingeschränkt ist, da lange Haftstrafen für Beiträge in den Social Media verhängt werden, es zahlreiche Zugangssperren und Anordnungen zur Entfernung von Inhalte erlassen wurden und falsche Informationen verbreitet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verurteilt aufs Schärfste die systematische Förderung extremistischer Ideologien durch die Türkei, einschließlich ihrer Annäherung an islamistische Bewegungen, die den Grundsätzen der Demokratie und den jüdisch-christlichen Werten feindselig gegenüberstehen;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fordert den Rat auf, die türkische Organisation „Graue Wölfe“ in die EU-Liste terroristischer Organisationen aufzunehmen;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fordert den Europäischen Rat auf, die türkische Organisation „Graue Wölfe“ in die EU-Liste der terroristischen Vereinigungen aufzunehmen;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w:t>
            </w:r>
            <w:r>
              <w:tab/>
            </w:r>
            <w:r>
              <w:rPr>
                <w:b/>
                <w:i/>
              </w:rPr>
              <w:t>fordert die Türkei erneut auf, die Bedeutung des Ökumenischen Patriarchats für orthodoxe Christen auf der ganzen Welt, dessen Rechtspersönlichkeit sowie die öffentliche Verwendung des geistlichen Titels des Ökumenischen Patriarchen anzuerkennen;</w:t>
            </w:r>
            <w:r>
              <w:t xml:space="preserve"> </w:t>
            </w:r>
            <w:r>
              <w:rPr>
                <w:b/>
                <w:i/>
              </w:rPr>
              <w:t>betont, dass Rechtsvorschriften erforderlich sind, die es allen Religionsgemeinschaften und ihren Stiftungen ermöglichen, Rechtspersönlichkeit im Einklang mit allen einschlägigen Urteilen des EGMR und den Empfehlungen der Venedig-Kommission zu erlangen;</w:t>
            </w:r>
            <w:r>
              <w:t xml:space="preserve"> </w:t>
            </w:r>
            <w:r>
              <w:rPr>
                <w:b/>
                <w:i/>
              </w:rPr>
              <w:t>fordert die Türkei auf, die Hagia Sophia und die Chora-Kirche von Moscheen wieder in Museen zu verwandeln;</w:t>
            </w:r>
            <w:r>
              <w:t xml:space="preserve"> </w:t>
            </w:r>
            <w:r>
              <w:rPr>
                <w:b/>
                <w:i/>
              </w:rPr>
              <w:t>fordert die Türkei auf, den außergewöhnlichen universellen Wert der Denkmäler, die in der UNESCO-Liste der Weltkulturgüter aufgeführt sind, uneingeschränkt zu achten und zu schützen;</w:t>
            </w:r>
            <w:r>
              <w:t xml:space="preserve"> </w:t>
            </w:r>
            <w:r>
              <w:rPr>
                <w:b/>
                <w:i/>
              </w:rPr>
              <w:t>nimmt mit Besorgnis zur Kenntnis, dass die Türkei die beiden Beschlüsse des UNESCO-Welterbekomitees von 2021 und 2023 über ihre Verpflichtung, besondere Maßnahmen zu ergreifen, um die Hagia Sophia und die Chora-Kirche vor weiteren Schäden zu schützen, die durch ihre Öffnung für öffentliche Gebete verursacht werden, immer noch nicht umgesetzt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w:t>
            </w:r>
            <w:r>
              <w:tab/>
            </w:r>
            <w:r>
              <w:rPr>
                <w:b/>
                <w:i/>
              </w:rPr>
              <w:t>fordert die Türkei erneut auf, die Bedeutung des Ökumenischen Patriarchats für orthodoxe Christen auf der ganzen Welt, dessen Rechtspersönlichkeit sowie die öffentliche Verwendung des geistlichen Titels des Ökumenischen Patriarchen anzuerkennen;</w:t>
            </w:r>
            <w:r>
              <w:t xml:space="preserve"> </w:t>
            </w:r>
            <w:r>
              <w:rPr>
                <w:b/>
                <w:i/>
              </w:rPr>
              <w:t>betont, dass Rechtsvorschriften erforderlich sind, die es allen Religionsgemeinschaften und ihren Stiftungen ermöglichen, Rechtspersönlichkeit im Einklang mit allen einschlägigen Urteilen des EGMR und den Empfehlungen der Venedig-Kommission zu erlangen;</w:t>
            </w:r>
            <w:r>
              <w:t xml:space="preserve"> </w:t>
            </w:r>
            <w:r>
              <w:rPr>
                <w:b/>
                <w:i/>
              </w:rPr>
              <w:t>fordert die Türkei auf, die Hagia Sophia und die Chora-Kirche von Moscheen wieder in Museen zu verwandeln;</w:t>
            </w:r>
            <w:r>
              <w:t xml:space="preserve"> </w:t>
            </w:r>
            <w:r>
              <w:rPr>
                <w:b/>
                <w:i/>
              </w:rPr>
              <w:t>fordert die Türkei auf, den außergewöhnlichen universellen Wert der Denkmäler, die in der UNESCO-Liste der Weltkulturgüter aufgeführt sind, uneingeschränkt zu achten und zu schützen;</w:t>
            </w:r>
            <w:r>
              <w:t xml:space="preserve"> </w:t>
            </w:r>
            <w:r>
              <w:rPr>
                <w:b/>
                <w:i/>
              </w:rPr>
              <w:t>nimmt mit Besorgnis zur Kenntnis, dass die Türkei die beiden Beschlüsse des UNESCO-Welterbekomitees von 2021 und 2023 über ihre Verpflichtung, besondere Maßnahmen zu ergreifen, um die Hagia Sophia und die Chora-Kirche vor weiteren Schäden zu schützen, die durch ihre Öffnung für öffentliche Gebete verursacht werden, immer noch nicht umgesetzt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w:t>
            </w:r>
            <w:r>
              <w:tab/>
            </w:r>
            <w:r>
              <w:rPr>
                <w:b/>
                <w:i/>
              </w:rPr>
              <w:t>bedauert, dass die Empfehlungen der Venedig-Kommission und die einschlägigen Urteile des EGMR zum Status von Religionsgemeinschaften, die es ihnen ermöglichen, Rechtspersönlichkeit in der Türkei zu erlangen, noch nicht umgesetzt wurden;</w:t>
            </w:r>
            <w:r>
              <w:t xml:space="preserve"> </w:t>
            </w:r>
            <w:r>
              <w:rPr>
                <w:b/>
                <w:i/>
              </w:rPr>
              <w:t>fordert die Türkei erneut auf, die Bedeutung des Ökumenischen Patriarchats für orthodoxe Christen auf der ganzen Welt, dessen Rechtspersönlichkeit sowie die öffentliche Verwendung des geistlichen Titels des Ökumenischen Patriarchs anzuerkennen;</w:t>
            </w:r>
            <w:r>
              <w:t xml:space="preserve"> </w:t>
            </w:r>
            <w:r>
              <w:rPr>
                <w:b/>
                <w:i/>
              </w:rPr>
              <w:t>betont, dass die Beschränkungen bei der Ausbildung, Ernennung und Nachfolge von Geistlichen aufgehoben werden müssen und dass die Wiedereröffnung des Seminars von Chalki erlaubt werden muss und alle Hindernisse für einen reibungslosen Seminarbetrieb beseitigt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w:t>
            </w:r>
            <w:r>
              <w:tab/>
            </w:r>
            <w:r>
              <w:rPr>
                <w:b/>
                <w:i/>
              </w:rPr>
              <w:t>bedauert nach wie vor den mangelnden Schutz der Grundrechte von LGBTI+, die anhaltende Diskriminierung, Hetze und hassmotivierten Straftaten, denen die LGBTI+-Gemeinschaft ausgesetzt ist und die häufig von den staatlichen Stellen gebilligt werden, wie die Massenverhaftungen während der Gay-Pride-Parade im Jahr 2023 und deren Verbot im Jahr 2024 zeigen, wobei gleichzeitig Demonstrationen gegen LGBTI+ zugelassen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w:t>
            </w:r>
            <w:r>
              <w:tab/>
            </w:r>
            <w:r>
              <w:rPr>
                <w:b/>
                <w:i/>
              </w:rPr>
              <w:t>fordert die Kommission und den Rat auf, die Förderung von Antisemitismus durch die Türkei in die jährliche Bewertung des Beitrittsprozesses der EU einzubeziehen und deutlich zu machen, dass solche Maßnahmen mit den Werten der EU unvereinbar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w:t>
            </w:r>
            <w:r>
              <w:tab/>
            </w:r>
            <w:r>
              <w:rPr>
                <w:b/>
                <w:i/>
              </w:rPr>
              <w:t>verurteilt ferner die aktive Rolle der türkischen Regierung bei der Förderung von Antisemitismus durch staatlich gelenkte Institutionen und Medien sowie mittels der Außenpolitik;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w:t>
            </w:r>
            <w:r>
              <w:tab/>
            </w:r>
            <w:r>
              <w:rPr>
                <w:b/>
                <w:i/>
              </w:rPr>
              <w:t>fordert die Türkei nachdrücklich auf, den politisch motivierten Missbrauch von Gesetzen zur Terrorismusbekämpfung gegen Oppositionspolitiker, Menschenrechtsverteidiger und Journalisten einzustellen;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Yannis Maniatis, Costas Mavrides,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c.</w:t>
            </w:r>
            <w:r>
              <w:tab/>
            </w:r>
            <w:r>
              <w:rPr>
                <w:b/>
                <w:i/>
              </w:rPr>
              <w:t>fordert die Türkei auf, die Hagia Sophia und die Chora-Kirche, zwei UNESCO-Welterbedendenkmäler wieder von Moscheen in Museen umzuwandeln, da ihre derzeitige Nutzung eine ernsthafte Bedrohung für ihre Stabilität und für die Bewahrung des multikulturellen Charakters des Landes darstellt;</w:t>
            </w:r>
            <w:r>
              <w:t xml:space="preserve"> </w:t>
            </w:r>
            <w:r>
              <w:rPr>
                <w:b/>
                <w:i/>
              </w:rPr>
              <w:t>bedauert, dass die Türkei die beiden Beschlüsse des UNESCO-Welterbekomitees von 2021 und 2023 über ihre Verpflichtung, besondere Maßnahmen zu ergreifen, um die Hagia Sophia und die Chora-Kirche vor weiteren Schäden zu schützen, die durch ihre Öffnung für öffentliche Gebete verursacht werden, immer noch nicht umgesetzt hat;</w:t>
            </w:r>
            <w:r>
              <w:t xml:space="preserve"> </w:t>
            </w:r>
            <w:r>
              <w:rPr>
                <w:b/>
                <w:i/>
              </w:rPr>
              <w:t>bedauert den mangelnden Schutz des Klosters Sumela, das zur Aufnahme in die Liste der Unesco-Welterbestätten vorgeschlagen worden ist, und ist überzeugt, dass diese Maßnahmen das Vertrauen zwischen der türkischen Regierung und den Religionsgemeinschaften im Land untergraben;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c.</w:t>
            </w:r>
            <w:r>
              <w:tab/>
            </w:r>
            <w:r>
              <w:rPr>
                <w:b/>
                <w:i/>
              </w:rPr>
              <w:t>bekräftigt, dass beim Schutz der Rechte ethnischer und religiöser Minderheiten, insbesondere hinsichtlich ihrer Rechtspersönlichkeit, keine nennenswerten Fortschritte zu verzeichnen sind;</w:t>
            </w:r>
            <w:r>
              <w:t xml:space="preserve"> </w:t>
            </w:r>
            <w:r>
              <w:rPr>
                <w:b/>
                <w:i/>
              </w:rPr>
              <w:t>fordert die Türkei auf, die diesbezüglichen Empfehlungen der Venedig-Kommission umzusetzen;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c.</w:t>
            </w:r>
            <w:r>
              <w:tab/>
            </w:r>
            <w:r>
              <w:rPr>
                <w:b/>
                <w:i/>
              </w:rPr>
              <w:t>fordert die EU-Organe nachdrücklich auf, die Überwachungsmechanismen in Bezug auf die Verbindungen der Türkei zur Muslimbruderschaft und den angeschlossenen Netzwerken in Europa zu stärken, da diese bei der Förderung extremistischer Narrative sowie bei der Untergrabung des sozialen Zusammenhalts und der Sicherheit in den Mitgliedstaaten eine Rolle spielen;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c.</w:t>
            </w:r>
            <w:r>
              <w:tab/>
            </w:r>
            <w:r>
              <w:rPr>
                <w:b/>
                <w:i/>
              </w:rPr>
              <w:t>begrüßt den verstärkten Dialog mit christlichen Minderheiten, betont jedoch, dass weitere Anstrengungen erforderlich sind, um die uneingeschränkte Religionsfreiheit und Diskriminierungsfreiheit im Rahmen der Vereinten Nationen und gemäß dem Besitzstand und den Grundsätzen der EU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c.</w:t>
            </w:r>
            <w:r>
              <w:tab/>
            </w:r>
            <w:r>
              <w:rPr>
                <w:b/>
                <w:i/>
              </w:rPr>
              <w:t>fordert die Kommission und den Rat auf, Türkeis Förderung des Antisemitismus in die jährliche Bewertung des Beitrittsprozesses der EU einzubeziehen und deutlich zu machen, dass ein solches Verhalten mit den Werten der EU unvereinbar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d.</w:t>
            </w:r>
            <w:r>
              <w:tab/>
            </w:r>
            <w:r>
              <w:rPr>
                <w:b/>
                <w:i/>
              </w:rPr>
              <w:t>begrüßt den jüngsten Aufruf von Abdullah Öcalan an die PKK, ihre Waffen niederzulegen und in einem historischen und lang erwarteten Schritt selbst aufzulösen, damit 40 Jahren der Gewalt, die mehr als 40 000 Menschenleben gefordert hat, ein Ende gesetzt werden kann;</w:t>
            </w:r>
            <w:r>
              <w:t xml:space="preserve"> </w:t>
            </w:r>
            <w:r>
              <w:rPr>
                <w:b/>
                <w:i/>
              </w:rPr>
              <w:t>lobt die Bemühungen aller beteiligten Akteure, diese Entwicklungen zu befördern, einschließlich des konstruktiven Ansatzes führender Politiker, der vom Parteivorsitzenden der MHP, Devlet Bahçeli, initiiert wurde und die Besuche einer Delegation der Partei DEM im Gefängnis auf der Insel İmralı und die umfassenden Konsultationen, die letztere mit anderen politischen Parteien geführt hat, ermöglichte;</w:t>
            </w:r>
            <w:r>
              <w:t xml:space="preserve"> </w:t>
            </w:r>
            <w:r>
              <w:rPr>
                <w:b/>
                <w:i/>
              </w:rPr>
              <w:t>fordert und unterstützt weitere Schritte aller Beteiligten zur Verbesserung des Dialogs und der Aussöhnung und zur Wiederaufnahme eines politischen und inklusiven Prozesses, der möglicherweise zu einer friedlichen Lösung der Kurdenfrage in politischen, sozialen, demokratischen und sicherheitsbezogenen Aspekten führen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d.</w:t>
            </w:r>
            <w:r>
              <w:tab/>
            </w:r>
            <w:r>
              <w:rPr>
                <w:b/>
                <w:i/>
              </w:rPr>
              <w:t>fordert die EU-Organe nachdrücklich auf, die Überwachungsmechanismen in Bezug auf die Verbindungen der Türkei zur Muslimbruderschaft und den angeschlossenen Netzwerken in Europa zu stärken, da diese bei der Förderung extremistischer Narrative sowie bei der Untergrabung des sozialen Zusammenhalts und der Sicherheit in den Mitgliedstaaten eine Rolle spielen;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betont, dass die Kandidatur der Türkei für eine Teilnahme an BRICS+ keinen geopolitischen oder geostrategischen Bruch mit dem Westen darstellt, sondern den Wunsch Ankaras aufzeigt, seine geoökonomischen und geopolitischen Optionen zu diversifizieren;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Jordan Bardella, 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w:t>
            </w:r>
            <w:r>
              <w:tab/>
            </w:r>
            <w:r>
              <w:rPr>
                <w:b/>
                <w:i/>
              </w:rPr>
              <w:t>betont, dass die Kandidatur der Türkei für BRICS+ keinen geopolitischen oder geostrategischen Bruch mit dem Westen darstellt, sondern den Wunsch Ankaras widerspiegelt, seine geoökonomischen und geopolitischen Optionen zu diversifizieren;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770.094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168</w:t>
    </w:r>
    <w:r>
      <w:fldChar w:fldCharType="end"/>
    </w:r>
    <w:r>
      <w:t>/</w:t>
    </w:r>
    <w:r>
      <w:fldChar w:fldCharType="begin"/>
    </w:r>
    <w:r>
      <w:instrText xml:space="preserve"> NUMPAGES </w:instrText>
    </w:r>
    <w:r>
      <w:fldChar w:fldCharType="separate"/>
    </w:r>
    <w:r>
      <w:t>169</w:t>
    </w:r>
    <w:r>
      <w:fldChar w:fldCharType="end"/>
    </w:r>
    <w:r>
      <w:tab/>
    </w:r>
    <w:r>
      <w:rPr>
        <w:rStyle w:val="HideTWBExt"/>
      </w:rPr>
      <w:t>&lt;PathFdR&gt;</w:t>
    </w:r>
    <w:r>
      <w:t>AM\1316303DE.docx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AM\1316303DE.docx</w:t>
    </w:r>
    <w:r>
      <w:rPr>
        <w:rStyle w:val="HideTWBExt"/>
      </w:rPr>
      <w:t>&lt;/PathFdR&gt;</w:t>
    </w:r>
    <w:r>
      <w:tab/>
    </w:r>
    <w:r>
      <w:fldChar w:fldCharType="begin"/>
    </w:r>
    <w:r>
      <w:instrText xml:space="preserve"> PAGE </w:instrText>
    </w:r>
    <w:r>
      <w:fldChar w:fldCharType="separate"/>
    </w:r>
    <w:r>
      <w:t>169</w:t>
    </w:r>
    <w:r>
      <w:fldChar w:fldCharType="end"/>
    </w:r>
    <w:r>
      <w:t>/</w:t>
    </w:r>
    <w:r>
      <w:fldChar w:fldCharType="begin"/>
    </w:r>
    <w:r>
      <w:instrText xml:space="preserve"> NUMPAGES </w:instrText>
    </w:r>
    <w:r>
      <w:fldChar w:fldCharType="separate"/>
    </w:r>
    <w:r>
      <w:t>169</w:t>
    </w:r>
    <w:r>
      <w:fldChar w:fldCharType="end"/>
    </w:r>
    <w:r>
      <w:tab/>
    </w:r>
    <w:r>
      <w:t>PE</w:t>
    </w:r>
    <w:r>
      <w:rPr>
        <w:rStyle w:val="HideTWBExt"/>
      </w:rPr>
      <w:t>&lt;NoPE&gt;</w:t>
    </w:r>
    <w:r>
      <w:t>770.094</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AM\1316303DE.docx</w:t>
    </w:r>
    <w:r>
      <w:rPr>
        <w:rStyle w:val="HideTWBExt"/>
      </w:rPr>
      <w:t>&lt;/PathFdR&gt;</w:t>
    </w:r>
    <w:r>
      <w:tab/>
    </w:r>
    <w:r>
      <w:tab/>
    </w:r>
    <w:r>
      <w:t>PE</w:t>
    </w:r>
    <w:r>
      <w:rPr>
        <w:rStyle w:val="HideTWBExt"/>
      </w:rPr>
      <w:t>&lt;NoPE&gt;</w:t>
    </w:r>
    <w:r>
      <w:t>770.094</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169</Pages>
  <Words>29064</Words>
  <Characters>192413</Characters>
  <Application>Microsoft Office Word</Application>
  <DocSecurity>0</DocSecurity>
  <Lines>1</Lines>
  <Paragraphs>2790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1316303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158341</vt:lpwstr>
  </property>
  <property fmtid="{D5CDD505-2E9C-101B-9397-08002B2CF9AE}" pid="7" name="dmxml.render.traceId">
    <vt:lpwstr>67eeb5833c9f6c4ad662354f53f2fa48</vt:lpwstr>
  </property>
  <property fmtid="{D5CDD505-2E9C-101B-9397-08002B2CF9AE}" pid="8" name="FooterPath">
    <vt:lpwstr>AM\1316303DE.docx</vt:lpwstr>
  </property>
  <property fmtid="{D5CDD505-2E9C-101B-9397-08002B2CF9AE}" pid="9" name="PE Number">
    <vt:lpwstr>770.094</vt:lpwstr>
  </property>
  <property fmtid="{D5CDD505-2E9C-101B-9397-08002B2CF9AE}" pid="10" name="UID">
    <vt:lpwstr>eu.europa.europarl-DIN1-2025-0000042377_01.00-de-01.00_text-xml</vt:lpwstr>
  </property>
</Properties>
</file>