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2025/2017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{25/03/2025}</w:t>
      </w:r>
      <w:r>
        <w:t>25.3.2025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236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Andreas Schieder</w:t>
      </w:r>
      <w:r>
        <w:rPr>
          <w:rStyle w:val="HideTWBExt"/>
        </w:rPr>
        <w:t>&lt;/Rapporteur&gt;</w:t>
      </w:r>
    </w:p>
    <w:p>
      <w:pPr>
        <w:pStyle w:val="CoverNormal24a"/>
      </w:pPr>
      <w:r>
        <w:rPr>
          <w:rStyle w:val="HideTWBExt"/>
        </w:rPr>
        <w:t>&lt;DocRefPE&gt;</w:t>
      </w:r>
      <w:r>
        <w:t>(PE769.914v01-00)</w:t>
      </w:r>
      <w:r>
        <w:rPr>
          <w:rStyle w:val="HideTWBExt"/>
        </w:rPr>
        <w:t>&lt;/DocRefPE&gt;</w:t>
      </w:r>
    </w:p>
    <w:p>
      <w:pPr>
        <w:pStyle w:val="CoverNormal"/>
      </w:pPr>
      <w:r>
        <w:rPr>
          <w:rStyle w:val="HideTWBExt"/>
        </w:rPr>
        <w:t>&lt;Titre&gt;</w:t>
      </w:r>
      <w:r>
        <w:t>Εκθέσεις της Επιτροπής, του 2023 και του 2024, για την Αλβανία</w:t>
      </w:r>
      <w:r>
        <w:rPr>
          <w:rStyle w:val="HideTWBExt"/>
        </w:rPr>
        <w:t>&lt;/Titre&gt;</w:t>
      </w:r>
    </w:p>
    <w:p>
      <w:pPr>
        <w:pStyle w:val="CoverNormal24a"/>
      </w:pPr>
      <w:r>
        <w:rPr>
          <w:rStyle w:val="HideTWBExt"/>
        </w:rPr>
        <w:t>&lt;DocRef&gt;</w:t>
      </w:r>
      <w:r>
        <w:t>(2025/2017(INI))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παγκόσμια έκθεση του 2024 για το χάσμα μεταξύ των φύλων, του Παγκόσμιου Οικονομικού Φόρουμ,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2024 για τον Παγκόσμιο Δείκτη Ελευθερίας του Τύπου, των Δημοσιογράφων Χωρίς Σύνορα (RSF),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δείκτη αντίληψης της διαφθοράς, για το 2024, της Διεθνούς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δήλωση της Σόφιας, της 17ης Μαΐου 2018, στο πλαίσιο της συνόδου κορυφής ΕΕ-Δυτικών Βαλκανίων, και το συνημμένο θεματολόγιο προτεραιοτήτων της Σόφιας,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σύνοδο κορυφής ΕΕ-Δυτικών Βαλκανίων, που πραγματοποιήθηκε στο Ζάγκρεμπ στις 6 Μαΐου 2020, και τη δήλωσή που προέκυψε από αυτήν,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τελική έκθεση της 26ης Ιουλίου 2021 του Γραφείου Δημοκρατικών Θεσμών και Ανθρωπίνων Δικαιωμάτων του Οργανισμού για την Ασφάλεια και τη Συνεργασία στην Ευρώπη (ΟΑΣΕ/ΓΔΘΑΔ) σχετικά με την αποστολή εκλογικών παρατηρητών στις βουλευτικές εκλογές της 25ης Απριλίου 2021 στην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συμφωνία για το άσυλο που υπεγράφη από την αλβανική και την ιταλική κυβέρνηση στις 6 Νοεμβρίου 2023 και κυρώθηκε από το αλβανικό κοινοβούλιο στις 22 Φεβρουαρίου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της Ευρωπόλ του 2023 σχετικά με την αποκωδικοποίηση των πλέον απειλητικών εγκληματικών δικτύων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η διεύρυνση </w:t>
            </w:r>
            <w:r>
              <w:rPr>
                <w:b/>
                <w:i/>
              </w:rPr>
              <w:t>αποτελεί το πλέον αποτελεσματικό</w:t>
            </w:r>
            <w:r>
              <w:t xml:space="preserve"> μέσο εξωτερικής πολιτικής της ΕΕ και γεωστρατηγική επένδυση στη μακροχρόνια ειρήνη, δημοκρατία, σταθερότητα και ασφάλεια στο σύνολο της ηπείρου·</w:t>
            </w:r>
          </w:p>
        </w:tc>
        <w:tc>
          <w:tcPr>
            <w:tcW w:w="4876" w:type="dxa"/>
            <w:tcBorders>
              <w:top w:val="nil"/>
              <w:left w:val="nil"/>
              <w:bottom w:val="nil"/>
              <w:right w:val="nil"/>
            </w:tcBorders>
          </w:tcPr>
          <w:p>
            <w:pPr>
              <w:pStyle w:val="Normal6a"/>
            </w:pPr>
            <w:r>
              <w:t>Α.</w:t>
            </w:r>
            <w:r>
              <w:tab/>
            </w:r>
            <w:r>
              <w:t xml:space="preserve">λαμβάνοντας υπόψη ότι η διεύρυνση </w:t>
            </w:r>
            <w:r>
              <w:rPr>
                <w:b/>
                <w:i/>
              </w:rPr>
              <w:t>χρησιμοποιείται ως</w:t>
            </w:r>
            <w:r>
              <w:t xml:space="preserve"> μέσο εξωτερικής πολιτικής της ΕΕ και γεωστρατηγική επένδυση στη μακροχρόνια ειρήνη, δημοκρατία, σταθερότητα και ασφάλεια στο σύνολο της ηπείρου· </w:t>
            </w:r>
            <w:r>
              <w:rPr>
                <w:b/>
                <w:i/>
              </w:rPr>
              <w:t>λαμβάνοντας υπόψη ότι η διεύρυνση συνεπάγεται αυξανόμενους κινδύνους και προκλήσεις για τη λειτουργία της ΕΕ, μια πραγματικότητα που πρέπει να αξιολογηθεί δεόντως από τα σημερινά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w:t>
            </w:r>
            <w:r>
              <w:rPr>
                <w:b/>
                <w:i/>
              </w:rPr>
              <w:t>η διεύρυνση αποτελεί το</w:t>
            </w:r>
            <w:r>
              <w:t xml:space="preserve"> πλέον </w:t>
            </w:r>
            <w:r>
              <w:rPr>
                <w:b/>
                <w:i/>
              </w:rPr>
              <w:t>αποτελεσματικό μέσο εξωτερικής</w:t>
            </w:r>
            <w:r>
              <w:t xml:space="preserve"> πολιτικής </w:t>
            </w:r>
            <w:r>
              <w:rPr>
                <w:b/>
                <w:i/>
              </w:rPr>
              <w:t>της ΕΕ και γεωστρατηγική επένδυση στη μακροχρόνια ειρήνη, δημοκρατία, σταθερότητα και ασφάλεια στο σύνολο της ηπείρου</w:t>
            </w:r>
            <w:r>
              <w:t>·</w:t>
            </w:r>
          </w:p>
        </w:tc>
        <w:tc>
          <w:tcPr>
            <w:tcW w:w="4876" w:type="dxa"/>
            <w:tcBorders>
              <w:top w:val="nil"/>
              <w:left w:val="nil"/>
              <w:bottom w:val="nil"/>
              <w:right w:val="nil"/>
            </w:tcBorders>
          </w:tcPr>
          <w:p>
            <w:pPr>
              <w:pStyle w:val="Normal6a"/>
            </w:pPr>
            <w:r>
              <w:t>Α.</w:t>
            </w:r>
            <w:r>
              <w:tab/>
            </w:r>
            <w:r>
              <w:t xml:space="preserve">λαμβάνοντας υπόψη ότι </w:t>
            </w:r>
            <w:r>
              <w:rPr>
                <w:b/>
                <w:i/>
              </w:rPr>
              <w:t>στο πλαίσιο της διεύρυνσης δεν λαμβάνονται</w:t>
            </w:r>
            <w:r>
              <w:t xml:space="preserve"> πλέον </w:t>
            </w:r>
            <w:r>
              <w:rPr>
                <w:b/>
                <w:i/>
              </w:rPr>
              <w:t>πλήρως υπόψη τα κριτήρια της οικονομικής αυστηρότητας ή της</w:t>
            </w:r>
            <w:r>
              <w:t xml:space="preserve"> πολιτικής </w:t>
            </w:r>
            <w:r>
              <w:rPr>
                <w:b/>
                <w:i/>
              </w:rPr>
              <w:t>σταθερότητας, όπως ορίζονται στα κριτήρια της Κοπεγχάγης·</w:t>
            </w:r>
            <w:r>
              <w:t xml:space="preserve"> </w:t>
            </w:r>
            <w:r>
              <w:rPr>
                <w:b/>
                <w:i/>
              </w:rPr>
              <w:t>λαμβάνοντας υπόψη ότι τα κριτήρια της Κοπεγχάγης είναι απαραίτητα για τη διαφύλαξη των αξιών, της σταθερότητας και της ασφάλειας της Ένωσης και των πολιτών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η διεύρυνση </w:t>
            </w:r>
            <w:r>
              <w:rPr>
                <w:b/>
                <w:i/>
              </w:rPr>
              <w:t>αποτελεί</w:t>
            </w:r>
            <w:r>
              <w:t xml:space="preserve"> το πλέον αποτελεσματικό μέσο εξωτερικής πολιτικής της ΕΕ και γεωστρατηγική επένδυση στη μακροχρόνια ειρήνη, δημοκρατία, σταθερότητα και ασφάλεια στο σύνολο της ηπείρου·</w:t>
            </w:r>
          </w:p>
        </w:tc>
        <w:tc>
          <w:tcPr>
            <w:tcW w:w="4876" w:type="dxa"/>
            <w:tcBorders>
              <w:top w:val="nil"/>
              <w:left w:val="nil"/>
              <w:bottom w:val="nil"/>
              <w:right w:val="nil"/>
            </w:tcBorders>
          </w:tcPr>
          <w:p>
            <w:pPr>
              <w:pStyle w:val="Normal6a"/>
            </w:pPr>
            <w:r>
              <w:t>Α.</w:t>
            </w:r>
            <w:r>
              <w:tab/>
            </w:r>
            <w:r>
              <w:t xml:space="preserve">λαμβάνοντας υπόψη ότι η </w:t>
            </w:r>
            <w:r>
              <w:rPr>
                <w:b/>
                <w:i/>
              </w:rPr>
              <w:t>συνεργασία, και όχι μόνο η</w:t>
            </w:r>
            <w:r>
              <w:t xml:space="preserve"> διεύρυνση</w:t>
            </w:r>
            <w:r>
              <w:rPr>
                <w:b/>
                <w:i/>
              </w:rPr>
              <w:t>, θα πρέπει να θεωρείται</w:t>
            </w:r>
            <w:r>
              <w:t xml:space="preserve"> το πλέον </w:t>
            </w:r>
            <w:r>
              <w:rPr>
                <w:b/>
                <w:i/>
              </w:rPr>
              <w:t>ρεαλιστικό και</w:t>
            </w:r>
            <w:r>
              <w:t xml:space="preserve"> αποτελεσματικό μέσο εξωτερικής πολιτικής της ΕΕ και γεωστρατηγική επένδυση στη μακροχρόνια ειρήνη, δημοκρατία, σταθερότητα και ασφάλεια στο σύνολο της ηπείρου·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η διεύρυνση αποτελεί </w:t>
            </w:r>
            <w:r>
              <w:rPr>
                <w:b/>
                <w:i/>
              </w:rPr>
              <w:t>το</w:t>
            </w:r>
            <w:r>
              <w:t xml:space="preserve"> πλέον </w:t>
            </w:r>
            <w:r>
              <w:rPr>
                <w:b/>
                <w:i/>
              </w:rPr>
              <w:t>αποτελεσματικό μέσο</w:t>
            </w:r>
            <w:r>
              <w:t xml:space="preserve"> εξωτερικής πολιτικής της ΕΕ και γεωστρατηγική επένδυση στη μακροχρόνια ειρήνη, δημοκρατία, σταθερότητα και ασφάλεια στο σύνολο της ηπείρου·</w:t>
            </w:r>
          </w:p>
        </w:tc>
        <w:tc>
          <w:tcPr>
            <w:tcW w:w="4876" w:type="dxa"/>
            <w:tcBorders>
              <w:top w:val="nil"/>
              <w:left w:val="nil"/>
              <w:bottom w:val="nil"/>
              <w:right w:val="nil"/>
            </w:tcBorders>
          </w:tcPr>
          <w:p>
            <w:pPr>
              <w:pStyle w:val="Normal6a"/>
            </w:pPr>
            <w:r>
              <w:t>Α.</w:t>
            </w:r>
            <w:r>
              <w:tab/>
            </w:r>
            <w:r>
              <w:t>λαμβάνοντας υπόψη ότι η διεύρυνση</w:t>
            </w:r>
            <w:r>
              <w:rPr>
                <w:b/>
                <w:i/>
              </w:rPr>
              <w:t>, όταν εφαρμόζεται με σύνεση,</w:t>
            </w:r>
            <w:r>
              <w:t xml:space="preserve"> αποτελεί </w:t>
            </w:r>
            <w:r>
              <w:rPr>
                <w:b/>
                <w:i/>
              </w:rPr>
              <w:t>ένα από τα</w:t>
            </w:r>
            <w:r>
              <w:t xml:space="preserve"> πλέον </w:t>
            </w:r>
            <w:r>
              <w:rPr>
                <w:b/>
                <w:i/>
              </w:rPr>
              <w:t>αποτελεσματικά μέσα</w:t>
            </w:r>
            <w:r>
              <w:t xml:space="preserve"> εξωτερικής πολιτικής της ΕΕ και γεωστρατηγική επένδυση στη μακροχρόνια ειρήνη, δημοκρατία, σταθερότητα και ασφάλεια στο σύνολο της ηπείρου·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ΕΕ παραμένει ο κύριος πολιτικός και οικονομικός εταίρος των χωρών των Δυτικών Βαλκανίων·</w:t>
            </w:r>
            <w:r>
              <w:t xml:space="preserve"> </w:t>
            </w:r>
            <w:r>
              <w:rPr>
                <w:b/>
                <w:i/>
              </w:rPr>
              <w:t>λαμβάνοντας υπόψη ότι η ΕΕ εξακολουθεί να είναι μακράν ο μεγαλύτερος εμπορικός και επενδυτικός εταίρος της Αλβανίας και ο μεγαλύτερος πάροχος οικονομικής βοήθειας·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διεύρυνση είναι μια αξιοκρατική διαδικασία που βασίζεται στη δημοκρατία, το κράτος δικαίου και τα θεμελιώδη δικαιώματα·</w:t>
            </w:r>
          </w:p>
        </w:tc>
        <w:tc>
          <w:tcPr>
            <w:tcW w:w="4876" w:type="dxa"/>
            <w:tcBorders>
              <w:top w:val="nil"/>
              <w:left w:val="nil"/>
              <w:bottom w:val="nil"/>
              <w:right w:val="nil"/>
            </w:tcBorders>
          </w:tcPr>
          <w:p>
            <w:pPr>
              <w:pStyle w:val="Normal6a"/>
            </w:pPr>
            <w:r>
              <w:t>Β.</w:t>
            </w:r>
            <w:r>
              <w:tab/>
            </w:r>
            <w:r>
              <w:t xml:space="preserve">λαμβάνοντας υπόψη ότι η διεύρυνση είναι μια αξιοκρατική διαδικασία που βασίζεται στη δημοκρατία, το κράτος δικαίου και τα θεμελιώδη δικαιώματα· </w:t>
            </w:r>
            <w:r>
              <w:rPr>
                <w:b/>
                <w:i/>
              </w:rPr>
              <w:t>λαμβάνοντας υπόψη ότι η προσχώρηση της Αλβανίας στην ΕΕ εξαρτάται από διαρκείς, εις βάθος και μη αναστρέψιμες μεταρρυθμίσεις σε θεμελιώδεις τομείς, αρχής γενομένης από το κράτος δικαίου και τη λειτουργία των δημοκρατικών θεσμών·</w:t>
            </w:r>
            <w:r>
              <w:t xml:space="preserve"> </w:t>
            </w:r>
            <w:r>
              <w:rPr>
                <w:b/>
                <w:i/>
              </w:rPr>
              <w:t>λαμβάνοντας υπόψη ότι το χρονοδιάγραμμα προσχώρησης καθορίζεται από την ποιότητα των αναγκαίων μεταρρυθμίσεων μιας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η διεύρυνση είναι μια αξιοκρατική διαδικασία που βασίζεται στη δημοκρατία, το κράτος δικαίου </w:t>
            </w:r>
            <w:r>
              <w:rPr>
                <w:b/>
                <w:i/>
              </w:rPr>
              <w:t>και</w:t>
            </w:r>
            <w:r>
              <w:t xml:space="preserve"> τα θεμελιώδη δικαιώματα·</w:t>
            </w:r>
          </w:p>
        </w:tc>
        <w:tc>
          <w:tcPr>
            <w:tcW w:w="4876" w:type="dxa"/>
            <w:tcBorders>
              <w:top w:val="nil"/>
              <w:left w:val="nil"/>
              <w:bottom w:val="nil"/>
              <w:right w:val="nil"/>
            </w:tcBorders>
          </w:tcPr>
          <w:p>
            <w:pPr>
              <w:pStyle w:val="Normal6a"/>
            </w:pPr>
            <w:r>
              <w:t>Β.</w:t>
            </w:r>
            <w:r>
              <w:tab/>
            </w:r>
            <w:r>
              <w:t>λαμβάνοντας υπόψη ότι η διεύρυνση είναι μια αξιοκρατική διαδικασία που βασίζεται στη δημοκρατία, το κράτος δικαίου</w:t>
            </w:r>
            <w:r>
              <w:rPr>
                <w:b/>
                <w:i/>
              </w:rPr>
              <w:t>,</w:t>
            </w:r>
            <w:r>
              <w:t xml:space="preserve"> τα θεμελιώδη δικαιώματα </w:t>
            </w:r>
            <w:r>
              <w:rPr>
                <w:b/>
                <w:i/>
              </w:rPr>
              <w:t>και την οικονομική ετοιμότητα</w:t>
            </w:r>
            <w:r>
              <w:t xml:space="preserve">· </w:t>
            </w:r>
            <w:r>
              <w:rPr>
                <w:b/>
                <w:i/>
              </w:rPr>
              <w:t>οι υποψήφιες χώρες πρέπει να επιδεικνύουν σταθερούς δημοκρατικούς θεσμούς και σεβασμό των βασικών αξιών, καθώς και να διαθέτουν λειτουργική οικονομία της αγοράς και ικανότητα αντιμετώπισης των ανταγωνιστικών πιέσεων εντός της εσωτερικής αγοράς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διεύρυνση είναι μια αξιοκρατική διαδικασία που βασίζεται στη δημοκρατία, το κράτος δικαίου και τα θεμελιώδη δικαιώματα·</w:t>
            </w:r>
          </w:p>
        </w:tc>
        <w:tc>
          <w:tcPr>
            <w:tcW w:w="4876" w:type="dxa"/>
            <w:tcBorders>
              <w:top w:val="nil"/>
              <w:left w:val="nil"/>
              <w:bottom w:val="nil"/>
              <w:right w:val="nil"/>
            </w:tcBorders>
          </w:tcPr>
          <w:p>
            <w:pPr>
              <w:pStyle w:val="Normal6a"/>
            </w:pPr>
            <w:r>
              <w:t>Β.</w:t>
            </w:r>
            <w:r>
              <w:tab/>
            </w:r>
            <w:r>
              <w:t xml:space="preserve">λαμβάνοντας υπόψη ότι η διεύρυνση είναι μια αξιοκρατική διαδικασία που βασίζεται στη δημοκρατία, το κράτος δικαίου και τα θεμελιώδη δικαιώματα </w:t>
            </w:r>
            <w:r>
              <w:rPr>
                <w:b/>
                <w:i/>
              </w:rPr>
              <w:t>και ότι οι εξωτερικές παρεμβάσεις συνιστούν άμεση πρόκληση για τη λειτουργία των δημοκρατικών θεσμών, με αποτέλεσμα να εμποδίζουν την προοπτική προσχώρησης στην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η διεύρυνση είναι μια αξιοκρατική διαδικασία που </w:t>
            </w:r>
            <w:r>
              <w:rPr>
                <w:b/>
                <w:i/>
              </w:rPr>
              <w:t>βασίζεται</w:t>
            </w:r>
            <w:r>
              <w:t xml:space="preserve"> στη δημοκρατία, το κράτος δικαίου και τα θεμελιώδη δικαιώματα·</w:t>
            </w:r>
          </w:p>
        </w:tc>
        <w:tc>
          <w:tcPr>
            <w:tcW w:w="4876" w:type="dxa"/>
            <w:tcBorders>
              <w:top w:val="nil"/>
              <w:left w:val="nil"/>
              <w:bottom w:val="nil"/>
              <w:right w:val="nil"/>
            </w:tcBorders>
          </w:tcPr>
          <w:p>
            <w:pPr>
              <w:pStyle w:val="Normal6a"/>
            </w:pPr>
            <w:r>
              <w:t>Β.</w:t>
            </w:r>
            <w:r>
              <w:tab/>
            </w:r>
            <w:r>
              <w:t xml:space="preserve">λαμβάνοντας υπόψη ότι η διεύρυνση είναι μια αξιοκρατική διαδικασία που </w:t>
            </w:r>
            <w:r>
              <w:rPr>
                <w:b/>
                <w:i/>
              </w:rPr>
              <w:t>εδράζεται</w:t>
            </w:r>
            <w:r>
              <w:t xml:space="preserve"> στη δημοκρατία, το κράτος δικαίου και τα θεμελιώδη δικαιώματα· </w:t>
            </w:r>
            <w:r>
              <w:rPr>
                <w:b/>
                <w:i/>
              </w:rPr>
              <w:t>λαμβάνοντας υπόψη ότι οι χώρες των Δυτικών Βαλκανίων απέχουν ακόμη πολύ από την εκπλήρωση αυτών των κριτηρίων·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στις 20 Νοεμβρίου 2024, Αλβανοί βουλευτές άναψαν καπνογόνα και μια φωτιά εντός της αίθουσας του Κοινοβουλίου της Αλβανίας σε μια προσπάθεια να σταματήσουν την ψηφοφορία για τον προϋπολογισμό του 2024·</w:t>
            </w:r>
            <w:r>
              <w:t xml:space="preserve"> </w:t>
            </w:r>
            <w:r>
              <w:rPr>
                <w:b/>
                <w:i/>
              </w:rPr>
              <w:t>λαμβάνοντας υπόψη ότι το γεγονός αυτό καταδεικνύει τη σαφή πολιτική αστάθεια της χώρας, η οποία εγείρει σοβαρές ανησυχίες σχετικά με την πρόοδο της Αλβανίας στη διαδικασία προσχώρησης στην ΕΕ και την ικανότητά της να εκπληρώσει τα αναγκαία πολιτικά και θεσμικά κριτήρια·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ενώ η Αλβανία είναι υποψήφια προς ένταξη στην ΕΕ χώρα από το 2014, οι πρόσφατες πολιτικές εξελίξεις έχουν οδηγήσει σε ανησυχίες σχετικά με τη συγκέντρωση της εξουσίας στα χέρια του πρωθυπουργού Rama, την καταστολή ηγετών και ακτιβιστών της αντιπολίτευσης και την πολιτικοποίηση των δικαστικών διαδικασιών ώστε να μετατραπούν σε πολιτικό όπλο, γεγονός που υπονομεύει τη δημοκρατική διαδικασία και το συνταγματικό κοινοβουλευτικό σύστημα που βασίζεται στην αρχή των ελέγχων και ισορροπιών·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στην έκθεση της Ευρωπόλ του 2023 σχετικά με τα πλέον απειλητικά εγκληματικά δίκτυα της ΕΕ</w:t>
            </w:r>
            <w:r>
              <w:rPr>
                <w:b/>
                <w:i/>
                <w:vertAlign w:val="superscript"/>
              </w:rPr>
              <w:t>1α</w:t>
            </w:r>
            <w:r>
              <w:rPr>
                <w:b/>
                <w:i/>
              </w:rPr>
              <w:t>, η Αλβανία χαρακτηρίζεται ως σημαντικός παράγοντας σε ορισμένα από τα πλέον απειλητικά εγκληματικά δίκτυα στην Ευρωπαϊκή Ένωση·</w:t>
            </w:r>
            <w:r>
              <w:t xml:space="preserve"> </w:t>
            </w:r>
            <w:r>
              <w:rPr>
                <w:b/>
                <w:i/>
              </w:rPr>
              <w:t>λαμβάνοντας υπόψη ότι στην έκθεση αυτή επισημαίνεται συγκεκριμένα ότι οι αλβανικές εγκληματικές ομάδες δραστηριοποιούνται σε μεγάλο βαθμό στη διακίνηση ναρκωτικών, την εμπορία ανθρώπων, τη νομιμοποίηση εσόδων από παράνομες δραστηριότητες και το παράνομο εμπόριο πυροβόλων όπλων·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https://www.europol.europa.eu/cms/sites/default/files/documents/Europol%20report%20on%20Decoding%20the%20EU-s%20most%20threatening%20criminal%20networks.pdf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τη Σύμβαση των Ηνωμένων Εθνών για το Δίκαιο της Θάλασσας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τα αλβανικά εγκληματικά δίκτυα εμπλέκονται σε μεγάλο βαθμό στη διακίνηση όπλων, συμπεριλαμβανομένων πυροβόλων όπλων και εκρηκτικών, μέσω της βαλκανικής οδού προς την ΕΕ</w:t>
            </w:r>
            <w:r>
              <w:rPr>
                <w:b/>
                <w:i/>
                <w:vertAlign w:val="superscript"/>
              </w:rPr>
              <w:t>1α</w:t>
            </w:r>
            <w:r>
              <w:rPr>
                <w:b/>
                <w:i/>
              </w:rPr>
              <w:t>·</w:t>
            </w:r>
            <w:r>
              <w:t xml:space="preserve"> </w:t>
            </w:r>
            <w:r>
              <w:rPr>
                <w:b/>
                <w:i/>
              </w:rPr>
              <w:t>λαμβάνοντας υπόψη ότι ο ιστορικός ρόλος της Αλβανίας στο λαθρεμπόριο όπλων, ιδίως μετά τη λεηλασία κρατικών οπλοστασίων τη δεκαετία του 1990, εξακολουθεί να επηρεάζει το ευρωπαϊκό εμπόριο όπλων·</w:t>
            </w:r>
            <w:r>
              <w:t xml:space="preserve"> </w:t>
            </w:r>
            <w:r>
              <w:rPr>
                <w:b/>
                <w:i/>
              </w:rPr>
              <w:t>λαμβάνοντας υπόψη ότι η Ευρωπόλ αναφέρει ότι τα Δυτικά Βαλκάνια εξακολουθούν να αποτελούν κρίσιμο σημείο διέλευσης για παράνομα όπλα που εισέρχονται στη Δυτική Ευρώπη</w:t>
            </w:r>
            <w:r>
              <w:rPr>
                <w:b/>
                <w:i/>
                <w:vertAlign w:val="superscript"/>
              </w:rPr>
              <w:t>1β</w:t>
            </w:r>
            <w:r>
              <w:rPr>
                <w:b/>
                <w:i/>
              </w:rPr>
              <w:t>·</w:t>
            </w:r>
            <w:r>
              <w:t xml:space="preserve"> </w:t>
            </w:r>
            <w:r>
              <w:rPr>
                <w:b/>
                <w:i/>
              </w:rPr>
              <w:t>λαμβάνοντας υπόψη ότι οι εν λόγω δραστηριότητες διακίνησης επιδεινώνουν τις ανησυχίες για την ασφάλεια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https://www.europol.europa.eu/cms/sites/default/files/documents/Europol%20report%20on%20Decoding%20the%20EU-s%20most%20threatening%20criminal%20networks.pdf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1β</w:t>
            </w:r>
            <w:r>
              <w:t xml:space="preserve"> </w:t>
            </w:r>
            <w:r>
              <w:rPr>
                <w:b/>
                <w:i/>
              </w:rPr>
              <w:t>https://www.europol.europa.eu/cms/sites/default/files/documents/EU-SOCTA-2025.pdf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η Αλβανία είναι σημαντικός παραγωγός κάνναβης στην Ευρώπη, δεδομένου ότι, σύμφωνα με εκτιμήσεις, μεγάλο μέρος της κάνναβης που καταναλώνεται στην Ευρώπη καλλιεργείται στην Αλβανία·</w:t>
            </w:r>
            <w:r>
              <w:t xml:space="preserve"> </w:t>
            </w:r>
            <w:r>
              <w:rPr>
                <w:b/>
                <w:i/>
              </w:rPr>
              <w:t>λαμβάνοντας υπόψη ότι η βαλκανική οδός αποτελεί μια κύρια οδό για τη διακίνηση ηρωίνης από το Αφγανιστάν, η οποία διοχετεύεται στη Δυτική Ευρώπη μέσω της Αλβανίας·</w:t>
            </w:r>
            <w:r>
              <w:t xml:space="preserve"> </w:t>
            </w:r>
            <w:r>
              <w:rPr>
                <w:b/>
                <w:i/>
              </w:rPr>
              <w:t>λαμβάνοντας υπόψη ότι τα αλβανικά εγκληματικά δίκτυα εμπλέκονται σε μεγάλο βαθμό στο λαθρεμπόριο ηρωίνης, δεδομένου ότι η Αλβανία αποτελεί κρίσιμο σημείο για την είσοδο της ηρωίνης στην Ευρωπαϊκή Ένωση·</w:t>
            </w:r>
            <w:r>
              <w:t xml:space="preserve"> </w:t>
            </w:r>
            <w:r>
              <w:rPr>
                <w:b/>
                <w:i/>
              </w:rPr>
              <w:t>λαμβάνοντας υπόψη ότι οι Αλβανοί είναι μία από τις εθνικότητες με τη μεγαλύτερη εκπροσώπηση στα δίκτυα εμπορίας κάνναβης και κοκαΐνης στην Ευρώπη</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https://www.europol.europa.eu/cms/sites/default/files/documents/Europol%20report%20on%20Decoding%20the%20EU-s%20most%20threatening%20criminal%20networks.pdf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Αλβανία ξεκίνησε διαπραγματεύσεις για την ομάδα διαπραγματευτικών κεφαλαίων 1 «Θεμελιώδεις αρχές» στις 15 Οκτωβρίου 2024 και για την ομάδα 6 «Εξωτερικές σχέσεις» στις 17 Δεκεμβρίου 2024·</w:t>
            </w:r>
          </w:p>
        </w:tc>
        <w:tc>
          <w:tcPr>
            <w:tcW w:w="4876" w:type="dxa"/>
            <w:tcBorders>
              <w:top w:val="nil"/>
              <w:left w:val="nil"/>
              <w:bottom w:val="nil"/>
              <w:right w:val="nil"/>
            </w:tcBorders>
          </w:tcPr>
          <w:p>
            <w:pPr>
              <w:pStyle w:val="Normal6a"/>
            </w:pPr>
            <w:r>
              <w:t>Δ.</w:t>
            </w:r>
            <w:r>
              <w:tab/>
            </w:r>
            <w:r>
              <w:t>λαμβάνοντας υπόψη ότι η Αλβανία ξεκίνησε διαπραγματεύσεις για την ομάδα διαπραγματευτικών κεφαλαίων 1 «Θεμελιώδεις αρχές» στις 15 Οκτωβρίου 2024 και για την ομάδα 6 «Εξωτερικές σχέσεις» στις 17 Δεκεμβρίου 2024</w:t>
            </w:r>
            <w:r>
              <w:rPr>
                <w:b/>
                <w:i/>
              </w:rPr>
              <w:t>, και πρέπει να αντιμετωπίσει τα κρίσιμα τρωτά σημεία που σχετίζονται με την ξένη κακόβουλη επιρροή, την ακεραιότητα των εκλογών και τις υβριδικές απειλές, προκειμένου να πραγματοποιήσει πρόοδο προς την προσχώρηση στην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λαμβάνοντας υπόψη ότι η Αλβανία είναι αξιόπιστος εταίρος εξωτερικής πολιτικής και είναι πλήρως ευθυγραμμισμένη με την κοινή εξωτερική πολιτική και πολιτική ασφάλειας της ΕΕ·</w:t>
            </w:r>
          </w:p>
        </w:tc>
        <w:tc>
          <w:tcPr>
            <w:tcW w:w="4876" w:type="dxa"/>
            <w:tcBorders>
              <w:top w:val="nil"/>
              <w:left w:val="nil"/>
              <w:bottom w:val="nil"/>
              <w:right w:val="nil"/>
            </w:tcBorders>
          </w:tcPr>
          <w:p>
            <w:pPr>
              <w:pStyle w:val="Normal6a"/>
            </w:pPr>
            <w:r>
              <w:t>Ε.</w:t>
            </w:r>
            <w:r>
              <w:tab/>
            </w:r>
            <w:r>
              <w:t xml:space="preserve">λαμβάνοντας υπόψη ότι η Αλβανία είναι αξιόπιστος εταίρος εξωτερικής πολιτικής και είναι πλήρως ευθυγραμμισμένη με την κοινή εξωτερική πολιτική και πολιτική ασφάλειας της ΕΕ· </w:t>
            </w:r>
            <w:r>
              <w:rPr>
                <w:b/>
                <w:i/>
              </w:rPr>
              <w:t>λαμβάνοντας υπόψη ότι η ευθυγράμμιση της εξωτερικής πολιτικής με την ΕΕ δεν είναι η μόνη απαίτηση που ορίζεται σε σχέση με την προσχώρηση·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w:t>
            </w:r>
            <w:r>
              <w:rPr>
                <w:b/>
                <w:i/>
              </w:rPr>
              <w:t>ότι</w:t>
            </w:r>
            <w:r>
              <w:t xml:space="preserve"> η Αλβανία </w:t>
            </w:r>
            <w:r>
              <w:rPr>
                <w:b/>
                <w:i/>
              </w:rPr>
              <w:t>είναι αξιόπιστος εταίρος εξωτερικής πολιτικής και είναι πλήρως ευθυγραμμισμένη με την</w:t>
            </w:r>
            <w:r>
              <w:t xml:space="preserve"> κοινή εξωτερική πολιτική και πολιτική </w:t>
            </w:r>
            <w:r>
              <w:rPr>
                <w:b/>
                <w:i/>
              </w:rPr>
              <w:t>ασφάλειας</w:t>
            </w:r>
            <w:r>
              <w:t xml:space="preserve"> της ΕΕ·</w:t>
            </w:r>
          </w:p>
        </w:tc>
        <w:tc>
          <w:tcPr>
            <w:tcW w:w="4876" w:type="dxa"/>
            <w:tcBorders>
              <w:top w:val="nil"/>
              <w:left w:val="nil"/>
              <w:bottom w:val="nil"/>
              <w:right w:val="nil"/>
            </w:tcBorders>
          </w:tcPr>
          <w:p>
            <w:pPr>
              <w:pStyle w:val="Normal6a"/>
            </w:pPr>
            <w:r>
              <w:t>Ε.</w:t>
            </w:r>
            <w:r>
              <w:tab/>
            </w:r>
            <w:r>
              <w:t xml:space="preserve">λαμβάνοντας υπόψη </w:t>
            </w:r>
            <w:r>
              <w:rPr>
                <w:b/>
                <w:i/>
              </w:rPr>
              <w:t>την ευρωπαϊκή βούληση, ώστε</w:t>
            </w:r>
            <w:r>
              <w:t xml:space="preserve"> η Αλβανία </w:t>
            </w:r>
            <w:r>
              <w:rPr>
                <w:b/>
                <w:i/>
              </w:rPr>
              <w:t>να αποτελέσει αξιόπιστο εταίρο στην</w:t>
            </w:r>
            <w:r>
              <w:t xml:space="preserve"> κοινή εξωτερική πολιτική και πολιτική </w:t>
            </w:r>
            <w:r>
              <w:rPr>
                <w:b/>
                <w:i/>
              </w:rPr>
              <w:t>ασφαλείας</w:t>
            </w:r>
            <w:r>
              <w:t xml:space="preserve"> της ΕΕ·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Αλβανία έχει αποτελέσει στόχο ρωσικών εκστρατειών παραπληροφόρησης, κυβερνοεπιθέσεων και εκλογικών παρεμβάσεων, καθώς και αμφισβητήσιμων επενδύσεων από παράγοντες εκτός ΕΕ, όπως η Κίνα·</w:t>
            </w:r>
            <w:r>
              <w:t xml:space="preserve"> </w:t>
            </w:r>
            <w:r>
              <w:rPr>
                <w:b/>
                <w:i/>
              </w:rPr>
              <w:t>λαμβάνοντας υπόψη ότι, το 2023 και το 2024, ανεξάρτητες έρευνες αποκάλυψαν σημαντικές δραστηριότητες παραπληροφόρησης με στόχο την Αλβανία, στο πλαίσιο των οποίων αναδημοσιεύτηκαν σε αλβανικά μέσα ενημέρωσης περισσότερες από 780 ψευδείς ειδήσεις από ρωσικές πηγές ·</w:t>
            </w:r>
            <w:r>
              <w:t xml:space="preserve"> </w:t>
            </w:r>
            <w:r>
              <w:rPr>
                <w:b/>
                <w:i/>
              </w:rPr>
              <w:t>λαμβάνοντας υπόψη ότι οι ρωσικές και ιρανικές κυβερνοεπιχειρήσεις κατά της Αλβανίας το 2022 και το 2023 διατάραξαν κρίσιμες κρατικές λειτουργίες, γεγονός που καταδεικνύει το υβριδικό περιβάλλον απειλών που αντιμετωπίζει η Αλβανία καθώς προχωρά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διεύρυνση στα Βαλκάνια αντιβαίνει στα συμφέροντα των κρατών μελών·</w:t>
            </w:r>
            <w:r>
              <w:t xml:space="preserve"> </w:t>
            </w:r>
            <w:r>
              <w:rPr>
                <w:b/>
                <w:i/>
              </w:rPr>
              <w:t>λαμβάνοντας υπόψη ότι η μελέτη που εκπονήθηκε το 2019 από το Ευρωπαϊκό Συμβούλιο Εξωτερικών Σχέσεων (C.E.F.R.)</w:t>
            </w:r>
            <w:r>
              <w:rPr>
                <w:b/>
                <w:i/>
                <w:vertAlign w:val="superscript"/>
              </w:rPr>
              <w:t>1α</w:t>
            </w:r>
            <w:r>
              <w:t xml:space="preserve"> </w:t>
            </w:r>
            <w:r>
              <w:rPr>
                <w:b/>
                <w:i/>
              </w:rPr>
              <w:t>επιβεβαιώνει πως η πλειοψηφία των πολιτών των κρατών μελών δεν επιθυμεί την ένταξη των χωρών των Βαλκανίων στην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https://eupinions.eu/de/blog/eu-citizens-remain-against-further-enlargement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Andrey Kovatchev, Michael Gahler,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στην Αλβανία εξακολουθούν να υφίστανται αδυναμίες των εκλογικών διαδικασιών·</w:t>
            </w:r>
            <w:r>
              <w:t xml:space="preserve"> </w:t>
            </w:r>
            <w:r>
              <w:rPr>
                <w:b/>
                <w:i/>
              </w:rPr>
              <w:t>λαμβάνοντας υπόψη ότι οι συστάσεις του ΟΑΣΕ/ΓΔΘΑΔ για περαιτέρω βελτίωση της διεξαγωγής των εκλογών στην Αλβανία και για την πλήρη ευθυγράμμισή τους με τις δεσμεύσεις του ΟΑΣΕ και άλλες διεθνείς υποχρεώσεις και πρότυπα δεν έχουν εξεταστεί ακόμη πλήρως·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το αλβανικό κοινοβούλιο επικύρωσε στις 22 Φεβρουαρίου 2024 συμφωνία για το άσυλο που υπέγραψαν η αλβανική και η ιταλική κυβέρνηση στις 6 Νοεμβρίου 2023, για τη φιλοξενία δύο κέντρων μεταναστών στην Αλβανία με σκοπό τη διαχείριση των μεταναστευτικών ροών προς την Ιταλία·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προστασία και η ένταξη των ατόμων που ανήκουν σε εθνικές και εθνοτικές μειονότητες και ευάλωτες ομάδες είναι ζωτικής σημασίας για τα επίδοξα κράτη μέλη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Αλβανία συμμετέχει σε αποστολές και επιχειρήσεις ΚΠΑΑ της ΕΕ, μεταξύ άλλων στην EUFOR Althea στη Βοσνία-Ερζεγοβίνη·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το Γραφείο Δημοκρατικών Θεσμών και Ανθρωπίνων Δικαιωμάτων του ΟΑΣΕ έχει εντοπίσει σοβαρές αδυναμίες στο εκλογικό σύστημα της Αλβανίας, ιδίως όσον αφορά την ξένη χρηματοδότηση, τη διαφάνεια της ιδιοκτησίας των μέσων ενημέρωσης και τις διαδικτυακές πολιτικές διαφημίσεις, οι οποίες εξακολουθούν να αποτελούν βασικούς κινδύνους για τη δημοκρατική ανθεκτικότητα·</w:t>
            </w:r>
            <w:r>
              <w:t xml:space="preserve"> </w:t>
            </w:r>
            <w:r>
              <w:rPr>
                <w:b/>
                <w:i/>
              </w:rPr>
              <w:t>λαμβάνοντας υπόψη ότι αυτές οι αδυναμίες πρέπει να αντιμετωπιστούν από τις αλβανικές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η καταπολέμηση της διαφθοράς στην Αλβανία, η επιβλαβής επιρροή των φατριακών παρεμβάσεων σε επίπεδο τοπικής και κεντρικής διοίκησης, η νομιμοποίηση εσόδων από παράνομες δραστηριότητες, το οργανωμένο έγκλημα και η διακίνηση αντικανονικών μεταναστών στο έδαφος της Ευρωπαϊκής Ένωσης συνιστούν κρίσιμα ζητήματα ασφάλειας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η προστασία των μειονοτήτων είναι ζωτικής σημασίας για τα επίδοξα κράτη μέλη της ΕΕ·</w:t>
            </w:r>
            <w:r>
              <w:t xml:space="preserve"> </w:t>
            </w:r>
            <w:r>
              <w:rPr>
                <w:b/>
                <w:i/>
              </w:rPr>
              <w:t>λαμβάνοντας υπόψη ότι εκκρεμεί η έγκριση εκτελεστικής νομοθεσίας για τον ελεύθερο αυτοπροσδιορισμό των εθνικών μειονοτήτων και τη χρήση των μειονοτικών γλωσσών στην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ο επιθετικός πόλεμος της Ρωσίας κατά της Ουκρανίας αναδεικνύει την κρίσιμη σημασία της διεύρυνσης της ΕΕ για την κατοχύρωση της ασφάλειας και της σταθερότητας στην ήπειρό μας·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γ.</w:t>
            </w:r>
            <w:r>
              <w:tab/>
            </w:r>
            <w:r>
              <w:rPr>
                <w:b/>
                <w:i/>
              </w:rPr>
              <w:t>λαμβάνοντας υπόψη ότι ο ΜΠΒ ΙΙΙ, ο Μηχανισμός Προενταξιακής Βοήθειας για την περίοδο 2021-2027, παρέχει 14,2 δισεκατομμύρια EUR για τη στήριξη μεταρρυθμίσεων και της κοινωνικοοικονομικής ανάπτυξης στα Δυτικά Βαλκάνια και την Τουρκία·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γ.</w:t>
            </w:r>
            <w:r>
              <w:tab/>
            </w:r>
            <w:r>
              <w:rPr>
                <w:b/>
                <w:i/>
              </w:rPr>
              <w:t>λαμβάνοντας υπόψη ότι οι κακόβουλες άμεσες και μέσω τρίτων ξένες παρεμβάσεις και η παραπληροφόρηση έχουν στόχο να ενσπείρουν διχόνοια, να προκαλέσουν βία και εντάσεις, καθώς και να αποσταθεροποιήσουν ολόκληρη 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εκφράζει την ικανοποίησή του για την αταλάντευτη</w:t>
            </w:r>
            <w:r>
              <w:t xml:space="preserve"> δέσμευση της Αλβανίας για ένταξη στην ΕΕ</w:t>
            </w:r>
            <w:r>
              <w:rPr>
                <w:b/>
                <w:i/>
              </w:rPr>
              <w:t>,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r>
              <w:t>·</w:t>
            </w:r>
          </w:p>
        </w:tc>
        <w:tc>
          <w:tcPr>
            <w:tcW w:w="4876" w:type="dxa"/>
            <w:tcBorders>
              <w:top w:val="nil"/>
              <w:left w:val="nil"/>
              <w:bottom w:val="nil"/>
              <w:right w:val="nil"/>
            </w:tcBorders>
          </w:tcPr>
          <w:p>
            <w:pPr>
              <w:pStyle w:val="Normal6a"/>
            </w:pPr>
            <w:r>
              <w:t>1.</w:t>
            </w:r>
            <w:r>
              <w:tab/>
            </w:r>
            <w:r>
              <w:rPr>
                <w:b/>
                <w:i/>
              </w:rPr>
              <w:t>σημειώνει τη θεωρητική</w:t>
            </w:r>
            <w:r>
              <w:t xml:space="preserve"> δέσμευση της Αλβανίας για ένταξη στην ΕΕ·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p>
        </w:tc>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r>
              <w:rPr>
                <w:b/>
                <w:i/>
              </w:rPr>
              <w:t>, συμπεριλαμβανομένης της κατηγορηματικής αντίδρασής της στον επιθετικό πόλεμο της Ρωσίας κατά της Ουκρανίας, με την έγκριση των περιοριστικών μέτρων της ΕΕ κατά της Ρωσίας και της Λευκορωσίας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εκφράζει </w:t>
            </w:r>
            <w:r>
              <w:rPr>
                <w:b/>
                <w:i/>
              </w:rPr>
              <w:t>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w:t>
            </w:r>
            <w:r>
              <w:t xml:space="preserve"> πολιτική </w:t>
            </w:r>
            <w:r>
              <w:rPr>
                <w:b/>
                <w:i/>
              </w:rPr>
              <w:t>και πολιτική ασφάλειας της ΕΕ και την προώθηση της βασισμένης σε κανόνες διεθνούς τάξης</w:t>
            </w:r>
            <w:r>
              <w:t>·</w:t>
            </w:r>
          </w:p>
        </w:tc>
        <w:tc>
          <w:tcPr>
            <w:tcW w:w="4876" w:type="dxa"/>
            <w:tcBorders>
              <w:top w:val="nil"/>
              <w:left w:val="nil"/>
              <w:bottom w:val="nil"/>
              <w:right w:val="nil"/>
            </w:tcBorders>
          </w:tcPr>
          <w:p>
            <w:pPr>
              <w:pStyle w:val="Normal6a"/>
            </w:pPr>
            <w:r>
              <w:t>1.</w:t>
            </w:r>
            <w:r>
              <w:tab/>
            </w:r>
            <w:r>
              <w:t xml:space="preserve">εκφράζει </w:t>
            </w:r>
            <w:r>
              <w:rPr>
                <w:b/>
                <w:i/>
              </w:rPr>
              <w:t>τη σθεναρή αντίθεσή του στην περαιτέρω διεύρυνση της ΕΕ, δεδομένου ότι οι υποψήφιες χώρες απέχουν ακόμη πολύ από την εκπλήρωση των κριτηρίων πολιτικής, οικονομικής και κοινωνικής σταθερότητας που περιγράφονται στα κριτήρια της Κοπεγχάγης, ιδίως στην περίπτωση της Αλβανίας, της οποίας η συνεχιζόμενη</w:t>
            </w:r>
            <w:r>
              <w:t xml:space="preserve"> πολιτική </w:t>
            </w:r>
            <w:r>
              <w:rPr>
                <w:b/>
                <w:i/>
              </w:rPr>
              <w:t>αστάθεια, η εκτεταμένη διαφθορά και η επίμονη οργανωμένη εγκληματικότητα ενέχουν σημαντικούς κινδύνους που θα μπορούσαν να υπονομεύσουν την ασφάλεια και την προστασία των Ευρωπαίων πολιτών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p>
        </w:tc>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r>
              <w:rPr>
                <w:b/>
                <w:i/>
              </w:rPr>
              <w:t>, μεταξύ άλλων μέσω του ενεργού ρόλου της χώρας στην περιοχή και στις περιφερειακές πρωτοβουλίες</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p>
        </w:tc>
        <w:tc>
          <w:tcPr>
            <w:tcW w:w="4876" w:type="dxa"/>
            <w:tcBorders>
              <w:top w:val="nil"/>
              <w:left w:val="nil"/>
              <w:bottom w:val="nil"/>
              <w:right w:val="nil"/>
            </w:tcBorders>
          </w:tcPr>
          <w:p>
            <w:pPr>
              <w:pStyle w:val="Normal6a"/>
            </w:pPr>
            <w:r>
              <w:t>1.</w:t>
            </w:r>
            <w:r>
              <w:tab/>
            </w:r>
            <w:r>
              <w:t>εκφράζει την ικανοποίησή του για την αταλάντευτη δέσμευση της Αλβανίας για ένταξη στην ΕΕ, η οποία αντικατοπτρίζει τη συναίνεση μεταξύ των πολιτικών κομμάτων</w:t>
            </w:r>
            <w:r>
              <w:rPr>
                <w:b/>
                <w:i/>
              </w:rPr>
              <w:t>, τόσο του κυβερνώντος όσο και των αντιπολιτευόμενων,</w:t>
            </w:r>
            <w:r>
              <w:t xml:space="preserve">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χαιρετίζει τη φιλοδοξία της Αλβανίας να ολοκληρώσει τις ενταξιακές διαπραγματεύσεις έως το τέλος του 2027 και την ταχεία πρόοδο που σημειώθηκε τα τελευταία χρόνια, ιδίως το άνοιγμα δύο ομάδων διαπραγματευτικών κεφαλαίων το 2024·</w:t>
            </w:r>
          </w:p>
        </w:tc>
        <w:tc>
          <w:tcPr>
            <w:tcW w:w="4876" w:type="dxa"/>
            <w:tcBorders>
              <w:top w:val="nil"/>
              <w:left w:val="nil"/>
              <w:bottom w:val="nil"/>
              <w:right w:val="nil"/>
            </w:tcBorders>
          </w:tcPr>
          <w:p>
            <w:pPr>
              <w:pStyle w:val="Normal6a"/>
            </w:pPr>
            <w:r>
              <w:t>2.</w:t>
            </w:r>
            <w:r>
              <w:tab/>
            </w:r>
            <w:r>
              <w:t xml:space="preserve">χαιρετίζει τη φιλοδοξία της Αλβανίας να ολοκληρώσει τις ενταξιακές διαπραγματεύσεις έως το τέλος του 2027 και την ταχεία πρόοδο που σημειώθηκε τα τελευταία χρόνια, ιδίως το άνοιγμα δύο ομάδων διαπραγματευτικών κεφαλαίων το 2024· </w:t>
            </w:r>
            <w:r>
              <w:rPr>
                <w:b/>
                <w:i/>
              </w:rPr>
              <w:t>υπενθυμίζει ότι οι υποψήφιες χώρες διέρχονται από ριζικούς μετασχηματισμούς, προκειμένου να πληρούν τα κριτήρια μέλους, κατά τη διάρκεια των διαπραγματεύσεων προσχώρησης, οι οποίες διαρκούν όσο χρειάζεται για να υλοποιηθούν οι απαραίτητες μεταρρυθμίσεις·</w:t>
            </w:r>
            <w:r>
              <w:t xml:space="preserve"> </w:t>
            </w:r>
            <w:r>
              <w:rPr>
                <w:b/>
                <w:i/>
              </w:rPr>
              <w:t>τονίζει την ανάγκη να ενισχυθούν η διαφάνεια, η λογοδοσία και η συμμετοχικότητα της ενταξιακής διαδικασίας, συμπεριλαμβανομένης της κοινοβουλευτικής της διάστασης·</w:t>
            </w:r>
            <w:r>
              <w:t xml:space="preserve"> </w:t>
            </w:r>
            <w:r>
              <w:rPr>
                <w:b/>
                <w:i/>
              </w:rPr>
              <w:t>προειδοποιεί για τυχόν ενέργειες που θα μπορούσαν να υπονομεύσουν το σύστημα ελέγχων και ισορροπιών·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χαιρετίζει</w:t>
            </w:r>
            <w:r>
              <w:t xml:space="preserve"> τη φιλοδοξία της Αλβανίας να ολοκληρώσει τις ενταξιακές διαπραγματεύσεις έως το τέλος του 2027 και την ταχεία πρόοδο που σημειώθηκε τα τελευταία χρόνια, ιδίως το άνοιγμα δύο ομάδων διαπραγματευτικών κεφαλαίων το 2024·</w:t>
            </w:r>
          </w:p>
        </w:tc>
        <w:tc>
          <w:tcPr>
            <w:tcW w:w="4876" w:type="dxa"/>
            <w:tcBorders>
              <w:top w:val="nil"/>
              <w:left w:val="nil"/>
              <w:bottom w:val="nil"/>
              <w:right w:val="nil"/>
            </w:tcBorders>
          </w:tcPr>
          <w:p>
            <w:pPr>
              <w:pStyle w:val="Normal6a"/>
            </w:pPr>
            <w:r>
              <w:t>2.</w:t>
            </w:r>
            <w:r>
              <w:tab/>
            </w:r>
            <w:r>
              <w:rPr>
                <w:b/>
                <w:i/>
              </w:rPr>
              <w:t>σημειώνει</w:t>
            </w:r>
            <w:r>
              <w:t xml:space="preserve"> τη φιλοδοξία της Αλβανίας να ολοκληρώσει τις ενταξιακές διαπραγματεύσεις έως το τέλος του 2027 και την ταχεία πρόοδο που σημειώθηκε τα τελευταία χρόνια, ιδίως το άνοιγμα δύο ομάδων διαπραγματευτικών κεφαλαίων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συμπεριλαμβανομένης της ελευθερίας της έκφρασης·</w:t>
            </w:r>
          </w:p>
        </w:tc>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w:t>
            </w:r>
            <w:r>
              <w:rPr>
                <w:b/>
                <w:i/>
              </w:rPr>
              <w:t>τονίζει ότι η υποψήφια χώρα πρέπει να διαθέτει λειτουργική οικονομία της αγοράς και ικανότητα αντιμετώπισης των ανταγωνιστικών πιέσεων εντός της εσωτερικής αγοράς της ΕΕ·</w:t>
            </w:r>
            <w:r>
              <w:t xml:space="preserve">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συμπεριλαμβανομένης της ελευθερίας της έκφρασης·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w:t>
            </w:r>
            <w:r>
              <w:rPr>
                <w:b/>
                <w:i/>
              </w:rPr>
              <w:t>παροτρύνει την</w:t>
            </w:r>
            <w:r>
              <w:t xml:space="preserve"> Αλβανία </w:t>
            </w:r>
            <w:r>
              <w:rPr>
                <w:b/>
                <w:i/>
              </w:rPr>
              <w:t>να επιταχύνει τις μεταρρυθμίσεις</w:t>
            </w:r>
            <w:r>
              <w:t xml:space="preserve"> για την ενίσχυση του κράτους δικαίου, την </w:t>
            </w:r>
            <w:r>
              <w:rPr>
                <w:b/>
                <w:i/>
              </w:rPr>
              <w:t>καταπολέμηση</w:t>
            </w:r>
            <w:r>
              <w:t xml:space="preserve"> της διαφθοράς και του οργανωμένου εγκλήματος και </w:t>
            </w:r>
            <w:r>
              <w:rPr>
                <w:b/>
                <w:i/>
              </w:rPr>
              <w:t>να διασφαλίσει την προστασία</w:t>
            </w:r>
            <w:r>
              <w:t xml:space="preserve"> των θεμελιωδών δικαιωμάτων, συμπεριλαμβανομένης της ελευθερίας της έκφρασης·</w:t>
            </w:r>
          </w:p>
        </w:tc>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w:t>
            </w:r>
            <w:r>
              <w:rPr>
                <w:b/>
                <w:i/>
              </w:rPr>
              <w:t>τονίζει ότι η</w:t>
            </w:r>
            <w:r>
              <w:t xml:space="preserve"> Αλβανία </w:t>
            </w:r>
            <w:r>
              <w:rPr>
                <w:b/>
                <w:i/>
              </w:rPr>
              <w:t>εξακολουθεί να υστερεί σε μεγάλο βαθμό όσον αφορά την εφαρμογή των αναγκαίων μεταρρυθμίσεων</w:t>
            </w:r>
            <w:r>
              <w:t xml:space="preserve"> για την ενίσχυση του κράτους δικαίου, την </w:t>
            </w:r>
            <w:r>
              <w:rPr>
                <w:b/>
                <w:i/>
              </w:rPr>
              <w:t>αντιμετώπιση</w:t>
            </w:r>
            <w:r>
              <w:t xml:space="preserve"> της διαφθοράς και του οργανωμένου εγκλήματος και </w:t>
            </w:r>
            <w:r>
              <w:rPr>
                <w:b/>
                <w:i/>
              </w:rPr>
              <w:t>τη διασφάλιση</w:t>
            </w:r>
            <w:r>
              <w:t xml:space="preserve"> των θεμελιωδών δικαιωμάτων, συμπεριλαμβανομένης της ελευθερίας της έκφρασης</w:t>
            </w:r>
            <w:r>
              <w:rPr>
                <w:b/>
                <w:i/>
              </w:rPr>
              <w:t>, και, ως εκ τούτου, θα πρέπει να επανεξεταστούν οι προοπτικές προσχώρησής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συμπεριλαμβανομένης της ελευθερίας της έκφρασης·</w:t>
            </w:r>
          </w:p>
        </w:tc>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w:t>
            </w:r>
            <w:r>
              <w:rPr>
                <w:b/>
                <w:i/>
              </w:rPr>
              <w:t>και της οικονομικής ανάπτυξης</w:t>
            </w:r>
            <w:r>
              <w:t>, την καταπολέμηση της διαφθοράς και του οργανωμένου εγκλήματος</w:t>
            </w:r>
            <w:r>
              <w:rPr>
                <w:b/>
                <w:i/>
              </w:rPr>
              <w:t>, να ενισχύσει τους συνοριακούς ελέγχους για την αποτροπή της εμπορίας ανθρώπων και της παράνομης μετανάστευσης,</w:t>
            </w:r>
            <w:r>
              <w:t xml:space="preserve"> και να διασφαλίσει την προστασία των θεμελιωδών δικαιωμάτων, συμπεριλαμβανομένης της ελευθερίας της έκφρασης·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w:t>
            </w:r>
            <w:r>
              <w:rPr>
                <w:b/>
                <w:i/>
              </w:rPr>
              <w:t>συμπεριλαμβανομένης</w:t>
            </w:r>
            <w:r>
              <w:t xml:space="preserve"> της ελευθερίας της έκφρασης·</w:t>
            </w:r>
          </w:p>
        </w:tc>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w:t>
            </w:r>
            <w:r>
              <w:rPr>
                <w:b/>
                <w:i/>
              </w:rPr>
              <w:t>συμπεριλαμβανομένων ιδίως</w:t>
            </w:r>
            <w:r>
              <w:t xml:space="preserve"> της ελευθερίας της έκφρασης</w:t>
            </w:r>
            <w:r>
              <w:rPr>
                <w:b/>
                <w:i/>
              </w:rPr>
              <w:t>, της ελευθερίας πληροφόρησης και του δικαιώματος ασύλου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w:t>
            </w:r>
            <w:r>
              <w:rPr>
                <w:b/>
                <w:i/>
              </w:rPr>
              <w:t>συμπεριλαμβανομένης</w:t>
            </w:r>
            <w:r>
              <w:t xml:space="preserve"> της ελευθερίας της έκφρασης·</w:t>
            </w:r>
          </w:p>
        </w:tc>
        <w:tc>
          <w:tcPr>
            <w:tcW w:w="4876" w:type="dxa"/>
            <w:tcBorders>
              <w:top w:val="nil"/>
              <w:left w:val="nil"/>
              <w:bottom w:val="nil"/>
              <w:right w:val="nil"/>
            </w:tcBorders>
          </w:tcPr>
          <w:p>
            <w:pPr>
              <w:pStyle w:val="Normal6a"/>
            </w:pPr>
            <w:r>
              <w:t>3.</w:t>
            </w:r>
            <w:r>
              <w:tab/>
            </w:r>
            <w:r>
              <w:t xml:space="preserve">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την καταπολέμηση της διαφθοράς και του οργανωμένου εγκλήματος και να διασφαλίσει την προστασία των θεμελιωδών δικαιωμάτων, </w:t>
            </w:r>
            <w:r>
              <w:rPr>
                <w:b/>
                <w:i/>
              </w:rPr>
              <w:t>συμπεριλαμβανομένων</w:t>
            </w:r>
            <w:r>
              <w:t xml:space="preserve"> της ελευθερίας της έκφρασης</w:t>
            </w:r>
            <w:r>
              <w:rPr>
                <w:b/>
                <w:i/>
              </w:rPr>
              <w:t>, της πολυφωνίας και της ανεξαρτησίας των μέσων ενημέρωσης</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σημειώνει την πρόοδο της Αλβανίας στη μεταρρύθμιση της δημόσιας διοίκησης, ιδίως με τη σύσταση Υπουργείου Δημόσιας Διοίκησης και την έγκριση νέας στρατηγικής για τη διαχείριση των δημόσιων οικονομικών για την περίοδο 2023-2030·</w:t>
            </w:r>
            <w:r>
              <w:t xml:space="preserve"> </w:t>
            </w:r>
            <w:r>
              <w:rPr>
                <w:b/>
                <w:i/>
              </w:rPr>
              <w:t>τονίζει ότι είναι σημαντικό να συνεχιστούν οι μεταρρυθμίσεις που έχουν ως στόχο να καταστεί πιο αποτελεσματική η διακυβέρνηση, πιο διαφανής η διοίκηση και πιο αξιοκρατική η διαδικασία προσλήψεων στον δημόσιο τομέα·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εκφράζει σοβαρή ανησυχία για τις αυξανόμενες ενδείξεις πολιτικών διώξεων κατά ηγετών της αντιπολίτευσης, συμπεριλαμβανομένων των εν εξελίξει νομικών ενεργειών και συλλήψεων βασικών πολιτικών προσωπικοτήτων, όπως ο καθηγητής Δρ Sali Berisha, ο Ilir Meta, ο Fatmir Mediu, ο Ervin Salianji και ο Fredi Beleri·</w:t>
            </w:r>
            <w:r>
              <w:t xml:space="preserve"> </w:t>
            </w:r>
            <w:r>
              <w:rPr>
                <w:b/>
                <w:i/>
              </w:rPr>
              <w:t>τονίζει την ανάγκη να διατηρήσει η Αλβανία τον πολιτικό πλουραλισμό και να διασφαλίσει ένα δίκαιο και ανταγωνιστικό δημοκρατικό περιβάλλον πριν από τις εκλογές του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εκφράζει τη λύπη του για την παντελή έλλειψη πιέσεων για επανορθώσεις, αναφορικά με το πλήθος διωγμών και την τρομοκράτηση που δέχθηκε η Ελληνική Εθνική Μειονότητα Βορείας Ηπείρου, της οποίας μεγάλο μέρος οδηγήθηκε στην έξοδο από τις πατρογονικές της εστίες.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Καταγγέλει την παντελή έλλειψη πρωτοβουλιών για να αποδοθεί δικαιοσύνη για την δολοφονία του βορειοηπειρώτη Κωνσταντίνου Κατσίφα.</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γ.</w:t>
            </w:r>
            <w:r>
              <w:tab/>
            </w:r>
            <w:r>
              <w:rPr>
                <w:b/>
                <w:i/>
              </w:rPr>
              <w:t>σημειώνει ότι στην Αλβανία εντοπίζεται η καρδιά του οργανωμένου εγκλήματος της αλβανικής μαφίας που καταδυναστεύει πλήθος κρατών στην ΕΕ και διεθνώς.</w:t>
            </w:r>
            <w:r>
              <w:t xml:space="preserve"> </w:t>
            </w:r>
            <w:r>
              <w:rPr>
                <w:b/>
                <w:i/>
              </w:rPr>
              <w:t>Επισημαίνει τη σημασία αποτελεσματικών δράσεων της Eurojust για να αντιμετωπιστούν τα αλβανικά κυκλώματα λαθρεμπορίου ναρκωτικών, ανθρωπίνων οργάνων και μαστροπείας.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εκφράζει </w:t>
            </w:r>
            <w:r>
              <w:rPr>
                <w:b/>
                <w:i/>
              </w:rPr>
              <w:t>την ικανοποίησή του για</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w:t>
            </w:r>
            <w:r>
              <w:rPr>
                <w:b/>
                <w:i/>
              </w:rPr>
              <w:t>καθορίζονται</w:t>
            </w:r>
            <w:r>
              <w:t xml:space="preserve"> στο φιλόδοξο πρόγραμμα μεταρρυθμίσεων που έχει καταρτίσει·</w:t>
            </w:r>
          </w:p>
        </w:tc>
        <w:tc>
          <w:tcPr>
            <w:tcW w:w="4876" w:type="dxa"/>
            <w:tcBorders>
              <w:top w:val="nil"/>
              <w:left w:val="nil"/>
              <w:bottom w:val="nil"/>
              <w:right w:val="nil"/>
            </w:tcBorders>
          </w:tcPr>
          <w:p>
            <w:pPr>
              <w:pStyle w:val="Normal6a"/>
            </w:pPr>
            <w:r>
              <w:t>4.</w:t>
            </w:r>
            <w:r>
              <w:tab/>
            </w:r>
            <w:r>
              <w:t xml:space="preserve">εκφράζει </w:t>
            </w:r>
            <w:r>
              <w:rPr>
                <w:b/>
                <w:i/>
              </w:rPr>
              <w:t>ανησυχίες σχετικά με</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w:t>
            </w:r>
            <w:r>
              <w:rPr>
                <w:b/>
                <w:i/>
              </w:rPr>
              <w:t>περιγράφονται</w:t>
            </w:r>
            <w:r>
              <w:t xml:space="preserve"> στο φιλόδοξο πρόγραμμα μεταρρυθμίσεων που έχει καταρτίσει</w:t>
            </w:r>
            <w:r>
              <w:rPr>
                <w:b/>
                <w:i/>
              </w:rPr>
              <w:t>, εν μέσω συνεχιζόμενων πολιτικών και οικονομικών εντάσεων εντός της ΕΕ·</w:t>
            </w:r>
            <w:r>
              <w:t xml:space="preserve"> </w:t>
            </w:r>
            <w:r>
              <w:rPr>
                <w:b/>
                <w:i/>
              </w:rPr>
              <w:t>αμφισβητεί περαιτέρω την καταλληλότητα της χρηματοδότησης τρίτων χωρών από την Ευρωπαϊκή Ένωση, όταν αυτή αντιμετωπίζει οικονομική και γεωπολιτική κρίση εντός των συνόρων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εκφράζει την ικανοποίησή του για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r>
              <w:t>·</w:t>
            </w:r>
          </w:p>
        </w:tc>
        <w:tc>
          <w:tcPr>
            <w:tcW w:w="4876" w:type="dxa"/>
            <w:tcBorders>
              <w:top w:val="nil"/>
              <w:left w:val="nil"/>
              <w:bottom w:val="nil"/>
              <w:right w:val="nil"/>
            </w:tcBorders>
          </w:tcPr>
          <w:p>
            <w:pPr>
              <w:pStyle w:val="Normal6a"/>
            </w:pPr>
            <w:r>
              <w:t>4.</w:t>
            </w:r>
            <w:r>
              <w:tab/>
            </w:r>
            <w:r>
              <w:rPr>
                <w:b/>
                <w:i/>
              </w:rPr>
              <w:t>τονίζει ότι η εκπλήρωση από την Αλβανία των προϋποθέσεων που ορίζονται στο φιλόδοξο πρόγραμμα μεταρρυθμίσεων που έχει καταρτίσει, δεν θα πρέπει να οδηγήσει στην εκταμίευση 922 εκατομμυρίων EUR στο πλαίσιο της διευκόλυνσης μεταρρυθμίσεων και ανάπτυξης για τα Δυτικά Βαλκάνια·</w:t>
            </w:r>
            <w:r>
              <w:t xml:space="preserve"> </w:t>
            </w:r>
            <w:r>
              <w:rPr>
                <w:b/>
                <w:i/>
              </w:rPr>
              <w:t>υπογραμμίζει ότι τα κονδύλια αυτά θα πρέπει αντ’ αυτού να ανακατευθυνθούν αμέσως προς όφελος των σημερινών κρατών μελών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εκφράζει την ικανοποίησή του για</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p>
        </w:tc>
        <w:tc>
          <w:tcPr>
            <w:tcW w:w="4876" w:type="dxa"/>
            <w:tcBorders>
              <w:top w:val="nil"/>
              <w:left w:val="nil"/>
              <w:bottom w:val="nil"/>
              <w:right w:val="nil"/>
            </w:tcBorders>
          </w:tcPr>
          <w:p>
            <w:pPr>
              <w:pStyle w:val="Normal6a"/>
            </w:pPr>
            <w:r>
              <w:t>4.</w:t>
            </w:r>
            <w:r>
              <w:tab/>
            </w:r>
            <w:r>
              <w:rPr>
                <w:b/>
                <w:i/>
              </w:rPr>
              <w:t>σημειώνει</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εκφράζει την ικανοποίησή του για</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p>
        </w:tc>
        <w:tc>
          <w:tcPr>
            <w:tcW w:w="4876" w:type="dxa"/>
            <w:tcBorders>
              <w:top w:val="nil"/>
              <w:left w:val="nil"/>
              <w:bottom w:val="nil"/>
              <w:right w:val="nil"/>
            </w:tcBorders>
          </w:tcPr>
          <w:p>
            <w:pPr>
              <w:pStyle w:val="Normal6a"/>
            </w:pPr>
            <w:r>
              <w:t>4.</w:t>
            </w:r>
            <w:r>
              <w:tab/>
            </w:r>
            <w:r>
              <w:rPr>
                <w:b/>
                <w:i/>
              </w:rPr>
              <w:t>σημειώνει</w:t>
            </w:r>
            <w:r>
              <w:t xml:space="preserve">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σημειώνει ότι η</w:t>
            </w:r>
            <w:r>
              <w:t xml:space="preserve"> Αλβανία </w:t>
            </w:r>
            <w:r>
              <w:rPr>
                <w:b/>
                <w:i/>
              </w:rPr>
              <w:t>ενέκρινε το εθνικό σχέδιο</w:t>
            </w:r>
            <w:r>
              <w:t xml:space="preserve"> για την ένταξη στην ΕΕ 2024-2026· ζητεί να καταβληθούν μεγαλύτερες προσπάθειες για την αύξηση της διαφάνειας και τη συμμετοχή στη δημόσια επικοινωνία σχετικά με την ένταξη στην ΕΕ·</w:t>
            </w:r>
          </w:p>
        </w:tc>
        <w:tc>
          <w:tcPr>
            <w:tcW w:w="4876" w:type="dxa"/>
            <w:tcBorders>
              <w:top w:val="nil"/>
              <w:left w:val="nil"/>
              <w:bottom w:val="nil"/>
              <w:right w:val="nil"/>
            </w:tcBorders>
          </w:tcPr>
          <w:p>
            <w:pPr>
              <w:pStyle w:val="Normal6a"/>
            </w:pPr>
            <w:r>
              <w:t>5.</w:t>
            </w:r>
            <w:r>
              <w:tab/>
            </w:r>
            <w:r>
              <w:rPr>
                <w:b/>
                <w:i/>
              </w:rPr>
              <w:t>επαινεί την</w:t>
            </w:r>
            <w:r>
              <w:t xml:space="preserve"> Αλβανία </w:t>
            </w:r>
            <w:r>
              <w:rPr>
                <w:b/>
                <w:i/>
              </w:rPr>
              <w:t>για την έγκριση του εθνικού σχεδίου</w:t>
            </w:r>
            <w:r>
              <w:t xml:space="preserve"> για την ένταξη στην ΕΕ 2024-2026</w:t>
            </w:r>
            <w:r>
              <w:rPr>
                <w:b/>
                <w:i/>
              </w:rPr>
              <w:t>·</w:t>
            </w:r>
            <w:r>
              <w:t xml:space="preserve"> </w:t>
            </w:r>
            <w:r>
              <w:rPr>
                <w:b/>
                <w:i/>
              </w:rPr>
              <w:t>εκφράζει την ικανοποίησή του για το γεγονός ότι στην Αλβανία έχουν συσταθεί όργανα που είναι αρμόδια για τη διαδικασία ένταξης</w:t>
            </w:r>
            <w:r>
              <w:t>· ζητεί να καταβληθούν μεγαλύτερες προσπάθειες για την αύξηση της διαφάνειας και τη συμμετοχή στη δημόσια επικοινωνία σχετικά με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αναγνωρίζει την ενισχυμένη συνεργασία μεταξύ της Αλβανίας και της ΕΕ στη διαχείριση των μεταναστευτικών ροών και τις διαδικασίες συνοριακών ελέγχων, ιδίως μέσω της νέας εθνικής στρατηγικής για τη μετανάστευση 2024-2026 και της συνεργασίας με τον Frontex·</w:t>
            </w:r>
            <w:r>
              <w:t xml:space="preserve"> </w:t>
            </w:r>
            <w:r>
              <w:rPr>
                <w:b/>
                <w:i/>
              </w:rPr>
              <w:t>ενθαρρύνει την Αλβανία να συνεχίσει την πορεία αυτή, εξασφαλίζοντας αποτελεσματική διαχείριση των συνόρων και καλύτερο συντονισμό με τα κράτη μέλη για την αντιμετώπιση των μεταναστευτικών προκλήσεων·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εκφράζει την ικανοποίησή του για το γεγονός ότι το Συνταγματικό Δικαστήριο της Αλβανίας έχει βελτιώσει την αποτελεσματικότητά του μειώνοντας τις εκκρεμείς υποθέσεις του και εξακολουθεί να υποστηρίζει το σύστημα θεσμικών ελέγχων και ισορροπιών·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c>
          <w:tcPr>
            <w:tcW w:w="4876" w:type="dxa"/>
            <w:tcBorders>
              <w:top w:val="nil"/>
              <w:left w:val="nil"/>
              <w:bottom w:val="nil"/>
              <w:right w:val="nil"/>
            </w:tcBorders>
          </w:tcPr>
          <w:p>
            <w:pPr>
              <w:pStyle w:val="Normal6a"/>
            </w:pPr>
            <w:r>
              <w:t>6.</w:t>
            </w:r>
            <w:r>
              <w:tab/>
            </w:r>
            <w:r>
              <w:rPr>
                <w:b/>
                <w:i/>
              </w:rPr>
              <w:t>εκφράζει την ανησυχία του για το γεγονός ότι οι εντάσεις και η πόλωση μεταξύ του κυβερνώντος κόμματος και της αντιπολίτευσης διαταράσσουν και αποδυναμώνουν την κοινοβουλευτική δραστηριότητα·</w:t>
            </w:r>
            <w:r>
              <w:t xml:space="preserve"> 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w:t>
            </w:r>
            <w:r>
              <w:rPr>
                <w:b/>
                <w:i/>
              </w:rPr>
              <w:t>·</w:t>
            </w:r>
            <w:r>
              <w:t xml:space="preserve"> </w:t>
            </w:r>
            <w:r>
              <w:rPr>
                <w:b/>
                <w:i/>
              </w:rPr>
              <w:t>καλεί την Αλβανία να εφαρμόσει τις συστάσεις που περιγράφονται στην έκθεση παρατήρησης εκλογών του Οργανισμού για την Ασφάλεια και τη Συνεργασία στην Ευρώπη (ΟΑΣΕ)/Γραφείο Δημοκρατικών Θεσμών και Ανθρωπίνων Δικαιωμάτων (ΓΔΘΑΔ) σχετικά με τη διαφάνεια στη χρηματοδότηση των πολιτικών κομμάτων και τον θεμιτό εκλογικό ανταγωνισμό·</w:t>
            </w:r>
            <w:r>
              <w:t xml:space="preserve"> </w:t>
            </w:r>
            <w:r>
              <w:rPr>
                <w:b/>
                <w:i/>
              </w:rPr>
              <w:t>υπογραμμίζει την ανάγκη προώθησης μιας πολιτικής νοοτροπίας που θα βασίζεται στον αμοιβαίο σεβασμό και την τήρηση των δημοκρατικών κανόνων, ώστε να διασφαλίζεται ότι ο πολιτικός ανταγωνισμός δεν θα υπονομεύει τη θεσμική σταθερότητα·</w:t>
            </w:r>
            <w:r>
              <w:t xml:space="preserve"> </w:t>
            </w:r>
            <w:r>
              <w:rPr>
                <w:b/>
                <w:i/>
              </w:rPr>
              <w:t>τονίζει ότι είναι σημαντικό να αποπολιτικοποιηθούν βασικοί κρατικοί θεσμοί, ώστε να ενισχυθεί η εμπιστοσύνη του κοινού στη διακυβέρνηση</w:t>
            </w:r>
            <w:r>
              <w:t>·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c>
          <w:tcPr>
            <w:tcW w:w="4876" w:type="dxa"/>
            <w:tcBorders>
              <w:top w:val="nil"/>
              <w:left w:val="nil"/>
              <w:bottom w:val="nil"/>
              <w:right w:val="nil"/>
            </w:tcBorders>
          </w:tcPr>
          <w:p>
            <w:pPr>
              <w:pStyle w:val="Normal6a"/>
            </w:pPr>
            <w:r>
              <w:t>6.</w:t>
            </w:r>
            <w:r>
              <w:tab/>
            </w:r>
            <w:r>
              <w:t xml:space="preserve">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w:t>
            </w:r>
            <w:r>
              <w:rPr>
                <w:b/>
                <w:i/>
              </w:rPr>
              <w:t>έντονης</w:t>
            </w:r>
            <w:r>
              <w:t xml:space="preserve"> πολιτικής πόλωσης στη χώρα </w:t>
            </w:r>
            <w:r>
              <w:rPr>
                <w:b/>
                <w:i/>
              </w:rPr>
              <w:t>και των συγκρούσεων μεταξύ της κυβερνητικής πλειοψηφίας και της αντιπολίτευσης·</w:t>
            </w:r>
            <w:r>
              <w:t xml:space="preserve"> </w:t>
            </w:r>
            <w:r>
              <w:rPr>
                <w:b/>
                <w:i/>
              </w:rPr>
              <w:t>εκφράζει τη λύπη του για την τροποποίηση του εσωτερικού κανονισμού και των κανόνων δεοντολογίας του Κοινοβουλίου, η οποία υπονομεύει τη δημοκρατική λειτουργία του Κοινοβουλίου</w:t>
            </w:r>
            <w:r>
              <w:t>·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c>
          <w:tcPr>
            <w:tcW w:w="4876" w:type="dxa"/>
            <w:tcBorders>
              <w:top w:val="nil"/>
              <w:left w:val="nil"/>
              <w:bottom w:val="nil"/>
              <w:right w:val="nil"/>
            </w:tcBorders>
          </w:tcPr>
          <w:p>
            <w:pPr>
              <w:pStyle w:val="Normal6a"/>
            </w:pPr>
            <w:r>
              <w:t>6.</w:t>
            </w:r>
            <w:r>
              <w:tab/>
            </w:r>
            <w:r>
              <w:t xml:space="preserve">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 </w:t>
            </w:r>
            <w:r>
              <w:rPr>
                <w:b/>
                <w:i/>
              </w:rPr>
              <w:t>εκφράζει τη λύπη του για τη συνεχιζόμενη πολιτική αντιπαράθεση και την εμπρηστική ρητορική από διάφορους πολιτικούς στη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c>
          <w:tcPr>
            <w:tcW w:w="4876" w:type="dxa"/>
            <w:tcBorders>
              <w:top w:val="nil"/>
              <w:left w:val="nil"/>
              <w:bottom w:val="nil"/>
              <w:right w:val="nil"/>
            </w:tcBorders>
          </w:tcPr>
          <w:p>
            <w:pPr>
              <w:pStyle w:val="Normal6a"/>
            </w:pPr>
            <w:r>
              <w:t>6.</w:t>
            </w:r>
            <w:r>
              <w:tab/>
            </w:r>
            <w:r>
              <w:t xml:space="preserve">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 </w:t>
            </w:r>
            <w:r>
              <w:rPr>
                <w:b/>
                <w:i/>
              </w:rPr>
              <w:t>καλεί την Αλβανία να ενισχύσει επίσης τον ρόλο της κοινωνίας των πολιτών στη διαδικασία προσχώρησης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c>
          <w:tcPr>
            <w:tcW w:w="4876" w:type="dxa"/>
            <w:tcBorders>
              <w:top w:val="nil"/>
              <w:left w:val="nil"/>
              <w:bottom w:val="nil"/>
              <w:right w:val="nil"/>
            </w:tcBorders>
          </w:tcPr>
          <w:p>
            <w:pPr>
              <w:pStyle w:val="Normal6a"/>
            </w:pPr>
            <w:r>
              <w:t>6.</w:t>
            </w:r>
            <w:r>
              <w:tab/>
            </w:r>
            <w:r>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πολιτικής πόλωσης στη χώρα</w:t>
            </w:r>
            <w:r>
              <w:rPr>
                <w:b/>
                <w:i/>
              </w:rPr>
              <w:t>, ιδίως ενόψει των κοινοβουλευτικών εκλογών</w:t>
            </w:r>
            <w:r>
              <w:t>· τονίζει την ανάγκη για αποτελεσματικότερη κοινοβουλευτική εποπτεία, βελτιωμένη λειτουργία των θεσμών και ουσιαστική συμμετοχή της κοινωνίας των πολιτών·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παροτρύνει όλους τους πολιτικούς παράγοντες να μη χρησιμοποιούν τους κρατικούς μηχανισμούς ως πολιτικά εργαλεία για να επιτίθενται στους αντιπάλους τους, και να επιδεικνύουν πλήρη σεβασμό για τον ρόλο της αντιπολίτευσης, θέτοντας τέλος στις πολιτικές επιθέσεις, τον εκφοβισμό και τις προσπάθειες υπονόμευσης της νομιμότητάς τους·</w:t>
            </w:r>
            <w:r>
              <w:t xml:space="preserve"> </w:t>
            </w:r>
            <w:r>
              <w:rPr>
                <w:b/>
                <w:i/>
              </w:rPr>
              <w:t>ζητεί πραγματικό διάλογο για την προώθηση της πολιτικής σταθερότητας και προόδου, τονίζοντας την ανάγκη για διακομματική συναίνεση σχετικά με το θεματολόγιο ένταξης στην ΕΕ και ουσιαστική συμμετοχή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Ενθαρρύνει την Αλβανία να εφαρμόσει τους κανονισμούς που διασφαλίζουν την πλήρη εφαρμογή του πλαισίου του 2017 για την προστασία των Εθνικών Μειονοτήτων και τα σχετικά δικαιώματα ελεύθερης αυτοπροσδιορισμού, της χρήσης μειονοτικών γλωσσών και του δικαιώματος στην εκπαίδευση σε μειονοτικές γλώσσες.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αναγνωρίζει την εντεινόμενη απειλή ξένης κακόβουλης επιρροής και υβριδικής παρέμβασης στους δημοκρατικούς θεσμούς της Αλβανίας, η οποία επηρεάζει άμεσα τη διαδικασία προσχώρησής της στην ΕΕ·</w:t>
            </w:r>
            <w:r>
              <w:t xml:space="preserve"> </w:t>
            </w:r>
            <w:r>
              <w:rPr>
                <w:b/>
                <w:i/>
              </w:rPr>
              <w:t>καλεί την Αλβανία να ενισχύσει τη θεσμική ανθεκτικότητα έναντι της συγκεκαλυμμένης πολιτικής χρηματοδότησης, της χειραγώγησης των μέσων ενημέρωσης και των κυβερνοαπειλών·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6β.</w:t>
            </w:r>
            <w:r>
              <w:tab/>
            </w:r>
            <w:r>
              <w:rPr>
                <w:b/>
                <w:i/>
              </w:rPr>
              <w:t>εκφράζει τη λύπη του για την επανειλημμένη μη συμμόρφωση του Κοινοβουλίου με ορισμένες αποφάσεις του Συνταγματικού Δικαστηρίου·</w:t>
            </w:r>
            <w:r>
              <w:t xml:space="preserve"> </w:t>
            </w:r>
            <w:r>
              <w:rPr>
                <w:b/>
                <w:i/>
              </w:rPr>
              <w:t>τονίζει το καθήκον του Κοινοβουλίου να τηρεί τις αποφάσεις του Συνταγματικού Δικαστηρίου προκειμένου να διαφυλάσσονται η ισορροπία και η διάκριση των εξουσιών, καθώς αποτελούν απαραίτητα στοιχεία για τη διασφάλιση της δημοκρατικής διακυβέρνησης·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6β.</w:t>
            </w:r>
            <w:r>
              <w:tab/>
            </w:r>
            <w:r>
              <w:rPr>
                <w:b/>
                <w:i/>
              </w:rPr>
              <w:t>εκφράζει τη λύπη του για το γεγονός ότι οι οργανώσεις της κοινωνίας των πολιτών στην Αλβανία λαμβάνουν περιορισμένη δημόσια χρηματοδότηση·</w:t>
            </w:r>
            <w:r>
              <w:t xml:space="preserve"> </w:t>
            </w:r>
            <w:r>
              <w:rPr>
                <w:b/>
                <w:i/>
              </w:rPr>
              <w:t>επιμένει στην εφαρμογή των αναγκαίων προϋποθέσεων για την αποτελεσματική απαλλαγή των οργανώσεων της κοινωνίας των πολιτών από τον ΦΠΑ·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6γ.</w:t>
            </w:r>
            <w:r>
              <w:tab/>
            </w:r>
            <w:r>
              <w:rPr>
                <w:b/>
                <w:i/>
              </w:rPr>
              <w:t>τονίζει τον θεμελιώδη και αναντικατάστατο ρόλο του Κοινοβουλίου στη διασφάλιση των ελέγχων και ισορροπιών, ιδίως μέσω των εξεταστικών επιτροπών·</w:t>
            </w:r>
            <w:r>
              <w:t xml:space="preserve"> </w:t>
            </w:r>
            <w:r>
              <w:rPr>
                <w:b/>
                <w:i/>
              </w:rPr>
              <w:t>σημειώνει με ανησυχία ότι ο νέος νόμος για τις κοινοβουλευτικές εξεταστικές επιτροπές εγκρίθηκε μονομερώς, χωρίς να εξασφαλιστεί συναίνεση·</w:t>
            </w:r>
            <w:r>
              <w:t xml:space="preserve"> </w:t>
            </w:r>
            <w:r>
              <w:rPr>
                <w:b/>
                <w:i/>
              </w:rPr>
              <w:t>καλεί την Αλβανία να εξασφαλίσει πραγματική δημοκρατική λογοδοσία και να ενισχύσει τη σταθερή και διαφανή διακυβέρνηση, μεταξύ άλλων με τη θέσπιση εξεταστικών επιτροπών, επερωτήσεων και προτάσεων με συζήτηση, με πλήρη τήρηση των νομικών διατάξεων·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6δ.</w:t>
            </w:r>
            <w:r>
              <w:tab/>
            </w:r>
            <w:r>
              <w:rPr>
                <w:b/>
                <w:i/>
              </w:rPr>
              <w:t>τονίζει ότι κάθε πρωτοβουλία που ισχυρίζεται ότι ενισχύει τη διακυβέρνηση, το κράτος δικαίου και τις προσπάθειες για την καταπολέμηση της διαφθοράς πρέπει να βασίζεται στη συμμετοχικότητα, τη διαφάνεια και τη συνεργασία, και όχι στους πολιτικούς ελιγμούς·</w:t>
            </w:r>
            <w:r>
              <w:t xml:space="preserve"> </w:t>
            </w:r>
            <w:r>
              <w:rPr>
                <w:b/>
                <w:i/>
              </w:rPr>
              <w:t>εκφράζει την ανησυχία του για οποιεσδήποτε αποφάσεις λαμβάνονται μονομερώς και χωρίς ευρύτερη πολιτική συναίνεση·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επιμένει στην ανάγκη να ληφθούν υπόψη και να εφαρμοστούν οι εκκρεμείς συστάσεις του Γραφείου Δημοκρατικών Θεσμών και Ανθρωπίνων Δικαιωμάτων του ΟΑΣΕ/ΓΔΘΑΔ και της Επιτροπής της Βενετίας·</w:t>
            </w:r>
          </w:p>
        </w:tc>
        <w:tc>
          <w:tcPr>
            <w:tcW w:w="4876" w:type="dxa"/>
            <w:tcBorders>
              <w:top w:val="nil"/>
              <w:left w:val="nil"/>
              <w:bottom w:val="nil"/>
              <w:right w:val="nil"/>
            </w:tcBorders>
          </w:tcPr>
          <w:p>
            <w:pPr>
              <w:pStyle w:val="Normal6a"/>
            </w:pPr>
            <w:r>
              <w:t>7.</w:t>
            </w:r>
            <w:r>
              <w:tab/>
            </w:r>
            <w:r>
              <w:t xml:space="preserve">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επιμένει στην ανάγκη να ληφθούν υπόψη και να εφαρμοστούν </w:t>
            </w:r>
            <w:r>
              <w:rPr>
                <w:b/>
                <w:i/>
              </w:rPr>
              <w:t>επειγόντως</w:t>
            </w:r>
            <w:r>
              <w:t xml:space="preserve"> οι εκκρεμείς συστάσεις του Γραφείου Δημοκρατικών Θεσμών και Ανθρωπίνων Δικαιωμάτων του ΟΑΣΕ/ΓΔΘΑΔ και της Επιτροπής της Βενετίας</w:t>
            </w:r>
            <w:r>
              <w:rPr>
                <w:b/>
                <w:i/>
              </w:rPr>
              <w:t>, μεταξύ άλλων σχετικά με το πλαίσιο χρηματοδότησης των εκλογών και των κομμάτων·</w:t>
            </w:r>
            <w:r>
              <w:t xml:space="preserve"> </w:t>
            </w:r>
            <w:r>
              <w:rPr>
                <w:b/>
                <w:i/>
              </w:rPr>
              <w:t>καλεί τις αρχές να εγγυηθούν την ελευθερία του συνεταιρίζεσθαι, μεταξύ άλλων για τα πολιτικά κόμματα, και την ελευθερία του εκλέγεσθαι, μεταξύ άλλων για όλες τις μειονότητες και όλα τα τμήματα της αντιπολίτευσης·</w:t>
            </w:r>
            <w:r>
              <w:t xml:space="preserve"> </w:t>
            </w:r>
            <w:r>
              <w:rPr>
                <w:b/>
                <w:i/>
              </w:rPr>
              <w:t>καλεί τις αλβανικές αρχές να αποτρέψουν την εξαγορά ψήφων και την κατάχρηση διοικητικών πόρων για εκλογικό όφελος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επιμένει στην ανάγκη να ληφθούν υπόψη και να εφαρμοστούν οι εκκρεμείς συστάσεις του Γραφείου Δημοκρατικών Θεσμών και Ανθρωπίνων Δικαιωμάτων του ΟΑΣΕ/ΓΔΘΑΔ και της Επιτροπής της Βενετίας·</w:t>
            </w:r>
          </w:p>
        </w:tc>
        <w:tc>
          <w:tcPr>
            <w:tcW w:w="4876" w:type="dxa"/>
            <w:tcBorders>
              <w:top w:val="nil"/>
              <w:left w:val="nil"/>
              <w:bottom w:val="nil"/>
              <w:right w:val="nil"/>
            </w:tcBorders>
          </w:tcPr>
          <w:p>
            <w:pPr>
              <w:pStyle w:val="Normal6a"/>
            </w:pPr>
            <w:r>
              <w:t>7.</w:t>
            </w:r>
            <w:r>
              <w:tab/>
            </w:r>
            <w:r>
              <w:t xml:space="preserve">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w:t>
            </w:r>
            <w:r>
              <w:rPr>
                <w:b/>
                <w:i/>
              </w:rPr>
              <w:t>εκφράζει την ανησυχία του για το γεγονός ότι με τις αλλαγές αυτές ενδέχεται να μην αντιμετωπιστούν θεμελιώδη ζητήματα, όπως η μυστικότητα της ψήφου, η εκλογική διαφθορά και η έλλειψη ανεξάρτητης εποπτείας των μέσων ενημέρωσης·</w:t>
            </w:r>
            <w:r>
              <w:t xml:space="preserve"> </w:t>
            </w:r>
            <w:r>
              <w:rPr>
                <w:b/>
                <w:i/>
              </w:rPr>
              <w:t>εκφράζει τη λύπη του για το γεγονός ότι το τεταμένο πολιτικό περιβάλλον και οι συνεχείς διαιρέσεις παρεμπόδισαν το έργο της ειδικής κοινοβουλευτικής επιτροπής και την επιτυχή εφαρμογή των εκλογικών μεταρρυθμίσεων·</w:t>
            </w:r>
            <w:r>
              <w:t xml:space="preserve"> επιμένει στην ανάγκη να ληφθούν υπόψη και να εφαρμοστούν οι εκκρεμείς συστάσεις του Γραφείου Δημοκρατικών Θεσμών και Ανθρωπίνων Δικαιωμάτων του ΟΑΣΕ/ΓΔΘΑΔ και της Επιτροπής της Βενετίας·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w:t>
            </w:r>
            <w:r>
              <w:rPr>
                <w:b/>
                <w:i/>
              </w:rPr>
              <w:t>επιμένει στην</w:t>
            </w:r>
            <w:r>
              <w:t xml:space="preserve"> ανάγκη </w:t>
            </w:r>
            <w:r>
              <w:rPr>
                <w:b/>
                <w:i/>
              </w:rPr>
              <w:t>να ληφθούν υπόψη και να εφαρμοστούν οι εκκρεμείς συστάσεις</w:t>
            </w:r>
            <w:r>
              <w:t xml:space="preserve"> του Γραφείου Δημοκρατικών Θεσμών και Ανθρωπίνων Δικαιωμάτων του ΟΑΣΕ/ΓΔΘΑΔ και της Επιτροπής της Βενετίας·</w:t>
            </w:r>
          </w:p>
        </w:tc>
        <w:tc>
          <w:tcPr>
            <w:tcW w:w="4876" w:type="dxa"/>
            <w:tcBorders>
              <w:top w:val="nil"/>
              <w:left w:val="nil"/>
              <w:bottom w:val="nil"/>
              <w:right w:val="nil"/>
            </w:tcBorders>
          </w:tcPr>
          <w:p>
            <w:pPr>
              <w:pStyle w:val="Normal6a"/>
            </w:pPr>
            <w:r>
              <w:t>7.</w:t>
            </w:r>
            <w:r>
              <w:tab/>
            </w:r>
            <w:r>
              <w:t xml:space="preserve">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w:t>
            </w:r>
            <w:r>
              <w:rPr>
                <w:b/>
                <w:i/>
              </w:rPr>
              <w:t>τονίζει την</w:t>
            </w:r>
            <w:r>
              <w:t xml:space="preserve"> ανάγκη </w:t>
            </w:r>
            <w:r>
              <w:rPr>
                <w:b/>
                <w:i/>
              </w:rPr>
              <w:t>πλήρους και έγκαιρης εφαρμογής των συστάσεων</w:t>
            </w:r>
            <w:r>
              <w:t xml:space="preserve"> του Γραφείου Δημοκρατικών Θεσμών και Ανθρωπίνων Δικαιωμάτων του ΟΑΣΕ/ΓΔΘΑΔ και της Επιτροπής της Βενετίας</w:t>
            </w:r>
            <w:r>
              <w:rPr>
                <w:b/>
                <w:i/>
              </w:rPr>
              <w:t>, ώστε να διασφαλιστεί ότι οι εκλογικές διαδικασίες είναι διαφανείς και ότι οι δημοκρατικοί θεσμοί λειτουργούν σωστά·</w:t>
            </w:r>
            <w:r>
              <w:t xml:space="preserve"> </w:t>
            </w:r>
            <w:r>
              <w:rPr>
                <w:b/>
                <w:i/>
              </w:rPr>
              <w:t>ζητεί να ενισχυθεί περαιτέρω το νομοθετικό πλαίσιο προκειμένου να αποφευχθεί η άσκηση πίεσης στους ψηφοφόρους και να βελτιωθεί η ισότιμη πρόσβαση στα μέσα ενημέρωσης κατά τη διάρκεια των προεκλογικών εκστρατειών</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επιμένει στην ανάγκη να ληφθούν υπόψη και να εφαρμοστούν οι εκκρεμείς συστάσεις του Γραφείου Δημοκρατικών Θεσμών και Ανθρωπίνων Δικαιωμάτων του ΟΑΣΕ/ΓΔΘΑΔ και της Επιτροπής της Βενετίας·</w:t>
            </w:r>
          </w:p>
        </w:tc>
        <w:tc>
          <w:tcPr>
            <w:tcW w:w="4876" w:type="dxa"/>
            <w:tcBorders>
              <w:top w:val="nil"/>
              <w:left w:val="nil"/>
              <w:bottom w:val="nil"/>
              <w:right w:val="nil"/>
            </w:tcBorders>
          </w:tcPr>
          <w:p>
            <w:pPr>
              <w:pStyle w:val="Normal6a"/>
            </w:pPr>
            <w:r>
              <w:t>7.</w:t>
            </w:r>
            <w:r>
              <w:tab/>
            </w:r>
            <w:r>
              <w:t>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επιμένει στην ανάγκη να ληφθούν υπόψη και να εφαρμοστούν οι εκκρεμείς συστάσεις του Γραφείου Δημοκρατικών Θεσμών και Ανθρωπίνων Δικαιωμάτων του ΟΑΣΕ/ΓΔΘΑΔ και της Επιτροπής της Βενετίας</w:t>
            </w:r>
            <w:r>
              <w:rPr>
                <w:b/>
                <w:i/>
              </w:rPr>
              <w:t>,</w:t>
            </w:r>
            <w:r>
              <w:t xml:space="preserve"> </w:t>
            </w:r>
            <w:r>
              <w:rPr>
                <w:b/>
                <w:i/>
              </w:rPr>
              <w:t>ιδίως όσον αφορά την εκλογική διαφάνεια, μεταξύ άλλων με την απαγόρευση της ανώνυμης διαδικτυακής πολιτικής διαφήμισης, την ενίσχυση των απαιτήσεων δημοσιοποίησης οικονομικών στοιχείων για οντότητες που συνδέονται με το εξωτερικό, και την αυστηροποίηση του νομικού πλαισίου κατά των παραβιάσεων σε σχέση με τη χρηματοδότηση προεκλογικών εκστρατειών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εκφράζει τη λύπη του για το γεγονός ότι, παρά τις συστάσεις του ΟΑΣΕ/ΓΔΘΑΔ, οι επανειλημμένες εκλογικές παραβιάσεις εξακολουθούν να μην αντιμετωπίζονται·</w:t>
            </w:r>
            <w:r>
              <w:t xml:space="preserve"> </w:t>
            </w:r>
            <w:r>
              <w:rPr>
                <w:b/>
                <w:i/>
              </w:rPr>
              <w:t>σημειώνει ότι οι μονομερείς συνταγματικές τροποποιήσεις που εισήγαγε το κυβερνών κόμμα το 2020 έχουν αποδυναμώσει τους θεσμικούς ελέγχους και την εκλογική ανταγωνιστικότητα·</w:t>
            </w:r>
            <w:r>
              <w:t xml:space="preserve"> </w:t>
            </w:r>
            <w:r>
              <w:rPr>
                <w:b/>
                <w:i/>
              </w:rPr>
              <w:t>ζητεί να εξασφαλιστούν ίσοι όροι ανταγωνισμού και πλήρης σεβασμός των διεθνών προτύπων, προκειμένου οι εκλογές του 2025 να είναι ελεύθερες και δίκαιες·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καταδικάζει απερίφραστα τη ρωσική παρέμβαση στις δημοκρατικές διαδικασίες της Αλβανίας, ιδίως τη συγκεκαλυμμένη χρηματοδοτική στήριξη που δόθηκε σε Αλβανούς πολιτικούς παράγοντες στις εκλογές του 2017, όπου εικονικές εταιρείες που συνδέονται με τη Ρωσία διέθεσαν 600.000 EUR σε αφανή εκλογική χρηματοδότηση για να επηρεάσουν τα εκλογικά αποτελέσματα·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Andrey Kovatchev,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προειδοποιεί για κάθε ενέργεια που θα μπορούσε δυνητικά να υπονομεύσει τον θεμιτό ανταγωνισμό και την ακεραιότητα της εκλογικής διαδικασίας λίγο πριν από τις εκλογές·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επικροτεί κάθε πιθανή πρωτοβουλία της αλβανικής κυβέρνησης για τον επαναπατρισμό της διασποράς.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7β.</w:t>
            </w:r>
            <w:r>
              <w:tab/>
            </w:r>
            <w:r>
              <w:rPr>
                <w:b/>
                <w:i/>
              </w:rPr>
              <w:t>εκφράζει τη βαθιά του ανησυχία για τις συστημικές παραβιάσεις του εκλογικού κώδικα από τον πρωθυπουργό Edi Rama και την κατάχρηση κρατικών πόρων για εκλογικό όφελος, μεταξύ άλλων με την καταβολή εφάπαξ πληρωμών στους συνταξιούχους δύο μήνες πριν από τις εκλογές, με πρακτικές προεκλογικών προσλήψεων και ταχείες διαδικασίες σύναψης συμβάσεων, καθώς και με την έκδοση αδειών και την παροχή κινήτρων που σχετίζονται με την κάνναβη, με αντάλλαγμα ψήφους, κατά παράβαση των νομικών απαγορεύσεων·</w:t>
            </w:r>
            <w:r>
              <w:t xml:space="preserve"> </w:t>
            </w:r>
            <w:r>
              <w:rPr>
                <w:b/>
                <w:i/>
              </w:rPr>
              <w:t>υπογραμμίζει ότι οι πράξεις αυτές υπονομεύουν την ακεραιότητα και το αδιάβλητο της εκλογικής διαδικασίας και συνιστούν κατάχρηση δημόσιου αξιώματος για πολιτικό όφελος·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c>
          <w:tcPr>
            <w:tcW w:w="4876" w:type="dxa"/>
            <w:tcBorders>
              <w:top w:val="nil"/>
              <w:left w:val="nil"/>
              <w:bottom w:val="nil"/>
              <w:right w:val="nil"/>
            </w:tcBorders>
          </w:tcPr>
          <w:p>
            <w:pPr>
              <w:pStyle w:val="Normal6a"/>
            </w:pPr>
            <w:r>
              <w:t>8.</w:t>
            </w:r>
            <w:r>
              <w:tab/>
            </w:r>
            <w:r>
              <w:t xml:space="preserve">σημειώνει με ανησυχία ότι η ανεξαρτησία και η πολυφωνία των μέσων ενημέρωσης </w:t>
            </w:r>
            <w:r>
              <w:rPr>
                <w:b/>
                <w:i/>
              </w:rPr>
              <w:t>στην Αλβανία</w:t>
            </w:r>
            <w:r>
              <w:t xml:space="preserve">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 </w:t>
            </w:r>
            <w:r>
              <w:rPr>
                <w:b/>
                <w:i/>
              </w:rPr>
              <w:t>σημειώνει ότι η Αλβανία κατατάσσεται στην 99η θέση του Παγκόσμιου Δείκτη Ελευθερίας του Τύπου για το 2024, που καταρτίζεται από τον οργανισμό «Δημοσιογράφοι Χωρίς Σύνορα», γεγονός που αντικατοπτρίζει συνεχιζόμενα προβλήματα σε σχέση με τη συγκέντρωση της ιδιοκτησίας των μέσων ενημέρωσης, τις πολιτικές παρεμβάσεις και τις απειλές κατά δημοσιογράφων·</w:t>
            </w:r>
            <w:r>
              <w:t xml:space="preserve"> </w:t>
            </w:r>
            <w:r>
              <w:rPr>
                <w:b/>
                <w:i/>
              </w:rPr>
              <w:t>επισημαίνει ότι η έλλειψη διαφάνειας στις δομές χρηματοδότησης και ιδιοκτησίας των μέσων ενημέρωσης αυξάνει τον κίνδυνο συντακτικής μεροληψίας και υπονομεύει την εμπιστοσύνη του κοινού στη δημοσιογραφία·</w:t>
            </w:r>
            <w:r>
              <w:t xml:space="preserve"> </w:t>
            </w:r>
            <w:r>
              <w:rPr>
                <w:b/>
                <w:i/>
              </w:rPr>
              <w:t>καλεί τις αλβανικές αρχές να διασφαλίσουν τη διαφάνεια όσον αφορά την ιδιοκτησία των μέσων ενημέρωσης και να τηρούν στάση μηδενικής ανοχής απέναντι στον εκφοβισμό των δημοσιογράφων·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c>
          <w:tcPr>
            <w:tcW w:w="4876" w:type="dxa"/>
            <w:tcBorders>
              <w:top w:val="nil"/>
              <w:left w:val="nil"/>
              <w:bottom w:val="nil"/>
              <w:right w:val="nil"/>
            </w:tcBorders>
          </w:tcPr>
          <w:p>
            <w:pPr>
              <w:pStyle w:val="Normal6a"/>
            </w:pPr>
            <w:r>
              <w:t>8.</w:t>
            </w:r>
            <w:r>
              <w:tab/>
            </w:r>
            <w:r>
              <w:t xml:space="preserve">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 </w:t>
            </w:r>
            <w:r>
              <w:rPr>
                <w:b/>
                <w:i/>
              </w:rPr>
              <w:t>επισημαίνει ότι η Ρωσία διαδίδει συστηματικά παραπληροφόρηση στην Αλβανία, καθώς το 2023 εντοπίστηκαν 41 σημαντικές ψευδείς ειδήσεις, οι οποίες έφτασαν στο κοινό της Αλβανίας, του Κοσόβου και της Βόρειας Μακεδονίας μέσω περισσότερων από 780 αναδημοσιευμένων άρθρων·</w:t>
            </w:r>
            <w:r>
              <w:t xml:space="preserve"> </w:t>
            </w:r>
            <w:r>
              <w:rPr>
                <w:b/>
                <w:i/>
              </w:rPr>
              <w:t>επισημαίνει ότι στόχος αυτών των αφηγημάτων που ακολουθούν τη γραμμή του Κρεμλίνου ήταν η διάβρωση της εμπιστοσύνης του κοινού στους δημοκρατικούς θεσμούς και η προώθηση ενός αντιδυτικού κλίματος·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c>
          <w:tcPr>
            <w:tcW w:w="4876" w:type="dxa"/>
            <w:tcBorders>
              <w:top w:val="nil"/>
              <w:left w:val="nil"/>
              <w:bottom w:val="nil"/>
              <w:right w:val="nil"/>
            </w:tcBorders>
          </w:tcPr>
          <w:p>
            <w:pPr>
              <w:pStyle w:val="Normal6a"/>
            </w:pPr>
            <w:r>
              <w:t>8.</w:t>
            </w:r>
            <w:r>
              <w:tab/>
            </w:r>
            <w:r>
              <w:t xml:space="preserve">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 </w:t>
            </w:r>
            <w:r>
              <w:rPr>
                <w:b/>
                <w:i/>
              </w:rPr>
              <w:t>καλεί τις αρχές να αντιμετωπίσουν τις συνεχιζόμενες σημαντικές προκλήσεις που παρεμποδίζουν την ανεξαρτησία των μέσων ενημέρωσης, συμπεριλαμβανομένης της έλλειψης διαφάνειας όσον αφορά την ιδιοκτησία και τις πηγές χρηματοδότησης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r>
              <w:rPr>
                <w:b/>
                <w:i/>
              </w:rPr>
              <w:t>, ιδίως λόγω του γεγονότος ότι ο ποινικός κώδικας δεν παρέχει προστασία στους δημοσιογράφους έναντι των απειλών και της βίας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c>
          <w:tcPr>
            <w:tcW w:w="4876" w:type="dxa"/>
            <w:tcBorders>
              <w:top w:val="nil"/>
              <w:left w:val="nil"/>
              <w:bottom w:val="nil"/>
              <w:right w:val="nil"/>
            </w:tcBorders>
          </w:tcPr>
          <w:p>
            <w:pPr>
              <w:pStyle w:val="Normal6a"/>
            </w:pPr>
            <w:r>
              <w:t>8.</w:t>
            </w:r>
            <w:r>
              <w:tab/>
            </w:r>
            <w:r>
              <w:rPr>
                <w:b/>
                <w:i/>
              </w:rPr>
              <w:t>εκφράζει τη λύπη του για το γεγονός ότι τα τελευταία χρόνια έχει επιδεινωθεί το περιβάλλον για τα ελεύθερα μέσα ενημέρωσης και τους ανεξάρτητους δημοσιογράφους·</w:t>
            </w:r>
            <w:r>
              <w:t xml:space="preserve"> σημειώνει με ανησυχία ότι η ανεξαρτησία και η πολυφωνία των μέσων ενημέρωσης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b/>
                <w:i/>
                <w:vertAlign w:val="superscript"/>
              </w:rPr>
              <w:t>4</w:t>
            </w:r>
            <w:r>
              <w:t>·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w:t>
            </w:r>
          </w:p>
        </w:tc>
        <w:tc>
          <w:tcPr>
            <w:tcW w:w="4876" w:type="dxa"/>
            <w:tcBorders>
              <w:top w:val="nil"/>
              <w:left w:val="nil"/>
              <w:bottom w:val="nil"/>
              <w:right w:val="nil"/>
            </w:tcBorders>
          </w:tcPr>
          <w:p>
            <w:pPr>
              <w:pStyle w:val="Normal6a"/>
            </w:pPr>
            <w:r>
              <w:t>9.</w:t>
            </w:r>
            <w:r>
              <w:tab/>
            </w:r>
            <w:r>
              <w:t>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w:t>
            </w:r>
            <w:r>
              <w:rPr>
                <w:b/>
                <w:i/>
              </w:rPr>
              <w:t>, σε διαβούλευση με τις οργανώσεις των μέσων ενημέρωσης, με σκοπό να βελτιωθεί η ελευθερία των μέσων ενημέρωσης και η αυτορρύθμιση</w:t>
            </w:r>
            <w:r>
              <w:t>·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b/>
                <w:i/>
              </w:rPr>
              <w:t>[1]</w:t>
            </w:r>
            <w:r>
              <w:t xml:space="preserve">·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 </w:t>
            </w:r>
            <w:r>
              <w:rPr>
                <w:b/>
                <w:i/>
              </w:rPr>
              <w:t>εκφράζει την ανησυχία του για τη διαρκή εμπρηστική ρητορική, μεταξύ άλλων από υψηλού επιπέδου πολιτικούς και δημόσιους αξιωματούχους και άλλα δημόσια πρόσωπα, η οποία τροφοδοτεί τη νοοτροπία του εκφοβισμού, των εκστρατειών συκοφαντικής δυσφήμισης, της βίας και των ταραχών, και ζητεί να εξασφαλιστούν τελεσίδικες καταδικαστικές αποφάσεις για όσους επιτίθενται σε δημοσιογράφους·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w:t>
            </w:r>
          </w:p>
        </w:tc>
        <w:tc>
          <w:tcPr>
            <w:tcW w:w="4876" w:type="dxa"/>
            <w:tcBorders>
              <w:top w:val="nil"/>
              <w:left w:val="nil"/>
              <w:bottom w:val="nil"/>
              <w:right w:val="nil"/>
            </w:tcBorders>
          </w:tcPr>
          <w:p>
            <w:pPr>
              <w:pStyle w:val="Normal6a"/>
            </w:pPr>
            <w:r>
              <w:t>9.</w:t>
            </w:r>
            <w:r>
              <w:tab/>
            </w:r>
            <w:r>
              <w:t xml:space="preserve">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w:t>
            </w:r>
            <w:r>
              <w:rPr>
                <w:b/>
                <w:i/>
              </w:rPr>
              <w:t>εκφράζει την ικανοποίησή του για την πλατφόρμα που δημιούργησαν η ΕΕ, το Συμβούλιο της Ευρώπης και η Σχολή Δημοσιογράφων·</w:t>
            </w:r>
            <w:r>
              <w:t xml:space="preserve"> </w:t>
            </w:r>
            <w:r>
              <w:rPr>
                <w:b/>
                <w:i/>
              </w:rPr>
              <w:t>καλεί την κυβέρνηση να αναλάβει ενεργό ρόλο στον τομέα αυτό·</w:t>
            </w:r>
            <w:r>
              <w:t xml:space="preserve">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w:t>
            </w:r>
          </w:p>
        </w:tc>
        <w:tc>
          <w:tcPr>
            <w:tcW w:w="4876" w:type="dxa"/>
            <w:tcBorders>
              <w:top w:val="nil"/>
              <w:left w:val="nil"/>
              <w:bottom w:val="nil"/>
              <w:right w:val="nil"/>
            </w:tcBorders>
          </w:tcPr>
          <w:p>
            <w:pPr>
              <w:pStyle w:val="Normal6a"/>
            </w:pPr>
            <w:r>
              <w:t>9.</w:t>
            </w:r>
            <w:r>
              <w:tab/>
            </w:r>
            <w:r>
              <w:t>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σημειώνει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xml:space="preserve">· υπενθυμίζει την ανάγκη ενίσχυσης της ερευνητικής δημοσιογραφίας, του ελέγχου γεγονότων και του γραμματισμού στα μέσα επικοινωνίας για την καταπολέμηση της ρητορικής μίσους, της παραπληροφόρησης και των ψευδών ειδήσεων· </w:t>
            </w:r>
            <w:r>
              <w:rPr>
                <w:b/>
                <w:i/>
              </w:rPr>
              <w:t>καλεί την Αλβανία να αποποινικοποιήσει τη δυσφήμιση·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w:t>
            </w:r>
            <w:r>
              <w:rPr>
                <w:b/>
                <w:i/>
              </w:rPr>
              <w:t>σημειώνει</w:t>
            </w:r>
            <w:r>
              <w:t xml:space="preserve">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xml:space="preserve">· υπενθυμίζει την ανάγκη ενίσχυσης της ερευνητικής δημοσιογραφίας, του ελέγχου γεγονότων και του γραμματισμού στα μέσα επικοινωνίας </w:t>
            </w:r>
            <w:r>
              <w:rPr>
                <w:b/>
                <w:i/>
              </w:rPr>
              <w:t>για την καταπολέμηση</w:t>
            </w:r>
            <w:r>
              <w:t xml:space="preserve"> της ρητορικής μίσους, της παραπληροφόρησης και των ψευδών ειδήσεων·</w:t>
            </w:r>
          </w:p>
        </w:tc>
        <w:tc>
          <w:tcPr>
            <w:tcW w:w="4876" w:type="dxa"/>
            <w:tcBorders>
              <w:top w:val="nil"/>
              <w:left w:val="nil"/>
              <w:bottom w:val="nil"/>
              <w:right w:val="nil"/>
            </w:tcBorders>
          </w:tcPr>
          <w:p>
            <w:pPr>
              <w:pStyle w:val="Normal6a"/>
            </w:pPr>
            <w:r>
              <w:t>9.</w:t>
            </w:r>
            <w:r>
              <w:tab/>
            </w:r>
            <w:r>
              <w:t xml:space="preserve">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πραγματοποιείται με διαφάνεια και χωρίς αποκλεισμούς· </w:t>
            </w:r>
            <w:r>
              <w:rPr>
                <w:b/>
                <w:i/>
              </w:rPr>
              <w:t>εκφράζει τη λύπη του για το γεγονός</w:t>
            </w:r>
            <w:r>
              <w:t xml:space="preserve">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Pr>
                <w:vertAlign w:val="superscript"/>
              </w:rPr>
              <w:t>4</w:t>
            </w:r>
            <w:r>
              <w:t>· υπενθυμίζει την ανάγκη ενίσχυσης της ερευνητικής δημοσιογραφίας, του ελέγχου γεγονότων και του γραμματισμού στα μέσα επικοινωνίας</w:t>
            </w:r>
            <w:r>
              <w:rPr>
                <w:b/>
                <w:i/>
              </w:rPr>
              <w:t>, και καταπολέμησης</w:t>
            </w:r>
            <w:r>
              <w:t xml:space="preserve"> της ρητορικής μίσους, της παραπληροφόρησης και των ψευδών ειδήσεων·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εκφράζει την ιδιαίτερη ανησυχία του για την αύξηση των αγωγών κατά δημοσιογράφων και καλεί τις αρχές να εγκρίνουν ένα νομικό πλαίσιο που θα προστατεύει αποτελεσματικά τους δημοσιογράφους, τους υπερασπιστές των ανθρωπίνων δικαιωμάτων, τους περιβαλλοντικούς ακτιβιστές και άλλους συμφεροντούχους από στρατηγικές αγωγές προς αποθάρρυνση της συμμετοχής του κοινού (SLAPP)·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καταδικάζει απερίφραστα την αυξανόμενη εχθρότητα κατά ανεξάρτητων δημοσιογράφων και επαγγελματιών των μέσων ενημέρωσης στην Αλβανία, μεταξύ άλλων με λεκτικές επιθέσεις και ρητορική κατά των μέσων ενημέρωσης από υψηλόβαθμους αξιωματούχους, εκστρατείες δυσφήμισης, και μισογυνιστική διαδικτυακή παρενόχληση κατά γυναικών δημοσιογράφων, με στόχο συχνά δημοσιογράφους που καλύπτουν θέματα κράτους δικαίου, διαφθοράς και δικαιοσύνης·</w:t>
            </w:r>
            <w:r>
              <w:t xml:space="preserve"> </w:t>
            </w:r>
            <w:r>
              <w:rPr>
                <w:b/>
                <w:i/>
              </w:rPr>
              <w:t>καλεί τις αρχές να σταματήσουν να διεξάγουν τέτοιες εκστρατείες και επιθέσεις κατά δημοσιογράφων, να καταδικάζουν απερίφραστα όσους το πράττουν, να σέβονται τον ρόλο της ανεξάρτητης δημοσιογραφίας ως κρίσιμου μέσου ελέγχου της εξουσίας και να αλληλεπιδρούν με τα μέσα ενημέρωσης κατά τρόπο που να σέβεται τις δημοκρατικές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w:t>
            </w:r>
          </w:p>
        </w:tc>
        <w:tc>
          <w:tcPr>
            <w:tcW w:w="4876" w:type="dxa"/>
            <w:tcBorders>
              <w:top w:val="nil"/>
              <w:left w:val="nil"/>
              <w:bottom w:val="nil"/>
              <w:right w:val="nil"/>
            </w:tcBorders>
          </w:tcPr>
          <w:p>
            <w:pPr>
              <w:pStyle w:val="Normal6a"/>
            </w:pPr>
            <w:r>
              <w:t>10.</w:t>
            </w:r>
            <w:r>
              <w:tab/>
            </w:r>
            <w:r>
              <w:t xml:space="preserve">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 </w:t>
            </w:r>
            <w:r>
              <w:rPr>
                <w:b/>
                <w:i/>
              </w:rPr>
              <w:t>τονίζει την ανάγκη για μεγαλύτερη διαφάνεια όσον αφορά τα δημόσια δεδομένα και τα βασικά νομοθετικά σχέδια, όπως η τελευταία απογραφή, η δημοσίευση της οποίας έχει καθυστερήσει εδώ και χρόνια, και η συμφωνία Ιταλίας-Αλβανίας για το άσυλο, οι διαπραγματεύσεις για την οποία διεξήχθησαν με περιορισμένη δημόσια επικοινωνία και ανεπαρκή διαβούλευση με τους συμφεροντούχους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w:t>
            </w:r>
          </w:p>
        </w:tc>
        <w:tc>
          <w:tcPr>
            <w:tcW w:w="4876" w:type="dxa"/>
            <w:tcBorders>
              <w:top w:val="nil"/>
              <w:left w:val="nil"/>
              <w:bottom w:val="nil"/>
              <w:right w:val="nil"/>
            </w:tcBorders>
          </w:tcPr>
          <w:p>
            <w:pPr>
              <w:pStyle w:val="Normal6a"/>
            </w:pPr>
            <w:r>
              <w:t>10.</w:t>
            </w:r>
            <w:r>
              <w:tab/>
            </w:r>
            <w:r>
              <w:t xml:space="preserve">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 </w:t>
            </w:r>
            <w:r>
              <w:rPr>
                <w:b/>
                <w:i/>
              </w:rPr>
              <w:t>καλεί την Αλβανία να εντείνει τις προσπάθειές της κατά των εξωτερικών παρεμβάσεων στις εκλογικές διαδικασίες, διασφαλίζοντας ότι οι οντότητες που υποστηρίζονται από το εξωτερικό δεν στρεβλώνουν τον δημοκρατικό ανταγωνισμό·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w:t>
            </w:r>
          </w:p>
        </w:tc>
        <w:tc>
          <w:tcPr>
            <w:tcW w:w="4876" w:type="dxa"/>
            <w:tcBorders>
              <w:top w:val="nil"/>
              <w:left w:val="nil"/>
              <w:bottom w:val="nil"/>
              <w:right w:val="nil"/>
            </w:tcBorders>
          </w:tcPr>
          <w:p>
            <w:pPr>
              <w:pStyle w:val="Normal6a"/>
            </w:pPr>
            <w:r>
              <w:t>10.</w:t>
            </w:r>
            <w:r>
              <w:tab/>
            </w:r>
            <w:r>
              <w:t xml:space="preserve">υπενθυμίζει την ευθύνη των εθνικών και τοπικών αρχών για τη βελτίωση της διαφάνειας, της λογοδοσίας και της συμμετοχικότητας μέσω της διεξαγωγής ουσιαστικών και τακτικών δημόσιων διαβουλεύσεων με τα ενδιαφερόμενα μέρη· </w:t>
            </w:r>
            <w:r>
              <w:rPr>
                <w:b/>
                <w:i/>
              </w:rPr>
              <w:t>επιμένει ότι απαιτούνται βελτιώσεις όσον αφορά τους οικονομικούς πόρους, τη διοικητική ικανότητα και τη δημοσιονομική αυτονομία των μονάδων τοπικής αυτοδιοίκησης·</w:t>
            </w:r>
            <w:r>
              <w:t xml:space="preserve"> σημειώνει με ανησυχία ότι η εφαρμογή από το αλβανικό κοινοβούλιο του νομικού πλαισίου για τις δημόσιες διαβουλεύσεις παραμένει κατά κύριο λόγο τυπική·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χαιρετίζει τη δυναμική και εποικοδομητική κοινωνία των πολιτών της Αλβανίας, η οποία διαδραματίζει καίριο και θετικό ρόλο στη μεταρρυθμιστική διαδικασία·</w:t>
            </w:r>
            <w:r>
              <w:t xml:space="preserve"> </w:t>
            </w:r>
            <w:r>
              <w:rPr>
                <w:b/>
                <w:i/>
              </w:rPr>
              <w:t>ενθαρρύνει την κυβέρνηση να ενισχύσει τη συνεργασία της με την κοινωνία των πολιτών, ιδίως με τις οργανώσεις για τα δικαιώματα των γυναικών, όσον αφορά τη λήψη αποφάσεων, και να οικοδομήσει συνεργατικές σχέσεις, εξασφαλίζοντας την πραγματική συμμετοχή της κοινωνίας των πολιτών σε μια διαφανή νομοθετική διαδικασία από τα πρώτα στάδια·</w:t>
            </w:r>
            <w:r>
              <w:t xml:space="preserve"> </w:t>
            </w:r>
            <w:r>
              <w:rPr>
                <w:b/>
                <w:i/>
              </w:rPr>
              <w:t>υπογραμμίζει ότι η κοινωνία των πολιτών είναι ζωτικής σημασίας για την προώθηση της δημοκρατίας και του πλουραλισμού, καθώς και για την προώθηση της χρηστής διακυβέρνησης και της κοινωνικής προόδου·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τονίζει ότι είναι σημαντικό να διασφαλιστεί η διεξαγωγή ελεύθερων και δίκαιων εκλογών σύμφωνα με τα διεθνή πρότυπα·</w:t>
            </w:r>
            <w:r>
              <w:t xml:space="preserve"> </w:t>
            </w:r>
            <w:r>
              <w:rPr>
                <w:b/>
                <w:i/>
              </w:rPr>
              <w:t>εκφράζει την ικανοποίησή του για τις βελτιώσεις στις πρακτικές εκλογικής παρατήρησης και την αυξανόμενη συμμετοχή της κοινωνίας των πολιτών στην παρατήρηση της δημοκρατικής διαδικασίας·</w:t>
            </w:r>
            <w:r>
              <w:t xml:space="preserve"> </w:t>
            </w:r>
            <w:r>
              <w:rPr>
                <w:b/>
                <w:i/>
              </w:rPr>
              <w:t>καλεί τις αλβανικές αρχές να καταστήσουν διαφανέστερη τη χρηματοδότηση των προεκλογικών εκστρατειών και να διασφαλίσουν ότι όλα τα πολιτικά κόμματα έχουν ισότιμη πρόσβαση στα μέσα ενημέρωσης·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χαιρετίζει τη θέσπιση της νέας θέσης Υφυπουργού Δημόσιας Διοίκησης και Καταπολέμησης της Διαφθοράς·</w:t>
            </w:r>
            <w:r>
              <w:t xml:space="preserve"> </w:t>
            </w:r>
            <w:r>
              <w:rPr>
                <w:b/>
                <w:i/>
              </w:rPr>
              <w:t>εξακολουθεί, ωστόσο, να ανησυχεί για την περιορισμένη πρόοδο στη μεταρρύθμιση της δημόσιας διοίκησης·</w:t>
            </w:r>
            <w:r>
              <w:t xml:space="preserve"> </w:t>
            </w:r>
            <w:r>
              <w:rPr>
                <w:b/>
                <w:i/>
              </w:rPr>
              <w:t>επιμένει ότι οι αλβανικές αρχές πρέπει να εφαρμόσουν αποτελεσματικά τις διατάξεις σχετικά με τις αξιοκρατικές προσλήψεις και να επανεξετάσουν την αποτελεσματικότητα των υφιστάμενων δομών παρακολούθησης των νέων μεταρρυθμίσεων στη δημόσια διοίκηση και για την καταπολέμηση της διαφθοράς·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υπογραμμίζει ότι πρέπει να προωθηθεί μια νοοτροπία λογοδοσίας, καθώς και η αμερόληπτη πρόσβαση σε δημόσιες πληροφορίες και ο έλεγχος των δημόσιων θεσμών,</w:t>
            </w:r>
            <w:r>
              <w:t xml:space="preserve"> </w:t>
            </w:r>
            <w:r>
              <w:rPr>
                <w:b/>
                <w:i/>
              </w:rPr>
              <w:t>μεταξύ άλλων όσον αφορά την εφαρμογή του θεματολογίου μεταρρυθμίσεων·</w:t>
            </w:r>
            <w:r>
              <w:t xml:space="preserve"> </w:t>
            </w:r>
            <w:r>
              <w:rPr>
                <w:b/>
                <w:i/>
              </w:rPr>
              <w:t>σημειώνει ότι οι δημόσιοι φορείς πρέπει να βελτιώσουν τη συμμόρφωσή τους με τις απαιτήσεις διαφάνειας και την ανταπόκρισή τους σε αιτήματα παροχής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παροτρύνει την αλβανική κυβέρνηση να εξασφαλίσει την επιβολή της νομοθεσίας για τη διαφάνεια της ιδιοκτησίας των μέσων ενημέρωσης, δεδομένου ότι πάνω από το 30 % των αλβανικών μέσων ενημέρωσης λειτουργούν με μη δημοσιοποιημένες πηγές χρηματοδότησης, γεγονός που δημιουργεί σημαντικό κίνδυνο συντακτικής μεροληψίας ευθυγραμμισμένης με το εξωτερικό και διείσδυσης προπαγάνδας·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καλεί την Αλβανία να προστατεύει και να προάγει τα δικαιώματα των ατόμων που ανήκουν σε μειονότητες, σύμφωνα με τις διεθνείς υποχρεώσεις της και τα ευρωπαϊκά και διεθνή πρότυπα, μεταξύ άλλων με τη διασφάλιση της αποτελεσματικής εφαρμογής του νομοθετικού πλαισίου·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σημειώνει ότι οι οργανώσεις της κοινωνίας των πολιτών (ΟΚΠ) στην Αλβανία δραστηριοποιούνται σε ένα δύσκολο περιβάλλον, μεταξύ άλλων εξαιτίας των απαιτήσεων καταχώρισης και της περιορισμένης δημόσιας χρηματοδότησης για τις ΟΚΠ·</w:t>
            </w:r>
            <w:r>
              <w:t xml:space="preserve"> </w:t>
            </w:r>
            <w:r>
              <w:rPr>
                <w:b/>
                <w:i/>
              </w:rPr>
              <w:t>εκφράζει τη λύπη του για τη σημαντική καθυστέρηση στην κατάρτιση του χάρτη πορείας 2024-2027 για την κυβερνητική πολιτική προς ένα πιο ευνοϊκό περιβάλλον για την ανάπτυξη της κοινωνίας των πολιτών·</w:t>
            </w:r>
            <w:r>
              <w:t xml:space="preserve"> </w:t>
            </w:r>
            <w:r>
              <w:rPr>
                <w:b/>
                <w:i/>
              </w:rPr>
              <w:t>παροτρύνει τις αρχές να επιταχύνουν τη διαδικασία αυτή διασφαλίζοντας παράλληλα την ευρεία και διαφανή συμμετοχή όλων των σχετικών συμφεροντούχων, με σκοπό τη σημαντική βελτίωση της εφαρμογής του εν λόγω χάρτη, δεδομένου ότι η εφαρμογή του προηγούμενου χάρτη πορείας ήταν εξαιρετικά περιορισμένη·</w:t>
            </w:r>
            <w:r>
              <w:t xml:space="preserve"> </w:t>
            </w:r>
            <w:r>
              <w:rPr>
                <w:b/>
                <w:i/>
              </w:rPr>
              <w:t>εκφράζει τη λύπη του για το γεγονός ότι η οικονομική βιωσιμότητα του μη κερδοσκοπικού τομέα εξακολουθεί να αποτελεί μείζονα πρόκληση λόγω της αδυναμίας της Αλβανίας να εφαρμόσει αποτελεσματικά την απαλλαγή της ξένης χρηματοδότησης από τον ΦΠΑ, κατά παράβαση των δεσμεύσεων της Αλβανίας στο πλαίσιο της συμφωνίας συνεργασίας ΕΕ-Αλβανίας για τον ΜΠΒ ΙΙΙ·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εκφράζει την ικανοποίησή του για την έγκριση της εκκρεμούσας εκτελεστικής νομοθεσίας σχετικά με τα δικαιώματα των ατόμων που ανήκουν σε μειονότητες, ιδίως όσον αφορά τον αυτοπροσδιορισμό και τη χρήση μειονοτικών γλωσσών, και υπογραμμίζει ότι τα εν λόγω νομοθετήματα πρέπει να εφαρμόζονται πλήρως και αποτελεσματικά προκειμένου να μπορεί να εφαρμοστεί στην πράξη η άσκηση των δικαιωμάτων των μειονοτήτων και των εκπαιδευτικών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εκφράζει τη λύπη του για το γεγονός ότι έχει σημειωθεί περιορισμένη πρόοδος όσον αφορά την ευθυγράμμιση του νομικού πλαισίου για τις δημόσιες συμβάσεις με το κεκτημένο της ΕΕ·</w:t>
            </w:r>
            <w:r>
              <w:t xml:space="preserve"> </w:t>
            </w:r>
            <w:r>
              <w:rPr>
                <w:b/>
                <w:i/>
              </w:rPr>
              <w:t>εκφράζει την ανησυχία του για τις νεοεισαχθείσες προσωρινές εξαιρέσεις στη νομοθεσία για τις δημόσιες συμβάσεις·</w:t>
            </w:r>
            <w:r>
              <w:t xml:space="preserve"> </w:t>
            </w:r>
            <w:r>
              <w:rPr>
                <w:b/>
                <w:i/>
              </w:rPr>
              <w:t>καλεί τις αλβανικές αρχές να βελτιώσουν τις ανταγωνιστικές διαδικασίες σύναψης συμβάσεων σύμφωνα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εκφράζει την ικανοποίησή του για τον αποκλεισμό 155 ρωσικών ιστότοπων παραπληροφόρησης από την Αλβανία, αλλά τονίζει την ανάγκη για έναν συντονισμένο μηχανισμό αντιμετώπισης της παραπληροφόρησης ΕΕ-Αλβανίας, με πρότυπο την πλατφόρμα EUvsDisinfo, για την ταχεία κατάρριψη και αντιμετώπιση των αφηγημάτων του Κρεμλίνου·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rPr>
                <w:b/>
                <w:i/>
              </w:rPr>
              <w:t>εκφράζει την ικανοποίησή του για τη δημιουργία του νέου τοπικού γραφείου στα Τίρανα, το οποίο θα λειτουργεί ως βασικό σημείο επαφής μεταξύ του Ευρωπαϊκού Κοινοβουλίου, των εθνικών κοινοβουλίων, της κοινωνίας των πολιτών και των τοπικών εταίρων στην περιοχή των Δυτικών Βαλκανίων·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10γ.</w:t>
            </w:r>
            <w:r>
              <w:tab/>
            </w:r>
            <w:r>
              <w:rPr>
                <w:b/>
                <w:i/>
              </w:rPr>
              <w:t>υπενθυμίζει ότι η Αλβανία θα πρέπει να διασφαλίσει το δικαίωμα ιδιοκτησίας, ιδίως με την επίτευξη αποφασιστικής προόδου όσον αφορά την αρχική κτηματογράφηση και αποζημίωση, βελτιώνοντας τη διαφάνεια του εθνικού κτηματολογίου και την ποιότητα των κτηματολογικών δεδομένων, καθώς και διασφαλίζοντας τον σεβασμό του δικαιώματος σε δίκαιη δίκη και του δικαιώματος πραγματικής προσφυγής σε περιπτώσεις απαλλοτρίωσης και αφαίρεσης ακινήτων·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10γ.</w:t>
            </w:r>
            <w:r>
              <w:tab/>
            </w:r>
            <w:r>
              <w:rPr>
                <w:b/>
                <w:i/>
              </w:rPr>
              <w:t>προειδοποιεί για το αυξανόμενο αποτύπωμα των κινεζικών υποστηριζόμενων από το κράτος μέσων ενημέρωσης στην Αλβανία, δεδομένου ότι το Xinhua News και το China Radio International παρέχουν δωρεάν συντακτικό περιεχόμενο σε αλβανικά μέσα ενημέρωσης, διαμορφώνοντας αφηγήματα ευθυγραμμισμένα με τα γεωπολιτικά συμφέροντα του Πεκίνου·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10γ.</w:t>
            </w:r>
            <w:r>
              <w:tab/>
            </w:r>
            <w:r>
              <w:rPr>
                <w:b/>
                <w:i/>
              </w:rPr>
              <w:t>εκφράζει την ανησυχία του για την έλλειψη προόδου στη νομοθεσία περί εταιρικού δικαίου στην Αλβανία·</w:t>
            </w:r>
            <w:r>
              <w:t xml:space="preserve"> </w:t>
            </w:r>
            <w:r>
              <w:rPr>
                <w:b/>
                <w:i/>
              </w:rPr>
              <w:t>καλεί τις αλβανικές αρχές να ολοκληρώσουν την ευθυγράμμιση της νομοθεσίας περί εταιρικού δικαίου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10δ.</w:t>
            </w:r>
            <w:r>
              <w:tab/>
            </w:r>
            <w:r>
              <w:rPr>
                <w:b/>
                <w:i/>
              </w:rPr>
              <w:t>εκφράζει την ικανοποίησή του για την πρόοδο που έχει σημειώσει η Αλβανία όσον αφορά τη βελτίωση της διαβίβασης στοιχείων στην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το νομικό πλαίσιο της Αλβανίας για την έμφυλη βία δεν έχει ακόμη ευθυγραμμιστεί πλήρως με τη Σύμβαση της Κωνσταντινούπολης· 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w:t>
            </w:r>
          </w:p>
        </w:tc>
        <w:tc>
          <w:tcPr>
            <w:tcW w:w="4876" w:type="dxa"/>
            <w:tcBorders>
              <w:top w:val="nil"/>
              <w:left w:val="nil"/>
              <w:bottom w:val="nil"/>
              <w:right w:val="nil"/>
            </w:tcBorders>
          </w:tcPr>
          <w:p>
            <w:pPr>
              <w:pStyle w:val="Normal6a"/>
            </w:pPr>
            <w:r>
              <w:t>11.</w:t>
            </w:r>
            <w:r>
              <w:tab/>
            </w:r>
            <w:r>
              <w:t xml:space="preserve">σημειώνει ότι το νομικό πλαίσιο της Αλβανίας για την έμφυλη βία δεν έχει ακόμη ευθυγραμμιστεί πλήρως με τη Σύμβαση της Κωνσταντινούπολης· 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 </w:t>
            </w:r>
            <w:r>
              <w:rPr>
                <w:b/>
                <w:i/>
              </w:rPr>
              <w:t>ζητεί τη βελτίωση των υπηρεσιών υποστήριξης των θυμάτων, ιδίως σε σχέση με την υγειονομική περίθαλψη, τη χρηματοδότηση καταλυμάτων, τη δωρεάν νομική συνδρομή και προγράμματα επανένταξης και αποκατάστασης·</w:t>
            </w:r>
            <w:r>
              <w:t xml:space="preserve"> </w:t>
            </w:r>
            <w:r>
              <w:rPr>
                <w:b/>
                <w:i/>
              </w:rPr>
              <w:t>τονίζει την ανάγκη για αυξημένη οικονομική και θεσμική στήριξη για προγράμματα πρόληψης, εκστρατείες ευαισθητοποίησης του κοινού και εξειδικευμένη κατάρτιση για τις αρχές επιβολής του νόμου και τις δικαστικές αρχές, ώστε να διασφαλιστεί μια προσέγγιση με επίκεντρο τα θύματα·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το νομικό πλαίσιο της Αλβανίας για την έμφυλη βία δεν έχει ακόμη ευθυγραμμιστεί πλήρως με τη Σύμβαση της Κωνσταντινούπολης· 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w:t>
            </w:r>
          </w:p>
        </w:tc>
        <w:tc>
          <w:tcPr>
            <w:tcW w:w="4876" w:type="dxa"/>
            <w:tcBorders>
              <w:top w:val="nil"/>
              <w:left w:val="nil"/>
              <w:bottom w:val="nil"/>
              <w:right w:val="nil"/>
            </w:tcBorders>
          </w:tcPr>
          <w:p>
            <w:pPr>
              <w:pStyle w:val="Normal6a"/>
            </w:pPr>
            <w:r>
              <w:t>11.</w:t>
            </w:r>
            <w:r>
              <w:tab/>
            </w:r>
            <w:r>
              <w:t xml:space="preserve">σημειώνει ότι το νομικό πλαίσιο της Αλβανίας για την έμφυλη βία δεν έχει ακόμη ευθυγραμμιστεί πλήρως με τη Σύμβαση της Κωνσταντινούπολης· 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 </w:t>
            </w:r>
            <w:r>
              <w:rPr>
                <w:b/>
                <w:i/>
              </w:rPr>
              <w:t>εκφράζει την ικανοποίησή του για τη δημιουργία παρατηρητηρίου γυναικοκτονιών από τον Διαμεσολαβητή·</w:t>
            </w:r>
            <w:r>
              <w:t xml:space="preserve">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σημειώνει ότι το νομικό πλαίσιο της Αλβανίας για την έμφυλη βία δεν έχει ακόμη ευθυγραμμιστεί πλήρως με τη Σύμβαση της Κωνσταντινούπολης</w:t>
            </w:r>
            <w:r>
              <w:t xml:space="preserve">· εκφράζει την </w:t>
            </w:r>
            <w:r>
              <w:rPr>
                <w:b/>
                <w:i/>
              </w:rPr>
              <w:t>έντονη</w:t>
            </w:r>
            <w:r>
              <w:t xml:space="preserve"> ανησυχία του για </w:t>
            </w:r>
            <w:r>
              <w:rPr>
                <w:b/>
                <w:i/>
              </w:rPr>
              <w:t>το γεγονός ότι η βία κατά των γυναικών παραμένει ένα φλέγον ζήτημα και ότι ο αριθμός των γυναικοκτονιών παραμένει υψηλός</w:t>
            </w:r>
            <w:r>
              <w:t>·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w:t>
            </w:r>
          </w:p>
        </w:tc>
        <w:tc>
          <w:tcPr>
            <w:tcW w:w="4876" w:type="dxa"/>
            <w:tcBorders>
              <w:top w:val="nil"/>
              <w:left w:val="nil"/>
              <w:bottom w:val="nil"/>
              <w:right w:val="nil"/>
            </w:tcBorders>
          </w:tcPr>
          <w:p>
            <w:pPr>
              <w:pStyle w:val="Normal6a"/>
            </w:pPr>
            <w:r>
              <w:t>11.</w:t>
            </w:r>
            <w:r>
              <w:tab/>
            </w:r>
            <w:r>
              <w:rPr>
                <w:b/>
                <w:i/>
              </w:rPr>
              <w:t>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w:t>
            </w:r>
            <w:r>
              <w:t>· εκφράζει</w:t>
            </w:r>
            <w:r>
              <w:rPr>
                <w:b/>
                <w:i/>
              </w:rPr>
              <w:t>, στο πλαίσιο αυτό,</w:t>
            </w:r>
            <w:r>
              <w:t xml:space="preserve"> την ανησυχία του για </w:t>
            </w:r>
            <w:r>
              <w:rPr>
                <w:b/>
                <w:i/>
              </w:rPr>
              <w:t>την εξάπλωση του ισλαμισμού σε μια χώρα με μουσουλμανική πλειοψηφία, δεδομένων των χαμηλών επιδόσεων όσον αφορά τα δικαιώματα των γυναικών</w:t>
            </w:r>
            <w:r>
              <w:t>· 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Γιάννης Μανιάτης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εκφράζει την ανησυχία του για τις παρατυπίες που διαπίστωσε το κόμμα που εκπροσωπεί την ελληνική μειονότητα στην Αλβανία κατά τις επαναληπτικές δημοτικές εκλογές στη Χιμάρα τον περασμένο Αύγουστο·</w:t>
            </w:r>
            <w:r>
              <w:t xml:space="preserve"> </w:t>
            </w:r>
            <w:r>
              <w:rPr>
                <w:b/>
                <w:i/>
              </w:rPr>
              <w:t>υπενθυμίζει ότι ο σεβασμός των δικαιωμάτων των ατόμων που ανήκουν σε εθνοτικές μειονότητες, συμπεριλαμβανομένου του δικαιώματος εκπροσώπησης, αποτελεί μέρος των διεθνών υποχρεώσεων της Αλβανίας και σημαντικό παράγοντα στις ενταξιακές διαπραγματεύσεις·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καλεί την Αλβανία να προστατεύει και να προάγει τα δικαιώματα των ατόμων που ανήκουν σε μειονότητες, σύμφωνα με τις διεθνείς υποχρεώσεις της και τα ευρωπαϊκά και διεθνή πρότυπα, μεταξύ άλλων με τη διασφάλιση της αποτελεσματικής εφαρμογής του νομοθετικού πλαισίου·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ζητεί από την κυβέρνηση της Αλβανίας να σέβεται πλήρως και να προστατεύει τα ανθρώπινα δικαιώματα, συμπεριλαμβανομένων των δικαιωμάτων των μειονοτήτων, και να διασφαλίζει ότι όλες οι καταγγελίες για παραβιάσεις των ανθρωπίνων δικαιωμάτων, συμπεριλαμβανομένης της ρητορικής μίσους, ερευνώνται άμεσα και διεξοδικά·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Γιάννης Μανιάτης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εκφράζει την ανησυχία του για την έλλειψη αποτελεσματικής προστασίας του δικαιώματος ιδιοκτησίας·</w:t>
            </w:r>
            <w:r>
              <w:t xml:space="preserve"> </w:t>
            </w:r>
            <w:r>
              <w:rPr>
                <w:b/>
                <w:i/>
              </w:rPr>
              <w:t>καλεί την αλβανική κυβέρνηση να προωθήσει την αρχική κτηματογράφηση και αποζημίωση, βελτιώνοντας τη διαφάνεια του εθνικού κτηματολογίου και την ποιότητα των κτηματολογικών δεδομένων·</w:t>
            </w:r>
            <w:r>
              <w:t xml:space="preserve"> </w:t>
            </w:r>
            <w:r>
              <w:rPr>
                <w:b/>
                <w:i/>
              </w:rPr>
              <w:t>υπογραμμίζει τη σημασία του δικαιώματος σε δίκαιη δίκη και του δικαιώματος πραγματικής προσφυγής σε περιπτώσεις απαλλοτρίωσης και αφαίρεσης ακινήτων·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επαναλαμβάνει την έκκλησή του προς την κυβέρνηση να εγκρίνει την υπόλοιπη εκτελεστική νομοθεσία σχετικά με τα δικαιώματα των ατόμων που ανήκουν σε μειονότητες, ιδίως όσον αφορά τον αυτοπροσδιορισμό και τη χρήση μειονοτικών γλωσσών βάσει του νόμου-πλαισίου του 2017 για την προστασία των εθνικών μειονοτήτων σύμφωνα με τα ευρωπαϊκά πρότυπα·</w:t>
            </w:r>
            <w:r>
              <w:t xml:space="preserve"> </w:t>
            </w:r>
            <w:r>
              <w:rPr>
                <w:b/>
                <w:i/>
              </w:rPr>
              <w:t>καλεί τις αρχές να ενισχύσουν την ικανότητα της Κρατικής Επιτροπής για τις Εθνικές Μειονότητες·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εκφράζει την ικανοποίησή του για την έγκριση της εκκρεμούσας εκτελεστικής νομοθεσίας σχετικά με τα δικαιώματα των ατόμων που ανήκουν σε μειονότητες, ιδίως όσον αφορά τον αυτοπροσδιορισμό και τη χρήση μειονοτικών γλωσσών, και υπογραμμίζει ότι τα εν λόγω νομοθετήματα πρέπει να εφαρμόζονται πλήρως και αποτελεσματικά προκειμένου να μπορεί να εφαρμοστεί στην πράξη η άσκηση των δικαιωμάτων των μειονοτήτων και των εκπαιδευτικών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11γ.</w:t>
            </w:r>
            <w:r>
              <w:tab/>
            </w:r>
            <w:r>
              <w:rPr>
                <w:b/>
                <w:i/>
              </w:rPr>
              <w:t>παροτρύνει τις αλβανικές αρχές να σέβονται και να τηρούν τα δικαιώματα ιδιοκτησίας των μειονοτικών κοινοτήτων, ώστε να διασφαλίζεται ότι όλοι οι πολίτες, ανεξάρτητα από την εθνοτική τους καταγωγή, τυγχάνουν ίσης προστασίας βάσει του νόμου·</w:t>
            </w:r>
            <w:r>
              <w:t xml:space="preserve"> </w:t>
            </w:r>
            <w:r>
              <w:rPr>
                <w:b/>
                <w:i/>
              </w:rPr>
              <w:t>καλεί τις αλβανικές αρχές να λάβουν ουσιαστικά μέτρα για την αντιμετώπιση των ιστορικών αδικιών που σχετίζονται με αξιώσεις ιδιοκτησίας, ώστε να ενισχυθεί η εμπιστοσύνη μεταξύ των μειονοτήτων και να ευθυγραμμιστούν οι εθνικές πολιτικές με τις βασικές αξίες της ΕΕ για την απαγόρευση των διακρίσεων και την ισότιμη μεταχείριση·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11γ.</w:t>
            </w:r>
            <w:r>
              <w:tab/>
            </w:r>
            <w:r>
              <w:rPr>
                <w:b/>
                <w:i/>
              </w:rPr>
              <w:t>υπενθυμίζει ότι η Αλβανία θα πρέπει να διασφαλίσει το δικαίωμα ιδιοκτησίας, ιδίως με την επίτευξη αποφασιστικής προόδου όσον αφορά την αρχική κτηματογράφηση και αποζημίωση, βελτιώνοντας τη διαφάνεια του εθνικού κτηματολογίου και την ποιότητα των κτηματολογικών δεδομένων, καθώς και διασφαλίζοντας τον σεβασμό του δικαιώματος σε δίκαιη δίκη και του δικαιώματος πραγματικής προσφυγής σε περιπτώσεις απαλλοτρίωσης και αφαίρεσης ακινήτων·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Γιάννης Μανιάτης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11γ.</w:t>
            </w:r>
            <w:r>
              <w:tab/>
            </w:r>
            <w:r>
              <w:rPr>
                <w:b/>
                <w:i/>
              </w:rPr>
              <w:t>εκφράζει την ικανοποίησή του για την έγκριση της εκκρεμούσας εκτελεστικής νομοθεσίας και αναμένει να εφαρμοστεί πλήρως στην πράξη η προστασία των δικαιωμάτων των ατόμων που ανήκουν σε μειονότητες, ιδίως των δικαιωμάτων αυτοδιάθεσης, εκπαίδευσης και χρήσης μειονοτικών γλωσσών·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11δ.</w:t>
            </w:r>
            <w:r>
              <w:tab/>
            </w:r>
            <w:r>
              <w:rPr>
                <w:b/>
                <w:i/>
              </w:rPr>
              <w:t>επικροτεί την επιτυχή απογραφή του 2024, που πραγματοποιήθηκε σε κλίμα εμπιστοσύνης και διαφάνειας, και τα αποτελέσματά της·</w:t>
            </w:r>
            <w:r>
              <w:t xml:space="preserve"> </w:t>
            </w:r>
            <w:r>
              <w:rPr>
                <w:b/>
                <w:i/>
              </w:rPr>
              <w:t>υπογραμμίζει ότι η Αλβανία θα πρέπει να αποτελεί υπόδειγμα για τη διενέργεια απογραφής του πληθυσμού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w:t>
            </w:r>
          </w:p>
        </w:tc>
        <w:tc>
          <w:tcPr>
            <w:tcW w:w="4876" w:type="dxa"/>
            <w:tcBorders>
              <w:top w:val="nil"/>
              <w:left w:val="nil"/>
              <w:bottom w:val="nil"/>
              <w:right w:val="nil"/>
            </w:tcBorders>
          </w:tcPr>
          <w:p>
            <w:pPr>
              <w:pStyle w:val="Normal6a"/>
            </w:pPr>
            <w:r>
              <w:t>12.</w:t>
            </w:r>
            <w:r>
              <w:tab/>
            </w:r>
            <w:r>
              <w:t xml:space="preserve">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 </w:t>
            </w:r>
            <w:r>
              <w:rPr>
                <w:b/>
                <w:i/>
              </w:rPr>
              <w:t>αναγνωρίζει την ανάγκη να ευθυγραμμίσει πλήρως η Αλβανία το νομικό της πλαίσιο για την έμφυλη βία με τη Σύμβαση της Κωνσταντινούπολης·</w:t>
            </w:r>
            <w:r>
              <w:t xml:space="preserve"> </w:t>
            </w:r>
            <w:r>
              <w:rPr>
                <w:b/>
                <w:i/>
              </w:rPr>
              <w:t>σημειώνει ότι, σύμφωνα με την έκθεση του Παγκόσμιου Οικονομικού Φόρουμ του 2024 για το παγκόσμιο χάσμα μεταξύ των φύλων, η Αλβανία υποχώρησε κατά έξι θέσεις και καταλαμβάνει πλέον την 23η θέση παγκοσμίως, γεγονός που υποδηλώνει διεύρυνση του χάσματος μεταξύ των φύλων·</w:t>
            </w:r>
            <w:r>
              <w:t xml:space="preserve"> </w:t>
            </w:r>
            <w:r>
              <w:rPr>
                <w:b/>
                <w:i/>
              </w:rPr>
              <w:t>εκφράζει την έντονη ανησυχία του για το γεγονός ότι η βία κατά των γυναικών παραμένει ένα φλέγον ζήτημα και ότι ο αριθμός των γυναικοκτονιών παραμένει υψηλός·</w:t>
            </w:r>
            <w:r>
              <w:t xml:space="preserve"> </w:t>
            </w:r>
            <w:r>
              <w:rPr>
                <w:b/>
                <w:i/>
              </w:rPr>
              <w:t>ζητεί την πλήρη και αποτελεσματική εφαρμογή της υφιστάμενης νομοθεσίας, μεταξύ άλλων με την αυστηρότερη επιβολή προστατευτικών μέτρων και την ενισχυμένη ανταπόκριση των δικαστικών αρχών σε υποθέσεις έμφυλης βίας, όπως επισημαίνεται στην έκθεση της Ευρωπαϊκής Επιτροπής του 2024 για την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w:t>
            </w:r>
          </w:p>
        </w:tc>
        <w:tc>
          <w:tcPr>
            <w:tcW w:w="4876" w:type="dxa"/>
            <w:tcBorders>
              <w:top w:val="nil"/>
              <w:left w:val="nil"/>
              <w:bottom w:val="nil"/>
              <w:right w:val="nil"/>
            </w:tcBorders>
          </w:tcPr>
          <w:p>
            <w:pPr>
              <w:pStyle w:val="Normal6a"/>
            </w:pPr>
            <w:r>
              <w:t>12.</w:t>
            </w:r>
            <w:r>
              <w:tab/>
            </w:r>
            <w:r>
              <w:rPr>
                <w:b/>
                <w:i/>
              </w:rPr>
              <w:t>τονίζει τη σημασία της συνεχούς ενίσχυσης της προστασίας των δικαιωμάτων των ατόμων που ανήκουν σε μειονότητες·</w:t>
            </w:r>
            <w:r>
              <w:t xml:space="preserve"> </w:t>
            </w:r>
            <w:r>
              <w:rPr>
                <w:b/>
                <w:i/>
              </w:rPr>
              <w:t>σημειώνει, στο πλαίσιο αυτό, την έγκριση των τελευταίων εναπομεινάντων νομοθετημάτων βάσει του νόμου-πλαισίου του 2017 για την προστασία των εθνικών μειονοτήτων, και ενθαρρύνει τις αρχές να τα εφαρμόζουν σύμφωνα με τα υψηλότερα ευρωπαϊκά πρότυπα·</w:t>
            </w:r>
            <w:r>
              <w:t xml:space="preserve"> 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w:t>
            </w:r>
          </w:p>
        </w:tc>
        <w:tc>
          <w:tcPr>
            <w:tcW w:w="4876" w:type="dxa"/>
            <w:tcBorders>
              <w:top w:val="nil"/>
              <w:left w:val="nil"/>
              <w:bottom w:val="nil"/>
              <w:right w:val="nil"/>
            </w:tcBorders>
          </w:tcPr>
          <w:p>
            <w:pPr>
              <w:pStyle w:val="Normal6a"/>
            </w:pPr>
            <w:r>
              <w:t>12.</w:t>
            </w:r>
            <w:r>
              <w:tab/>
            </w:r>
            <w:r>
              <w:t xml:space="preserve">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 </w:t>
            </w:r>
            <w:r>
              <w:rPr>
                <w:b/>
                <w:i/>
              </w:rPr>
              <w:t>σημειώνει ότι οι γυναίκες που ζουν σε αγροτικές και απομακρυσμένες περιοχές, οι Αιγύπτιες και Ρομά γυναίκες και τα άτομα ΛΟΑΤΚΙ εξακολουθούν να διαθέτουν περιορισμένη πρόσβαση στην πρωτοβάθμια υγειονομική περίθαλψη·</w:t>
            </w:r>
            <w:r>
              <w:t xml:space="preserve"> </w:t>
            </w:r>
            <w:r>
              <w:rPr>
                <w:b/>
                <w:i/>
              </w:rPr>
              <w:t>σημειώνει ότι η κοινότητα ΛΟΑΤΚΙ αντιμετωπίζει διακρίσεις και ρητορική μίσους·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εκφράζει την ανησυχία του για τα επίμονα ζητήματα διακρίσεων και κοινωνικού αποκλεισμού που πλήττουν μειονοτικές ομάδες στην Αλβανία, ιδίως όσον αφορά την πρόσβαση στην εκπαίδευση, την απασχόληση και τις δημόσιες υπηρεσίες·</w:t>
            </w:r>
            <w:r>
              <w:t xml:space="preserve"> </w:t>
            </w:r>
            <w:r>
              <w:rPr>
                <w:b/>
                <w:i/>
              </w:rPr>
              <w:t>επισημαίνει την απαίτηση για πλήρη ευθυγράμμιση με το κεκτημένο της ΕΕ όσον αφορά τις πολιτικές κατά των διακρίσεων και τα δικαιώματα των μειονοτήτων, ώστε να διασφαλίζονται ίσες ευκαιρίες και η προστασία από την περιθωριοποίηση·</w:t>
            </w:r>
            <w:r>
              <w:t xml:space="preserve"> </w:t>
            </w:r>
            <w:r>
              <w:rPr>
                <w:b/>
                <w:i/>
              </w:rPr>
              <w:t>ζητεί την ταχεία έγκριση και αποτελεσματική εφαρμογή νομικών πλαισίων που εγγυώνται τα πολιτιστικά, γλωσσικά και θρησκευτικά δικαιώματα, με παράλληλη προώθηση της κοινωνικής και οικονομικής ένταξης·</w:t>
            </w:r>
            <w:r>
              <w:t xml:space="preserve"> </w:t>
            </w:r>
            <w:r>
              <w:rPr>
                <w:b/>
                <w:i/>
              </w:rPr>
              <w:t>παροτρύνει τις αλβανικές αρχές να ενισχύσουν τους θεσμικούς μηχανισμούς για την πρόληψη των διακρίσεων και να διασφαλίσουν την ουσιαστική πολιτική συμμετοχή όλων των κοινοτήτων, σύμφωνα με τις συστάσεις της έκθεσης της Ευρωπαϊκής Επιτροπής του 2024 για την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υπενθυμίζει τη σημασία των μέτρων που διασφαλίζουν την προστασία των εθνικών μειονοτήτων και τον ενεργό ρόλο τους στην κοινωνία·</w:t>
            </w:r>
            <w:r>
              <w:t xml:space="preserve"> </w:t>
            </w:r>
            <w:r>
              <w:rPr>
                <w:b/>
                <w:i/>
              </w:rPr>
              <w:t>καλεί την Αλβανία να διασφαλίσει ότι οι μειονοτικές ομάδες έχουν ίσες ευκαιρίες, καθώς και επαρκή εκπροσώπηση στην πολιτική και την πολιτιστική ζωή, στα δημόσια μέσα ενημέρωσης και τη διοίκηση, καθώς και στο δικαστικό σώμα·</w:t>
            </w:r>
            <w:r>
              <w:t xml:space="preserve"> </w:t>
            </w:r>
            <w:r>
              <w:rPr>
                <w:b/>
                <w:i/>
              </w:rPr>
              <w:t>καλεί την Αλβανία να προστατέψει και να προωθήσει την πολιτιστική κληρονομιά, τις γλώσσες και τις παραδόσεις των εθνικών μειονοτήτων της·</w:t>
            </w:r>
            <w:r>
              <w:t xml:space="preserve"> </w:t>
            </w:r>
            <w:r>
              <w:rPr>
                <w:b/>
                <w:i/>
              </w:rPr>
              <w:t>καλεί την Αλβανία να επανεξετάσει τις μεθόδους επιλογής των μελών της Επιτροπής Εθνικών Μειονοτήτων, σύμφωνα με τη σύσταση της σύμβασης-πλαισίου για την προστασία των εθνικών μειονοτήτων·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εκφράζει την ικανοποίησή του για την έγκριση ενός νέου εθνικού σχεδίου δράσης για τα άτομα ΛΟΑΤΙ+, με ενισχυμένο προϋπολογισμό·</w:t>
            </w:r>
            <w:r>
              <w:t xml:space="preserve"> </w:t>
            </w:r>
            <w:r>
              <w:rPr>
                <w:b/>
                <w:i/>
              </w:rPr>
              <w:t>εκφράζει, ωστόσο, τη λύπη του για το γεγονός ότι δεν έχει σημειωθεί πρόοδος όσον αφορά τη θέσπιση της αναγκαίας νομοθεσίας στον τομέα αυτό, και καλεί τις αρχές να εγκρίνουν την αναγκαία νομοθεσία για την αναγνώριση της ταυτότητας φύλου και των χαρακτηριστικών φύλου, καθώς και για τις σχέσεις συμβίωσης/γάμους μεταξύ ατόμων του ιδίου φύλου·</w:t>
            </w:r>
            <w:r>
              <w:t xml:space="preserve"> </w:t>
            </w:r>
            <w:r>
              <w:rPr>
                <w:b/>
                <w:i/>
              </w:rPr>
              <w:t>εκφράζει τη λύπη του για το γεγονός ότι τα άτομα ΛΟΑΤΙ+ εξακολουθούν να αντιμετωπίζουν απειλές και απαξιωτικές εκστρατείες στα μέσα ενημέρωσης, χωρίς να προστατεύονται επαρκώς από τους δημόσιους οργανισμούς·</w:t>
            </w:r>
            <w:r>
              <w:t xml:space="preserve"> </w:t>
            </w:r>
            <w:r>
              <w:rPr>
                <w:b/>
                <w:i/>
              </w:rPr>
              <w:t>παροτρύνει τους δημόσιους οργανισμούς να επιδείξουν ισχυρή δέσμευση για την προστασία των δικαιωμάτων των ατόμων ΛΟΑΤΙ+·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υπενθυμίζει τον καίριο ρόλο της εκπαίδευσης για τις εθνικές μειονότητες και, ως εκ τούτου, καλεί την Αλβανία να παράσχει ισότιμη και χωρίς διακρίσεις εκπαίδευση στις μειονοτικές γλώσσες, καθώς και να διασφαλίσει επαρκή πρόσβαση στην κρατική κατώτερη και ανώτερη εκπαίδευση σε όλους τους πολίτες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12γ.</w:t>
            </w:r>
            <w:r>
              <w:tab/>
            </w:r>
            <w:r>
              <w:rPr>
                <w:b/>
                <w:i/>
              </w:rPr>
              <w:t>εξακολουθεί να ανησυχεί για τη χαμηλή ποιότητα της εκπαίδευσης και το υψηλό ποσοστό ατόμων που εγκαταλείπουν πρόωρα το σχολείο, καθώς και για το χαμηλό επίπεδο ψηφιακών δεξιοτήτων·</w:t>
            </w:r>
            <w:r>
              <w:t xml:space="preserve"> </w:t>
            </w:r>
            <w:r>
              <w:rPr>
                <w:b/>
                <w:i/>
              </w:rPr>
              <w:t>ζητεί να αυξηθούν οι επενδύσεις για τον εκσυγχρονισμό του εκπαιδευτικού συστήματος, ούτως ώστε να διασφαλιστούν η ποιότητα και η συμπεριληπτικότητά του·</w:t>
            </w:r>
            <w:r>
              <w:t xml:space="preserve"> </w:t>
            </w:r>
            <w:r>
              <w:rPr>
                <w:b/>
                <w:i/>
              </w:rPr>
              <w:t>καλεί την Αλβανία να εφαρμόσει μέτρα για την προώθηση των ευκαιριών απασχόλησης και εκπαίδευσης για τα άτομα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w:t>
            </w:r>
            <w:r>
              <w:rPr>
                <w:b/>
                <w:i/>
              </w:rPr>
              <w:t>, αλλά</w:t>
            </w:r>
            <w:r>
              <w:t xml:space="preserve">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w:t>
            </w:r>
          </w:p>
        </w:tc>
        <w:tc>
          <w:tcPr>
            <w:tcW w:w="4876" w:type="dxa"/>
            <w:tcBorders>
              <w:top w:val="nil"/>
              <w:left w:val="nil"/>
              <w:bottom w:val="nil"/>
              <w:right w:val="nil"/>
            </w:tcBorders>
          </w:tcPr>
          <w:p>
            <w:pPr>
              <w:pStyle w:val="Normal6a"/>
            </w:pPr>
            <w:r>
              <w:t>13.</w:t>
            </w:r>
            <w:r>
              <w:tab/>
            </w:r>
            <w:r>
              <w:t>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w:t>
            </w:r>
            <w:r>
              <w:rPr>
                <w:b/>
                <w:i/>
              </w:rPr>
              <w:t>·</w:t>
            </w:r>
            <w:r>
              <w:t xml:space="preserve"> </w:t>
            </w:r>
            <w:r>
              <w:rPr>
                <w:b/>
                <w:i/>
              </w:rPr>
              <w:t>συγχαίρει τις αλβανικές αρχές για την έγκριση της εκτελεστικής νομοθεσίας σχετικά με τη διαδικασία και τη δίκαιη αποζημίωση για τη χρήση ορφανών έργων και τη βάση δεδομένων για έργα που προστατεύονται από δικαιώματα πνευματικής ιδιοκτησίας·</w:t>
            </w:r>
            <w:r>
              <w:t xml:space="preserve"> εκφράζει</w:t>
            </w:r>
            <w:r>
              <w:rPr>
                <w:b/>
                <w:i/>
              </w:rPr>
              <w:t>, ωστόσο,</w:t>
            </w:r>
            <w:r>
              <w:t xml:space="preserve">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 </w:t>
            </w:r>
            <w:r>
              <w:rPr>
                <w:b/>
                <w:i/>
              </w:rPr>
              <w:t>καλεί την Αλβανία να συνεργαστεί περαιτέρω με το Γραφείο Διανοητικής Ιδιοκτησίας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 αλλά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w:t>
            </w:r>
          </w:p>
        </w:tc>
        <w:tc>
          <w:tcPr>
            <w:tcW w:w="4876" w:type="dxa"/>
            <w:tcBorders>
              <w:top w:val="nil"/>
              <w:left w:val="nil"/>
              <w:bottom w:val="nil"/>
              <w:right w:val="nil"/>
            </w:tcBorders>
          </w:tcPr>
          <w:p>
            <w:pPr>
              <w:pStyle w:val="Normal6a"/>
            </w:pPr>
            <w:r>
              <w:t>13.</w:t>
            </w:r>
            <w:r>
              <w:tab/>
            </w:r>
            <w:r>
              <w:t>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 αλλά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w:t>
            </w:r>
            <w:r>
              <w:rPr>
                <w:b/>
                <w:i/>
              </w:rPr>
              <w:t>, καθώς και την πρόληψη και την ευαισθητοποίηση του κοινού, και να βελτιώσουν τη θεσμική ικανότητα, προκειμένου να εφαρμόσουν αποτελεσματικά τον νέο νόμο για την προστασία των προσωπικών δεδομένων·</w:t>
            </w:r>
            <w:r>
              <w:t xml:space="preserve"> </w:t>
            </w:r>
            <w:r>
              <w:rPr>
                <w:b/>
                <w:i/>
              </w:rPr>
              <w:t>καλεί τις αλβανικές αρχές να ενισχύσουν τις διασφαλίσεις κατά των παραβιάσεων δεδομένων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 αλλά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w:t>
            </w:r>
          </w:p>
        </w:tc>
        <w:tc>
          <w:tcPr>
            <w:tcW w:w="4876" w:type="dxa"/>
            <w:tcBorders>
              <w:top w:val="nil"/>
              <w:left w:val="nil"/>
              <w:bottom w:val="nil"/>
              <w:right w:val="nil"/>
            </w:tcBorders>
          </w:tcPr>
          <w:p>
            <w:pPr>
              <w:pStyle w:val="Normal6a"/>
            </w:pPr>
            <w:r>
              <w:t>13.</w:t>
            </w:r>
            <w:r>
              <w:tab/>
            </w:r>
            <w:r>
              <w:t xml:space="preserve">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 αλλά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 </w:t>
            </w:r>
            <w:r>
              <w:rPr>
                <w:b/>
                <w:i/>
              </w:rPr>
              <w:t>εκφράζει την ανησυχία του σχετικά με την απειλή που συνιστούν οι κακόβουλες εξωτερικές παρεμβάσεις στη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εκφράζει τη βαθιά του ανησυχία για το μνημόνιο συνεννόησης Ιταλίας-Αλβανίας, το οποίο εγείρει σοβαρές ανησυχίες σχετικά με τις παραβιάσεις των ανθρωπίνων δικαιωμάτων, συμπεριλαμβανομένων της υπονόμευσης του δικαιώματος ασύλου, της μετατόπισης της ευθύνης για τους αιτούντες άσυλο μέσω της «εξωτερικής ανάθεσης», και του κινδύνου επαναπροώθησης, της άνισης μεταχείρισης και μη συμμόρφωσης με το δίκαιο της ΕΕ, ιδίως με το άρθρο 18 του Χάρτη της ΕΕ·</w:t>
            </w:r>
            <w:r>
              <w:t xml:space="preserve"> </w:t>
            </w:r>
            <w:r>
              <w:rPr>
                <w:b/>
                <w:i/>
              </w:rPr>
              <w:t>υπενθυμίζει ότι τα ιταλικά δικαστήρια έχουν επανειλημμένα απορρίψει τις μεταφορές στο αλβανικό κέντρο και ότι το κέντρο δεν χρησιμοποιείται επί του παρόντος·</w:t>
            </w:r>
            <w:r>
              <w:t xml:space="preserve"> </w:t>
            </w:r>
            <w:r>
              <w:rPr>
                <w:b/>
                <w:i/>
              </w:rPr>
              <w:t>παροτρύνει την Επιτροπή να κοινοποιήσει στο Κοινοβούλιο τη νομική της ανάλυση του μνημονίου συνεννόησης χωρίς περαιτέρω καθυστέρηση·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εκφράζει την ανησυχία του για τις επανειλημμένες πρακτικές επαναπροώθησης που εικάζεται ότι εφαρμόζονται</w:t>
            </w:r>
            <w:r>
              <w:rPr>
                <w:b/>
                <w:i/>
                <w:vertAlign w:val="superscript"/>
              </w:rPr>
              <w:t>1α</w:t>
            </w:r>
            <w:r>
              <w:rPr>
                <w:b/>
                <w:i/>
              </w:rPr>
              <w:t>, κατά παρέκκλιση από το άρθρο 102 του αλβανικού νόμου περί αλλοδαπών·</w:t>
            </w:r>
            <w:r>
              <w:t xml:space="preserve"> </w:t>
            </w:r>
            <w:r>
              <w:rPr>
                <w:b/>
                <w:i/>
              </w:rPr>
              <w:t>καλεί, επομένως, τις αλβανικές αρχές να εφαρμόσουν πλήρως το εθνικό τους δίκαιο, καθώς και τις εγγυήσεις του Ευρωπαϊκού Χάρτη Θεμελιωδών Δικαιωμάτων, όσον αφορά τη διαδικασία υποβολής αιτήσεων ασύλου·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Frontex SIR 10910/2023, 11153/2023.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σημειώνει ότι η συμφωνία Ιταλίας-Αλβανίας έχει αποτελέσει επανειλημμένα αντικείμενο προσφυγών, και τονίζει ότι τα κράτη μέλη πρέπει να τηρούν πλήρως το δίκαιο της ΕΕ και τις αποφάσεις του Δικαστηρίου της Ευρωπαϊκής Ένωσης·</w:t>
            </w:r>
            <w:r>
              <w:t xml:space="preserve"> </w:t>
            </w:r>
            <w:r>
              <w:rPr>
                <w:b/>
                <w:i/>
              </w:rPr>
              <w:t>απορρίπτει κάθε πρόταση για εξωτερική ανάθεση των διαδικασιών ασύλου σε τρίτες χώρες, η οποία υπονομεύει το θεμελιώδες δικαίωμα αίτησης ασύλου στο έδαφος της ΕΕ και παραβιάζει τόσο το ενωσιακό όσο και το διεθνές δίκαιο·</w:t>
            </w:r>
            <w:r>
              <w:t xml:space="preserve"> </w:t>
            </w:r>
            <w:r>
              <w:rPr>
                <w:b/>
                <w:i/>
              </w:rPr>
              <w:t>τονίζει ότι οι εξωτερικοί μηχανισμοί επεξεργασίας, συμπεριλαμβανομένων των «κόμβων επιστροφής», παραβιάζουν τα δικαιώματα των ατόμων που προσπαθούν να ξεφύγουν από διώξεις, συγκρούσεις ή οικονομικές δυσχέρειες·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εκφράζει επίσης την ανησυχία του για την ευρύτερη τάση της ΕΕ και των μεμονωμένων κρατών μελών να πιέζουν τις υπό ένταξη χώρες να συνεργαστούν μαζί τους για την εφαρμογή του θεματολογίου τους για τη μεταναστευτική πολιτική, δεδομένης της άνισης σχέσης που υπάρχει με τις υπό ένταξη χώρες, και ζητεί επιτακτικά να σταματήσει αυτή η πρακτική·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εκφράζει την ικανοποίησή του για την πρόοδο που έχει επιτύχει η Αλβανία όσον αφορά την εφαρμογή των μεταρρυθμίσεων στον τομέα της δικαιοσύνης, συμπεριλαμβανομένης της διαδικασίας ελέγχου, που ολοκληρώθηκε σε πρώτο βαθμό· εκφράζει, ωστόσο, την ανησυχία του για τις συνεχιζόμενες πολιτικές παρεμβάσεις και πιέσεις στο δικαστικό σύστημα·</w:t>
            </w:r>
          </w:p>
        </w:tc>
        <w:tc>
          <w:tcPr>
            <w:tcW w:w="4876" w:type="dxa"/>
            <w:tcBorders>
              <w:top w:val="nil"/>
              <w:left w:val="nil"/>
              <w:bottom w:val="nil"/>
              <w:right w:val="nil"/>
            </w:tcBorders>
          </w:tcPr>
          <w:p>
            <w:pPr>
              <w:pStyle w:val="Normal6a"/>
            </w:pPr>
            <w:r>
              <w:t>14.</w:t>
            </w:r>
            <w:r>
              <w:tab/>
            </w:r>
            <w:r>
              <w:t xml:space="preserve">εκφράζει την ικανοποίησή του για την πρόοδο που έχει επιτύχει η Αλβανία όσον αφορά την εφαρμογή των μεταρρυθμίσεων στον τομέα της δικαιοσύνης, συμπεριλαμβανομένης της διαδικασίας ελέγχου, που ολοκληρώθηκε σε πρώτο βαθμό· εκφράζει, ωστόσο, την ανησυχία του για τις συνεχιζόμενες πολιτικές παρεμβάσεις και πιέσεις στο δικαστικό σύστημα· </w:t>
            </w:r>
            <w:r>
              <w:rPr>
                <w:b/>
                <w:i/>
              </w:rPr>
              <w:t>καλεί την Ευρωπαϊκή Επιτροπή να παρακολουθεί στενά την έκθεση της Αλβανίας σε ξένες κακόβουλες επιρροές·</w:t>
            </w:r>
            <w:r>
              <w:t xml:space="preserve"> </w:t>
            </w:r>
            <w:r>
              <w:rPr>
                <w:b/>
                <w:i/>
              </w:rPr>
              <w:t>τονίζει ότι είναι σημαντικό να ενισχυθεί η ανθεκτικότητα της ανεξάρτητης δημοσιογραφίας και να αντιμετωπιστεί η μεροληπτική κάλυψη των γεγονότων·</w:t>
            </w:r>
            <w:r>
              <w:t xml:space="preserve"> </w:t>
            </w:r>
            <w:r>
              <w:rPr>
                <w:b/>
                <w:i/>
              </w:rPr>
              <w:t>παροτρύνει τις αλβανικές αρχές να ενισχύσουν τα πρότυπα διαφάνειας όσον αφορά την ξένη χρηματοδότηση·</w:t>
            </w:r>
            <w:r>
              <w:t xml:space="preserve"> </w:t>
            </w:r>
            <w:r>
              <w:rPr>
                <w:b/>
                <w:i/>
              </w:rPr>
              <w:t>καλεί την κυβέρνηση να στηρίξει τις ανεξάρτητες πλατφόρμες ελέγχου γεγονότων ως μέσο για τη διασφάλιση της πρόσβασης του κοινού σε ακριβείς πληροφορίες, και να διαφυλάσσει την ακεραιότητα του χώρου πληροφόρησης·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εκφράζει την ικανοποίησή του για την πρόοδο που έχει επιτύχει η Αλβανία όσον αφορά την εφαρμογή των μεταρρυθμίσεων στον τομέα της δικαιοσύνης, συμπεριλαμβανομένης της διαδικασίας ελέγχου, που ολοκληρώθηκε σε πρώτο βαθμό· εκφράζει, ωστόσο, την ανησυχία του για τις συνεχιζόμενες πολιτικές παρεμβάσεις και πιέσεις στο δικαστικό σύστημα·</w:t>
            </w:r>
          </w:p>
        </w:tc>
        <w:tc>
          <w:tcPr>
            <w:tcW w:w="4876" w:type="dxa"/>
            <w:tcBorders>
              <w:top w:val="nil"/>
              <w:left w:val="nil"/>
              <w:bottom w:val="nil"/>
              <w:right w:val="nil"/>
            </w:tcBorders>
          </w:tcPr>
          <w:p>
            <w:pPr>
              <w:pStyle w:val="Normal6a"/>
            </w:pPr>
            <w:r>
              <w:t>14.</w:t>
            </w:r>
            <w:r>
              <w:tab/>
            </w:r>
            <w:r>
              <w:t xml:space="preserve">εκφράζει την ικανοποίησή του για την πρόοδο που έχει επιτύχει η Αλβανία όσον αφορά την εφαρμογή των μεταρρυθμίσεων στον τομέα της δικαιοσύνης, συμπεριλαμβανομένης της διαδικασίας ελέγχου, που ολοκληρώθηκε σε πρώτο βαθμό· εκφράζει </w:t>
            </w:r>
            <w:r>
              <w:rPr>
                <w:b/>
                <w:i/>
              </w:rPr>
              <w:t>την ικανοποίησή του για τη νέα σημαντική μεταρρυθμιστική διαδικασία σχετικά με τη χρηστή διακυβέρνηση, το κράτος δικαίου και την καταπολέμηση της διαφθοράς για την Αλβανία, με ορίζοντα το 2030, που δρομολογήθηκε από το αλβανικό κοινοβούλιο·</w:t>
            </w:r>
            <w:r>
              <w:t xml:space="preserve"> </w:t>
            </w:r>
            <w:r>
              <w:rPr>
                <w:b/>
                <w:i/>
              </w:rPr>
              <w:t>εκφράζει</w:t>
            </w:r>
            <w:r>
              <w:t xml:space="preserve">, ωστόσο, την ανησυχία του για τις συνεχιζόμενες πολιτικές παρεμβάσεις και πιέσεις στο δικαστικό σύστημα </w:t>
            </w:r>
            <w:r>
              <w:rPr>
                <w:b/>
                <w:i/>
              </w:rPr>
              <w:t>και για τις ελλείψεις ως προς τον αξιοκρατικό διορισμό των μη δικαστικών μελών του Ανώτατου Δικαστικού Συμβουλίου (HJC) και του Ανώτατου Εισαγγελικού Συμβουλίου (HPC)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εκφράζει την ικανοποίησή του</w:t>
            </w:r>
            <w:r>
              <w:t xml:space="preserve"> για την πρόοδο που έχει επιτύχει </w:t>
            </w:r>
            <w:r>
              <w:rPr>
                <w:b/>
                <w:i/>
              </w:rPr>
              <w:t>η Αλβανία</w:t>
            </w:r>
            <w:r>
              <w:t xml:space="preserve"> όσον αφορά την εφαρμογή των μεταρρυθμίσεων στον τομέα της δικαιοσύνης, συμπεριλαμβανομένης της διαδικασίας ελέγχου, που ολοκληρώθηκε σε πρώτο βαθμό· εκφράζει, ωστόσο, την ανησυχία του για τις συνεχιζόμενες πολιτικές παρεμβάσεις και πιέσεις στο δικαστικό σύστημα·</w:t>
            </w:r>
          </w:p>
        </w:tc>
        <w:tc>
          <w:tcPr>
            <w:tcW w:w="4876" w:type="dxa"/>
            <w:tcBorders>
              <w:top w:val="nil"/>
              <w:left w:val="nil"/>
              <w:bottom w:val="nil"/>
              <w:right w:val="nil"/>
            </w:tcBorders>
          </w:tcPr>
          <w:p>
            <w:pPr>
              <w:pStyle w:val="Normal6a"/>
            </w:pPr>
            <w:r>
              <w:t>14.</w:t>
            </w:r>
            <w:r>
              <w:tab/>
            </w:r>
            <w:r>
              <w:rPr>
                <w:b/>
                <w:i/>
              </w:rPr>
              <w:t>συγχαίρει την Αλβανία</w:t>
            </w:r>
            <w:r>
              <w:t xml:space="preserve"> για την πρόοδο που έχει επιτύχει όσον αφορά την εφαρμογή των μεταρρυθμίσεων στον τομέα της δικαιοσύνης, </w:t>
            </w:r>
            <w:r>
              <w:rPr>
                <w:b/>
                <w:i/>
              </w:rPr>
              <w:t>με στόχο την ενίσχυση της ανεξαρτησίας, της διαφάνειας και της λογοδοσίας του δικαστικού σώματος,</w:t>
            </w:r>
            <w:r>
              <w:t xml:space="preserve"> συμπεριλαμβανομένης της διαδικασίας ελέγχου, που ολοκληρώθηκε σε πρώτο βαθμό· εκφράζει, ωστόσο, την ανησυχία του για τις συνεχιζόμενες πολιτικές παρεμβάσεις και πιέσεις στο δικαστικό σύστημα· </w:t>
            </w:r>
            <w:r>
              <w:rPr>
                <w:b/>
                <w:i/>
              </w:rPr>
              <w:t>εκφράζει ανησυχίες σχετικά με τις ελλείψεις ως προς τον αξιοκρατικό διορισμό των μη δικαστικών μελών του Ανώτατου Δικαστικού Συμβουλίου και του Ανώτατου Εισαγγελικού Συμβουλίου, και την ακεραιότητά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εκφράζει την ικανοποίησή του για την πρόοδο που έχει επιτύχει η</w:t>
            </w:r>
            <w:r>
              <w:t xml:space="preserve"> Αλβανία όσον αφορά την εφαρμογή των μεταρρυθμίσεων στον τομέα της δικαιοσύνης, </w:t>
            </w:r>
            <w:r>
              <w:rPr>
                <w:b/>
                <w:i/>
              </w:rPr>
              <w:t>συμπεριλαμβανομένης της διαδικασίας ελέγχου, που ολοκληρώθηκε σε πρώτο βαθμό·</w:t>
            </w:r>
            <w:r>
              <w:t xml:space="preserve"> </w:t>
            </w:r>
            <w:r>
              <w:rPr>
                <w:b/>
                <w:i/>
              </w:rPr>
              <w:t>εκφράζει, ωστόσο, την ανησυχία του για τις συνεχιζόμενες πολιτικές παρεμβάσεις και πιέσεις στο δικαστικό</w:t>
            </w:r>
            <w:r>
              <w:t xml:space="preserve"> σύστημα·</w:t>
            </w:r>
          </w:p>
        </w:tc>
        <w:tc>
          <w:tcPr>
            <w:tcW w:w="4876" w:type="dxa"/>
            <w:tcBorders>
              <w:top w:val="nil"/>
              <w:left w:val="nil"/>
              <w:bottom w:val="nil"/>
              <w:right w:val="nil"/>
            </w:tcBorders>
          </w:tcPr>
          <w:p>
            <w:pPr>
              <w:pStyle w:val="Normal6a"/>
            </w:pPr>
            <w:r>
              <w:t>14.</w:t>
            </w:r>
            <w:r>
              <w:tab/>
            </w:r>
            <w:r>
              <w:rPr>
                <w:b/>
                <w:i/>
              </w:rPr>
              <w:t>σημειώνει ότι παρά την υιοθέτηση νομοθεσίας στην</w:t>
            </w:r>
            <w:r>
              <w:t xml:space="preserve"> Αλβανία όσον αφορά την εφαρμογή των μεταρρυθμίσεων στον τομέα της δικαιοσύνης, </w:t>
            </w:r>
            <w:r>
              <w:rPr>
                <w:b/>
                <w:i/>
              </w:rPr>
              <w:t>πρόκειται για ένα</w:t>
            </w:r>
            <w:r>
              <w:t xml:space="preserve"> σύστημα </w:t>
            </w:r>
            <w:r>
              <w:rPr>
                <w:b/>
                <w:i/>
              </w:rPr>
              <w:t>απολύτως ελεγχόμενο από την κυβέρνηση, χωρίς πραγματικούς δικαστικούς λειτουργούς</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εκφράζει τη βαθιά του ανησυχία για τα στοιχεία που υποδεικνύουν την πολιτικοποίηση του δικαστικού σώματος της Αλβανίας, όπως καταδεικνύεται από την παρέμβαση του Ευρωπαϊκού Δικαστηρίου Ανθρωπίνων Δικαιωμάτων για τη σύλληψη του ηγέτη της αντιπολίτευσης Sali Berisha, και τις προειδοποιήσεις της Επιτροπής της Βενετίας για τον έλεγχο των δικαστικών μεταρρυθμίσεων από το κυβερνών κόμμα·</w:t>
            </w:r>
            <w:r>
              <w:t xml:space="preserve"> </w:t>
            </w:r>
            <w:r>
              <w:rPr>
                <w:b/>
                <w:i/>
              </w:rPr>
              <w:t>ζητεί να ληφθούν επειγόντως μέτρα για τη διασφάλιση της ανεξαρτησίας της δικαιοσύνης και της θεσμικής ακεραιότητας·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εκφράζει την ανησυχία του για τις πολιτικές διώξεις, τις αυθαίρετες φυλακίσεις και τις στοχευμένες απειλές κατά ηγετών της αντιπολίτευσης, βουλευτών και τοπικών αξιωματούχων, οι οποίες υπονομεύουν τις αρχές της δημοκρατικής διακυβέρνησης και του πολιτικού πλουραλισμού·</w:t>
            </w:r>
            <w:r>
              <w:t xml:space="preserve"> </w:t>
            </w:r>
            <w:r>
              <w:rPr>
                <w:b/>
                <w:i/>
              </w:rPr>
              <w:t>ζητεί να σταματήσουν οι ενέργειες αυτές·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τονίζει την ανάγκη καταπολέμησης του παράνομου εμπορίου φορητών όπλων και ελαφρού οπλισμού, καθώς η Αλβανία παραμένει χώρα προορισμού και χώρα διέλευσης·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προειδοποιεί για την υπονόμευση του έργου ανεξάρτητων θεσμών όπως η SPAK·</w:t>
            </w:r>
          </w:p>
        </w:tc>
        <w:tc>
          <w:tcPr>
            <w:tcW w:w="4876" w:type="dxa"/>
            <w:tcBorders>
              <w:top w:val="nil"/>
              <w:left w:val="nil"/>
              <w:bottom w:val="nil"/>
              <w:right w:val="nil"/>
            </w:tcBorders>
          </w:tcPr>
          <w:p>
            <w:pPr>
              <w:pStyle w:val="Normal6a"/>
            </w:pPr>
            <w:r>
              <w:t>15.</w:t>
            </w:r>
            <w:r>
              <w:tab/>
            </w:r>
            <w:r>
              <w:t xml:space="preserve">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w:t>
            </w:r>
            <w:r>
              <w:rPr>
                <w:b/>
                <w:i/>
              </w:rPr>
              <w:t>εκφράζει την ικανοποίησή του για τις έρευνες και τις διαδικασίες σε σχέση με τη διαφθορά υψηλού επιπέδου, συμπεριλαμβανομένης της σύλληψης του δημάρχου των Τιράνων, Erion Veliaj, για διαφθορά, νομιμοποίηση εσόδων από παράνομες δραστηριότητες και συναφή εγκλήματα·</w:t>
            </w:r>
            <w:r>
              <w:t xml:space="preserve"> </w:t>
            </w:r>
            <w:r>
              <w:rPr>
                <w:b/>
                <w:i/>
              </w:rPr>
              <w:t>τονίζει ότι η αύξηση του αριθμού των τελεσίδικων καταδικών υψηλόβαθμων αξιωματούχων εξακολουθεί να αποτελεί σημαντική προτεραιότητα για την αντιμετώπιση της υπάρχουσας νοοτροπίας ατιμωρησίας·</w:t>
            </w:r>
            <w:r>
              <w:t xml:space="preserve"> προειδοποιεί για την υπονόμευση του έργου ανεξάρτητων θεσμών όπως η SPAK· </w:t>
            </w:r>
            <w:r>
              <w:rPr>
                <w:b/>
                <w:i/>
              </w:rPr>
              <w:t>εκφράζει τη λύπη του για το εκφοβιστικό περιβάλλον και τις περιπτώσεις αδικαιολόγητης πίεσης που ασκείται από δημόσιους αξιωματούχους και υψηλόβαθμους πολιτικούς στο δικαστικό σώμα, οι οποίες συνιστούν σοβαρή απειλή για την ανεξαρτησία της δικαιοσύνης·</w:t>
            </w:r>
            <w:r>
              <w:t xml:space="preserve"> </w:t>
            </w:r>
            <w:r>
              <w:rPr>
                <w:b/>
                <w:i/>
              </w:rPr>
              <w:t>εκφράζει την ανησυχία του για το γεγονός ότι η έλλειψη θεσμικής στήριξης προς τους δικαστές που αντιμετωπίζουν απειλές, αποδυναμώνει την εμπιστοσύνη του κοινού και θέτει σε σοβαρό κίνδυνο το κράτος δικαίου και τη διαδικασία ένταξης της Αλβανίας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προειδοποιεί για την υπονόμευση του έργου ανεξάρτητων θεσμών όπως η SPAK·</w:t>
            </w:r>
          </w:p>
        </w:tc>
        <w:tc>
          <w:tcPr>
            <w:tcW w:w="4876" w:type="dxa"/>
            <w:tcBorders>
              <w:top w:val="nil"/>
              <w:left w:val="nil"/>
              <w:bottom w:val="nil"/>
              <w:right w:val="nil"/>
            </w:tcBorders>
          </w:tcPr>
          <w:p>
            <w:pPr>
              <w:pStyle w:val="Normal6a"/>
            </w:pPr>
            <w:r>
              <w:t>15.</w:t>
            </w:r>
            <w:r>
              <w:tab/>
            </w:r>
            <w:r>
              <w:rPr>
                <w:b/>
                <w:i/>
              </w:rPr>
              <w:t>επισημαίνει ότι η Αλβανία καταλάμβανε την 80η θέση στον δείκτη αντίληψης της διαφθοράς της Διεθνούς Διαφάνειας για το 2024, γεγονός που καταδεικνύει την ανάγκη για ουσιαστική πρόοδο όσον αφορά την καταπολέμηση της διαφθοράς σε υψηλό επίπεδο και τη διασφάλιση της ανεξαρτησίας της δικαιοσύνης·</w:t>
            </w:r>
            <w:r>
              <w:t xml:space="preserve"> 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w:t>
            </w:r>
            <w:r>
              <w:rPr>
                <w:b/>
                <w:i/>
              </w:rPr>
              <w:t>, καθώς και σε περιπτώσεις που αφορούν την προστασία των οικονομικών συμφερόντων της ΕΕ·</w:t>
            </w:r>
            <w:r>
              <w:t xml:space="preserve"> </w:t>
            </w:r>
            <w:r>
              <w:rPr>
                <w:b/>
                <w:i/>
              </w:rPr>
              <w:t>εκφράζει την ικανοποίησή του για το γεγονός ότι έχει ενισχυθεί η ικανότητα της SPAK όσον αφορά τις χρηματοοικονομικές έρευνες και έχει βελτιωθεί η συστηματική χρήση χρηματοοικονομικών ερευνών και δημεύσεων περιουσιακών στοιχείων</w:t>
            </w:r>
            <w:r>
              <w:t>· προειδοποιεί για την υπονόμευση του έργου ανεξάρτητων θεσμών όπως η SPAK·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προειδοποιεί για την υπονόμευση του έργου ανεξάρτητων θεσμών όπως η SPAK·</w:t>
            </w:r>
          </w:p>
        </w:tc>
        <w:tc>
          <w:tcPr>
            <w:tcW w:w="4876" w:type="dxa"/>
            <w:tcBorders>
              <w:top w:val="nil"/>
              <w:left w:val="nil"/>
              <w:bottom w:val="nil"/>
              <w:right w:val="nil"/>
            </w:tcBorders>
          </w:tcPr>
          <w:p>
            <w:pPr>
              <w:pStyle w:val="Normal6a"/>
            </w:pPr>
            <w:r>
              <w:t>15.</w:t>
            </w:r>
            <w:r>
              <w:tab/>
            </w:r>
            <w:r>
              <w:t xml:space="preserve">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προειδοποιεί για την υπονόμευση του έργου ανεξάρτητων θεσμών όπως η SPAK· </w:t>
            </w:r>
            <w:r>
              <w:rPr>
                <w:b/>
                <w:i/>
              </w:rPr>
              <w:t>τονίζει ότι είναι σημαντικό να διασφαλιστεί ότι οι υπηρεσίες καταπολέμησης της διαφθοράς είναι πλήρως ανεξάρτητες, και ζητεί να ενισχυθούν οι επιχειρησιακές και ερευνητικές τους ικανότητες·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w:t>
            </w:r>
            <w:r>
              <w:rPr>
                <w:b/>
                <w:i/>
              </w:rPr>
              <w:t>προειδοποιεί για την υπονόμευση του έργου</w:t>
            </w:r>
            <w:r>
              <w:t xml:space="preserve"> ανεξάρτητων θεσμών όπως η SPAK·</w:t>
            </w:r>
          </w:p>
        </w:tc>
        <w:tc>
          <w:tcPr>
            <w:tcW w:w="4876" w:type="dxa"/>
            <w:tcBorders>
              <w:top w:val="nil"/>
              <w:left w:val="nil"/>
              <w:bottom w:val="nil"/>
              <w:right w:val="nil"/>
            </w:tcBorders>
          </w:tcPr>
          <w:p>
            <w:pPr>
              <w:pStyle w:val="Normal6a"/>
            </w:pPr>
            <w:r>
              <w:t>15.</w:t>
            </w:r>
            <w:r>
              <w:tab/>
            </w:r>
            <w:r>
              <w:t xml:space="preserve">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w:t>
            </w:r>
            <w:r>
              <w:rPr>
                <w:b/>
                <w:i/>
              </w:rPr>
              <w:t>παροτρύνει όλα τα μέρη να σταματήσουν και να αποφεύγουν οποιαδήποτε ενέργεια που υπονομεύει το έργο</w:t>
            </w:r>
            <w:r>
              <w:t xml:space="preserve"> ανεξάρτητων θεσμών</w:t>
            </w:r>
            <w:r>
              <w:rPr>
                <w:b/>
                <w:i/>
              </w:rPr>
              <w:t>,</w:t>
            </w:r>
            <w:r>
              <w:t xml:space="preserve"> όπως η SPAK·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σημειώνει τις προκλήσεις όσον αφορά την ποιότητα και την αποτελεσματικότητα του συστήματος απονομής δικαιοσύνης, συμπεριλαμβανομένου του μεγάλου αριθμού κενών δικαστικών θέσεων, της έλλειψης επαρκούς δικαστικού προσωπικού, της ποιότητας της αρχικής και συνεχούς κατάρτισης των δικαστών, της συνέπειας της νομολογίας και της έλλειψης ενός σύγχρονου ολοκληρωμένου συστήματος διαχείρισης υποθέσεων· σημειώνει ότι τα κονδύλια του προϋπολογισμού είναι ανεπαρκή, ιδίως για το δικαστικό σκέλος·</w:t>
            </w:r>
          </w:p>
        </w:tc>
        <w:tc>
          <w:tcPr>
            <w:tcW w:w="4876" w:type="dxa"/>
            <w:tcBorders>
              <w:top w:val="nil"/>
              <w:left w:val="nil"/>
              <w:bottom w:val="nil"/>
              <w:right w:val="nil"/>
            </w:tcBorders>
          </w:tcPr>
          <w:p>
            <w:pPr>
              <w:pStyle w:val="Normal6a"/>
            </w:pPr>
            <w:r>
              <w:t>16.</w:t>
            </w:r>
            <w:r>
              <w:tab/>
            </w:r>
            <w:r>
              <w:t xml:space="preserve">σημειώνει τις προκλήσεις όσον αφορά την ποιότητα και την αποτελεσματικότητα του συστήματος απονομής δικαιοσύνης, συμπεριλαμβανομένου του μεγάλου αριθμού κενών δικαστικών θέσεων, της έλλειψης επαρκούς δικαστικού προσωπικού, της ποιότητας της αρχικής και συνεχούς κατάρτισης των δικαστών, της συνέπειας της νομολογίας και της έλλειψης ενός σύγχρονου ολοκληρωμένου συστήματος διαχείρισης υποθέσεων· σημειώνει ότι τα κονδύλια του προϋπολογισμού είναι ανεπαρκή, ιδίως για το δικαστικό σκέλος· </w:t>
            </w:r>
            <w:r>
              <w:rPr>
                <w:b/>
                <w:i/>
              </w:rPr>
              <w:t>υπογραμμίζει ότι η μείωση της συσσώρευσης εκκρεμών υποθέσεων στο δικαστικό σύστημα θα πρέπει να παραμείνει προτεραιότητα·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17α.</w:t>
            </w:r>
            <w:r>
              <w:tab/>
            </w:r>
            <w:r>
              <w:rPr>
                <w:b/>
                <w:i/>
              </w:rPr>
              <w:t>υπογραμμίζει τη σημασία της καταπολέμησης του οργανωμένου εγκλήματος και της διακίνησης ναρκωτικών·</w:t>
            </w:r>
            <w:r>
              <w:t xml:space="preserve"> </w:t>
            </w:r>
            <w:r>
              <w:rPr>
                <w:b/>
                <w:i/>
              </w:rPr>
              <w:t>καλεί τις αλβανικές αρχές να εφαρμόσουν με αμερόληπτο τρόπο μέτρα για την καταπολέμηση του εγκλήματος·</w:t>
            </w:r>
            <w:r>
              <w:t xml:space="preserve"> </w:t>
            </w:r>
            <w:r>
              <w:rPr>
                <w:b/>
                <w:i/>
              </w:rPr>
              <w:t>εκφράζει την ανησυχία του για τους καταγγελλόμενους δεσμούς μεταξύ κυβερνητικών αξιωματούχων και ομάδων οργανωμένου εγκλήματος, συμπεριλαμβανομένων των δραστηριοτήτων νομιμοποίησης εσόδων από παράνομες δραστηριότητες που αποκαλύφθηκαν από τις βελγικές αρχές, και ζητεί να ληφθούν αποφασιστικά μέτρα και να υπάρξουν απτά αποτελέσματα όσον αφορά τη διάσπαση των δεσμών του οργανωμένου εγκλήματος με πολιτικούς, κρατικούς θεσμούς και δημόσιους πόρους·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καλεί την Αλβανία να συνεχίσει να ευθυγραμμίζει το νομικό της πλαίσιο με το κεκτημένο της ΕΕ για την καταπολέμηση του οργανωμένου εγκλήματος·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Ιντερπόλ για την καταπολέμηση του οργανωμένου εγκλήματος·</w:t>
            </w:r>
          </w:p>
        </w:tc>
        <w:tc>
          <w:tcPr>
            <w:tcW w:w="4876" w:type="dxa"/>
            <w:tcBorders>
              <w:top w:val="nil"/>
              <w:left w:val="nil"/>
              <w:bottom w:val="nil"/>
              <w:right w:val="nil"/>
            </w:tcBorders>
          </w:tcPr>
          <w:p>
            <w:pPr>
              <w:pStyle w:val="Normal6a"/>
            </w:pPr>
            <w:r>
              <w:t>18.</w:t>
            </w:r>
            <w:r>
              <w:tab/>
            </w:r>
            <w:r>
              <w:t>καλεί την Αλβανία να συνεχίσει να ευθυγραμμίζει το νομικό της πλαίσιο με το κεκτημένο της ΕΕ για την καταπολέμηση του οργανωμένου εγκλήματος</w:t>
            </w:r>
            <w:r>
              <w:rPr>
                <w:b/>
                <w:i/>
              </w:rPr>
              <w:t>, συμπεριλαμβανομένης της εμπορίας ανθρώπων και του εμπορίου ναρκωτικών και πυροβόλων όπλων, καθώς και για την καταπολέμηση του κυβερνοεγκλήματος, του εξτρεμισμού και των τρομοκρατικών απειλών</w:t>
            </w:r>
            <w:r>
              <w:t xml:space="preserve">·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w:t>
            </w:r>
            <w:r>
              <w:rPr>
                <w:b/>
                <w:i/>
              </w:rPr>
              <w:t>Ευρωπόλ, την Eurojust, τον Frontex και την</w:t>
            </w:r>
            <w:r>
              <w:t xml:space="preserve"> Ιντερπόλ για την καταπολέμηση του οργανωμένου </w:t>
            </w:r>
            <w:r>
              <w:rPr>
                <w:b/>
                <w:i/>
              </w:rPr>
              <w:t>εγκλήματος και την εξάρθρωση δικτύων διεθνικού</w:t>
            </w:r>
            <w:r>
              <w:t xml:space="preserve"> εγκλήματος·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καλεί την Αλβανία να συνεχίσει να ευθυγραμμίζει το νομικό της πλαίσιο με το κεκτημένο της ΕΕ για την καταπολέμηση του οργανωμένου εγκλήματος·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Ιντερπόλ για την καταπολέμηση του οργανωμένου εγκλήματος·</w:t>
            </w:r>
          </w:p>
        </w:tc>
        <w:tc>
          <w:tcPr>
            <w:tcW w:w="4876" w:type="dxa"/>
            <w:tcBorders>
              <w:top w:val="nil"/>
              <w:left w:val="nil"/>
              <w:bottom w:val="nil"/>
              <w:right w:val="nil"/>
            </w:tcBorders>
          </w:tcPr>
          <w:p>
            <w:pPr>
              <w:pStyle w:val="Normal6a"/>
            </w:pPr>
            <w:r>
              <w:t>18.</w:t>
            </w:r>
            <w:r>
              <w:tab/>
            </w:r>
            <w:r>
              <w:t xml:space="preserve">καλεί την Αλβανία να συνεχίσει να ευθυγραμμίζει το νομικό της πλαίσιο με το κεκτημένο της ΕΕ για την καταπολέμηση του οργανωμένου εγκλήματος·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Ιντερπόλ για την καταπολέμηση του οργανωμένου εγκλήματος· </w:t>
            </w:r>
            <w:r>
              <w:rPr>
                <w:b/>
                <w:i/>
              </w:rPr>
              <w:t>καλεί την Αλβανία να ενισχύσει την καταπολέμηση της εμπορίας ανθρώπων σε συνεργασία με τα κράτη μέλη και τους οργανισμούς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καλεί την Αλβανία να συνεχίσει να ευθυγραμμίζει το νομικό της πλαίσιο με το κεκτημένο της ΕΕ για την καταπολέμηση του οργανωμένου εγκλήματος·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Ιντερπόλ για την καταπολέμηση του οργανωμένου εγκλήματος·</w:t>
            </w:r>
          </w:p>
        </w:tc>
        <w:tc>
          <w:tcPr>
            <w:tcW w:w="4876" w:type="dxa"/>
            <w:tcBorders>
              <w:top w:val="nil"/>
              <w:left w:val="nil"/>
              <w:bottom w:val="nil"/>
              <w:right w:val="nil"/>
            </w:tcBorders>
          </w:tcPr>
          <w:p>
            <w:pPr>
              <w:pStyle w:val="Normal6a"/>
            </w:pPr>
            <w:r>
              <w:t>18.</w:t>
            </w:r>
            <w:r>
              <w:tab/>
            </w:r>
            <w:r>
              <w:t xml:space="preserve">καλεί την Αλβανία να συνεχίσει να ευθυγραμμίζει το νομικό της πλαίσιο με το κεκτημένο της ΕΕ για την καταπολέμηση του οργανωμένου εγκλήματος· 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και με την Ιντερπόλ για την καταπολέμηση του οργανωμένου εγκλήματος· </w:t>
            </w:r>
            <w:r>
              <w:rPr>
                <w:b/>
                <w:i/>
              </w:rPr>
              <w:t>εκφράζει την ικανοποίησή του για την έγκριση νέας στρατηγικής για την προστασία των θυμάτων εγκληματικών πράξεων·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συγχαίρει την Αλβανία για την αυξανόμενη προσήλωσή της στην ενίσχυση της ασφάλειας των συνόρων και τη διαχείριση των μεταναστευτικών ροών, μεταξύ άλλων με την ενίσχυση των υποδομών ελέγχου και τη βελτίωση των επιχειρησιακών ικανοτήτων της συνοριακής αστυνομίας της·</w:t>
            </w:r>
            <w:r>
              <w:t xml:space="preserve"> </w:t>
            </w:r>
            <w:r>
              <w:rPr>
                <w:b/>
                <w:i/>
              </w:rPr>
              <w:t>τονίζει τη σημασία της συνεχούς κατάρτισης του προσωπικού μεταναστευτικών ελέγχων προκειμένου να διασφαλιστεί η αποτελεσματική εφαρμογή των κανονισμών της ΕΕ και να καταπολεμηθούν αποφασιστικότερα τα δίκτυα εμπορίας ανθρώπων·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ενθαρρύνει την Ευρωπαϊκή Υπηρεσία Εξωτερικής Δράσης της ΕΕ και την Επιτροπή να συμβάλουν περαιτέρω στην ενίσχυση της ανθεκτικότητας της Αλβανίας έναντι των υβριδικών απειλών, στον τομέα της κυβερνοασφάλειας, της χειραγώγησης πληροφοριών και της προστασίας των υποδομών ζωτικής σημασίας·</w:t>
            </w:r>
            <w:r>
              <w:t xml:space="preserve"> </w:t>
            </w:r>
            <w:r>
              <w:rPr>
                <w:b/>
                <w:i/>
              </w:rPr>
              <w:t>τονίζει την ανάγκη να βελτιωθεί ο συντονισμός και να αντιμετωπιστούν η παραπληροφόρηση και οι υβριδικές απειλές με στόχο την υπονόμευση της ευρωπαϊκής προοπτικής, με μια πιο στρατηγική προώθηση της σημασίας της ΕΕ για τους ανθρώπους στα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σημειώνει τη σημασία της συνεργασίας με την ΕΕ για την καταπολέμηση της εμπορίας ανθρώπων και της παράνομης μετανάστευσης μέσω της «βαλκανικής οδού»·</w:t>
            </w:r>
            <w:r>
              <w:t xml:space="preserve"> </w:t>
            </w:r>
            <w:r>
              <w:rPr>
                <w:b/>
                <w:i/>
              </w:rPr>
              <w:t>ζητεί την περαιτέρω ευθυγράμμιση του ποινικού κώδικα με το κεκτημένο της ΕΕ στον τομέα της εμπορίας ανθρώπων·</w:t>
            </w:r>
            <w:r>
              <w:t xml:space="preserve"> </w:t>
            </w:r>
            <w:r>
              <w:rPr>
                <w:b/>
                <w:i/>
              </w:rPr>
              <w:t>ζητεί την περαιτέρω ενίσχυση των ικανοτήτων επιβολής του νόμου σε απομακρυσμένες και ορεινές περιοχές, ώστε να καταστεί δυνατή η διεξαγωγή πιο προορατικών ερευνών στον τομέα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καλεί την ΕΕ και τις χώρες των Δυτικών Βαλκανίων να δημιουργήσουν ένα πλαίσιο ουσιαστικής συνεργασίας μεταξύ της Ευρωπαϊκής Εισαγγελίας (EPPO) και των χωρών υπό ένταξη, προκειμένου να διευκολυνθεί η στενή συνεργασία και η δίωξη της κακής χρήσης ενωσιακών κονδυλίων·</w:t>
            </w:r>
            <w:r>
              <w:t xml:space="preserve"> </w:t>
            </w:r>
            <w:r>
              <w:rPr>
                <w:b/>
                <w:i/>
              </w:rPr>
              <w:t>επικροτεί το γεγονός ότι η Αλβανία έχει συνάψει διμερή συμφωνία συνεργασίας με την Ευρωπαϊκή Εισαγγελία·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καλεί την Αλβανία να αξιολογήσει τους κινδύνους που συνδέονται με τις άμεσες ξένες επενδύσεις, ιδίως σε στρατηγικούς τομείς όπως η ενέργεια, οι εξορύξεις και οι τηλεπικοινωνίες, προκειμένου να αποφευχθούν οι οικονομικές εξαρτήσεις και οι παγίδες χρέους·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χαιρετίζει τη δέσμευση της Αλβανίας να εφαρμόσει το σχέδιο ανάπτυξης της ΕΕ για τα Δυτικά Βαλκάνια, το οποίο περιλαμβάνει την ένταξη στην ενιαία αγορά της ΕΕ, την περιφερειακή οικονομική ολοκλήρωση</w:t>
            </w:r>
            <w:r>
              <w:rPr>
                <w:b/>
                <w:i/>
              </w:rPr>
              <w:t>,</w:t>
            </w:r>
            <w:r>
              <w:t xml:space="preserve"> τις θεμελιώδεις μεταρρυθμίσεις </w:t>
            </w:r>
            <w:r>
              <w:rPr>
                <w:b/>
                <w:i/>
              </w:rPr>
              <w:t>και την αυξημένη χρηματοδοτική στήριξη</w:t>
            </w:r>
            <w:r>
              <w:t>·</w:t>
            </w:r>
          </w:p>
        </w:tc>
        <w:tc>
          <w:tcPr>
            <w:tcW w:w="4876" w:type="dxa"/>
            <w:tcBorders>
              <w:top w:val="nil"/>
              <w:left w:val="nil"/>
              <w:bottom w:val="nil"/>
              <w:right w:val="nil"/>
            </w:tcBorders>
          </w:tcPr>
          <w:p>
            <w:pPr>
              <w:pStyle w:val="Normal6a"/>
            </w:pPr>
            <w:r>
              <w:t>19.</w:t>
            </w:r>
            <w:r>
              <w:tab/>
            </w:r>
            <w:r>
              <w:t xml:space="preserve">χαιρετίζει τη δέσμευση της Αλβανίας να εφαρμόσει το σχέδιο ανάπτυξης της ΕΕ για τα Δυτικά Βαλκάνια, το οποίο περιλαμβάνει την ένταξη στην ενιαία αγορά της ΕΕ, την περιφερειακή οικονομική ολοκλήρωση </w:t>
            </w:r>
            <w:r>
              <w:rPr>
                <w:b/>
                <w:i/>
              </w:rPr>
              <w:t>και</w:t>
            </w:r>
            <w:r>
              <w:t xml:space="preserve"> τις θεμελιώδεις μεταρρυθμίσεις·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επαναλαμβάνει τη σημασία της βελτίωσης των δημόσιων υποδομών στις χώρες των Δυτικών Βαλκανίων, καθώς και μεταξύ αυτών και των κρατών μελών της ΕΕ·</w:t>
            </w:r>
            <w:r>
              <w:t xml:space="preserve"> </w:t>
            </w:r>
            <w:r>
              <w:rPr>
                <w:b/>
                <w:i/>
              </w:rPr>
              <w:t>υπενθυμίζει τις δυνατότητες του οικονομικού και επενδυτικού σχεδίου για τα Δυτικά Βαλκάνια σε σχέση με την ενίσχυση της περιφερειακής συνδεσιμότητας μέσω των σιδηροδρόμων και των αυτοκινητοδρόμων·</w:t>
            </w:r>
            <w:r>
              <w:t xml:space="preserve"> </w:t>
            </w:r>
            <w:r>
              <w:rPr>
                <w:b/>
                <w:i/>
              </w:rPr>
              <w:t>προτρέπει, εν προκειμένω, τις αρχές όλων των χωρών να ολοκληρώσουν τον Διάδρομο VIII, που συνδέει την Αλβανία, τη Βόρεια Μακεδονία και τη Βουλγαρία·</w:t>
            </w:r>
            <w:r>
              <w:t xml:space="preserve"> </w:t>
            </w:r>
            <w:r>
              <w:rPr>
                <w:b/>
                <w:i/>
              </w:rPr>
              <w:t>τονίζει εκ νέου ότι είναι σημαντικό να αναπτυχθούν οι αεροπορικές συνδέσεις στις χώρες των Δυτικών Βαλκανίων, καθώς και μεταξύ αυτών και των κρατών μελών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τονίζει την αξία της συνεργασίας μεταξύ Αλβανίας και Frontex για την ενίσχυση της ασφάλειας των συνόρων και την καταπολέμηση του διασυνοριακού εγκλήματος·</w:t>
            </w:r>
            <w:r>
              <w:t xml:space="preserve"> </w:t>
            </w:r>
            <w:r>
              <w:rPr>
                <w:b/>
                <w:i/>
              </w:rPr>
              <w:t>τονίζει τη σημασία της περαιτέρω ενίσχυσης των επιχειρησιακών ικανοτήτων της αλβανικής συνοριακής αστυνομίας μέσω της βελτίωσης του συντονισμού με τις αρχές των κρατών μελών και της υιοθέτησης προηγμένων τεχνολογικών εργαλείων για την παρακολούθηση και τη διαχείριση των μεταναστευτικών ροών·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εκφράζει την ικανοποίησή του για το θεματολόγιο μεταρρυθμίσεων της Αλβανίας όσον αφορά το επιχειρηματικό περιβάλλον, το ανθρώπινο κεφάλαιο, την ψηφιοποίηση, την ενέργεια και την πράσινη μετάβαση, τα θεμελιώδη δικαιώματα και το κράτος δικαίου·</w:t>
            </w:r>
            <w:r>
              <w:t xml:space="preserve"> </w:t>
            </w:r>
            <w:r>
              <w:rPr>
                <w:b/>
                <w:i/>
              </w:rPr>
              <w:t>εκφράζει επίσης την ικανοποίησή του για τη συμμετοχή της Αλβανίας στο πρόγραμμα «Ψηφιακή Ευρώπη»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19β.</w:t>
            </w:r>
            <w:r>
              <w:tab/>
            </w:r>
            <w:r>
              <w:rPr>
                <w:b/>
                <w:i/>
              </w:rPr>
              <w:t>εκφράζει την ικανοποίησή του για το γεγονός ότι η Αλβανία κατατάσσεται ως περιφερειακός ηγέτης στη δημόσια διοίκηση και τις ψηφιακές δημόσιες συμβάσεις από το πρόγραμμα SIGMA του ΟΟΣΑ·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ενθαρρύνει τις αλβανικές αρχές να μειώσουν τον κίνδυνο της φτώχειας και του κοινωνικού αποκλεισμού βελτιώνοντας την πρόσβαση σε κοινωνικές υπηρεσίες και υπηρεσίες υγειονομικής περίθαλψης, ιδίως για τους μειονεκτούντες πληθυσμούς· </w:t>
            </w:r>
            <w:r>
              <w:rPr>
                <w:b/>
                <w:i/>
              </w:rPr>
              <w:t>ζητεί</w:t>
            </w:r>
            <w:r>
              <w:t xml:space="preserve">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w:t>
            </w:r>
          </w:p>
        </w:tc>
        <w:tc>
          <w:tcPr>
            <w:tcW w:w="4876" w:type="dxa"/>
            <w:tcBorders>
              <w:top w:val="nil"/>
              <w:left w:val="nil"/>
              <w:bottom w:val="nil"/>
              <w:right w:val="nil"/>
            </w:tcBorders>
          </w:tcPr>
          <w:p>
            <w:pPr>
              <w:pStyle w:val="Normal6a"/>
            </w:pPr>
            <w:r>
              <w:t>20.</w:t>
            </w:r>
            <w:r>
              <w:tab/>
            </w:r>
            <w:r>
              <w:t xml:space="preserve">ενθαρρύνει τις αλβανικές αρχές να μειώσουν τον κίνδυνο της φτώχειας και του κοινωνικού αποκλεισμού βελτιώνοντας την πρόσβαση σε κοινωνικές υπηρεσίες και υπηρεσίες υγειονομικής περίθαλψης, ιδίως για τους μειονεκτούντες πληθυσμούς· </w:t>
            </w:r>
            <w:r>
              <w:rPr>
                <w:b/>
                <w:i/>
              </w:rPr>
              <w:t>εκφράζει την ικανοποίησή του για</w:t>
            </w:r>
            <w:r>
              <w:t xml:space="preserve">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 </w:t>
            </w:r>
            <w:r>
              <w:rPr>
                <w:b/>
                <w:i/>
              </w:rPr>
              <w:t>καλεί τις αλβανικές αρχές να εφαρμόσουν αποτελεσματικά το εθνικό θεματολόγιο για τα δικαιώματα του παιδιού παρέχοντας βοήθεια στα παιδιά που αντιμετωπίζουν αποκλεισμό και φτώχεια·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ενθαρρύνει τις αλβανικές αρχές να μειώσουν τον κίνδυνο της φτώχειας και του κοινωνικού αποκλεισμού βελτιώνοντας την πρόσβαση </w:t>
            </w:r>
            <w:r>
              <w:rPr>
                <w:b/>
                <w:i/>
              </w:rPr>
              <w:t>σε</w:t>
            </w:r>
            <w:r>
              <w:t xml:space="preserve"> κοινωνικές υπηρεσίες και υπηρεσίες υγειονομικής περίθαλψης, ιδίως για </w:t>
            </w:r>
            <w:r>
              <w:rPr>
                <w:b/>
                <w:i/>
              </w:rPr>
              <w:t>τους μειονεκτούντες πληθυσμούς</w:t>
            </w:r>
            <w:r>
              <w:t>· ζητεί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w:t>
            </w:r>
          </w:p>
        </w:tc>
        <w:tc>
          <w:tcPr>
            <w:tcW w:w="4876" w:type="dxa"/>
            <w:tcBorders>
              <w:top w:val="nil"/>
              <w:left w:val="nil"/>
              <w:bottom w:val="nil"/>
              <w:right w:val="nil"/>
            </w:tcBorders>
          </w:tcPr>
          <w:p>
            <w:pPr>
              <w:pStyle w:val="Normal6a"/>
            </w:pPr>
            <w:r>
              <w:t>20.</w:t>
            </w:r>
            <w:r>
              <w:tab/>
            </w:r>
            <w:r>
              <w:t xml:space="preserve">ενθαρρύνει τις αλβανικές αρχές να μειώσουν τον κίνδυνο της φτώχειας και του κοινωνικού αποκλεισμού βελτιώνοντας </w:t>
            </w:r>
            <w:r>
              <w:rPr>
                <w:b/>
                <w:i/>
              </w:rPr>
              <w:t>περαιτέρω</w:t>
            </w:r>
            <w:r>
              <w:t xml:space="preserve"> την πρόσβαση </w:t>
            </w:r>
            <w:r>
              <w:rPr>
                <w:b/>
                <w:i/>
              </w:rPr>
              <w:t>στην εκπαίδευση, τη στέγαση, τις</w:t>
            </w:r>
            <w:r>
              <w:t xml:space="preserve"> κοινωνικές υπηρεσίες και </w:t>
            </w:r>
            <w:r>
              <w:rPr>
                <w:b/>
                <w:i/>
              </w:rPr>
              <w:t>τις</w:t>
            </w:r>
            <w:r>
              <w:t xml:space="preserve"> υπηρεσίες υγειονομικής περίθαλψης, ιδίως για </w:t>
            </w:r>
            <w:r>
              <w:rPr>
                <w:b/>
                <w:i/>
              </w:rPr>
              <w:t>άτομα από τις κοινότητες των Ρομά, των Αιγυπτίων και των ΛΟΑΤΚΙ+, καθώς και για άλλες μειονότητες και ευάλωτες ομάδες</w:t>
            </w:r>
            <w:r>
              <w:t>· ζητεί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ενθαρρύνει τις αλβανικές αρχές να μειώσουν τον κίνδυνο της φτώχειας και του κοινωνικού αποκλεισμού βελτιώνοντας την πρόσβαση σε κοινωνικές υπηρεσίες και υπηρεσίες υγειονομικής περίθαλψης, ιδίως για τους μειονεκτούντες πληθυσμούς· ζητεί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w:t>
            </w:r>
          </w:p>
        </w:tc>
        <w:tc>
          <w:tcPr>
            <w:tcW w:w="4876" w:type="dxa"/>
            <w:tcBorders>
              <w:top w:val="nil"/>
              <w:left w:val="nil"/>
              <w:bottom w:val="nil"/>
              <w:right w:val="nil"/>
            </w:tcBorders>
          </w:tcPr>
          <w:p>
            <w:pPr>
              <w:pStyle w:val="Normal6a"/>
            </w:pPr>
            <w:r>
              <w:t>20.</w:t>
            </w:r>
            <w:r>
              <w:tab/>
            </w:r>
            <w:r>
              <w:t xml:space="preserve">ενθαρρύνει τις αλβανικές αρχές να μειώσουν τον κίνδυνο της φτώχειας και του κοινωνικού αποκλεισμού βελτιώνοντας την πρόσβαση σε κοινωνικές υπηρεσίες και υπηρεσίες υγειονομικής περίθαλψης, ιδίως για τους μειονεκτούντες πληθυσμούς </w:t>
            </w:r>
            <w:r>
              <w:rPr>
                <w:b/>
                <w:i/>
              </w:rPr>
              <w:t>και τις μειονοτικές ομάδες</w:t>
            </w:r>
            <w:r>
              <w:t>· ζητεί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ζητεί πρόσθετες προσπάθειες και πόρους για την επιτάχυνση της ένταξης των Ρομά και των Αιγυπτίων, την αντιμετώπιση του αντιτσιγγανισμού, των διακρίσεων και του εκπαιδευτικού και φυσικού διαχωρισμού, την προώθηση της συμμετοχής των Ρομά και των Αιγυπτίων, και τη μείωση των χασμάτων με τον υπόλοιπο πληθυσμό·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 λύπη του για το γεγονός ότι η αναποτελεσματικότητα στη δημόσια διοίκηση, η υπέρμετρη κανονιστική ρύθμιση και η διαφθορά θέτουν περαιτέρω προκλήσεις για το επιχειρηματικό περιβάλλον·</w:t>
            </w:r>
            <w:r>
              <w:t xml:space="preserve"> </w:t>
            </w:r>
            <w:r>
              <w:rPr>
                <w:b/>
                <w:i/>
              </w:rPr>
              <w:t>εκφράζει τη λύπη του για το γεγονός ότι το μεγάλο μέγεθος της άτυπης οικονομίας αποτελεί εμπόδιο για το επιχειρηματικό περιβάλλον και τον ανταγωνισμό·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την ικανοποίησή του για την πρόοδο που έχει σημειώσει η Αλβανία όσον αφορά τη σύναψη διμερών συμφωνιών κοινωνικής ασφάλισης με τα κράτη μέλη της ΕΕ και την περαιτέρω προώθηση των προετοιμασιών ώστε να καταστεί δυνατή η σύνδεση του συστήματος υπηρεσιών απασχόλησης της χώρας με το EURES·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καλεί την Αλβανία να λάβει περαιτέρω μέτρα για την καταπολέμηση της ανεργίας των νέων, το ποσοστό της οποίας ανήλθε σε 22 % το 2023 για τους νέους ηλικίας 15 έως 29 ετών·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συγχαίρει τις αλβανικές αρχές για την έγκριση νομοθετικών πράξεων για τη μεταρρύθμιση της τριτοβάθμιας εκπαίδευσης και για την εφαρμογή της εθνικής στρατηγικής για την εκπαίδευση 2021-2026·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εκφράζει τη λύπη του για την αναβολή της έγκρισης του νόμου για τις στρατηγικές επενδύσεις και τις προστατευόμενες περιοχές και υπογραμμίζει ότι ο εν λόγω νόμος πρέπει να τροποποιηθεί σύμφωνα με τα πρότυπα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20γ.</w:t>
            </w:r>
            <w:r>
              <w:tab/>
            </w:r>
            <w:r>
              <w:rPr>
                <w:b/>
                <w:i/>
              </w:rPr>
              <w:t>ζητεί την εφαρμογή μιας ολοκληρωμένης διαδικασίας ελέγχου των άμεσων ξένων επενδύσεων ως στρατηγικής πρωτοβουλίας για την προστασία των εθνικών συμφερόντων, την ενίσχυση της ασφάλειας και τη διασφάλιση της συνέπειας με τα πρότυπα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εκφράζει την ικανοποίησή του για το γεγονός ότι η Αλβανία προσχώρησε στον ενιαίο χώρο πληρωμών σε ευρώ τον Νοέμβριο του 2024, γεγονός που μειώνει το κόστος για τους πολίτες και τις επιχειρήσεις και θα συμβάλει στην περαιτέρω ενσωμάτωση της Αλβανίας στην ενιαία αγορά·</w:t>
            </w:r>
          </w:p>
        </w:tc>
        <w:tc>
          <w:tcPr>
            <w:tcW w:w="4876" w:type="dxa"/>
            <w:tcBorders>
              <w:top w:val="nil"/>
              <w:left w:val="nil"/>
              <w:bottom w:val="nil"/>
              <w:right w:val="nil"/>
            </w:tcBorders>
          </w:tcPr>
          <w:p>
            <w:pPr>
              <w:pStyle w:val="Normal6a"/>
            </w:pPr>
            <w:r>
              <w:t>21.</w:t>
            </w:r>
            <w:r>
              <w:tab/>
            </w:r>
            <w:r>
              <w:t xml:space="preserve">εκφράζει την ικανοποίησή του για το γεγονός ότι η Αλβανία προσχώρησε στον ενιαίο χώρο πληρωμών σε ευρώ τον Νοέμβριο του 2024, γεγονός που μειώνει το κόστος για τους πολίτες και τις επιχειρήσεις και θα συμβάλει στην περαιτέρω ενσωμάτωση της Αλβανίας στην ενιαία αγορά· </w:t>
            </w:r>
            <w:r>
              <w:rPr>
                <w:b/>
                <w:i/>
              </w:rPr>
              <w:t>αναγνωρίζει τις προσπάθειες της Αλβανίας να ενισχύσει την ανταγωνιστικότητα της οικονομίας της και καλεί την αλβανική κυβέρνηση να συνεχίσει τις διαρθρωτικές μεταρρυθμίσεις για την προώθηση ενός ελκυστικότερου επιχειρηματικού περιβάλλοντος που θα πληροί τα πρότυπα της ΕΕ·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εκφράζει την ικανοποίησή του για το γεγονός ότι η Αλβανία προσχώρησε στον ενιαίο χώρο πληρωμών σε ευρώ τον Νοέμβριο του 2024, γεγονός που μειώνει το κόστος για τους πολίτες και τις επιχειρήσεις και θα συμβάλει στην περαιτέρω ενσωμάτωση της Αλβανίας στην ενιαία αγορά·</w:t>
            </w:r>
          </w:p>
        </w:tc>
        <w:tc>
          <w:tcPr>
            <w:tcW w:w="4876" w:type="dxa"/>
            <w:tcBorders>
              <w:top w:val="nil"/>
              <w:left w:val="nil"/>
              <w:bottom w:val="nil"/>
              <w:right w:val="nil"/>
            </w:tcBorders>
          </w:tcPr>
          <w:p>
            <w:pPr>
              <w:pStyle w:val="Normal6a"/>
            </w:pPr>
            <w:r>
              <w:t>21.</w:t>
            </w:r>
            <w:r>
              <w:tab/>
            </w:r>
            <w:r>
              <w:t xml:space="preserve">εκφράζει την ικανοποίησή του για το γεγονός ότι η Αλβανία προσχώρησε στον ενιαίο χώρο πληρωμών σε ευρώ τον Νοέμβριο του 2024, γεγονός που μειώνει το κόστος για τους πολίτες και τις επιχειρήσεις και θα συμβάλει στην περαιτέρω ενσωμάτωση της Αλβανίας στην ενιαία αγορά· </w:t>
            </w:r>
            <w:r>
              <w:rPr>
                <w:b/>
                <w:i/>
              </w:rPr>
              <w:t>συγχαίρει τις αλβανικές αρχές για την ευθυγράμμιση με το κεκτημένο της ΕΕ όσον αφορά τις πληρωμές (οδηγία για τους λογαριασμούς πληρωμών) και για τις δράσεις που είχαν ως αποτέλεσμα τη διαγραφή της Αλβανίας από τον «γκρίζο κατάλογο» της ομάδας χρηματοοικονομικής δράσης (FATF)·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συγχαίρει την Αλβανία για τη βελτίωση των δημοσιονομικών της επιδόσεων·</w:t>
            </w:r>
            <w:r>
              <w:t xml:space="preserve"> </w:t>
            </w:r>
            <w:r>
              <w:rPr>
                <w:b/>
                <w:i/>
              </w:rPr>
              <w:t>καλεί τις αλβανικές αρχές να βελτιώσουν περαιτέρω την ανάλυση δημοσιονομικού κινδύνου ενισχύοντας την αρμόδια υπηρεσία του Υπουργείου Οικονομικών·</w:t>
            </w:r>
            <w:r>
              <w:t xml:space="preserve"> </w:t>
            </w:r>
            <w:r>
              <w:rPr>
                <w:b/>
                <w:i/>
              </w:rPr>
              <w:t>ζητεί μεγαλύτερη διαφάνεια και λογοδοσία των κρατικών επιχειρήσεων μέσω ετήσιων οικονομικών εκθέσεων·</w:t>
            </w:r>
            <w:r>
              <w:t xml:space="preserve"> </w:t>
            </w:r>
            <w:r>
              <w:rPr>
                <w:b/>
                <w:i/>
              </w:rPr>
              <w:t>καλεί την Αλβανία να ενισχύσει τον δημόσιο εσωτερικό δημοσιονομικό της έλεγχο (PFIC) και να διασφαλίσει την εφαρμογή των συστάσεων του ανώτατου ελεγκτικού οργάνου (ALSAI)·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χαιρετίζει τη συμμετοχή της Αλβανίας σε πρωτοβουλίες του ΝΑΤΟ για την κυβερνοασφάλεια·</w:t>
            </w:r>
            <w:r>
              <w:t xml:space="preserve"> </w:t>
            </w:r>
            <w:r>
              <w:rPr>
                <w:b/>
                <w:i/>
              </w:rPr>
              <w:t>ζητεί την έγκριση ενός συμβατού με την ΕΕ εθνικού πλαισίου κυβερνοασφάλειας που θα ενισχύει την ανθεκτικότητα έναντι των επιχειρήσεων στον κυβερνοχώρο που υποστηρίζονται από το εξωτερικό·</w:t>
            </w:r>
            <w:r>
              <w:t xml:space="preserve"> </w:t>
            </w:r>
            <w:r>
              <w:rPr>
                <w:b/>
                <w:i/>
              </w:rPr>
              <w:t>ενθαρρύνει την Αλβανία να δημιουργήσει εθνικό κέντρο αντιμετώπισης υβριδικών απειλών, σε στενή συνεργασία με τη Μονάδα Ανάλυσης Υβριδικών Απειλών της ΕΕ και τον Ευρωπαϊκό Οργανισμό Κυβερνοασφάλειας (ENISA), για την παρακολούθηση και την αντιμετώπιση της παραπληροφόρησης, της κατασκοπείας και των κυβερνοαπειλών·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αναγνωρίζει τον προορατικό ρόλο που διαδραματίζει η Αλβανία στην προώθηση της οικονομικής ολοκλήρωσης στην περιοχή, ιδίως την προσχώρησή της στον Ενιαίο Χώρο Πληρωμών σε Ευρώ και τη συνεργασία με την Ενεργειακή Κοινότητα·</w:t>
            </w:r>
            <w:r>
              <w:t xml:space="preserve"> </w:t>
            </w:r>
            <w:r>
              <w:rPr>
                <w:b/>
                <w:i/>
              </w:rPr>
              <w:t>τονίζει τη σημασία της πλήρους εφαρμογής των περιφερειακών συμφωνιών εμπορίου και υποδομών, καθώς έχουν τη δυνατότητα να διευκολύνουν τους δεσμούς με τις ευρωπαϊκές αγορές και να επιταχύνουν τη διαδικασία προσχώρησης στην ΕΕ·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σημειώνει με ανησυχία ότι ξένες υπηρεσίες πληροφοριών έχουν εμπλακεί σε κατασκοπεία κατά της Αλβανίας, με στόχο να εμποδίσουν τις προοπτικές προσχώρησης στην ΕΕ, όπως καταδεικνύεται από την παραβίαση των στρατιωτικών εγκαταστάσεων στο Gramsh, το 2022, από πράκτορες που συνδέονται με τη Ρωσία·</w:t>
            </w:r>
            <w:r>
              <w:t xml:space="preserve"> </w:t>
            </w:r>
            <w:r>
              <w:rPr>
                <w:b/>
                <w:i/>
              </w:rPr>
              <w:t>τονίζει την ανάγκη για ενισχυμένη συνεργασία στον τομέα της αντικατασκοπείας με τους εταίρους της ΕΕ και του ΝΑΤΟ·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εκφράζει την ικανοποίησή του για την περαιτέρω ευθυγράμμιση της νομοθεσίας με το κεκτημένο της ΕΕ σχετικά με τα ιδιωτικά συνταξιοδοτικά ταμεία, την ανάκαμψη των τραπεζών και το πλαίσιο εξυγίανσης·</w:t>
            </w:r>
            <w:r>
              <w:t xml:space="preserve"> </w:t>
            </w:r>
            <w:r>
              <w:rPr>
                <w:b/>
                <w:i/>
              </w:rPr>
              <w:t>καλεί την Αλβανία να ολοκληρώσει την ευθυγράμμισή της με το κεκτημένο της ΕΕ στον τομέα των ασφαλίσεων, των κεφαλαιαγορών, των αγορών κινητών αξιών, των επενδυτικών κεφαλαίων και των υποδομών χρηματοπιστωτικών αγορών·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21γ.</w:t>
            </w:r>
            <w:r>
              <w:tab/>
            </w:r>
            <w:r>
              <w:rPr>
                <w:b/>
                <w:i/>
              </w:rPr>
              <w:t>τονίζει εκ νέου την ανάγκη να αναπτυχθούν σφαιρικά και ολοκληρωμένα προγράμματα γραμματισμού στα μέσα επικοινωνίας σε όλα τα επίπεδα εκπαίδευσης, αντί μεμονωμένων παρεμβάσεων·</w:t>
            </w:r>
            <w:r>
              <w:t xml:space="preserve"> </w:t>
            </w:r>
            <w:r>
              <w:rPr>
                <w:b/>
                <w:i/>
              </w:rPr>
              <w:t>παροτρύνει την Αλβανία να επεκτείνει τον γραμματισμό στα μέσα επικοινωνίας ως βασικό μάθημα στα σχολικά προγράμματα, διασφαλίζοντας παράλληλα ότι οι εκπαιδευτικοί λαμβάνουν ειδική κατάρτιση και σύγχρονους πόρους για την παροχή προγραμμάτων υψηλής ποιότητας·</w:t>
            </w:r>
            <w:r>
              <w:t xml:space="preserve"> </w:t>
            </w:r>
            <w:r>
              <w:rPr>
                <w:b/>
                <w:i/>
              </w:rPr>
              <w:t>ενθαρρύνει τη συνεργασία με εκπαιδευτικές πρωτοβουλίες της ΕΕ και περιφερειακά δίκτυα, όπως το Παρατηρητήριο για τον γραμματισμό στα μέσα επικοινωνίας των Δυτικών Βαλκανίων, για την εφαρμογή βέλτιστων πρακτικών στην κριτική σκέψη και την εκπαίδευση για τον ψηφιακό γραμματισμό·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Περιβάλλον, ενέργεια και μεταφορές, βιώσιμος τουρισμός</w:t>
            </w:r>
          </w:p>
        </w:tc>
        <w:tc>
          <w:tcPr>
            <w:tcW w:w="4876" w:type="dxa"/>
            <w:tcBorders>
              <w:top w:val="nil"/>
              <w:left w:val="nil"/>
              <w:bottom w:val="nil"/>
              <w:right w:val="nil"/>
            </w:tcBorders>
          </w:tcPr>
          <w:p>
            <w:pPr>
              <w:pStyle w:val="Normal6a"/>
            </w:pPr>
            <w:r>
              <w:t xml:space="preserve">Περιβάλλον, </w:t>
            </w:r>
            <w:r>
              <w:rPr>
                <w:b/>
                <w:i/>
              </w:rPr>
              <w:t>βιοποικιλότητα,</w:t>
            </w:r>
            <w:r>
              <w:t xml:space="preserve"> ενέργεια και μεταφορές, βιώσιμος τουρισμός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τονίζει ότι απαιτούνται περισσότερες προσπάθειες για την ευθυγράμμιση της Αλβανίας με το κεκτημένο της ΕΕ στον τομέα του περιβάλλοντος· ζητεί την ευθυγράμμισή της με τις οδηγίες της ΕΕ για την εκτίμηση περιβαλλοντικών επιπτώσεων</w:t>
            </w:r>
            <w:r>
              <w:rPr>
                <w:vertAlign w:val="superscript"/>
              </w:rPr>
              <w:t>5</w:t>
            </w:r>
            <w:r>
              <w:t>και τη στρατηγική περιβαλλοντική εκτίμηση</w:t>
            </w:r>
            <w:r>
              <w:rPr>
                <w:vertAlign w:val="superscript"/>
              </w:rPr>
              <w:t>6</w:t>
            </w:r>
            <w:r>
              <w:t>·</w:t>
            </w:r>
          </w:p>
        </w:tc>
        <w:tc>
          <w:tcPr>
            <w:tcW w:w="4876" w:type="dxa"/>
            <w:tcBorders>
              <w:top w:val="nil"/>
              <w:left w:val="nil"/>
              <w:bottom w:val="nil"/>
              <w:right w:val="nil"/>
            </w:tcBorders>
          </w:tcPr>
          <w:p>
            <w:pPr>
              <w:pStyle w:val="Normal6a"/>
            </w:pPr>
            <w:r>
              <w:t>22.</w:t>
            </w:r>
            <w:r>
              <w:tab/>
            </w:r>
            <w:r>
              <w:t>τονίζει ότι απαιτούνται περισσότερες προσπάθειες για την ευθυγράμμιση της Αλβανίας με το κεκτημένο της ΕΕ στον τομέα του περιβάλλοντος· ζητεί την ευθυγράμμισή της με τις οδηγίες της ΕΕ για την εκτίμηση περιβαλλοντικών επιπτώσεων</w:t>
            </w:r>
            <w:r>
              <w:rPr>
                <w:vertAlign w:val="superscript"/>
              </w:rPr>
              <w:t>5</w:t>
            </w:r>
            <w:r>
              <w:t xml:space="preserve"> και τη στρατηγική περιβαλλοντική εκτίμηση</w:t>
            </w:r>
            <w:r>
              <w:rPr>
                <w:vertAlign w:val="superscript"/>
              </w:rPr>
              <w:t>6</w:t>
            </w:r>
            <w:r>
              <w:t xml:space="preserve">· </w:t>
            </w:r>
            <w:r>
              <w:rPr>
                <w:b/>
                <w:i/>
              </w:rPr>
              <w:t>υπογραμμίζει την ανάγκη να ενισχυθεί η καταπολέμηση του περιβαλλοντικού εγκλήματος·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Οδηγία 2011/92/ΕΕ του Ευρωπαϊκού Κοινοβουλίου και του Συμβουλίου, της 13ης Δεκεμβρίου 2011, για την εκτίμηση των επιπτώσεων ορισμένων σχεδίων δημοσίων και ιδιωτικών έργων στο περιβάλλον (ΕΕ L 26 της 28.1.2012, σ. 1, ELI: http://data.europa.eu/eli/dir/2011/92/oj)</w:t>
            </w:r>
          </w:p>
        </w:tc>
        <w:tc>
          <w:tcPr>
            <w:tcW w:w="4876" w:type="dxa"/>
            <w:tcBorders>
              <w:top w:val="nil"/>
              <w:left w:val="nil"/>
              <w:bottom w:val="nil"/>
              <w:right w:val="nil"/>
            </w:tcBorders>
          </w:tcPr>
          <w:p>
            <w:pPr>
              <w:pStyle w:val="Normal6a"/>
            </w:pPr>
            <w:r>
              <w:rPr>
                <w:vertAlign w:val="superscript"/>
              </w:rPr>
              <w:t>5</w:t>
            </w:r>
            <w:r>
              <w:t xml:space="preserve"> </w:t>
            </w:r>
            <w:r>
              <w:t>Οδηγία 2011/92/ΕΕ του Ευρωπαϊκού Κοινοβουλίου και του Συμβουλίου, της 13ης Δεκεμβρίου 2011, για την εκτίμηση των επιπτώσεων ορισμένων σχεδίων δημοσίων και ιδιωτικών έργων στο περιβάλλον (ΕΕ L 26 της 28.1.2012, σ. 1, ELI: http://data.europa.eu/eli/dir/2011/92/oj)</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Οδηγία 2001/42/ΕΚ του Ευρωπαϊκού Κοινοβουλίου και του Συμβουλίου, της 27ης Ιουνίου 2001, σχετικά με την εκτίμηση των περιβαλλοντικών επιπτώσεων ορισμένων σχεδίων και προγραμμάτων (ΕΕ L 197 της 21.7.2001, σ. 30, ELI: http://data.europa.eu/eli/dir/2001/42/oj).</w:t>
            </w:r>
          </w:p>
        </w:tc>
        <w:tc>
          <w:tcPr>
            <w:tcW w:w="4876" w:type="dxa"/>
            <w:tcBorders>
              <w:top w:val="nil"/>
              <w:left w:val="nil"/>
              <w:bottom w:val="nil"/>
              <w:right w:val="nil"/>
            </w:tcBorders>
          </w:tcPr>
          <w:p>
            <w:pPr>
              <w:pStyle w:val="Normal6a"/>
            </w:pPr>
            <w:r>
              <w:rPr>
                <w:vertAlign w:val="superscript"/>
              </w:rPr>
              <w:t>6</w:t>
            </w:r>
            <w:r>
              <w:t xml:space="preserve"> </w:t>
            </w:r>
            <w:r>
              <w:t>Οδηγία 2001/42/ΕΚ του Ευρωπαϊκού Κοινοβουλίου και του Συμβουλίου, της 27ης Ιουνίου 2001, σχετικά με την εκτίμηση των περιβαλλοντικών επιπτώσεων ορισμένων σχεδίων και προγραμμάτων (ΕΕ L 197 της 21.7.2001, σ. 30, ELI: http://data.europa.eu/eli/dir/2001/42/oj).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τονίζει την ανάγκη για διαφανείς και συμπεριληπτικές δημόσιες διαβουλεύσεις σύμφωνα με τη Σύμβαση του Aarhus, ώστε να διασφαλίζεται η ενεργός συμμετοχή των τοπικών κοινοτήτων, των ΜΚΟ και των επιστημονικών ιδρυμάτων στις διαδικασίες λήψης αποφάσεων για το περιβάλλον, ιδίως σε έργα με σημαντικές περιβαλλοντικές και κοινωνικοοικονομικές επιπτώσεις·</w:t>
            </w:r>
            <w:r>
              <w:t xml:space="preserve"> </w:t>
            </w:r>
            <w:r>
              <w:rPr>
                <w:b/>
                <w:i/>
              </w:rPr>
              <w:t>προειδοποιεί ότι η έλλειψη κατάλληλης συμμετοχής των συμφεροντούχων υπονομεύει τα πρότυπα διακυβέρνησης και τη συμμόρφωση της Αλβανίας με τις υποχρεώσεις που απορρέουν από το κεκτημένο της ΕΕ·</w:t>
            </w:r>
            <w:r>
              <w:t xml:space="preserve"> </w:t>
            </w:r>
            <w:r>
              <w:rPr>
                <w:b/>
                <w:i/>
              </w:rPr>
              <w:t>εκφράζει την ανησυχία του για τις οικονομικές και περιβαλλοντικές επιπτώσεις των μη ανταγωνιστικών αναπτυξιακών έργων που χρηματοδοτούνται από το εξωτερικό·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 την ποιότητα του αέρα και των υδάτων και τη διαχείριση των αποβλήτων·</w:t>
            </w:r>
          </w:p>
        </w:tc>
        <w:tc>
          <w:tcPr>
            <w:tcW w:w="4876" w:type="dxa"/>
            <w:tcBorders>
              <w:top w:val="nil"/>
              <w:left w:val="nil"/>
              <w:bottom w:val="nil"/>
              <w:right w:val="nil"/>
            </w:tcBorders>
          </w:tcPr>
          <w:p>
            <w:pPr>
              <w:pStyle w:val="Normal6a"/>
            </w:pPr>
            <w:r>
              <w:t>23.</w:t>
            </w:r>
            <w:r>
              <w:tab/>
            </w:r>
            <w:r>
              <w:t xml:space="preserve">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 την ποιότητα του αέρα και των υδάτων και τη διαχείριση των αποβλήτων· </w:t>
            </w:r>
            <w:r>
              <w:rPr>
                <w:b/>
                <w:i/>
              </w:rPr>
              <w:t>παροτρύνει την αλβανική κυβέρνηση να δώσει προτεραιότητα στην εφαρμογή στρατηγικών προσαρμογής στην κλιματική αλλαγή, στην ανάπτυξη ανανεώσιμων πηγών ενέργειας και στον εκσυγχρονισμό του συστήματος διαχείρισης αποβλήτων, ώστε να πληροί τα πρότυπα της ΕΕ και να στηρίζει τη βιώσιμη οικονομική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w:t>
            </w:r>
            <w:r>
              <w:rPr>
                <w:b/>
                <w:i/>
              </w:rPr>
              <w:t>, την</w:t>
            </w:r>
            <w:r>
              <w:t xml:space="preserve"> ποιότητα του αέρα και των υδάτων </w:t>
            </w:r>
            <w:r>
              <w:rPr>
                <w:b/>
                <w:i/>
              </w:rPr>
              <w:t>και τη</w:t>
            </w:r>
            <w:r>
              <w:t xml:space="preserve"> διαχείριση των αποβλήτων·</w:t>
            </w:r>
          </w:p>
        </w:tc>
        <w:tc>
          <w:tcPr>
            <w:tcW w:w="4876" w:type="dxa"/>
            <w:tcBorders>
              <w:top w:val="nil"/>
              <w:left w:val="nil"/>
              <w:bottom w:val="nil"/>
              <w:right w:val="nil"/>
            </w:tcBorders>
          </w:tcPr>
          <w:p>
            <w:pPr>
              <w:pStyle w:val="Normal6a"/>
            </w:pPr>
            <w:r>
              <w:t>23.</w:t>
            </w:r>
            <w:r>
              <w:tab/>
            </w:r>
            <w:r>
              <w:t>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w:t>
            </w:r>
            <w:r>
              <w:rPr>
                <w:b/>
                <w:i/>
              </w:rPr>
              <w:t>·</w:t>
            </w:r>
            <w:r>
              <w:t xml:space="preserve"> </w:t>
            </w:r>
            <w:r>
              <w:rPr>
                <w:b/>
                <w:i/>
              </w:rPr>
              <w:t>σημειώνει ότι η</w:t>
            </w:r>
            <w:r>
              <w:t xml:space="preserve"> ποιότητα του αέρα και των υδάτων</w:t>
            </w:r>
            <w:r>
              <w:rPr>
                <w:b/>
                <w:i/>
              </w:rPr>
              <w:t>, καθώς και η</w:t>
            </w:r>
            <w:r>
              <w:t xml:space="preserve"> διαχείριση των αποβλήτων</w:t>
            </w:r>
            <w:r>
              <w:rPr>
                <w:b/>
                <w:i/>
              </w:rPr>
              <w:t>, εξακολουθούν να αποτελούν ιδιαίτερα προβληματικά ζητήματα για τη χώρα·</w:t>
            </w:r>
            <w:r>
              <w:t xml:space="preserve"> </w:t>
            </w:r>
            <w:r>
              <w:rPr>
                <w:b/>
                <w:i/>
              </w:rPr>
              <w:t>καλεί την κεντρική κυβέρνηση και τις τοπικές αρχές να εντείνουν τις προσπάθειές τους για τη βελτίωση της ποιότητας του αέρα και τη μείωση της δυνητικά θανατηφόρου ρύπανσης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 την ποιότητα του αέρα και των υδάτων και τη διαχείριση των αποβλήτων·</w:t>
            </w:r>
          </w:p>
        </w:tc>
        <w:tc>
          <w:tcPr>
            <w:tcW w:w="4876" w:type="dxa"/>
            <w:tcBorders>
              <w:top w:val="nil"/>
              <w:left w:val="nil"/>
              <w:bottom w:val="nil"/>
              <w:right w:val="nil"/>
            </w:tcBorders>
          </w:tcPr>
          <w:p>
            <w:pPr>
              <w:pStyle w:val="Normal6a"/>
            </w:pPr>
            <w:r>
              <w:t>23.</w:t>
            </w:r>
            <w:r>
              <w:tab/>
            </w:r>
            <w:r>
              <w:t xml:space="preserve">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 την ποιότητα του αέρα και των υδάτων και τη διαχείριση των αποβλήτων· </w:t>
            </w:r>
            <w:r>
              <w:rPr>
                <w:b/>
                <w:i/>
              </w:rPr>
              <w:t>ενθαρρύνει τις αλβανικές αρχές να ενισχύσουν τα μέτρα και τις επενδύσεις για την επέκταση του συστήματος δημόσιων μεταφορών και του σιδηροδρομικού 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w:t>
            </w:r>
            <w:r>
              <w:rPr>
                <w:b/>
                <w:i/>
              </w:rPr>
              <w:t>και τον οικολογικό προσανατολισμό</w:t>
            </w:r>
            <w:r>
              <w:t xml:space="preserve"> του ενεργειακού εφοδιασμού και των μεταφορών, την ποιότητα του αέρα και των υδάτων και τη διαχείριση των αποβλήτων·</w:t>
            </w:r>
          </w:p>
        </w:tc>
        <w:tc>
          <w:tcPr>
            <w:tcW w:w="4876" w:type="dxa"/>
            <w:tcBorders>
              <w:top w:val="nil"/>
              <w:left w:val="nil"/>
              <w:bottom w:val="nil"/>
              <w:right w:val="nil"/>
            </w:tcBorders>
          </w:tcPr>
          <w:p>
            <w:pPr>
              <w:pStyle w:val="Normal6a"/>
            </w:pPr>
            <w:r>
              <w:t>23.</w:t>
            </w:r>
            <w:r>
              <w:tab/>
            </w:r>
            <w:r>
              <w:t xml:space="preserve">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του ενεργειακού εφοδιασμού και των μεταφορών </w:t>
            </w:r>
            <w:r>
              <w:rPr>
                <w:b/>
                <w:i/>
              </w:rPr>
              <w:t>και την ενίσχυση της βιωσιμότητάς τους</w:t>
            </w:r>
            <w:r>
              <w:t>, την ποιότητα του αέρα και των υδάτων και τη διαχείριση των αποβλήτων·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α.</w:t>
            </w:r>
            <w:r>
              <w:tab/>
            </w:r>
            <w:r>
              <w:rPr>
                <w:b/>
                <w:i/>
              </w:rPr>
              <w:t>σημειώνει ότι τα ποτάμια που διασχίζουν την Αλβανία είναι ιδιαιτέρως μολυσμένα.</w:t>
            </w:r>
            <w:r>
              <w:t xml:space="preserve"> </w:t>
            </w:r>
            <w:r>
              <w:rPr>
                <w:b/>
                <w:i/>
              </w:rPr>
              <w:t>Πολλά εξ' αυτών σημειώνουν υψηλότατες υπερβάσεις των τιμών αμμωνίας και ορθοφωσφορικών.</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β.</w:t>
            </w:r>
            <w:r>
              <w:tab/>
            </w:r>
            <w:r>
              <w:rPr>
                <w:b/>
                <w:i/>
              </w:rPr>
              <w:t>εκφράζει η λύπη του για τις ευρύτατες εκχερσώσεις νοτίως και παραλιακά, με σκοπό την προώθηση τουριστικών επενδύσεων, που αλλοιώνουν το χαρακτήρα των περιοχών, όπου κατοικεί η Ελληνική Εθνική Μειονότητα Βορείου Ηπείρου.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w:t>
            </w:r>
          </w:p>
        </w:tc>
        <w:tc>
          <w:tcPr>
            <w:tcW w:w="4876" w:type="dxa"/>
            <w:tcBorders>
              <w:top w:val="nil"/>
              <w:left w:val="nil"/>
              <w:bottom w:val="nil"/>
              <w:right w:val="nil"/>
            </w:tcBorders>
          </w:tcPr>
          <w:p>
            <w:pPr>
              <w:pStyle w:val="Normal6a"/>
            </w:pPr>
            <w:r>
              <w:t>24.</w:t>
            </w:r>
            <w:r>
              <w:tab/>
            </w:r>
            <w:r>
              <w:t xml:space="preserve">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 </w:t>
            </w:r>
            <w:r>
              <w:rPr>
                <w:b/>
                <w:i/>
              </w:rPr>
              <w:t>καλεί τις αρχές να σέβονται πλήρως την οικολογική του ακεραιότητα και να επανεξετάσουν τα έργα υποδομής σύμφωνα με τα διεθνή πρότυπα διατήρησης της βιοποικιλότητας και τις βέλτιστες πρακτικές, ιδίως όσον αφορά την άντληση υδάτων από τον ποταμό Shushica, ώστε να διασφαλιστεί ότι η βιοποικιλότητα, οι οικότοποι και οι οικολογικές λειτουργίες του πάρκου παραμένουν άθικτες·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w:t>
            </w:r>
          </w:p>
        </w:tc>
        <w:tc>
          <w:tcPr>
            <w:tcW w:w="4876" w:type="dxa"/>
            <w:tcBorders>
              <w:top w:val="nil"/>
              <w:left w:val="nil"/>
              <w:bottom w:val="nil"/>
              <w:right w:val="nil"/>
            </w:tcBorders>
          </w:tcPr>
          <w:p>
            <w:pPr>
              <w:pStyle w:val="Normal6a"/>
            </w:pPr>
            <w:r>
              <w:t>24.</w:t>
            </w:r>
            <w:r>
              <w:tab/>
            </w:r>
            <w:r>
              <w:t xml:space="preserve">πιστεύει ακράδαντα ότι η προστασία του περιβάλλοντος και η ανάπτυξη του βιώσιμου τουρισμού πρέπει να συμβαδίζουν· </w:t>
            </w:r>
            <w:r>
              <w:rPr>
                <w:b/>
                <w:i/>
              </w:rPr>
              <w:t>καλεί την ΕΕ και την αλβανική κυβέρνηση να παράσχουν πρόσθετη χρηματοδοτική και τεχνική βοήθεια για τη στήριξη της βιώσιμης αγροτικής ανάπτυξης και τη μείωση του χάσματος μεταξύ αστικών και αγροτικών περιοχών σύμφωνα με τις πολιτικές συνοχής της ΕΕ·</w:t>
            </w:r>
            <w:r>
              <w:t xml:space="preserve">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 </w:t>
            </w:r>
            <w:r>
              <w:rPr>
                <w:b/>
                <w:i/>
              </w:rPr>
              <w:t>καλεί τις αλβανικές αρχές να εγκρίνουν τη νομοθεσία εφαρμογής του νόμου για την πολιτιστική κληρονομιά και τα μουσεία·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w:t>
            </w:r>
          </w:p>
        </w:tc>
        <w:tc>
          <w:tcPr>
            <w:tcW w:w="4876" w:type="dxa"/>
            <w:tcBorders>
              <w:top w:val="nil"/>
              <w:left w:val="nil"/>
              <w:bottom w:val="nil"/>
              <w:right w:val="nil"/>
            </w:tcBorders>
          </w:tcPr>
          <w:p>
            <w:pPr>
              <w:pStyle w:val="Normal6a"/>
            </w:pPr>
            <w:r>
              <w:t>24.</w:t>
            </w:r>
            <w:r>
              <w:tab/>
            </w:r>
            <w:r>
              <w:t xml:space="preserve">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 </w:t>
            </w:r>
            <w:r>
              <w:rPr>
                <w:b/>
                <w:i/>
              </w:rPr>
              <w:t>εκφράζει, αντιθέτως, τη βαθιά του ανησυχία για το γεγονός ότι συνεχίζονται οι εργασίες κατασκευής του διεθνούς αερολιμένα της Αυλώνας εντός της προστατευόμενης περιοχής Pishë Poro-Nartë, χωρίς να λαμβάνονται υπόψη οι προειδοποιήσεις του Ευρωπαϊκού Κοινοβουλίου, της Ευρωπαϊκής Επιτροπής και της μόνιμης επιτροπής της σύμβασης της Βέρνης</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Σύμβαση για τη διατήρηση της άγριας ζωής και του φυσικού περιβάλλοντος της Ευρώπης, σύσταση αριθ. 219 (2023) της μόνιμης επιτροπής, η οποία εγκρίθηκε την 5η Σεπτεμβρίου 2023 και αναθεωρήθηκε την 1η Δεκεμβρίου 2023, σχετικά με τις πιθανές επιπτώσεις των έργων υποδομής και αστικοποίησης, ιδίως του διεθνούς αερολιμένα της Αυλώνας, στην προστατευόμενη περιοχή Vjosa-Narta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Εθνικού Πάρκου του Άγριου Ποταμού Αώου-Vjosa και ζητεί να διατεθούν επαρκείς πόροι για την προστασία του·</w:t>
            </w:r>
          </w:p>
        </w:tc>
        <w:tc>
          <w:tcPr>
            <w:tcW w:w="4876" w:type="dxa"/>
            <w:tcBorders>
              <w:top w:val="nil"/>
              <w:left w:val="nil"/>
              <w:bottom w:val="nil"/>
              <w:right w:val="nil"/>
            </w:tcBorders>
          </w:tcPr>
          <w:p>
            <w:pPr>
              <w:pStyle w:val="Normal6a"/>
            </w:pPr>
            <w:r>
              <w:t>24.</w:t>
            </w:r>
            <w:r>
              <w:tab/>
            </w:r>
            <w:r>
              <w:t xml:space="preserve">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w:t>
            </w:r>
            <w:r>
              <w:rPr>
                <w:b/>
                <w:i/>
              </w:rPr>
              <w:t>πρώτου εθνικού πάρκου άγριου ποταμού στην Ευρώπη —του</w:t>
            </w:r>
            <w:r>
              <w:t xml:space="preserve"> Εθνικού Πάρκου του Άγριου Ποταμού Αώου-Vjosa</w:t>
            </w:r>
            <w:r>
              <w:rPr>
                <w:b/>
                <w:i/>
              </w:rPr>
              <w:t>—</w:t>
            </w:r>
            <w:r>
              <w:t xml:space="preserve"> και ζητεί να διατεθούν επαρκείς πόροι για την προστασία του· </w:t>
            </w:r>
            <w:r>
              <w:rPr>
                <w:b/>
                <w:i/>
              </w:rPr>
              <w:t>καλεί τις αρχές να λάβουν υπόψη τις ανησυχίες που εξέφρασε η κοινωνία των πολιτών σχετικά με τη χάραξη των ορίων του δικτύου για τις προστατευόμενες περιοχές·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επικροτεί τη συμφωνία που επιτεύχθηκε στη σύνοδο κορυφής των Τιράνων σχετικά με τη μείωση του κόστους περιαγωγής·</w:t>
            </w:r>
            <w:r>
              <w:t xml:space="preserve"> </w:t>
            </w:r>
            <w:r>
              <w:rPr>
                <w:b/>
                <w:i/>
              </w:rPr>
              <w:t>καλεί, εν προκειμένω, τις αρχές, τους ιδιωτικούς φορείς και όλους τους συμφεροντούχους να διευκολύνουν την εκπλήρωση των συμφωνηθέντων στόχων για την επίτευξη ουσιαστικής μείωσης του κόστους περιαγωγής για δεδομένα και περαιτέρω μειώσεων που θα οδηγήσουν σε τιμές παραπλήσιες των εγχώριων τιμών μεταξύ των Δυτικών Βαλκανίων και της ΕΕ έως το 2027·</w:t>
            </w:r>
            <w:r>
              <w:t xml:space="preserve"> </w:t>
            </w:r>
            <w:r>
              <w:rPr>
                <w:b/>
                <w:i/>
              </w:rPr>
              <w:t>επικροτεί την έναρξη ισχύος της πρώτης φάσης εφαρμογής του χάρτη πορείας για την περιαγωγή μεταξύ των Δυτικών Βαλκανίων και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εκφράζει σοβαρή ανησυχία σχετικά με τις πρόσφατες τροποποιήσεις του νόμου της Αλβανίας για τις προστατευόμενες περιοχές, που επιτρέπουν μεγάλα έργα υποδομής και τουρισμού σε οικολογικά ευαίσθητες ζώνες·</w:t>
            </w:r>
            <w:r>
              <w:t xml:space="preserve"> </w:t>
            </w:r>
            <w:r>
              <w:rPr>
                <w:b/>
                <w:i/>
              </w:rPr>
              <w:t>ζητεί την αντιστροφή αυτών των νομοθετικών τροποποιήσεων προκειμένου να διασφαλιστεί η πλήρης και αυστηρή συμμόρφωση με τα εθνικά και διεθνή νομικά πλαίσια και τα πρότυπα διατήρησης·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καλεί τις αλβανικές αρχές να ορίσουν και να διαχειριστούν αποτελεσματικά βασικές προστατευόμενες περιοχές για την επιβίωση των κρισίμως απειλούμενων ειδών, ιδίως του βαλκανικού λύγκα, συμπεριλαμβανομένων ολοκληρωμένων προγραμμάτων παρακολούθησης της βιοποικιλότητας, και να εφαρμόζουν και να επιβάλλουν αυστηρά τη νομοθεσία κατά της λαθροθηρίας·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τονίζει εκ νέου την ανησυχία του για την κατασκευή του αερολιμένα της Αυλώνας στην προστατευόμενη περιοχή Vjosa-Narta κατά παράβαση των εθνικών και διεθνών κανόνων προστασίας της βιοποικιλότητας·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εκφράζει την ανησυχία του για τη ρύπανση από θαλάσσια απόβλητα στην Αλβανία, η οποία πλήττει τις γειτονικές χώρες, και ζητεί να ληφθούν επειγόντως μέτρα για την αντιμετώπιση του ζητήματος αυτού·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καλεί την κυβέρνηση να σταματήσει επειγόντως τη συνεχιζόμενη παράνομη κατασκευή του διεθνούς αερολιμένα της Αυλώνας εντός της προστατευόμενης περιοχής Vjosa-Narta, σύμφωνα με το αίτημα της μόνιμης επιτροπής της Σύμβασης της Βέρνης·</w:t>
            </w:r>
            <w:r>
              <w:t xml:space="preserve"> </w:t>
            </w:r>
            <w:r>
              <w:rPr>
                <w:b/>
                <w:i/>
              </w:rPr>
              <w:t>τονίζει ότι η κατασκευή του αερολιμένα αυτού αντιβαίνει στο εσωτερικό και το διεθνές δίκαιο, συμπεριλαμβανομένης της Σύμβασης της Βέρνης για τη διατήρηση της άγριας ζωής και του φυσικού περιβάλλοντος της Ευρώπης, και απειλεί μία από τις περιοχές με τη μεγαλύτερη βιοποικιλότητα στη χώρα·</w:t>
            </w:r>
            <w:r>
              <w:t xml:space="preserve"> </w:t>
            </w:r>
            <w:r>
              <w:rPr>
                <w:b/>
                <w:i/>
              </w:rPr>
              <w:t>παροτρύνει την Αλβανία να διασφαλίσει ότι πριν από κάθε ανάπτυξη υποδομών πραγματοποιούνται αυστηρές εκτιμήσεις περιβαλλοντικών επιπτώσεων (ΕΠΕ), οι οποίες συμμορφώνονται πλήρως με το εθνικό δίκαιο και τα διεθνή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24γ.</w:t>
            </w:r>
            <w:r>
              <w:tab/>
            </w:r>
            <w:r>
              <w:rPr>
                <w:b/>
                <w:i/>
              </w:rPr>
              <w:t>συνιστά στην Ευρωπαϊκή Επιτροπή να παρακολουθεί στενά τη συμμόρφωση της Αλβανίας με τη νομοθεσία για την προστασία του περιβάλλοντος, ιδίως όσον αφορά τη διακοπή της κατασκευής του διεθνούς αερολιμένα της Αυλώνας, την ορθή εφαρμογή των εκτιμήσεων περιβαλλοντικών επιπτώσεων και την αποκατάσταση των αλλοιωμένων προστατευόμενων περιοχών·</w:t>
            </w:r>
            <w:r>
              <w:t xml:space="preserve"> </w:t>
            </w:r>
            <w:r>
              <w:rPr>
                <w:b/>
                <w:i/>
              </w:rPr>
              <w:t>ζητεί η πρόοδος στα σημεία αυτά να θεωρηθεί δείκτης αναφοράς κρίσιμης σημασίας στο πλαίσιο των διαπραγματεύσεων της Αλβανίας για το κεφάλαιο 27 σχετικά με το περιβάλλον και την κλιματική αλλαγή·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24δ.</w:t>
            </w:r>
            <w:r>
              <w:tab/>
            </w:r>
            <w:r>
              <w:rPr>
                <w:b/>
                <w:i/>
              </w:rPr>
              <w:t>καλεί τις αλβανικές αρχές να διαφοροποιήσουν περαιτέρω την παραγωγή ενέργειας και να ελαχιστοποιήσουν τον αντίκτυπο στη βιοποικιλότητα σταματώντας την ανάπτυξη εγκαταστάσεων υδροηλεκτρικής ενέργειας σε προστατευόμενες περιοχές·</w:t>
            </w:r>
            <w:r>
              <w:t xml:space="preserve"> </w:t>
            </w:r>
            <w:r>
              <w:rPr>
                <w:b/>
                <w:i/>
              </w:rPr>
              <w:t>παροτρύνει την Αλβανία να εγκαταλείψει ιδίως τα σχέδια για τον υδροηλεκτρικό σταθμό Skavica στον ποταμό Μαύρο Δρίνο, δεδομένων των σοβαρών οικολογικών, κοινωνικών και πολιτιστικών επιπτώσεών του, μεταξύ των οποίων ο εκτοπισμός τοπικών κοινοτήτων και η απώλεια οικοτόπων προτεραιότητας, συμπεριλαμβανομένων των οικοτόπων του βαλκανικού λύγκα, της καφέ αρκούδας και του γκρίζου λύκου·</w:t>
            </w:r>
            <w:r>
              <w:t xml:space="preserve"> </w:t>
            </w:r>
            <w:r>
              <w:rPr>
                <w:b/>
                <w:i/>
              </w:rPr>
              <w:t>καλεί την αλβανική κυβέρνηση να σεβαστεί πλήρως την πρόσφατη απόφαση του αλβανικού Συνταγματικού Δικαστηρίου και να εφαρμόσει ενεργά αποτελεσματικές διαδικασίες δημόσιας διαβούλευσης και διαφανή διαδικασία λήψης αποφάσεων σχετικά με το έργο υδροηλεκτρικής ενέργειας Skavica, σε πλήρη συμμόρφωση με τις εθνικές συνταγματικές διατάξεις και τις υποχρεώσεις της Αλβανίας στο πλαίσιο της Σύμβασης του Aarhus·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w:t>
            </w:r>
          </w:p>
        </w:tc>
        <w:tc>
          <w:tcPr>
            <w:tcW w:w="4876" w:type="dxa"/>
            <w:tcBorders>
              <w:top w:val="nil"/>
              <w:left w:val="nil"/>
              <w:bottom w:val="nil"/>
              <w:right w:val="nil"/>
            </w:tcBorders>
          </w:tcPr>
          <w:p>
            <w:pPr>
              <w:pStyle w:val="Normal6a"/>
            </w:pPr>
            <w:r>
              <w:t>25.</w:t>
            </w:r>
            <w:r>
              <w:tab/>
            </w:r>
            <w:r>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 </w:t>
            </w:r>
            <w:r>
              <w:rPr>
                <w:b/>
                <w:i/>
              </w:rPr>
              <w:t>τονίζει ότι είναι σημαντικό να διασφαλιστεί ότι η εν λόγω εταιρική σχέση θα μετουσιωθεί σε συγκεκριμένες δράσεις, συμπεριλαμβανομένων κοινών πρωτοβουλιών κατάρτισης, κοινών δυνατοτήτων συλλογής πληροφοριών και ενισχυμένων μέτρων ασφάλειας των συνόρων για την αντιμετώπιση περιφερειακών και παγκόσμιων προκλήσεων στον τομέα της ασφάλειας·</w:t>
            </w:r>
            <w:r>
              <w:t xml:space="preserve"> </w:t>
            </w:r>
            <w:r>
              <w:rPr>
                <w:b/>
                <w:i/>
              </w:rPr>
              <w:t>υπογραμμίζει την ανάγκη για βαθύτερη συνεργασία στον τομέα της ασφάλειας εντός των Δυτικών Βαλκανίων, με την προώθηση στενότερου συντονισμού μεταξύ των περιφερειακών εταίρων για την καταπολέμηση του οργανωμένου εγκλήματος, των κυβερνοαπειλών και των υβριδικών προκλήσεων·</w:t>
            </w:r>
            <w:r>
              <w:t xml:space="preserve"> </w:t>
            </w:r>
            <w:r>
              <w:rPr>
                <w:b/>
                <w:i/>
              </w:rPr>
              <w:t>ζητεί να ενισχυθεί η στήριξη της ΕΕ για πρωτοβουλίες περιφερειακής ασφάλειας που ενισχύουν τη σταθερότητα και την ανθεκτικότητα στην περιοχή των Δυτικών Βαλκανίων·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w:t>
            </w:r>
            <w:r>
              <w:rPr>
                <w:b/>
                <w:i/>
              </w:rPr>
              <w:t>και</w:t>
            </w:r>
            <w:r>
              <w:t xml:space="preserve"> αποτελεί σημαντικό βήμα προόδου·</w:t>
            </w:r>
          </w:p>
        </w:tc>
        <w:tc>
          <w:tcPr>
            <w:tcW w:w="4876" w:type="dxa"/>
            <w:tcBorders>
              <w:top w:val="nil"/>
              <w:left w:val="nil"/>
              <w:bottom w:val="nil"/>
              <w:right w:val="nil"/>
            </w:tcBorders>
          </w:tcPr>
          <w:p>
            <w:pPr>
              <w:pStyle w:val="Normal6a"/>
            </w:pPr>
            <w:r>
              <w:t>25.</w:t>
            </w:r>
            <w:r>
              <w:tab/>
            </w:r>
            <w:r>
              <w:t>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w:t>
            </w:r>
            <w:r>
              <w:rPr>
                <w:b/>
                <w:i/>
              </w:rPr>
              <w:t>·</w:t>
            </w:r>
            <w:r>
              <w:t xml:space="preserve"> </w:t>
            </w:r>
            <w:r>
              <w:rPr>
                <w:b/>
                <w:i/>
              </w:rPr>
              <w:t>αναγνωρίζει ότι αυτή η εταιρική σχέση</w:t>
            </w:r>
            <w:r>
              <w:t xml:space="preserve"> αποτελεί σημαντικό βήμα προόδου </w:t>
            </w:r>
            <w:r>
              <w:rPr>
                <w:b/>
                <w:i/>
              </w:rPr>
              <w:t>για την ενίσχυση του ρόλου της Αλβανίας ως αξιόπιστου εταίρου της ΕΕ στον τομέα της ασφάλειας·</w:t>
            </w:r>
            <w:r>
              <w:t xml:space="preserve"> </w:t>
            </w:r>
            <w:r>
              <w:rPr>
                <w:b/>
                <w:i/>
              </w:rPr>
              <w:t>τονίζει περαιτέρω ότι η εταιρική σχέση θα διευκολύνει, μεταξύ άλλων, κοινές πρωτοβουλίες και προσπάθειες ανάπτυξης ικανοτήτων, συμβάλλοντας έτσι σε μια πιο ανθεκτική και ολοκληρωμένη αρχιτεκτονική ασφάλειας στα Δυτικά Βαλκάνια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w:t>
            </w:r>
          </w:p>
        </w:tc>
        <w:tc>
          <w:tcPr>
            <w:tcW w:w="4876" w:type="dxa"/>
            <w:tcBorders>
              <w:top w:val="nil"/>
              <w:left w:val="nil"/>
              <w:bottom w:val="nil"/>
              <w:right w:val="nil"/>
            </w:tcBorders>
          </w:tcPr>
          <w:p>
            <w:pPr>
              <w:pStyle w:val="Normal6a"/>
            </w:pPr>
            <w:r>
              <w:t>25.</w:t>
            </w:r>
            <w:r>
              <w:tab/>
            </w:r>
            <w:r>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 </w:t>
            </w:r>
            <w:r>
              <w:rPr>
                <w:b/>
                <w:i/>
              </w:rPr>
              <w:t>εκφράζει την ικανοποίησή του για την τριμερή δήλωση σχετικά με τη στρατιωτική συμμαχία που υπεγράφη μεταξύ της Αλβανίας, του Κοσόβου και της Κροατίας, η οποία αποσκοπεί στη βελτίωση της συνεργασίας και στην ενίσχυση του αμυντικού δυναμικού, παρέχοντας παράλληλα πλήρη στήριξη για την ευρωατλαντική και περιφερειακή αμυντική ολοκλήρωση·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w:t>
            </w:r>
          </w:p>
        </w:tc>
        <w:tc>
          <w:tcPr>
            <w:tcW w:w="4876" w:type="dxa"/>
            <w:tcBorders>
              <w:top w:val="nil"/>
              <w:left w:val="nil"/>
              <w:bottom w:val="nil"/>
              <w:right w:val="nil"/>
            </w:tcBorders>
          </w:tcPr>
          <w:p>
            <w:pPr>
              <w:pStyle w:val="Normal6a"/>
            </w:pPr>
            <w:r>
              <w:t>25.</w:t>
            </w:r>
            <w:r>
              <w:tab/>
            </w:r>
            <w:r>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 </w:t>
            </w:r>
            <w:r>
              <w:rPr>
                <w:b/>
                <w:i/>
              </w:rPr>
              <w:t>επισημαίνει τη θετική συμβολή της Αλβανίας στις αποστολές της κοινής πολιτικής ασφάλειας και άμυνας, ιδίως στην EUFOR Althea, και ζητεί την περαιτέρω συμμετοχή της σε πρωτοβουλίες όπως η επιχείρηση για την ασφάλεια στη θάλασσα EUNAVFOR Aspides·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w:t>
            </w:r>
          </w:p>
        </w:tc>
        <w:tc>
          <w:tcPr>
            <w:tcW w:w="4876" w:type="dxa"/>
            <w:tcBorders>
              <w:top w:val="nil"/>
              <w:left w:val="nil"/>
              <w:bottom w:val="nil"/>
              <w:right w:val="nil"/>
            </w:tcBorders>
          </w:tcPr>
          <w:p>
            <w:pPr>
              <w:pStyle w:val="Normal6a"/>
            </w:pPr>
            <w:r>
              <w:t>25.</w:t>
            </w:r>
            <w:r>
              <w:tab/>
            </w:r>
            <w:r>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 </w:t>
            </w:r>
            <w:r>
              <w:rPr>
                <w:b/>
                <w:i/>
              </w:rPr>
              <w:t>χαιρετίζει τη συμμετοχή της Αλβανίας στην επιχείρηση EUFOR Althea, η οποία αναδεικνύει τη δέσμευση της χώρας να συμβάλει στην περιφερειακή και διεθνή ασφάλεια και σταθερότητα·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τονίζει τη συμβολή της Αλβανίας στην περιφερειακή ασφάλεια μέσω της συνεργασίας της με τις αστυνομικές υπηρεσίες και τις δυνάμεις ασφαλείας των γειτονικών χωρών·</w:t>
            </w:r>
            <w:r>
              <w:t xml:space="preserve"> </w:t>
            </w:r>
            <w:r>
              <w:rPr>
                <w:b/>
                <w:i/>
              </w:rPr>
              <w:t>χαιρετίζει τη συμμετοχή της Αλβανίας σε περιφερειακές πρωτοβουλίες για την καταπολέμηση του οργανωμένου εγκλήματος και της εμπορίας ανθρώπων, συμπεριλαμβανομένης της συνεργασίας της με την Ευρωπόλ και την Ιντερπόλ·</w:t>
            </w:r>
            <w:r>
              <w:t xml:space="preserve"> </w:t>
            </w:r>
            <w:r>
              <w:rPr>
                <w:b/>
                <w:i/>
              </w:rPr>
              <w:t>καλεί την Αλβανία να συνεχίσει να αναπτύσσει ικανότητες ανταλλαγής πληροφοριών και να ενισχύει τις κοινές επιχειρήσεις με τα κράτη μέλη της ΕΕ και άλλες χώρες της περιοχής·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α.</w:t>
            </w:r>
            <w:r>
              <w:tab/>
            </w:r>
            <w:r>
              <w:rPr>
                <w:b/>
                <w:i/>
              </w:rPr>
              <w:t>Θεωρεί ότι η παρουσία της Τουρκίας στα Βαλκάνια, και συγκεκριμένα στην Αλβανία, συχνά ανταγωνίζεται τα συμφέροντα της ΕΕ·</w:t>
            </w:r>
            <w:r>
              <w:t xml:space="preserve"> </w:t>
            </w:r>
            <w:r>
              <w:rPr>
                <w:b/>
                <w:i/>
              </w:rPr>
              <w:t>καλεί την ΕΥΕΔ να παρακολουθεί ιδιαίτερα την παρουσία αυτών των αντι-ευρωπαϊκών δραστηριοτήτων.</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συγχαίρει την Αλβανία για τη σημαντική συμβολή της στην προώθηση της σταθερότητας και της συνεργασίας στην περιοχή των Δυτικών Βαλκανίων, ιδίως μέσω της συμμετοχής της σε αποστολές και επιχειρήσεις υπό την ηγεσία της ΕΕ και του ΝΑΤΟ·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εκφράζει την ικανοποίησή του για την έγκριση του νέου νόμου για την κυβερνοασφάλεια, που ευθυγραμμίζεται με την οδηγία της ΕΕ σχετικά με μέτρα για υψηλό κοινό επίπεδο κυβερνοασφάλειας σε ολόκληρη την Ευρωπαϊκή Ένωση (NIS2)·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εκφράζει την ικανοποίησή του για το γεγονός ότι η Αλβανία ενέκρινε το 2024 νέα εθνική στρατηγική ασφάλειας για την περαιτέρω καταπολέμηση των υβριδικών απειλών·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25β.</w:t>
            </w:r>
            <w:r>
              <w:tab/>
            </w:r>
            <w:r>
              <w:rPr>
                <w:b/>
                <w:i/>
              </w:rPr>
              <w:t>εκφράζει την ικανοποίησή του για την τριμερή αμυντική συμφωνία με το Κόσοβο και την Κροατία·</w:t>
            </w:r>
            <w:r>
              <w:t xml:space="preserve"> </w:t>
            </w:r>
            <w:r>
              <w:rPr>
                <w:b/>
                <w:i/>
              </w:rPr>
              <w:t>σημειώνει ότι η πρωτοβουλία αυτή μπορεί να διαδραματίσει σταθεροποιητικό ρόλο στην περιοχή και να χρησιμεύσει ως εργαλείο για την προώθηση της συνεργασίας στον τομέα της ασφάλειας και της άμυνας, καθώς και στην ανάπτυξη αμυντικών ικανοτήτων·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Γιάννης Μανιάτης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χαιρετίζει τις συνεχιζόμενες προσπάθειες της αλβανικής κυβέρνησης για την προώθηση σχέσεων καλής γειτονίας·</w:t>
            </w:r>
          </w:p>
        </w:tc>
        <w:tc>
          <w:tcPr>
            <w:tcW w:w="4876" w:type="dxa"/>
            <w:tcBorders>
              <w:top w:val="nil"/>
              <w:left w:val="nil"/>
              <w:bottom w:val="nil"/>
              <w:right w:val="nil"/>
            </w:tcBorders>
          </w:tcPr>
          <w:p>
            <w:pPr>
              <w:pStyle w:val="Normal6a"/>
            </w:pPr>
            <w:r>
              <w:t>26.</w:t>
            </w:r>
            <w:r>
              <w:tab/>
            </w:r>
            <w:r>
              <w:t xml:space="preserve">χαιρετίζει τις συνεχιζόμενες προσπάθειες της αλβανικής κυβέρνησης για την προώθηση σχέσεων καλής γειτονίας· </w:t>
            </w:r>
            <w:r>
              <w:rPr>
                <w:b/>
                <w:i/>
              </w:rPr>
              <w:t>υπενθυμίζει, στο πλαίσιο αυτό, τη σημασία της σύναψης νέας συμφωνίας με την Ελλάδα για την οριοθέτηση των θαλάσσιων ζωνών, συμπεριλαμβανομένης της αποκλειστικής οικονομικής ζώνης μεταξύ των δύο χωρών, σύμφωνα με το διεθνές δίκαιο και τη Σύμβαση των Ηνωμένων Εθνών για το Δίκαιο της Θάλασσας, μετά την ακύρωση της προηγούμενης συμφωνίας από το Συνταγματικό Δικαστήριο της Αλβανίας το 2010·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χαιρετίζει τις συνεχιζόμενες προσπάθειες της αλβανικής κυβέρνησης για την προώθηση σχέσεων καλής γειτονίας·</w:t>
            </w:r>
          </w:p>
        </w:tc>
        <w:tc>
          <w:tcPr>
            <w:tcW w:w="4876" w:type="dxa"/>
            <w:tcBorders>
              <w:top w:val="nil"/>
              <w:left w:val="nil"/>
              <w:bottom w:val="nil"/>
              <w:right w:val="nil"/>
            </w:tcBorders>
          </w:tcPr>
          <w:p>
            <w:pPr>
              <w:pStyle w:val="Normal6a"/>
            </w:pPr>
            <w:r>
              <w:t>26.</w:t>
            </w:r>
            <w:r>
              <w:tab/>
            </w:r>
            <w:r>
              <w:t xml:space="preserve">χαιρετίζει τις συνεχιζόμενες προσπάθειες της αλβανικής κυβέρνησης για την προώθηση σχέσεων καλής γειτονίας· </w:t>
            </w:r>
            <w:r>
              <w:rPr>
                <w:b/>
                <w:i/>
              </w:rPr>
              <w:t>προειδοποιεί για τυχόν ενέργειες, όπως η πρωτοβουλία «Ανοιχτά Βαλκάνια», που θα μπορούσαν να υπονομεύσουν την κοινή περιφερειακή αγορά ή να αποκλίνουν από τη διαδικασία του Βερολίνου, καθώς τα μέτρα αυτά δημιουργούν εμπόδια στην ολοκλήρωση και τη συνοχή της ΕΕ, και θα μπορούσαν να θέσουν σε κίνδυνο την πρόοδο της Αλβανίας προς μια βαθύτερη περιφερειακή και ευρωπαϊκή ολοκλήρωση·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χαιρετίζει τις συνεχιζόμενες προσπάθειες της αλβανικής κυβέρνησης για την προώθηση σχέσεων καλής γειτονίας·</w:t>
            </w:r>
          </w:p>
        </w:tc>
        <w:tc>
          <w:tcPr>
            <w:tcW w:w="4876" w:type="dxa"/>
            <w:tcBorders>
              <w:top w:val="nil"/>
              <w:left w:val="nil"/>
              <w:bottom w:val="nil"/>
              <w:right w:val="nil"/>
            </w:tcBorders>
          </w:tcPr>
          <w:p>
            <w:pPr>
              <w:pStyle w:val="Normal6a"/>
            </w:pPr>
            <w:r>
              <w:t>26.</w:t>
            </w:r>
            <w:r>
              <w:tab/>
            </w:r>
            <w:r>
              <w:t xml:space="preserve">χαιρετίζει τις συνεχιζόμενες προσπάθειες της αλβανικής κυβέρνησης για την προώθηση σχέσεων καλής γειτονίας· </w:t>
            </w:r>
            <w:r>
              <w:rPr>
                <w:b/>
                <w:i/>
              </w:rPr>
              <w:t>ενθαρρύνει περαιτέρω τη διαρκή και εποικοδομητική συμμετοχή σε πρωτοβουλίες περιφερειακής συνεργασίας, σύμφωνα με τις αξίες της ΕΕ και τους στόχους της διεύρυνσης, καθώς συμβάλλει στην ειρήνη, την ασφάλεια και τη σταθερότητα στα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χαιρετίζει τις συνεχιζόμενες προσπάθειες της αλβανικής κυβέρνησης για την προώθηση σχέσεων καλής γειτονίας·</w:t>
            </w:r>
          </w:p>
        </w:tc>
        <w:tc>
          <w:tcPr>
            <w:tcW w:w="4876" w:type="dxa"/>
            <w:tcBorders>
              <w:top w:val="nil"/>
              <w:left w:val="nil"/>
              <w:bottom w:val="nil"/>
              <w:right w:val="nil"/>
            </w:tcBorders>
          </w:tcPr>
          <w:p>
            <w:pPr>
              <w:pStyle w:val="Normal6a"/>
            </w:pPr>
            <w:r>
              <w:t>26.</w:t>
            </w:r>
            <w:r>
              <w:tab/>
            </w:r>
            <w:r>
              <w:t xml:space="preserve">χαιρετίζει τις συνεχιζόμενες προσπάθειες της αλβανικής κυβέρνησης για την προώθηση σχέσεων καλής γειτονίας· </w:t>
            </w:r>
            <w:r>
              <w:rPr>
                <w:b/>
                <w:i/>
              </w:rPr>
              <w:t>επικροτεί, στο πλαίσιο αυτό, τη συμφωνία για το άσυλο που υπεγράφη με την Ιταλία στις 6 Νοεμβρίου 2023 και κυρώθηκε από το αλβανικό κοινοβούλιο στις 22 Φεβρουαρίου 2024, ως πολύτιμο εργαλείο για τη διαχείριση των μεταναστευτικών ροών προς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χαιρετίζει τις συνεχιζόμενες προσπάθειες</w:t>
            </w:r>
            <w:r>
              <w:t xml:space="preserve"> της αλβανικής κυβέρνησης </w:t>
            </w:r>
            <w:r>
              <w:rPr>
                <w:b/>
                <w:i/>
              </w:rPr>
              <w:t>για την προώθηση</w:t>
            </w:r>
            <w:r>
              <w:t xml:space="preserve"> σχέσεων καλής γειτονίας·</w:t>
            </w:r>
          </w:p>
        </w:tc>
        <w:tc>
          <w:tcPr>
            <w:tcW w:w="4876" w:type="dxa"/>
            <w:tcBorders>
              <w:top w:val="nil"/>
              <w:left w:val="nil"/>
              <w:bottom w:val="nil"/>
              <w:right w:val="nil"/>
            </w:tcBorders>
          </w:tcPr>
          <w:p>
            <w:pPr>
              <w:pStyle w:val="Normal6a"/>
            </w:pPr>
            <w:r>
              <w:t>26.</w:t>
            </w:r>
            <w:r>
              <w:tab/>
            </w:r>
            <w:r>
              <w:rPr>
                <w:b/>
                <w:i/>
              </w:rPr>
              <w:t>σημειώνει τις εκφράσεις βούλησης</w:t>
            </w:r>
            <w:r>
              <w:t xml:space="preserve"> της αλβανικής κυβέρνησης </w:t>
            </w:r>
            <w:r>
              <w:rPr>
                <w:b/>
                <w:i/>
              </w:rPr>
              <w:t>περί</w:t>
            </w:r>
            <w:r>
              <w:t xml:space="preserve"> σχέσεων καλής γειτονίας·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την ικανοποίησή του για τη διμερή συμφωνία που υπεγράφη μεταξύ Ιταλίας και Αλβανίας στις 6 Νοεμβρίου 2023, η οποία επιτρέπει τη μεταφορά αντικανονικών μεταναστών που διασώζονται στη θάλασσα σε δύο κέντρα υποδοχής στην Αλβανία, όπου οι αιτήσεις ασύλου τους θα αξιολογούνται σύμφωνα με τα διεθνή πρότυπα·</w:t>
            </w:r>
            <w:r>
              <w:t xml:space="preserve"> </w:t>
            </w:r>
            <w:r>
              <w:rPr>
                <w:b/>
                <w:i/>
              </w:rPr>
              <w:t>αναγνωρίζει ότι η συμφωνία αυτή αποτελεί συγκεκριμένο και ρεαλιστικό παράδειγμα περιφερειακής συνεργασίας για την αντιμετώπιση της αντικανονικής μετανάστευσης και την καταπολέμηση των δικτύων παράνομης διακίνησης ανθρώπων·</w:t>
            </w:r>
            <w:r>
              <w:t xml:space="preserve"> </w:t>
            </w:r>
            <w:r>
              <w:rPr>
                <w:b/>
                <w:i/>
              </w:rPr>
              <w:t>ενθαρρύνει την Επιτροπή να αναπαραγάγει παρόμοια υποδείγματα εταιρικής σχέσης και εξωτερικής συνεργασίας·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τάσσεται υπέρ της αυξημένης περιφερειακής συνεργασίας μεταξύ των χωρών των Δυτικών Βαλκανίων για την ανταλλαγή βέλτιστων πρακτικών και την ανάπτυξη κοινών στρατηγικών για την καταπολέμηση της παραπληροφόρησης και των εξωτερικών παρεμβάσεων·</w:t>
            </w:r>
            <w:r>
              <w:t xml:space="preserve"> </w:t>
            </w:r>
            <w:r>
              <w:rPr>
                <w:b/>
                <w:i/>
              </w:rPr>
              <w:t>τονίζει τον ρόλο της Ευρωπαϊκής Ένωσης στη διευκόλυνση αυτών των συνεργατικών προσπαθειών·</w:t>
            </w:r>
            <w:r>
              <w:t xml:space="preserve"> </w:t>
            </w:r>
            <w:r>
              <w:rPr>
                <w:b/>
                <w:i/>
              </w:rPr>
              <w:t>ζητεί να συνεχιστεί και να ενισχυθεί περαιτέρω το περιφερειακό πρόγραμμα του ΜΠΒ για την κυβερνοασφάλεια·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επαινεί τη δέσμευση της Αλβανίας για την προώθηση σχέσεων καλής γειτονίας και την προώθηση της περιφερειακής συνεργασίας στα Δυτικά Βαλκάνια·</w:t>
            </w:r>
            <w:r>
              <w:t xml:space="preserve"> </w:t>
            </w:r>
            <w:r>
              <w:rPr>
                <w:b/>
                <w:i/>
              </w:rPr>
              <w:t>χαιρετίζει την ενεργό συμβολή της Αλβανίας στη διαδικασία του Βερολίνου και στο σχέδιο ανάπτυξης για τα Δυτικά Βαλκάνια, τα οποία συμβάλλουν στην προώθηση της οικονομικής και πολιτικής ολοκλήρωσης στην περιοχή·</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επαναλαμβάνει ότι το κράτος δικαίου, τα ανεξάρτητα θεσμικά όργανα, ο διαχωρισμός και η εξισορρόπηση των εξουσιών και ο πολιτικός πλουραλισμός αποτελούν βασικά κριτήρια για την προσχώρηση στην ΕΕ·</w:t>
            </w:r>
            <w:r>
              <w:t xml:space="preserve"> </w:t>
            </w:r>
            <w:r>
              <w:rPr>
                <w:b/>
                <w:i/>
              </w:rPr>
              <w:t>ζητεί να ληφθούν άμεσα μέτρα για τη διασφάλιση των δικαιωμάτων της αντιπολίτευσης, τη διασφάλιση της ανεξαρτησίας της δικαιοσύνης, μεταξύ άλλων σε σχέση με το κοινοβούλιο, και την πρόληψη της κατάχρησης των κρατικών θεσμών για πολιτικό όφελος·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ενθαρρύνει την Αλβανία να ενισχύσει τους μηχανισμούς ανταλλαγής πληροφοριών με οργανισμούς της ΕΕ, όπως η Ευρωπόλ και ο Frontex, για την ενίσχυση της περιφερειακής σταθερότητας και της ασφάλειας των συνόρων·</w:t>
            </w:r>
            <w:r>
              <w:t xml:space="preserve"> </w:t>
            </w:r>
            <w:r>
              <w:rPr>
                <w:b/>
                <w:i/>
              </w:rPr>
              <w:t>ζητεί να καταβάλλονται συνεχείς προσπάθειες για την ευθυγράμμιση των πολιτικών ασφάλειας της Αλβανίας με τις στρατηγικές της ΕΕ, ώστε με τον τρόπο αυτό να προωθείται ένα πιο ολοκληρωμένο και ανθεκτικό πλαίσιο περιφερειακής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την ικανοποίησή του για το γεγονός ότι η Αλβανία είναι η τρίτη πιο δραστήρια χώρα στο πλαίσιο της πρωτοβουλίας EMPACT όσον αφορά την καταπολέμηση της διακίνησης ναρκωτικών, της νομιμοποίησης εσόδων από παράνομες δραστηριότητες και του κυβερνοεγκλήματος·</w:t>
            </w:r>
            <w:r>
              <w:t xml:space="preserve"> </w:t>
            </w:r>
            <w:r>
              <w:rPr>
                <w:b/>
                <w:i/>
              </w:rPr>
              <w:t>αναγνωρίζει περαιτέρω την εντατική ανταλλαγή πληροφοριών μέσω της Ιντερπόλ, της Ευρωπόλ και του δικτύου CARIN·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επισημαίνει την νομική αρτιότητα της συμφωνία Ελλάδας - Αλβανίας για την ΑΟΖ (2009), η οποία ακυρώθηκε από το αλβανικό "Συνταγματικό Δικαστήριο", κατόπιν αντιθεσμικής παρέμβασης του κόμματος του ¨Εντι Ράμα.</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χαιρετίζει την κύρωση από την Αλβανία των διμερών συμφωνιών για τον συντονισμό των συστημάτων κοινωνικής ασφάλισης με την Κροατία, το Μαυροβούνιο και τη Βουλγαρία·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την ιδιαίτερη ικανοποίησή του για την απόφαση να ανοίξει τοπικό γραφείο του Ευρωπαϊκού Κοινοβουλίου για τα Δυτικά Βαλκάνια στα Τίρανα·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καταδικάζει την παραβίαση του Ευρωπαϊκού Χάρτη Τοπικής Αυτοδιοίκησης και των συνταγματικών και νομικών διατάξεων της Αλβανίας σχετικά με την τοπική αυτονομία μετά τη σύλληψη του δημάρχου Erion Veliaj·</w:t>
            </w:r>
            <w:r>
              <w:t xml:space="preserve"> </w:t>
            </w:r>
            <w:r>
              <w:rPr>
                <w:b/>
                <w:i/>
              </w:rPr>
              <w:t>σημειώνει με ανησυχία ότι ο πρωθυπουργός Rama ανέλαβε παράνομα τον έλεγχο του δήμου των Τιράνων και διόρισε διάδοχο, γεγονός που συνιστά συγκέντρωση εξουσίας και κατάχρηση δημοτικών πόρων για εκλογικούς σκοπούς·</w:t>
            </w:r>
            <w:r>
              <w:t xml:space="preserve"> </w:t>
            </w:r>
            <w:r>
              <w:rPr>
                <w:b/>
                <w:i/>
              </w:rPr>
              <w:t>τονίζει ότι αυτό υπονομεύει τη δημοκρατική διακυβέρνηση και το αδιάβλητο της εκλογικής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τονίζει τον εποικοδομητικό ρόλο της Αλβανίας στην προώθηση της σταθερότητας και της συνεργασίας στα Δυτικά Βαλκάνια, ιδίως μέσω του διμερούς διαλόγου της με τις γειτονικές χώρες και της συμμετοχής της σε περιφερειακούς οργανισμούς·</w:t>
            </w:r>
            <w:r>
              <w:t xml:space="preserve"> </w:t>
            </w:r>
            <w:r>
              <w:rPr>
                <w:b/>
                <w:i/>
              </w:rPr>
              <w:t>καλεί την Αλβανία να συνεχίσει να καταβάλλει προσπάθειες για την επίλυση τυχόν εκκρεμών διαφορών με γειτονικές χώρες ακολουθώντας μια προσέγγιση βασισμένη στο διεθνές δίκαιο και στην προώθηση της ειρήνης και της ασφάλειας στην περιοχή·</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συγχαίρει την Αλβανία για την πλήρη ευθυγράμμισή της με την Κοινή Εξωτερική Πολιτική και Πολιτική Ασφαλείας (ΚΕΠΠΑ) της ΕΕ, συμπεριλαμβανομένης της στήριξής της για τις κυρώσεις της ΕΕ κατά τρίτων χωρών·</w:t>
            </w:r>
            <w:r>
              <w:t xml:space="preserve"> </w:t>
            </w:r>
            <w:r>
              <w:rPr>
                <w:b/>
                <w:i/>
              </w:rPr>
              <w:t>τονίζει ότι είναι σημαντικό να ενισχυθεί η συμμετοχή της Αλβανίας σε επιχειρήσεις διαχείρισης κρίσεων υπό την ηγεσία της ΕΕ και σε αποστολές της Κοινής Πολιτικής Ασφάλειας και Άμυνας (ΚΠΑΑ)·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εκφράζει την ικανοποίησή του για τη συμμετοχή 18 εκπροσώπων από την Αλβανία στην πρωτοβουλία των μελών από χώρες της διεύρυνσης (ECM) που δημιούργησε η ΕΟΚΕ, η οποία αποσκοπεί στη σύσφιξη των δεσμών με τις υποψήφιες χώρες και στη διευκόλυνση της σταδιακής τους ένταξης στην Ευρωπαϊκή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26γ.</w:t>
            </w:r>
            <w:r>
              <w:tab/>
            </w:r>
            <w:r>
              <w:rPr>
                <w:b/>
                <w:i/>
              </w:rPr>
              <w:t>αναγνωρίζει τη στρατηγική σημασία της περιοχής Αδριατικής-Ιονίου για την ευρωπαϊκή ασφάλεια και οικονομική σταθερότητα·</w:t>
            </w:r>
            <w:r>
              <w:t xml:space="preserve"> </w:t>
            </w:r>
            <w:r>
              <w:rPr>
                <w:b/>
                <w:i/>
              </w:rPr>
              <w:t>καλεί την Αλβανία να ενισχύσει τις δυνατότητές της στον τομέα της θαλάσσιας ασφάλειας σε συντονισμό με την ΕΕ και το ΝΑΤΟ, μεταξύ άλλων με την ενίσχυση της ναυτικής υποδομής, τη βελτίωση των συστημάτων επιτήρησης και την εντατικοποίηση των προσπαθειών για την καταπολέμηση παράνομων δραστηριοτήτων, όπως το λαθρεμπόριο και η εμπορία ανθρώπων στην Αδριατική και το Ιόνιο·</w:t>
            </w:r>
            <w:r>
              <w:t xml:space="preserve"> </w:t>
            </w:r>
            <w:r>
              <w:rPr>
                <w:b/>
                <w:i/>
              </w:rPr>
              <w:t>ενθαρρύνει τη βαθύτερη συνεργασία μεταξύ των παράκτιων κρατών της ΕΕ για τη διασφάλιση της προστασίας των κρίσιμων θαλάσσιων οδών και της περιβαλλοντικής βιωσιμότητας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εκφράζει την ικανοποίησή του για τη δημιουργία του γραφείου του Ευρωπαϊκού Κοινοβουλίου για τα Δυτικά Βαλκάνια στα Τίρανα·</w:t>
            </w:r>
            <w:r>
              <w:t xml:space="preserve"> </w:t>
            </w:r>
            <w:r>
              <w:rPr>
                <w:b/>
                <w:i/>
              </w:rPr>
              <w:t>σημειώνει ότι το γραφείο θα χρησιμεύσει ως βασικό σημείο επαφής μεταξύ του Ευρωπαϊκού Κοινοβουλίου και των εθνικών κοινοβουλίων, της κοινωνίας των πολιτών και τοπικών εταίρων από ολόκληρη την περιοχή των Δυτικών Βαλκανίων·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770.101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132</w:t>
    </w:r>
    <w:r>
      <w:fldChar w:fldCharType="end"/>
    </w:r>
    <w:r>
      <w:t>/</w:t>
    </w:r>
    <w:r>
      <w:fldChar w:fldCharType="begin"/>
    </w:r>
    <w:r>
      <w:instrText xml:space="preserve"> NUMPAGES </w:instrText>
    </w:r>
    <w:r>
      <w:fldChar w:fldCharType="separate"/>
    </w:r>
    <w:r>
      <w:t>132</w:t>
    </w:r>
    <w:r>
      <w:fldChar w:fldCharType="end"/>
    </w:r>
    <w:r>
      <w:tab/>
    </w:r>
    <w:r>
      <w:rPr>
        <w:rStyle w:val="HideTWBExt"/>
      </w:rPr>
      <w:t>&lt;PathFdR&gt;</w:t>
    </w:r>
    <w:r>
      <w:t>AM\1316349EL.docx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AM\1316349EL.docx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132</w:t>
    </w:r>
    <w:r>
      <w:fldChar w:fldCharType="end"/>
    </w:r>
    <w:r>
      <w:tab/>
    </w:r>
    <w:r>
      <w:t>PE</w:t>
    </w:r>
    <w:r>
      <w:rPr>
        <w:rStyle w:val="HideTWBExt"/>
      </w:rPr>
      <w:t>&lt;NoPE&gt;</w:t>
    </w:r>
    <w:r>
      <w:t>770.101</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AM\1316349EL.docx</w:t>
    </w:r>
    <w:r>
      <w:rPr>
        <w:rStyle w:val="HideTWBExt"/>
      </w:rPr>
      <w:t>&lt;/PathFdR&gt;</w:t>
    </w:r>
    <w:r>
      <w:tab/>
    </w:r>
    <w:r>
      <w:tab/>
    </w:r>
    <w:r>
      <w:t>PE</w:t>
    </w:r>
    <w:r>
      <w:rPr>
        <w:rStyle w:val="HideTWBExt"/>
      </w:rPr>
      <w:t>&lt;NoPE&gt;</w:t>
    </w:r>
    <w:r>
      <w:t>770.101</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132</Pages>
  <Words>25032</Words>
  <Characters>154445</Characters>
  <Application>Microsoft Office Word</Application>
  <DocSecurity>0</DocSecurity>
  <Lines>1</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159312</vt:lpwstr>
  </property>
  <property fmtid="{D5CDD505-2E9C-101B-9397-08002B2CF9AE}" pid="7" name="dmxml.render.traceId">
    <vt:lpwstr>67f3939fc5eeb778d39abad4e5990708</vt:lpwstr>
  </property>
  <property fmtid="{D5CDD505-2E9C-101B-9397-08002B2CF9AE}" pid="8" name="FooterPath">
    <vt:lpwstr>AM\1316349EL.docx</vt:lpwstr>
  </property>
  <property fmtid="{D5CDD505-2E9C-101B-9397-08002B2CF9AE}" pid="9" name="PE Number">
    <vt:lpwstr>770.101</vt:lpwstr>
  </property>
  <property fmtid="{D5CDD505-2E9C-101B-9397-08002B2CF9AE}" pid="10" name="UID">
    <vt:lpwstr>eu.europa.europarl-DIN1-2025-0000061388_01.00-el-01.00_text-xml</vt:lpwstr>
  </property>
</Properties>
</file>