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Euroopan parlamentti</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Ulkoasiainvaliokunta</w:t>
      </w:r>
      <w:r>
        <w:rPr>
          <w:rStyle w:val="HideTWBExt"/>
        </w:rPr>
        <w:t>&lt;/Commission&gt;</w:t>
      </w:r>
    </w:p>
    <w:p>
      <w:pPr>
        <w:pStyle w:val="LineBottom"/>
      </w:pPr>
      <w:r>
        <w:t xml:space="preserve"> </w:t>
      </w:r>
    </w:p>
    <w:p>
      <w:pPr>
        <w:pStyle w:val="CoverReference"/>
      </w:pPr>
      <w:r>
        <w:rPr>
          <w:rStyle w:val="HideTWBExt"/>
        </w:rPr>
        <w:t>&lt;RefProc&gt;</w:t>
      </w:r>
      <w:r>
        <w:t>2025/2017</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{25/03/2025}</w:t>
      </w:r>
      <w:r>
        <w:t>25.3.2025</w:t>
      </w:r>
      <w:r>
        <w:rPr>
          <w:rStyle w:val="HideTWBExt"/>
        </w:rPr>
        <w:t>&lt;/Date&gt;</w:t>
      </w:r>
    </w:p>
    <w:p>
      <w:pPr>
        <w:pStyle w:val="CoverDocType"/>
      </w:pPr>
      <w:r>
        <w:rPr>
          <w:rStyle w:val="HideTWBExt"/>
        </w:rPr>
        <w:t>&lt;TypeAM&gt;</w:t>
      </w:r>
      <w:r>
        <w:t>TARKISTUKSET</w:t>
      </w:r>
      <w:r>
        <w:rPr>
          <w:rStyle w:val="HideTWBExt"/>
        </w:rPr>
        <w:t>&lt;/TypeAM&gt;</w:t>
      </w:r>
    </w:p>
    <w:p>
      <w:pPr>
        <w:pStyle w:val="CoverDocType24a"/>
      </w:pPr>
      <w:r>
        <w:rPr>
          <w:rStyle w:val="HideTWBExt"/>
        </w:rPr>
        <w:t>&lt;RangeAM&gt;</w:t>
      </w:r>
      <w:r>
        <w:t>1</w:t>
      </w:r>
      <w:r>
        <w:t xml:space="preserve"> - </w:t>
      </w:r>
      <w:r>
        <w:t>236</w:t>
      </w:r>
      <w:r>
        <w:rPr>
          <w:rStyle w:val="HideTWBExt"/>
        </w:rPr>
        <w:t>&lt;/RangeAM&gt;</w:t>
      </w:r>
    </w:p>
    <w:p>
      <w:pPr>
        <w:pStyle w:val="CoverBold"/>
      </w:pPr>
      <w:r>
        <w:rPr>
          <w:rStyle w:val="HideTWBExt"/>
        </w:rPr>
        <w:t>&lt;TitreType&gt;</w:t>
      </w:r>
      <w:r>
        <w:t>Mietintöluonnos</w:t>
      </w:r>
      <w:r>
        <w:rPr>
          <w:rStyle w:val="HideTWBExt"/>
        </w:rPr>
        <w:t>&lt;/TitreType&gt;</w:t>
      </w:r>
    </w:p>
    <w:p>
      <w:pPr>
        <w:pStyle w:val="CoverBold"/>
      </w:pPr>
      <w:r>
        <w:rPr>
          <w:rStyle w:val="HideTWBExt"/>
        </w:rPr>
        <w:t>&lt;Rapporteur&gt;</w:t>
      </w:r>
      <w:r>
        <w:t>Andreas Schieder</w:t>
      </w:r>
      <w:r>
        <w:rPr>
          <w:rStyle w:val="HideTWBExt"/>
        </w:rPr>
        <w:t>&lt;/Rapporteur&gt;</w:t>
      </w:r>
    </w:p>
    <w:p>
      <w:pPr>
        <w:pStyle w:val="CoverNormal24a"/>
      </w:pPr>
      <w:r>
        <w:rPr>
          <w:rStyle w:val="HideTWBExt"/>
        </w:rPr>
        <w:t>&lt;DocRefPE&gt;</w:t>
      </w:r>
      <w:r>
        <w:t>(PE769.914v01-00)</w:t>
      </w:r>
      <w:r>
        <w:rPr>
          <w:rStyle w:val="HideTWBExt"/>
        </w:rPr>
        <w:t>&lt;/DocRefPE&gt;</w:t>
      </w:r>
    </w:p>
    <w:p>
      <w:pPr>
        <w:pStyle w:val="CoverNormal"/>
      </w:pPr>
      <w:r>
        <w:rPr>
          <w:rStyle w:val="HideTWBExt"/>
        </w:rPr>
        <w:t>&lt;Titre&gt;</w:t>
      </w:r>
      <w:r>
        <w:t>Albaniaa koskevat komission vuosien 2023 ja 2024 kertomukset</w:t>
      </w:r>
      <w:r>
        <w:rPr>
          <w:rStyle w:val="HideTWBExt"/>
        </w:rPr>
        <w:t>&lt;/Titre&gt;</w:t>
      </w:r>
    </w:p>
    <w:p>
      <w:pPr>
        <w:pStyle w:val="CoverNormal24a"/>
      </w:pPr>
      <w:r>
        <w:rPr>
          <w:rStyle w:val="HideTWBExt"/>
        </w:rPr>
        <w:t>&lt;DocRef&gt;</w:t>
      </w:r>
      <w:r>
        <w:t>(2025/2017(INI))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Tarkistus</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12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Maailman talousfoorumin sukupuolten epätasa-arvoa käsittelevän Global Gender Gap -raportin vuodelta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12 b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Toimittajat ilman rajoja -järjestön raportin maailman lehdistönvapausindeksistä vuonna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12 c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Transparency International -järjestön julkaiseman vuotta 2024 koskevan korruptioindeksin,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15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17. toukokuuta 2018 pidetyssä EU:n ja Länsi-Balkanin maiden huippukokouksessa annetun Sofian julistuksen ja siihen liitetyn Sofian prioriteettiagendan,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15 b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6. toukokuuta 2020 Zagrebissa pidetyn EU:n ja Länsi-Balkanin huippukokouksen ja sen julkilausuman,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15 c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26. heinäkuuta 2021 annetun Euroopan turvallisuus- ja yhteistyöjärjestön (Etyj) demokraattisten instituutioiden ja ihmisoikeuksien toimiston (ODHIR) loppuraportin vaalitarkkailuvaltuuskunnasta Albanian tasavallassa 25. huhtikuuta 2021 järjestetyissä parlamenttivaaleissa,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Hermann Tertsch, 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18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Albanian ja Italian hallitusten 6. marraskuuta 2023 tekemän turvapaikkasopimuksen, jonka Albanian parlamentti ratifioi 22. helmikuuta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18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Europolin vuoden 2023 raportin EU:ta eniten uhkaavien rikollisverkostojen kartoittamisesta "Decoding the EU’s most threatening criminal networks",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Hermann Tertsch, 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A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toteaa, että </w:t>
            </w:r>
            <w:r>
              <w:rPr>
                <w:b/>
                <w:i/>
              </w:rPr>
              <w:t>laajentuminen on</w:t>
            </w:r>
            <w:r>
              <w:t xml:space="preserve"> EU:n ulkopolitiikan </w:t>
            </w:r>
            <w:r>
              <w:rPr>
                <w:b/>
                <w:i/>
              </w:rPr>
              <w:t>tehokkain väline ja geostrateginen investointi</w:t>
            </w:r>
            <w:r>
              <w:t xml:space="preserve"> pitkäaikaiseen rauhaan, demokratiaan, vakauteen ja vaurauteen Euroopan mantereella;</w:t>
            </w:r>
          </w:p>
        </w:tc>
        <w:tc>
          <w:tcPr>
            <w:tcW w:w="4876" w:type="dxa"/>
            <w:tcBorders>
              <w:top w:val="nil"/>
              <w:left w:val="nil"/>
              <w:bottom w:val="nil"/>
              <w:right w:val="nil"/>
            </w:tcBorders>
          </w:tcPr>
          <w:p>
            <w:pPr>
              <w:pStyle w:val="Normal6a"/>
            </w:pPr>
            <w:r>
              <w:t>A.</w:t>
            </w:r>
            <w:r>
              <w:tab/>
            </w:r>
            <w:r>
              <w:t xml:space="preserve">toteaa, että </w:t>
            </w:r>
            <w:r>
              <w:rPr>
                <w:b/>
                <w:i/>
              </w:rPr>
              <w:t>laajentumista käytetään</w:t>
            </w:r>
            <w:r>
              <w:t xml:space="preserve"> EU:n ulkopolitiikan </w:t>
            </w:r>
            <w:r>
              <w:rPr>
                <w:b/>
                <w:i/>
              </w:rPr>
              <w:t>välineenä ja geostrategisena investointina</w:t>
            </w:r>
            <w:r>
              <w:t xml:space="preserve"> pitkäaikaiseen rauhaan, demokratiaan, vakauteen ja vaurauteen Euroopan mantereella; </w:t>
            </w:r>
            <w:r>
              <w:rPr>
                <w:b/>
                <w:i/>
              </w:rPr>
              <w:t>toteaa, että laajentuminen tuo mukanaan kasvavia riskejä ja haasteita EU:n toiminnalle ja että nykyisten jäsenvaltioiden on arvioitava kunnolla tätä tosiasiaa;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A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toteaa, että </w:t>
            </w:r>
            <w:r>
              <w:rPr>
                <w:b/>
                <w:i/>
              </w:rPr>
              <w:t>laajentuminen on EU:n ulkopolitiikan tehokkain väline ja geostrateginen investointi pitkäaikaiseen rauhaan, demokratiaan, vakauteen ja vaurauteen Euroopan mantereella</w:t>
            </w:r>
            <w:r>
              <w:t>;</w:t>
            </w:r>
          </w:p>
        </w:tc>
        <w:tc>
          <w:tcPr>
            <w:tcW w:w="4876" w:type="dxa"/>
            <w:tcBorders>
              <w:top w:val="nil"/>
              <w:left w:val="nil"/>
              <w:bottom w:val="nil"/>
              <w:right w:val="nil"/>
            </w:tcBorders>
          </w:tcPr>
          <w:p>
            <w:pPr>
              <w:pStyle w:val="Normal6a"/>
            </w:pPr>
            <w:r>
              <w:t>A.</w:t>
            </w:r>
            <w:r>
              <w:tab/>
            </w:r>
            <w:r>
              <w:t xml:space="preserve">toteaa, että </w:t>
            </w:r>
            <w:r>
              <w:rPr>
                <w:b/>
                <w:i/>
              </w:rPr>
              <w:t>laajentumisessa ei enää oteta täysin huomioon Kööpenhaminan arviointiperusteisiin kuuluvia taloudellisen kurinalaisuuden ja poliittisen vakauden kriteerejä;</w:t>
            </w:r>
            <w:r>
              <w:t xml:space="preserve"> </w:t>
            </w:r>
            <w:r>
              <w:rPr>
                <w:b/>
                <w:i/>
              </w:rPr>
              <w:t>ottaa huomioon, että Kööpenhaminan arviointiperusteet ovat keskeisen tärkeitä, jotta voidaan turvata unionin ja sen kansalaisten arvot, vakaus ja turvallisuus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A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toteaa, että </w:t>
            </w:r>
            <w:r>
              <w:rPr>
                <w:b/>
                <w:i/>
              </w:rPr>
              <w:t>laajentuminen on</w:t>
            </w:r>
            <w:r>
              <w:t xml:space="preserve"> EU:n ulkopolitiikan </w:t>
            </w:r>
            <w:r>
              <w:rPr>
                <w:b/>
                <w:i/>
              </w:rPr>
              <w:t>tehokkain väline ja geostrateginen investointi</w:t>
            </w:r>
            <w:r>
              <w:t xml:space="preserve"> pitkäaikaiseen rauhaan, demokratiaan, vakauteen ja vaurauteen Euroopan mantereella;</w:t>
            </w:r>
          </w:p>
        </w:tc>
        <w:tc>
          <w:tcPr>
            <w:tcW w:w="4876" w:type="dxa"/>
            <w:tcBorders>
              <w:top w:val="nil"/>
              <w:left w:val="nil"/>
              <w:bottom w:val="nil"/>
              <w:right w:val="nil"/>
            </w:tcBorders>
          </w:tcPr>
          <w:p>
            <w:pPr>
              <w:pStyle w:val="Normal6a"/>
            </w:pPr>
            <w:r>
              <w:t>A.</w:t>
            </w:r>
            <w:r>
              <w:tab/>
            </w:r>
            <w:r>
              <w:t xml:space="preserve">toteaa, että </w:t>
            </w:r>
            <w:r>
              <w:rPr>
                <w:b/>
                <w:i/>
              </w:rPr>
              <w:t>yhteistyötä – ei yksistään laajentumista – olisi pidettävä</w:t>
            </w:r>
            <w:r>
              <w:t xml:space="preserve"> EU:n ulkopolitiikan </w:t>
            </w:r>
            <w:r>
              <w:rPr>
                <w:b/>
                <w:i/>
              </w:rPr>
              <w:t>realistisimpana ja tehokkaimpana välineenä ja geostrategisena investointina</w:t>
            </w:r>
            <w:r>
              <w:t xml:space="preserve"> pitkäaikaiseen rauhaan, demokratiaan, vakauteen ja vaurauteen Euroopan mantereella;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A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toteaa, että laajentuminen on EU:n ulkopolitiikan </w:t>
            </w:r>
            <w:r>
              <w:rPr>
                <w:b/>
                <w:i/>
              </w:rPr>
              <w:t>tehokkain väline</w:t>
            </w:r>
            <w:r>
              <w:t xml:space="preserve"> ja geostrateginen investointi pitkäaikaiseen rauhaan, demokratiaan, vakauteen ja vaurauteen Euroopan mantereella;</w:t>
            </w:r>
          </w:p>
        </w:tc>
        <w:tc>
          <w:tcPr>
            <w:tcW w:w="4876" w:type="dxa"/>
            <w:tcBorders>
              <w:top w:val="nil"/>
              <w:left w:val="nil"/>
              <w:bottom w:val="nil"/>
              <w:right w:val="nil"/>
            </w:tcBorders>
          </w:tcPr>
          <w:p>
            <w:pPr>
              <w:pStyle w:val="Normal6a"/>
            </w:pPr>
            <w:r>
              <w:t>A.</w:t>
            </w:r>
            <w:r>
              <w:tab/>
            </w:r>
            <w:r>
              <w:t xml:space="preserve">toteaa, että laajentuminen on </w:t>
            </w:r>
            <w:r>
              <w:rPr>
                <w:b/>
                <w:i/>
              </w:rPr>
              <w:t>järkevästi toteutettuna yksi</w:t>
            </w:r>
            <w:r>
              <w:t xml:space="preserve"> EU:n ulkopolitiikan </w:t>
            </w:r>
            <w:r>
              <w:rPr>
                <w:b/>
                <w:i/>
              </w:rPr>
              <w:t>tehokkaimmista välineistä</w:t>
            </w:r>
            <w:r>
              <w:t xml:space="preserve"> ja geostrateginen investointi pitkäaikaiseen rauhaan, demokratiaan, vakauteen ja vaurauteen Euroopan mantereella;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A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a.</w:t>
            </w:r>
            <w:r>
              <w:tab/>
            </w:r>
            <w:r>
              <w:rPr>
                <w:b/>
                <w:i/>
              </w:rPr>
              <w:t>ottaa huomioon, että EU on edelleen Länsi-Balkanin maiden tärkein poliittinen ja taloudellinen kumppani;</w:t>
            </w:r>
            <w:r>
              <w:t xml:space="preserve"> </w:t>
            </w:r>
            <w:r>
              <w:rPr>
                <w:b/>
                <w:i/>
              </w:rPr>
              <w:t>ottaa huomioon, että EU on edelleen Albanian selvästi suurin kauppa- ja investointikumppani ja sen merkittävin rahoitustuen antaja;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B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ottaa huomioon, että laajentuminen on ansioihin perustuva prosessi, joka pohjautuu demokratiaan, oikeusvaltioperiaatteeseen ja perusoikeuksiin;</w:t>
            </w:r>
          </w:p>
        </w:tc>
        <w:tc>
          <w:tcPr>
            <w:tcW w:w="4876" w:type="dxa"/>
            <w:tcBorders>
              <w:top w:val="nil"/>
              <w:left w:val="nil"/>
              <w:bottom w:val="nil"/>
              <w:right w:val="nil"/>
            </w:tcBorders>
          </w:tcPr>
          <w:p>
            <w:pPr>
              <w:pStyle w:val="Normal6a"/>
            </w:pPr>
            <w:r>
              <w:t>B.</w:t>
            </w:r>
            <w:r>
              <w:tab/>
            </w:r>
            <w:r>
              <w:t xml:space="preserve">ottaa huomioon, että laajentuminen on ansioihin perustuva prosessi, joka pohjautuu demokratiaan, oikeusvaltioperiaatteeseen ja perusoikeuksiin; </w:t>
            </w:r>
            <w:r>
              <w:rPr>
                <w:b/>
                <w:i/>
              </w:rPr>
              <w:t>ottaa huomioon, että Albanian EU:hun liittyminen riippuu pysyvien, perusteellisten ja peruuttamattomien uudistusten toteuttamisesta kaikilla keskeisillä aloilla, alkaen oikeusvaltioperiaatteesta ja demokraattisten instituutioiden toiminnasta;</w:t>
            </w:r>
            <w:r>
              <w:t xml:space="preserve"> </w:t>
            </w:r>
            <w:r>
              <w:rPr>
                <w:b/>
                <w:i/>
              </w:rPr>
              <w:t>katsoo, että maan välttämättömien uudistusten laatu määrittää liittymisaikataulun;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B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ottaa huomioon, että laajentuminen on ansioihin perustuva prosessi, joka pohjautuu demokratiaan, oikeusvaltioperiaatteeseen </w:t>
            </w:r>
            <w:r>
              <w:rPr>
                <w:b/>
                <w:i/>
              </w:rPr>
              <w:t>ja perusoikeuksiin</w:t>
            </w:r>
            <w:r>
              <w:t>;</w:t>
            </w:r>
          </w:p>
        </w:tc>
        <w:tc>
          <w:tcPr>
            <w:tcW w:w="4876" w:type="dxa"/>
            <w:tcBorders>
              <w:top w:val="nil"/>
              <w:left w:val="nil"/>
              <w:bottom w:val="nil"/>
              <w:right w:val="nil"/>
            </w:tcBorders>
          </w:tcPr>
          <w:p>
            <w:pPr>
              <w:pStyle w:val="Normal6a"/>
            </w:pPr>
            <w:r>
              <w:t>B.</w:t>
            </w:r>
            <w:r>
              <w:tab/>
            </w:r>
            <w:r>
              <w:t>ottaa huomioon, että laajentuminen on ansioihin perustuva prosessi, joka pohjautuu demokratiaan, oikeusvaltioperiaatteeseen</w:t>
            </w:r>
            <w:r>
              <w:rPr>
                <w:b/>
                <w:i/>
              </w:rPr>
              <w:t>, perusoikeuksiin ja taloudellisen valmiuteen;</w:t>
            </w:r>
            <w:r>
              <w:t xml:space="preserve"> </w:t>
            </w:r>
            <w:r>
              <w:rPr>
                <w:b/>
                <w:i/>
              </w:rPr>
              <w:t>katsoo, että ehdokasmaiden on osoitettava, että niillä on vakaat demokraattiset instituutiot ja että ne kunnioittavat keskeisiä arvoja sekä että niillä on toimiva markkinatalous ja kyky selviytyä kilpailupaineesta EU:n sisämarkkinoilla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B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ottaa huomioon, että laajentuminen on ansioihin perustuva prosessi, joka pohjautuu demokratiaan, oikeusvaltioperiaatteeseen ja perusoikeuksiin;</w:t>
            </w:r>
          </w:p>
        </w:tc>
        <w:tc>
          <w:tcPr>
            <w:tcW w:w="4876" w:type="dxa"/>
            <w:tcBorders>
              <w:top w:val="nil"/>
              <w:left w:val="nil"/>
              <w:bottom w:val="nil"/>
              <w:right w:val="nil"/>
            </w:tcBorders>
          </w:tcPr>
          <w:p>
            <w:pPr>
              <w:pStyle w:val="Normal6a"/>
            </w:pPr>
            <w:r>
              <w:t>B.</w:t>
            </w:r>
            <w:r>
              <w:tab/>
            </w:r>
            <w:r>
              <w:t xml:space="preserve">ottaa huomioon, että laajentuminen on ansioihin perustuva prosessi, joka pohjautuu demokratiaan, oikeusvaltioperiaatteeseen ja perusoikeuksiin </w:t>
            </w:r>
            <w:r>
              <w:rPr>
                <w:b/>
                <w:i/>
              </w:rPr>
              <w:t>ja että ulkomainen sekaantuminen aiheuttaa suoran haasteen demokraattisten instituutioiden toiminnalle ja vaikeuttaa tällä tavoin EU-jäsenyyden toteutumista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B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ottaa huomioon, että laajentuminen on ansioihin perustuva prosessi, joka pohjautuu demokratiaan, oikeusvaltioperiaatteeseen ja perusoikeuksiin;</w:t>
            </w:r>
          </w:p>
        </w:tc>
        <w:tc>
          <w:tcPr>
            <w:tcW w:w="4876" w:type="dxa"/>
            <w:tcBorders>
              <w:top w:val="nil"/>
              <w:left w:val="nil"/>
              <w:bottom w:val="nil"/>
              <w:right w:val="nil"/>
            </w:tcBorders>
          </w:tcPr>
          <w:p>
            <w:pPr>
              <w:pStyle w:val="Normal6a"/>
            </w:pPr>
            <w:r>
              <w:t>B.</w:t>
            </w:r>
            <w:r>
              <w:tab/>
            </w:r>
            <w:r>
              <w:t xml:space="preserve">ottaa huomioon, että laajentuminen on ansioihin perustuva prosessi, joka pohjautuu demokratiaan, oikeusvaltioperiaatteeseen ja perusoikeuksiin; </w:t>
            </w:r>
            <w:r>
              <w:rPr>
                <w:b/>
                <w:i/>
              </w:rPr>
              <w:t>toteaa, että Länsi-Balkanin maat ovat vielä kaukana näiden kriteerien täyttymisestä;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B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a.</w:t>
            </w:r>
            <w:r>
              <w:tab/>
            </w:r>
            <w:r>
              <w:rPr>
                <w:b/>
                <w:i/>
              </w:rPr>
              <w:t>panee merkille, että 20. marraskuuta 2024 albanialaiset parlamentin jäsenet sytyttivät savusoihtuja ja tulipaloja keskellä Albanian parlamentin istuntosalia pyrkiessään keskeyttämään äänestyksen vuoden 2024 talousarviosta;</w:t>
            </w:r>
            <w:r>
              <w:t xml:space="preserve"> </w:t>
            </w:r>
            <w:r>
              <w:rPr>
                <w:b/>
                <w:i/>
              </w:rPr>
              <w:t>toteaa, että välikohtaus osoittaa maan ilmiselvän poliittisen epävakauden, mikä herättää vakavia epäilyjä Albanian edistymisestä EU:hun liittymisprosessissa ja sen kyvystä täyttää tarvittavat poliittiset ja toimielimiä koskevat kriteerit;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C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a.</w:t>
            </w:r>
            <w:r>
              <w:tab/>
            </w:r>
            <w:r>
              <w:rPr>
                <w:b/>
                <w:i/>
              </w:rPr>
              <w:t>toteaa, että Albania on ollut EU:n ehdokasmaa vuodesta 2014 mutta sen viimeaikainen poliittinen kehitys on herättänyt huolta vallan keskittymisestä pääministeri Raman käsiin, oppositiojohtajien ja aktivistien toiminnan tukahduttamisesta ja oikeusprosessien politisoinnista ja käyttämisestä poliittisena aseena, mikä heikentää demokraattista prosessia ja perustuslaillista parlamentaarista järjestelmää, joka perustuu vallan kolmijaon mukaisen kontrollin periaatteeseen;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C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a.</w:t>
            </w:r>
            <w:r>
              <w:tab/>
            </w:r>
            <w:r>
              <w:rPr>
                <w:b/>
                <w:i/>
              </w:rPr>
              <w:t>ottaa huomioon, että Europolin vuoden 2023 raportissa EU:ta eniten uhkaavista rikollisverkostoista</w:t>
            </w:r>
            <w:r>
              <w:rPr>
                <w:b/>
                <w:i/>
                <w:vertAlign w:val="superscript"/>
              </w:rPr>
              <w:t>1 a</w:t>
            </w:r>
            <w:r>
              <w:rPr>
                <w:b/>
                <w:i/>
              </w:rPr>
              <w:t> Albanian todettiin olevan merkittävä toimija joissakin EU:ta eniten uhkaavista rikollisverkostoista;</w:t>
            </w:r>
            <w:r>
              <w:t xml:space="preserve"> </w:t>
            </w:r>
            <w:r>
              <w:rPr>
                <w:b/>
                <w:i/>
              </w:rPr>
              <w:t>huomauttaa, että raportissa todetaan albanialaisten rikollisryhmien olevan erittäin aktiivisia huumekaupassa, ihmiskaupassa, rahanpesussa ja laittomassa asekaupassa;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https://www.europol.europa.eu/cms/sites/default/files/documents/Europol%20report%20on%20Decoding%20the%20EU-s%20most%20threatening%20criminal%20networks.pdf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C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a.</w:t>
            </w:r>
            <w:r>
              <w:tab/>
            </w:r>
            <w:r>
              <w:rPr>
                <w:b/>
                <w:i/>
              </w:rPr>
              <w:t>ottaa huomioon Yhdistyneiden kansakuntien merioikeusyleissopimuksen (UNCLOS),</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C b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w:t>
            </w:r>
            <w:r>
              <w:tab/>
            </w:r>
            <w:r>
              <w:rPr>
                <w:b/>
                <w:i/>
              </w:rPr>
              <w:t>toteaa, että albanialaiset rikollisverkostot ovat vahvasti mukana aseiden, myös ampuma-aseiden ja räjähteiden, laittomassa kaupassa EU:hun Balkanin reittiä pitkin</w:t>
            </w:r>
            <w:r>
              <w:rPr>
                <w:b/>
                <w:i/>
                <w:vertAlign w:val="superscript"/>
              </w:rPr>
              <w:t>1 a</w:t>
            </w:r>
            <w:r>
              <w:rPr>
                <w:b/>
                <w:i/>
              </w:rPr>
              <w:t>;</w:t>
            </w:r>
            <w:r>
              <w:t xml:space="preserve"> </w:t>
            </w:r>
            <w:r>
              <w:rPr>
                <w:b/>
                <w:i/>
              </w:rPr>
              <w:t>toteaa, että Albanian historiallinen rooli aseiden salakuljetuksessa, etenkin sen jälkeen, kun valtion asevarastot ryöstettiin tyhjäksi 1990-luvulla, vaikuttaa edelleen asekauppaan Euroopassa;</w:t>
            </w:r>
            <w:r>
              <w:t xml:space="preserve"> </w:t>
            </w:r>
            <w:r>
              <w:rPr>
                <w:b/>
                <w:i/>
              </w:rPr>
              <w:t>toteaa, että Europolin raportin mukaan Länsi-Balkan on yhä merkittävä kauttakulkualue, jonka kautta laittomia aseita kuljetetaan Länsi-Eurooppaan</w:t>
            </w:r>
            <w:r>
              <w:rPr>
                <w:b/>
                <w:i/>
                <w:vertAlign w:val="superscript"/>
              </w:rPr>
              <w:t>1 b</w:t>
            </w:r>
            <w:r>
              <w:rPr>
                <w:b/>
                <w:i/>
              </w:rPr>
              <w:t>;</w:t>
            </w:r>
            <w:r>
              <w:t xml:space="preserve"> </w:t>
            </w:r>
            <w:r>
              <w:rPr>
                <w:b/>
                <w:i/>
              </w:rPr>
              <w:t>toteaa mainitun laittoman kaupan pahentavan turvallisuusongelmia EU:n kannalta;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https://www.europol.europa.eu/cms/sites/default/files/documents/Europol%20report%20on%20Decoding%20the%20EU-s%20most%20threatening%20criminal%20networks.pdf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w:t>
            </w:r>
            <w:r>
              <w:t xml:space="preserve"> </w:t>
            </w:r>
            <w:r>
              <w:rPr>
                <w:b/>
                <w:i/>
              </w:rPr>
              <w:t>https://www.europol.europa.eu/cms/sites/default/files/documents/EU-SOCTA-2025.pdf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C c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c.</w:t>
            </w:r>
            <w:r>
              <w:tab/>
            </w:r>
            <w:r>
              <w:rPr>
                <w:b/>
                <w:i/>
              </w:rPr>
              <w:t>toteaa, että Albania on merkittävä kannabiksen tuottaja Euroopassa ja että arvioiden mukaan suuri osa Euroopassa käytettävästä kannabiksesta on kasvatettu Albaniassa;</w:t>
            </w:r>
            <w:r>
              <w:t xml:space="preserve"> </w:t>
            </w:r>
            <w:r>
              <w:rPr>
                <w:b/>
                <w:i/>
              </w:rPr>
              <w:t>toteaa, että Balkanin reitti on tärkeimpiä Afghanistanissa tuotetun heroiinin laittoman kaupan reittejä, joka kulkee Albanian kautta Länsi-Eurooppaan;</w:t>
            </w:r>
            <w:r>
              <w:t xml:space="preserve"> </w:t>
            </w:r>
            <w:r>
              <w:rPr>
                <w:b/>
                <w:i/>
              </w:rPr>
              <w:t>toteaa, että albanialaiset rikollisverkostot ovat vahvasti mukana heroiinin salakuljetuksessa ja että Albania on tärkeä rajanylityspaikka kuljetettaessa heroiinia EU:hun;</w:t>
            </w:r>
            <w:r>
              <w:t xml:space="preserve"> </w:t>
            </w:r>
            <w:r>
              <w:rPr>
                <w:b/>
                <w:i/>
              </w:rPr>
              <w:t>toteaa, että albanialaiset ovat eniten edustettujen kansallisuuksien joukossa kannabiksen ja kokaiinin laittoman kaupan verkostoissa Euroopassa</w:t>
            </w:r>
            <w:r>
              <w:rPr>
                <w:b/>
                <w:i/>
                <w:vertAlign w:val="superscript"/>
              </w:rPr>
              <w:t>1 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https://www.europol.europa.eu/cms/sites/default/files/documents/Europol%20report%20on%20Decoding%20the%20EU-s%20most%20threatening%20criminal%20networks.pdf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D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ottaa huomioon, että Albania aloitti neuvottelut perusasioiden temaattisesta kokonaisuudesta (nro 1) 15. lokakuuta 2024 ja ulkosuhteiden temaattisesta kokonaisuudesta (nro 6) 17. joulukuuta 2024;</w:t>
            </w:r>
          </w:p>
        </w:tc>
        <w:tc>
          <w:tcPr>
            <w:tcW w:w="4876" w:type="dxa"/>
            <w:tcBorders>
              <w:top w:val="nil"/>
              <w:left w:val="nil"/>
              <w:bottom w:val="nil"/>
              <w:right w:val="nil"/>
            </w:tcBorders>
          </w:tcPr>
          <w:p>
            <w:pPr>
              <w:pStyle w:val="Normal6a"/>
            </w:pPr>
            <w:r>
              <w:t>D.</w:t>
            </w:r>
            <w:r>
              <w:tab/>
            </w:r>
            <w:r>
              <w:t xml:space="preserve">ottaa huomioon, että Albania aloitti neuvottelut perusasioiden temaattisesta kokonaisuudesta (nro 1) 15. lokakuuta 2024 ja ulkosuhteiden temaattisesta kokonaisuudesta (nro 6) 17. joulukuuta 2024 </w:t>
            </w:r>
            <w:r>
              <w:rPr>
                <w:b/>
                <w:i/>
              </w:rPr>
              <w:t>ja että edistyäkseen EU-jäsenyysprosessissa sen täytyy korjata ulkomaiseen pahantahtoiseen vaikuttamiseen, vaalihäirintään ja hybridiuhkiin liittyvät kriittiset haavoittuvuudet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katsoo, että Albania on luotettava ulkopoliittinen kumppani ja täysin mukautunut EU:n yhteiseen ulko- ja turvallisuuspolitiikkaan;</w:t>
            </w:r>
          </w:p>
        </w:tc>
        <w:tc>
          <w:tcPr>
            <w:tcW w:w="4876" w:type="dxa"/>
            <w:tcBorders>
              <w:top w:val="nil"/>
              <w:left w:val="nil"/>
              <w:bottom w:val="nil"/>
              <w:right w:val="nil"/>
            </w:tcBorders>
          </w:tcPr>
          <w:p>
            <w:pPr>
              <w:pStyle w:val="Normal6a"/>
            </w:pPr>
            <w:r>
              <w:t>E.</w:t>
            </w:r>
            <w:r>
              <w:tab/>
            </w:r>
            <w:r>
              <w:t xml:space="preserve">katsoo, että Albania on luotettava ulkopoliittinen kumppani ja täysin mukautunut EU:n yhteiseen ulko- ja turvallisuuspolitiikkaan; </w:t>
            </w:r>
            <w:r>
              <w:rPr>
                <w:b/>
                <w:i/>
              </w:rPr>
              <w:t>toteaa, että ulkopoliittisen linjan mukauttaminen EU:n linjaan ei ole ainoa liittymisprosessin vaatimus;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katsoo, että Albania on luotettava ulkopoliittinen kumppani ja täysin mukautunut EU:n</w:t>
            </w:r>
            <w:r>
              <w:t xml:space="preserve"> yhteiseen ulko- ja </w:t>
            </w:r>
            <w:r>
              <w:rPr>
                <w:b/>
                <w:i/>
              </w:rPr>
              <w:t>turvallisuuspolitiikkaan</w:t>
            </w:r>
            <w:r>
              <w:t>;</w:t>
            </w:r>
          </w:p>
        </w:tc>
        <w:tc>
          <w:tcPr>
            <w:tcW w:w="4876" w:type="dxa"/>
            <w:tcBorders>
              <w:top w:val="nil"/>
              <w:left w:val="nil"/>
              <w:bottom w:val="nil"/>
              <w:right w:val="nil"/>
            </w:tcBorders>
          </w:tcPr>
          <w:p>
            <w:pPr>
              <w:pStyle w:val="Normal6a"/>
            </w:pPr>
            <w:r>
              <w:t>E.</w:t>
            </w:r>
            <w:r>
              <w:tab/>
            </w:r>
            <w:r>
              <w:rPr>
                <w:b/>
                <w:i/>
              </w:rPr>
              <w:t>toteaa, että EU toivoo saavansa Albaniasta luotettavan kumppanin</w:t>
            </w:r>
            <w:r>
              <w:t xml:space="preserve"> yhteiseen ulko- ja </w:t>
            </w:r>
            <w:r>
              <w:rPr>
                <w:b/>
                <w:i/>
              </w:rPr>
              <w:t>turvallisuuspolitiikkaansa</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a.</w:t>
            </w:r>
            <w:r>
              <w:tab/>
            </w:r>
            <w:r>
              <w:rPr>
                <w:b/>
                <w:i/>
              </w:rPr>
              <w:t>toteaa, että Albania on joutunut venäläisten disinformaatiokampanjoiden, kyberhyökkäysten ja vaalihäirinnän kohteeksi ja että EU:n ulkopuoliset toimijat, kuten Kiina, ovat tehneet maahan kyseenalaisia investointeja;</w:t>
            </w:r>
            <w:r>
              <w:t xml:space="preserve"> </w:t>
            </w:r>
            <w:r>
              <w:rPr>
                <w:b/>
                <w:i/>
              </w:rPr>
              <w:t>panee merkille, että vuosina 2023 ja 2024 riippumattomissa tutkimuksissa paljastettiin Albaniaan kohdistetun huomattavaa disinformaatiotoimintaa ja muun muassa yksilöitiin yli 780 tapausta, joissa albaniankielisessä mediassa oli uudelleenjulkaistu venäläisistä lähteistä peräisin olleita valeuutisia;</w:t>
            </w:r>
            <w:r>
              <w:t xml:space="preserve"> </w:t>
            </w:r>
            <w:r>
              <w:rPr>
                <w:b/>
                <w:i/>
              </w:rPr>
              <w:t>toteaa, että vuosina 2022 ja 2023 Albaniaan kohdistetuilla venäläisillä ja iranilaisilla kyberoperaatioilla häirittiin kriittisiä viranomaistoimintoja ja että ne antavat esimakua hybridiuhkaympäristöstä, johon Albanian on varauduttava edistyessään yhdentymisessä EU:hun;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a.</w:t>
            </w:r>
            <w:r>
              <w:tab/>
            </w:r>
            <w:r>
              <w:rPr>
                <w:b/>
                <w:i/>
              </w:rPr>
              <w:t>katsoo, että laajentuminen Balkanille ei ole jäsenvaltioiden etujen mukaista;</w:t>
            </w:r>
            <w:r>
              <w:t xml:space="preserve"> </w:t>
            </w:r>
            <w:r>
              <w:rPr>
                <w:b/>
                <w:i/>
              </w:rPr>
              <w:t>toteaa, että European Council on Foreign Relations -ajatushautomon vuonna 2019 tekemässä tutkimuksessa</w:t>
            </w:r>
            <w:r>
              <w:rPr>
                <w:b/>
                <w:i/>
                <w:vertAlign w:val="superscript"/>
              </w:rPr>
              <w:t>1 a</w:t>
            </w:r>
            <w:r>
              <w:t xml:space="preserve"> </w:t>
            </w:r>
            <w:r>
              <w:rPr>
                <w:b/>
                <w:i/>
              </w:rPr>
              <w:t>vahvistetaan, että enemmistö jäsenvaltioiden kansalaisista ei halua Balkanin yhdentyvän EU:hun;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https://eupinions.eu/de/blog/eu-citizens-remain-against-further-enlargement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Andrey Kovatchev, Michael Gahler, Matej Tonin,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a.</w:t>
            </w:r>
            <w:r>
              <w:tab/>
            </w:r>
            <w:r>
              <w:rPr>
                <w:b/>
                <w:i/>
              </w:rPr>
              <w:t>toteaa, että Albanian vaalijärjestelmässä on edelleen puutteita;</w:t>
            </w:r>
            <w:r>
              <w:t xml:space="preserve"> </w:t>
            </w:r>
            <w:r>
              <w:rPr>
                <w:b/>
                <w:i/>
              </w:rPr>
              <w:t>ottaa huomioon, että Etyjin/ODIHR:n suosituksia vaalien järjestämisen parantamisesta edelleen Albaniassa ja niiden saattamisesta täysin Etyjin sitoumusten ja muiden kansainvälisten velvoitteiden ja normien mukaisiksi ei ole vielä pantu täysin täytäntöön;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Hermann Tertsch, 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a.</w:t>
            </w:r>
            <w:r>
              <w:tab/>
            </w:r>
            <w:r>
              <w:rPr>
                <w:b/>
                <w:i/>
              </w:rPr>
              <w:t>panee merkille, että Albanian parlamentti ratifioi 22. helmikuuta 2024 turvapaikkasopimuksen, jonka Albanian ja Italian hallitukset allekirjoittivat 6. marraskuuta 2023 ja joka koskee kahden vastaanottokeskuksen perustamista Albaniaan Italiaan suuntautuvien muuttovirtojen hallintaa varten;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a.</w:t>
            </w:r>
            <w:r>
              <w:tab/>
            </w:r>
            <w:r>
              <w:rPr>
                <w:b/>
                <w:i/>
              </w:rPr>
              <w:t>katsoo, että kansallisiin ja etnisiin vähemmistöihin ja haavoittuvassa asemassa oleviin ryhmiin kuuluvien henkilöiden suojelu ja osallistaminen on ratkaisevan tärkeää EU:n jäsenvaltioiksi haluavissa maissa;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a.</w:t>
            </w:r>
            <w:r>
              <w:tab/>
            </w:r>
            <w:r>
              <w:rPr>
                <w:b/>
                <w:i/>
              </w:rPr>
              <w:t>ottaa huomioon, että Albania osallistuu EU:n YTPP-operaatioihin, muun muassa EUFOR Althea -operaatioon Bosnia ja Hertsegovinassa;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b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w:t>
            </w:r>
            <w:r>
              <w:tab/>
            </w:r>
            <w:r>
              <w:rPr>
                <w:b/>
                <w:i/>
              </w:rPr>
              <w:t>panee merkille, että Etyj/ODIHR on havainnut Albanian vaalijärjestelmässä vakavia haavoittuvuuksia, jotka liittyvät etenkin ulkomaiseen rahoitukseen, tiedotusvälineiden omistusta koskevaan avoimuuteen ja poliittiseen verkkomainontaan, jotka ovat yhä merkittäviä riskejä demokratian resilienssille;</w:t>
            </w:r>
            <w:r>
              <w:t xml:space="preserve"> </w:t>
            </w:r>
            <w:r>
              <w:rPr>
                <w:b/>
                <w:i/>
              </w:rPr>
              <w:t>toteaa, että Albanian viranomaisten on korjattava nämä haavoittuvuudet;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b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w:t>
            </w:r>
            <w:r>
              <w:tab/>
            </w:r>
            <w:r>
              <w:rPr>
                <w:b/>
                <w:i/>
              </w:rPr>
              <w:t>toteaa, että korruption torjunta Albaniassa, heimokuntien haitallinen sekaantuminen paikallis- ja keskushallintoon, rahanpesu, järjestäytynyt rikollisuus ja laittomien muuttajien salakuljetus EU:n alueelle ovat kaikki merkittäviä turvallisuusongelmia Euroopalle;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b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w:t>
            </w:r>
            <w:r>
              <w:tab/>
            </w:r>
            <w:r>
              <w:rPr>
                <w:b/>
                <w:i/>
              </w:rPr>
              <w:t>ottaa huomioon, että EU:n jäsenvaltioiksi haluavien maiden on äärimmäisen tärkeää suojella vähemmistöjä;</w:t>
            </w:r>
            <w:r>
              <w:t xml:space="preserve"> </w:t>
            </w:r>
            <w:r>
              <w:rPr>
                <w:b/>
                <w:i/>
              </w:rPr>
              <w:t>ottaa huomioon, että kansallista vapaata itsemäärittelyä ja vähemmistökielten käyttöä koskeva lainsäädäntö on Albaniassa vielä antamatta;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b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w:t>
            </w:r>
            <w:r>
              <w:tab/>
            </w:r>
            <w:r>
              <w:rPr>
                <w:b/>
                <w:i/>
              </w:rPr>
              <w:t>ottaa huomioon, että Venäjän hyökkäyssota Ukrainaa vastaan korostaa EU:n laajentumisen ratkaisevaa merkitystä Euroopan turvallisuuden ja vakauden varmistamisessa;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c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c.</w:t>
            </w:r>
            <w:r>
              <w:tab/>
            </w:r>
            <w:r>
              <w:rPr>
                <w:b/>
                <w:i/>
              </w:rPr>
              <w:t>ottaa huomioon, että liittymistä valmisteleva tukiväline kaudelle 2021–2027 (IPA III) tarjoaa 14,2 miljardia euroa Länsi-Balkanin ja Turkin uudistusten ja sosioekonomisen kehityksen tukemiseen;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Johdanto-osan E c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c.</w:t>
            </w:r>
            <w:r>
              <w:tab/>
            </w:r>
            <w:r>
              <w:rPr>
                <w:b/>
                <w:i/>
              </w:rPr>
              <w:t>ottaa huomioon, että suoran ja välillisen pahantahtoisen ulkomaisen sekaantumisen ja disinformaation avulla pyritään kylvämään eripuraa, lietsomaan jännitteitä ja väkivaltaa ja horjuttamaan koko alueen vakautta;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panee </w:t>
            </w:r>
            <w:r>
              <w:rPr>
                <w:b/>
                <w:i/>
              </w:rPr>
              <w:t>tyytyväisenä</w:t>
            </w:r>
            <w:r>
              <w:t xml:space="preserve"> merkille Albanian </w:t>
            </w:r>
            <w:r>
              <w:rPr>
                <w:b/>
                <w:i/>
              </w:rPr>
              <w:t>vankkumattoman</w:t>
            </w:r>
            <w:r>
              <w:t xml:space="preserve"> sitoutumisen EU:hun yhdentymiseen</w:t>
            </w:r>
            <w:r>
              <w:rPr>
                <w:b/>
                <w:i/>
              </w:rPr>
              <w:t>, mikä kuvastaa poliittisten puolueiden yksimielisyyttä ja kansalaisten laajaa tukea, ja kiittää Albaniaa siitä, että se on mukautunut täysin EU:n yhteiseen ulko‑ ja turvallisuuspolitiikkaan ja sääntöpohjaisen kansainvälisen järjestyksen edistämiseen</w:t>
            </w:r>
            <w:r>
              <w:t>;</w:t>
            </w:r>
          </w:p>
        </w:tc>
        <w:tc>
          <w:tcPr>
            <w:tcW w:w="4876" w:type="dxa"/>
            <w:tcBorders>
              <w:top w:val="nil"/>
              <w:left w:val="nil"/>
              <w:bottom w:val="nil"/>
              <w:right w:val="nil"/>
            </w:tcBorders>
          </w:tcPr>
          <w:p>
            <w:pPr>
              <w:pStyle w:val="Normal6a"/>
            </w:pPr>
            <w:r>
              <w:t>1.</w:t>
            </w:r>
            <w:r>
              <w:tab/>
            </w:r>
            <w:r>
              <w:t xml:space="preserve">panee merkille Albanian </w:t>
            </w:r>
            <w:r>
              <w:rPr>
                <w:b/>
                <w:i/>
              </w:rPr>
              <w:t>teoreettisen</w:t>
            </w:r>
            <w:r>
              <w:t xml:space="preserve"> sitoutumisen EU:hun yhdentymiseen;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panee tyytyväisenä merkille Albanian vankkumattoman sitoutumisen EU:hun yhdentymiseen, mikä kuvastaa poliittisten puolueiden yksimielisyyttä ja kansalaisten laajaa tukea, ja kiittää Albaniaa siitä, että se on mukautunut täysin EU:n yhteiseen ulko‑ ja turvallisuuspolitiikkaan ja sääntöpohjaisen kansainvälisen järjestyksen edistämiseen;</w:t>
            </w:r>
          </w:p>
        </w:tc>
        <w:tc>
          <w:tcPr>
            <w:tcW w:w="4876" w:type="dxa"/>
            <w:tcBorders>
              <w:top w:val="nil"/>
              <w:left w:val="nil"/>
              <w:bottom w:val="nil"/>
              <w:right w:val="nil"/>
            </w:tcBorders>
          </w:tcPr>
          <w:p>
            <w:pPr>
              <w:pStyle w:val="Normal6a"/>
            </w:pPr>
            <w:r>
              <w:t>1.</w:t>
            </w:r>
            <w:r>
              <w:tab/>
            </w:r>
            <w:r>
              <w:t>panee tyytyväisenä merkille Albanian vankkumattoman sitoutumisen EU:hun yhdentymiseen, mikä kuvastaa poliittisten puolueiden yksimielisyyttä ja kansalaisten laajaa tukea, ja kiittää Albaniaa siitä, että se on mukautunut täysin EU:n yhteiseen ulko‑ ja turvallisuuspolitiikkaan ja sääntöpohjaisen kansainvälisen järjestyksen edistämiseen</w:t>
            </w:r>
            <w:r>
              <w:rPr>
                <w:b/>
                <w:i/>
              </w:rPr>
              <w:t>, sekä sen kategorisesta vastauksesta Venäjän Ukrainassa käymään hyökkäyssotaan, sillä se on hyväksynyt Venäjään ja Valko-Venäjään kohdistetut EU:n rajoittavat toimenpiteet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panee tyytyväisenä merkille Albanian vankkumattoman sitoutumisen EU:hun yhdentymiseen, mikä kuvastaa poliittisten puolueiden yksimielisyyttä ja kansalaisten laajaa tukea</w:t>
            </w:r>
            <w:r>
              <w:t xml:space="preserve">, </w:t>
            </w:r>
            <w:r>
              <w:rPr>
                <w:b/>
                <w:i/>
              </w:rPr>
              <w:t>ja kiittää Albaniaa siitä, että se on mukautunut täysin EU:n yhteiseen ulko‑ ja turvallisuuspolitiikkaan ja sääntöpohjaisen kansainvälisen järjestyksen edistämiseen</w:t>
            </w:r>
            <w:r>
              <w:t>;</w:t>
            </w:r>
          </w:p>
        </w:tc>
        <w:tc>
          <w:tcPr>
            <w:tcW w:w="4876" w:type="dxa"/>
            <w:tcBorders>
              <w:top w:val="nil"/>
              <w:left w:val="nil"/>
              <w:bottom w:val="nil"/>
              <w:right w:val="nil"/>
            </w:tcBorders>
          </w:tcPr>
          <w:p>
            <w:pPr>
              <w:pStyle w:val="Normal6a"/>
            </w:pPr>
            <w:r>
              <w:t>1.</w:t>
            </w:r>
            <w:r>
              <w:tab/>
            </w:r>
            <w:r>
              <w:rPr>
                <w:b/>
                <w:i/>
              </w:rPr>
              <w:t>vastustaa lujasti EU:n laajentumisen jatkamista, koska ehdokasmaat eivät edelleenkään läheskään täytä Kööpenhaminan arviointiperusteissa määritettyjä poliittista</w:t>
            </w:r>
            <w:r>
              <w:t xml:space="preserve">, </w:t>
            </w:r>
            <w:r>
              <w:rPr>
                <w:b/>
                <w:i/>
              </w:rPr>
              <w:t>taloudellista ja sosiaalista vakautta koskevia kriteerejä, mikä pitää paikkansa etenkin Albanian tapauksessa, jossa jatkuva poliittinen epävakaus, laajalle levinnyt korruptio ja herkeämätön järjestäytynyt rikollisuus aiheuttavat huomattavia riskejä, jotka saattaisivat vaarantaa EU:n kansalaisten turvallisuuden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panee tyytyväisenä merkille Albanian vankkumattoman sitoutumisen EU:hun yhdentymiseen, mikä kuvastaa poliittisten puolueiden yksimielisyyttä ja kansalaisten laajaa tukea, ja kiittää Albaniaa siitä, että se on mukautunut täysin EU:n yhteiseen ulko</w:t>
            </w:r>
            <w:r>
              <w:rPr>
                <w:b/>
                <w:i/>
              </w:rPr>
              <w:t>‑</w:t>
            </w:r>
            <w:r>
              <w:t xml:space="preserve"> ja turvallisuuspolitiikkaan ja sääntöpohjaisen kansainvälisen järjestyksen edistämiseen;</w:t>
            </w:r>
          </w:p>
        </w:tc>
        <w:tc>
          <w:tcPr>
            <w:tcW w:w="4876" w:type="dxa"/>
            <w:tcBorders>
              <w:top w:val="nil"/>
              <w:left w:val="nil"/>
              <w:bottom w:val="nil"/>
              <w:right w:val="nil"/>
            </w:tcBorders>
          </w:tcPr>
          <w:p>
            <w:pPr>
              <w:pStyle w:val="Normal6a"/>
            </w:pPr>
            <w:r>
              <w:t>1.</w:t>
            </w:r>
            <w:r>
              <w:tab/>
            </w:r>
            <w:r>
              <w:t>panee tyytyväisenä merkille Albanian vankkumattoman sitoutumisen EU:hun yhdentymiseen, mikä kuvastaa poliittisten puolueiden yksimielisyyttä ja kansalaisten laajaa tukea, ja kiittää Albaniaa siitä, että se on mukautunut täysin EU:n yhteiseen ulko</w:t>
            </w:r>
            <w:r>
              <w:rPr>
                <w:b/>
                <w:i/>
              </w:rPr>
              <w:t>-</w:t>
            </w:r>
            <w:r>
              <w:t xml:space="preserve"> ja turvallisuuspolitiikkaan ja sääntöpohjaisen kansainvälisen järjestyksen edistämiseen</w:t>
            </w:r>
            <w:r>
              <w:rPr>
                <w:b/>
                <w:i/>
              </w:rPr>
              <w:t>, sekä sen aktiivisesta roolista ja asiaan liittyvistä aloitteista alueella</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panee tyytyväisenä merkille Albanian vankkumattoman sitoutumisen EU:hun yhdentymiseen, mikä kuvastaa poliittisten puolueiden yksimielisyyttä ja kansalaisten laajaa tukea, ja kiittää Albaniaa siitä, että se on mukautunut täysin EU:n yhteiseen ulko</w:t>
            </w:r>
            <w:r>
              <w:rPr>
                <w:b/>
                <w:i/>
              </w:rPr>
              <w:t>‑</w:t>
            </w:r>
            <w:r>
              <w:t xml:space="preserve"> ja turvallisuuspolitiikkaan ja sääntöpohjaisen kansainvälisen järjestyksen edistämiseen;</w:t>
            </w:r>
          </w:p>
        </w:tc>
        <w:tc>
          <w:tcPr>
            <w:tcW w:w="4876" w:type="dxa"/>
            <w:tcBorders>
              <w:top w:val="nil"/>
              <w:left w:val="nil"/>
              <w:bottom w:val="nil"/>
              <w:right w:val="nil"/>
            </w:tcBorders>
          </w:tcPr>
          <w:p>
            <w:pPr>
              <w:pStyle w:val="Normal6a"/>
            </w:pPr>
            <w:r>
              <w:t>1.</w:t>
            </w:r>
            <w:r>
              <w:tab/>
            </w:r>
            <w:r>
              <w:t xml:space="preserve">panee tyytyväisenä merkille Albanian vankkumattoman sitoutumisen EU:hun yhdentymiseen, mikä kuvastaa poliittisten puolueiden </w:t>
            </w:r>
            <w:r>
              <w:rPr>
                <w:b/>
                <w:i/>
              </w:rPr>
              <w:t>– niin hallitsevan puolueen kuin opposition –</w:t>
            </w:r>
            <w:r>
              <w:t xml:space="preserve"> yksimielisyyttä ja kansalaisten laajaa tukea, ja kiittää Albaniaa siitä, että se on mukautunut täysin EU:n yhteiseen ulko</w:t>
            </w:r>
            <w:r>
              <w:rPr>
                <w:b/>
                <w:i/>
              </w:rPr>
              <w:t>-</w:t>
            </w:r>
            <w:r>
              <w:t xml:space="preserve"> ja turvallisuuspolitiikkaan ja sääntöpohjaisen kansainvälisen järjestyksen edistämiseen;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Andrey Kovatchev, Michael Gahler, Ondřej Kolář, Matej Tonin,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suhtautuu myönteisesti Albanian tavoitteeseen saattaa liittymisneuvottelut päätökseen vuoden 2027 loppuun mennessä sekä viime vuosina saavutettuun nopeaan edistymiseen ja erityisesti neuvotteluiden avaamiseen kahdesta temaattisesta kokonaisuudesta vuonna 2024;</w:t>
            </w:r>
          </w:p>
        </w:tc>
        <w:tc>
          <w:tcPr>
            <w:tcW w:w="4876" w:type="dxa"/>
            <w:tcBorders>
              <w:top w:val="nil"/>
              <w:left w:val="nil"/>
              <w:bottom w:val="nil"/>
              <w:right w:val="nil"/>
            </w:tcBorders>
          </w:tcPr>
          <w:p>
            <w:pPr>
              <w:pStyle w:val="Normal6a"/>
            </w:pPr>
            <w:r>
              <w:t>2.</w:t>
            </w:r>
            <w:r>
              <w:tab/>
            </w:r>
            <w:r>
              <w:t xml:space="preserve">suhtautuu myönteisesti Albanian tavoitteeseen saattaa liittymisneuvottelut päätökseen vuoden 2027 loppuun mennessä sekä viime vuosina saavutettuun nopeaan edistymiseen ja erityisesti neuvotteluiden avaamiseen kahdesta temaattisesta kokonaisuudesta vuonna 2024; </w:t>
            </w:r>
            <w:r>
              <w:rPr>
                <w:b/>
                <w:i/>
              </w:rPr>
              <w:t>palauttaa mieliin, että ehdokasmaat käyvät läpi perinpohjaisen muutosprosessin täyttääkseen jäsenyyskriteerit liittymisneuvottelujen aikana ja että liittymisneuvottelut kestävät niin kauan kuin on tarpeen tarvittavien uudistusten toteuttamiseksi;</w:t>
            </w:r>
            <w:r>
              <w:t xml:space="preserve"> </w:t>
            </w:r>
            <w:r>
              <w:rPr>
                <w:b/>
                <w:i/>
              </w:rPr>
              <w:t>korostaa tarvetta vahvistaa liittymisprosessin, myös sen parlamentaarisen ulottuvuuden, läpinäkyvyyttä, vastuuvelvollisuutta ja osallistavuutta;</w:t>
            </w:r>
            <w:r>
              <w:t xml:space="preserve"> </w:t>
            </w:r>
            <w:r>
              <w:rPr>
                <w:b/>
                <w:i/>
              </w:rPr>
              <w:t>varoittaa toteuttamasta toimia, joilla voitaisiin heikentää vallan kolmijaon mukaiseen kontrolliin perustuvaa järjestelmää;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suhtautuu myönteisesti</w:t>
            </w:r>
            <w:r>
              <w:t xml:space="preserve"> Albanian </w:t>
            </w:r>
            <w:r>
              <w:rPr>
                <w:b/>
                <w:i/>
              </w:rPr>
              <w:t>tavoitteeseen</w:t>
            </w:r>
            <w:r>
              <w:t xml:space="preserve"> saattaa liittymisneuvottelut päätökseen vuoden 2027 loppuun mennessä sekä viime vuosina </w:t>
            </w:r>
            <w:r>
              <w:rPr>
                <w:b/>
                <w:i/>
              </w:rPr>
              <w:t>saavutettuun nopeaan edistymiseen</w:t>
            </w:r>
            <w:r>
              <w:t xml:space="preserve"> ja erityisesti neuvotteluiden </w:t>
            </w:r>
            <w:r>
              <w:rPr>
                <w:b/>
                <w:i/>
              </w:rPr>
              <w:t>avaamiseen</w:t>
            </w:r>
            <w:r>
              <w:t xml:space="preserve"> kahdesta temaattisesta kokonaisuudesta vuonna 2024;</w:t>
            </w:r>
          </w:p>
        </w:tc>
        <w:tc>
          <w:tcPr>
            <w:tcW w:w="4876" w:type="dxa"/>
            <w:tcBorders>
              <w:top w:val="nil"/>
              <w:left w:val="nil"/>
              <w:bottom w:val="nil"/>
              <w:right w:val="nil"/>
            </w:tcBorders>
          </w:tcPr>
          <w:p>
            <w:pPr>
              <w:pStyle w:val="Normal6a"/>
            </w:pPr>
            <w:r>
              <w:t>2.</w:t>
            </w:r>
            <w:r>
              <w:tab/>
            </w:r>
            <w:r>
              <w:rPr>
                <w:b/>
                <w:i/>
              </w:rPr>
              <w:t>panee merkille</w:t>
            </w:r>
            <w:r>
              <w:t xml:space="preserve"> Albanian </w:t>
            </w:r>
            <w:r>
              <w:rPr>
                <w:b/>
                <w:i/>
              </w:rPr>
              <w:t>tavoitteen</w:t>
            </w:r>
            <w:r>
              <w:t xml:space="preserve"> saattaa liittymisneuvottelut päätökseen vuoden 2027 loppuun mennessä sekä viime vuosina </w:t>
            </w:r>
            <w:r>
              <w:rPr>
                <w:b/>
                <w:i/>
              </w:rPr>
              <w:t>saavutetun nopean edistymisen</w:t>
            </w:r>
            <w:r>
              <w:t xml:space="preserve"> ja erityisesti neuvotteluiden </w:t>
            </w:r>
            <w:r>
              <w:rPr>
                <w:b/>
                <w:i/>
              </w:rPr>
              <w:t>avaamisen</w:t>
            </w:r>
            <w:r>
              <w:t xml:space="preserve"> kahdesta temaattisesta kokonaisuudesta vuonna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kehottaa Albaniaa nopeuttamaan uudistuksia, joilla vahvistetaan oikeusvaltioperiaatetta, torjutaan korruptiota ja järjestäytynyttä rikollisuutta sekä varmistetaan perusoikeuksien, kuten sananvapauden, suojelu;</w:t>
            </w:r>
          </w:p>
        </w:tc>
        <w:tc>
          <w:tcPr>
            <w:tcW w:w="4876" w:type="dxa"/>
            <w:tcBorders>
              <w:top w:val="nil"/>
              <w:left w:val="nil"/>
              <w:bottom w:val="nil"/>
              <w:right w:val="nil"/>
            </w:tcBorders>
          </w:tcPr>
          <w:p>
            <w:pPr>
              <w:pStyle w:val="Normal6a"/>
            </w:pPr>
            <w:r>
              <w:t>3.</w:t>
            </w:r>
            <w:r>
              <w:tab/>
            </w:r>
            <w:r>
              <w:t xml:space="preserve">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w:t>
            </w:r>
            <w:r>
              <w:rPr>
                <w:b/>
                <w:i/>
              </w:rPr>
              <w:t>korostaa, että ehdokasmaalla on oltava toimiva markkinatalous ja sen on voitava selviytyä kilpailupaineesta EU:n sisämarkkinoilla;</w:t>
            </w:r>
            <w:r>
              <w:t xml:space="preserve"> kehottaa Albaniaa nopeuttamaan uudistuksia, joilla vahvistetaan oikeusvaltioperiaatetta, torjutaan korruptiota ja järjestäytynyttä rikollisuutta sekä varmistetaan perusoikeuksien, kuten sananvapauden, suojelu;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w:t>
            </w:r>
            <w:r>
              <w:rPr>
                <w:b/>
                <w:i/>
              </w:rPr>
              <w:t>kehottaa Albaniaa nopeuttamaan uudistuksia</w:t>
            </w:r>
            <w:r>
              <w:t xml:space="preserve">, joilla vahvistetaan oikeusvaltioperiaatetta, </w:t>
            </w:r>
            <w:r>
              <w:rPr>
                <w:b/>
                <w:i/>
              </w:rPr>
              <w:t>torjutaan</w:t>
            </w:r>
            <w:r>
              <w:t xml:space="preserve"> korruptiota ja järjestäytynyttä rikollisuutta sekä </w:t>
            </w:r>
            <w:r>
              <w:rPr>
                <w:b/>
                <w:i/>
              </w:rPr>
              <w:t>varmistetaan perusoikeuksien</w:t>
            </w:r>
            <w:r>
              <w:t xml:space="preserve">, kuten </w:t>
            </w:r>
            <w:r>
              <w:rPr>
                <w:b/>
                <w:i/>
              </w:rPr>
              <w:t>sananvapauden, suojelu</w:t>
            </w:r>
            <w:r>
              <w:t>;</w:t>
            </w:r>
          </w:p>
        </w:tc>
        <w:tc>
          <w:tcPr>
            <w:tcW w:w="4876" w:type="dxa"/>
            <w:tcBorders>
              <w:top w:val="nil"/>
              <w:left w:val="nil"/>
              <w:bottom w:val="nil"/>
              <w:right w:val="nil"/>
            </w:tcBorders>
          </w:tcPr>
          <w:p>
            <w:pPr>
              <w:pStyle w:val="Normal6a"/>
            </w:pPr>
            <w:r>
              <w:t>3.</w:t>
            </w:r>
            <w:r>
              <w:tab/>
            </w:r>
            <w:r>
              <w:t xml:space="preserve">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w:t>
            </w:r>
            <w:r>
              <w:rPr>
                <w:b/>
                <w:i/>
              </w:rPr>
              <w:t>korostaa, että Albania on huomattavasti jäljessä niiden välttämättömien uudistusten toteuttamisessa</w:t>
            </w:r>
            <w:r>
              <w:t xml:space="preserve">, joilla vahvistetaan oikeusvaltioperiaatetta, </w:t>
            </w:r>
            <w:r>
              <w:rPr>
                <w:b/>
                <w:i/>
              </w:rPr>
              <w:t>kitketään</w:t>
            </w:r>
            <w:r>
              <w:t xml:space="preserve"> korruptiota ja järjestäytynyttä rikollisuutta sekä </w:t>
            </w:r>
            <w:r>
              <w:rPr>
                <w:b/>
                <w:i/>
              </w:rPr>
              <w:t>suojataan perusoikeudet</w:t>
            </w:r>
            <w:r>
              <w:t xml:space="preserve">, kuten </w:t>
            </w:r>
            <w:r>
              <w:rPr>
                <w:b/>
                <w:i/>
              </w:rPr>
              <w:t>sananvapaus, minkä vuoksi sen jäsenyysnäkymiä olisi tarkasteltava uudelleen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kehottaa Albaniaa nopeuttamaan uudistuksia, joilla vahvistetaan oikeusvaltioperiaatetta, torjutaan korruptiota ja järjestäytynyttä rikollisuutta sekä varmistetaan perusoikeuksien, kuten sananvapauden, suojelu;</w:t>
            </w:r>
          </w:p>
        </w:tc>
        <w:tc>
          <w:tcPr>
            <w:tcW w:w="4876" w:type="dxa"/>
            <w:tcBorders>
              <w:top w:val="nil"/>
              <w:left w:val="nil"/>
              <w:bottom w:val="nil"/>
              <w:right w:val="nil"/>
            </w:tcBorders>
          </w:tcPr>
          <w:p>
            <w:pPr>
              <w:pStyle w:val="Normal6a"/>
            </w:pPr>
            <w:r>
              <w:t>3.</w:t>
            </w:r>
            <w:r>
              <w:tab/>
            </w:r>
            <w:r>
              <w:t xml:space="preserve">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kehottaa Albaniaa nopeuttamaan uudistuksia, joilla vahvistetaan oikeusvaltioperiaatetta </w:t>
            </w:r>
            <w:r>
              <w:rPr>
                <w:b/>
                <w:i/>
              </w:rPr>
              <w:t>ja talouskasvua</w:t>
            </w:r>
            <w:r>
              <w:t>, torjutaan korruptiota ja järjestäytynyttä rikollisuutta</w:t>
            </w:r>
            <w:r>
              <w:rPr>
                <w:b/>
                <w:i/>
              </w:rPr>
              <w:t>, tehostetaan rajavalvontaa ihmiskaupan ja laittoman maahanmuuton estämiseksi</w:t>
            </w:r>
            <w:r>
              <w:t xml:space="preserve"> sekä varmistetaan perusoikeuksien, kuten sananvapauden, suojelu;</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Ilaria Salis, 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kehottaa Albaniaa nopeuttamaan uudistuksia, joilla vahvistetaan oikeusvaltioperiaatetta, torjutaan korruptiota ja järjestäytynyttä rikollisuutta sekä varmistetaan perusoikeuksien, </w:t>
            </w:r>
            <w:r>
              <w:rPr>
                <w:b/>
                <w:i/>
              </w:rPr>
              <w:t>kuten</w:t>
            </w:r>
            <w:r>
              <w:t xml:space="preserve"> sananvapauden, suojelu;</w:t>
            </w:r>
          </w:p>
        </w:tc>
        <w:tc>
          <w:tcPr>
            <w:tcW w:w="4876" w:type="dxa"/>
            <w:tcBorders>
              <w:top w:val="nil"/>
              <w:left w:val="nil"/>
              <w:bottom w:val="nil"/>
              <w:right w:val="nil"/>
            </w:tcBorders>
          </w:tcPr>
          <w:p>
            <w:pPr>
              <w:pStyle w:val="Normal6a"/>
            </w:pPr>
            <w:r>
              <w:t>3.</w:t>
            </w:r>
            <w:r>
              <w:tab/>
            </w:r>
            <w:r>
              <w:t xml:space="preserve">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kehottaa Albaniaa nopeuttamaan uudistuksia, joilla vahvistetaan oikeusvaltioperiaatetta, torjutaan korruptiota ja järjestäytynyttä rikollisuutta sekä varmistetaan perusoikeuksien, </w:t>
            </w:r>
            <w:r>
              <w:rPr>
                <w:b/>
                <w:i/>
              </w:rPr>
              <w:t>etenkin</w:t>
            </w:r>
            <w:r>
              <w:t xml:space="preserve"> sananvapauden</w:t>
            </w:r>
            <w:r>
              <w:rPr>
                <w:b/>
                <w:i/>
              </w:rPr>
              <w:t>, tiedonvälityksen vapauden ja turvapaikkaoikeuden</w:t>
            </w:r>
            <w:r>
              <w:t>, suojelu;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kehottaa Albaniaa nopeuttamaan uudistuksia, joilla vahvistetaan oikeusvaltioperiaatetta, torjutaan korruptiota ja järjestäytynyttä rikollisuutta sekä varmistetaan perusoikeuksien, kuten sananvapauden, suojelu;</w:t>
            </w:r>
          </w:p>
        </w:tc>
        <w:tc>
          <w:tcPr>
            <w:tcW w:w="4876" w:type="dxa"/>
            <w:tcBorders>
              <w:top w:val="nil"/>
              <w:left w:val="nil"/>
              <w:bottom w:val="nil"/>
              <w:right w:val="nil"/>
            </w:tcBorders>
          </w:tcPr>
          <w:p>
            <w:pPr>
              <w:pStyle w:val="Normal6a"/>
            </w:pPr>
            <w:r>
              <w:t>3.</w:t>
            </w:r>
            <w:r>
              <w:tab/>
            </w:r>
            <w:r>
              <w:t xml:space="preserve">toteaa, että EU:hun liittymisen tahti määräytyy sen mukaan, miten ehdokasmaa on edistynyt lainsäädäntönsä mukauttamisessa unionin säännöstöön, miten se on pannut unionin säännöstön täytäntöön ja miten hyvin sen kaikki instituutiot toimivat, ja että se perustuu oikeusvaltioperiaatteeseen, hyvään hallintotapaan ja perusoikeuksiin; kehottaa Albaniaa nopeuttamaan uudistuksia, joilla vahvistetaan oikeusvaltioperiaatetta, torjutaan korruptiota ja järjestäytynyttä rikollisuutta sekä varmistetaan perusoikeuksien, kuten sananvapauden, </w:t>
            </w:r>
            <w:r>
              <w:rPr>
                <w:b/>
                <w:i/>
              </w:rPr>
              <w:t>moniarvoisuuden ja tiedotusvälineiden riippumattomuuden,</w:t>
            </w:r>
            <w:r>
              <w:t xml:space="preserve"> suojelu;</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a.</w:t>
            </w:r>
            <w:r>
              <w:tab/>
            </w:r>
            <w:r>
              <w:rPr>
                <w:b/>
                <w:i/>
              </w:rPr>
              <w:t>panee merkille Albanian edistymisen julkishallinnon uudistusten toteuttamisessa, etenkin julkishallinnosta vastaavan ministeriön perustamisen ja uuden finanssipoliittisen strategian hyväksymisen kaudelle 2023–2030;</w:t>
            </w:r>
            <w:r>
              <w:t xml:space="preserve"> </w:t>
            </w:r>
            <w:r>
              <w:rPr>
                <w:b/>
                <w:i/>
              </w:rPr>
              <w:t>tähdentää, että on tärkeää jatkaa sellaisten uudistusten toteuttamista, joilla tehostetaan hallintoa, lisätään sen avoimuutta ja tehdään julkisen sektorin rekrytoinnista paremmin ansioihin perustuvaa;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a.</w:t>
            </w:r>
            <w:r>
              <w:tab/>
            </w:r>
            <w:r>
              <w:rPr>
                <w:b/>
                <w:i/>
              </w:rPr>
              <w:t>ilmaisee vakavan huolensa siitä, että oppositiojohtajien poliittisesta vainosta on yhä enemmän merkkejä, jollaisia ovat keskeisiä poliittisia toimijoita, kuten professori Sali Berisha, Ilir Meta, Fatmir Mediu, Ervin Salianji ja Fredi Beleri, vastaan aloitetut meneillään olevat oikeustoimet ja tällaisten henkilöiden pidätykset;</w:t>
            </w:r>
            <w:r>
              <w:t xml:space="preserve"> </w:t>
            </w:r>
            <w:r>
              <w:rPr>
                <w:b/>
                <w:i/>
              </w:rPr>
              <w:t>painottaa, että Albanian täytyy ylläpitää poliittista moniarvoisuutta ja turvata rehellinen ja kilpailullinen demokraattinen ympäristö ennen vuoden 2025 vaaleja;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a.</w:t>
            </w:r>
            <w:r>
              <w:tab/>
            </w:r>
            <w:r>
              <w:rPr>
                <w:b/>
                <w:i/>
              </w:rPr>
              <w:t>pitää valitettavana, ettei maassa tunnu olevan minkäänlaista painetta korvausten maksamiseen toistuvan vainoamisen ja terrorisoimisen johdosta Pohjois-Epeiroksen kreikkalaisen kansallisen vähemmistön jäsenille, joista hyvin monet on ajettu pois esi-isiensä asuinseuduilta;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w:t>
            </w:r>
            <w:r>
              <w:tab/>
            </w:r>
            <w:r>
              <w:rPr>
                <w:b/>
                <w:i/>
              </w:rPr>
              <w:t>paheksuu aloitteettomuutta sen suhteen, että oikeus toteutuisi murhatun pohjoisepeiroslaisen Konstantinos Katsifasin tapauksessa;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3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c.</w:t>
            </w:r>
            <w:r>
              <w:tab/>
            </w:r>
            <w:r>
              <w:rPr>
                <w:b/>
                <w:i/>
              </w:rPr>
              <w:t>panee merkille, että Albania on Albanian mafian järjestäytyneen rikollisuuden sydänaluetta ja että tämä rikollisuus koettelee lukuisia valtioita EU:ssa ja myös kansainvälisesti;</w:t>
            </w:r>
            <w:r>
              <w:t xml:space="preserve"> </w:t>
            </w:r>
            <w:r>
              <w:rPr>
                <w:b/>
                <w:i/>
              </w:rPr>
              <w:t>painottaa, että Eurojustin on tärkeää toteuttaa tehokkaita toimia tehdäkseen lopun albanialaisten pyörittämästä huumekaupasta, elinkaupasta ja pakkoprostituutiosta;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Matthieu Valet, Jordan Bardella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suhtautuu myönteisesti EU:n uuteen</w:t>
            </w:r>
            <w:r>
              <w:t xml:space="preserve"> Länsi-Balkanin uudistus- ja </w:t>
            </w:r>
            <w:r>
              <w:rPr>
                <w:b/>
                <w:i/>
              </w:rPr>
              <w:t>kasvutukivälineeseen</w:t>
            </w:r>
            <w:r>
              <w:t xml:space="preserve">, josta myönnetään 922 miljoonaa euroa avustuksina ja lainoina Albanialle, kun sen kunnianhimoisessa uudistusohjelmassa </w:t>
            </w:r>
            <w:r>
              <w:rPr>
                <w:b/>
                <w:i/>
              </w:rPr>
              <w:t>asetetut</w:t>
            </w:r>
            <w:r>
              <w:t xml:space="preserve"> ehdot täyttyvät;</w:t>
            </w:r>
          </w:p>
        </w:tc>
        <w:tc>
          <w:tcPr>
            <w:tcW w:w="4876" w:type="dxa"/>
            <w:tcBorders>
              <w:top w:val="nil"/>
              <w:left w:val="nil"/>
              <w:bottom w:val="nil"/>
              <w:right w:val="nil"/>
            </w:tcBorders>
          </w:tcPr>
          <w:p>
            <w:pPr>
              <w:pStyle w:val="Normal6a"/>
            </w:pPr>
            <w:r>
              <w:t>4.</w:t>
            </w:r>
            <w:r>
              <w:tab/>
            </w:r>
            <w:r>
              <w:rPr>
                <w:b/>
                <w:i/>
              </w:rPr>
              <w:t>ilmaisee huolensa EU:n uudesta</w:t>
            </w:r>
            <w:r>
              <w:t xml:space="preserve"> Länsi-Balkanin uudistus- ja </w:t>
            </w:r>
            <w:r>
              <w:rPr>
                <w:b/>
                <w:i/>
              </w:rPr>
              <w:t>kasvutukivälineestä</w:t>
            </w:r>
            <w:r>
              <w:t xml:space="preserve">, josta myönnetään 922 miljoonaa euroa avustuksina ja lainoina Albanialle, kun sen kunnianhimoisessa uudistusohjelmassa </w:t>
            </w:r>
            <w:r>
              <w:rPr>
                <w:b/>
                <w:i/>
              </w:rPr>
              <w:t>hahmotellut</w:t>
            </w:r>
            <w:r>
              <w:t xml:space="preserve"> ehdot täyttyvät</w:t>
            </w:r>
            <w:r>
              <w:rPr>
                <w:b/>
                <w:i/>
              </w:rPr>
              <w:t>, ottaen huomioon EU:n nykyiset sisäiset poliittiset ja taloudelliset jännitteet;</w:t>
            </w:r>
            <w:r>
              <w:t xml:space="preserve"> </w:t>
            </w:r>
            <w:r>
              <w:rPr>
                <w:b/>
                <w:i/>
              </w:rPr>
              <w:t>ei pidä asianmukaisena sitä, että EU rahoittaa kolmansia maita samalla, kun sen omien rajojen sisällä yritetään selvitä taloudellisesta ja geopoliittisesta kriisistä</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suhtautuu myönteisesti EU:n uuteen</w:t>
            </w:r>
            <w:r>
              <w:t xml:space="preserve"> Länsi-Balkanin uudistus- ja </w:t>
            </w:r>
            <w:r>
              <w:rPr>
                <w:b/>
                <w:i/>
              </w:rPr>
              <w:t>kasvutukivälineeseen, josta myönnetään 922</w:t>
            </w:r>
            <w:r>
              <w:t xml:space="preserve"> miljoonaa euroa </w:t>
            </w:r>
            <w:r>
              <w:rPr>
                <w:b/>
                <w:i/>
              </w:rPr>
              <w:t>avustuksina ja lainoina Albanialle, kun sen</w:t>
            </w:r>
            <w:r>
              <w:t xml:space="preserve"> kunnianhimoisessa uudistusohjelmassa asetetut ehdot </w:t>
            </w:r>
            <w:r>
              <w:rPr>
                <w:b/>
                <w:i/>
              </w:rPr>
              <w:t>täyttyvät</w:t>
            </w:r>
            <w:r>
              <w:t>;</w:t>
            </w:r>
          </w:p>
        </w:tc>
        <w:tc>
          <w:tcPr>
            <w:tcW w:w="4876" w:type="dxa"/>
            <w:tcBorders>
              <w:top w:val="nil"/>
              <w:left w:val="nil"/>
              <w:bottom w:val="nil"/>
              <w:right w:val="nil"/>
            </w:tcBorders>
          </w:tcPr>
          <w:p>
            <w:pPr>
              <w:pStyle w:val="Normal6a"/>
            </w:pPr>
            <w:r>
              <w:t>4.</w:t>
            </w:r>
            <w:r>
              <w:tab/>
            </w:r>
            <w:r>
              <w:rPr>
                <w:b/>
                <w:i/>
              </w:rPr>
              <w:t>korostaa, että</w:t>
            </w:r>
            <w:r>
              <w:t xml:space="preserve"> Länsi-Balkanin uudistus- ja </w:t>
            </w:r>
            <w:r>
              <w:rPr>
                <w:b/>
                <w:i/>
              </w:rPr>
              <w:t>kasvutukivälineen 922:ta</w:t>
            </w:r>
            <w:r>
              <w:t xml:space="preserve"> miljoonaa euroa </w:t>
            </w:r>
            <w:r>
              <w:rPr>
                <w:b/>
                <w:i/>
              </w:rPr>
              <w:t>ei pitäisi maksaa, vaikka Albania täyttäisi</w:t>
            </w:r>
            <w:r>
              <w:t xml:space="preserve"> kunnianhimoisessa uudistusohjelmassa asetetut ehdot</w:t>
            </w:r>
            <w:r>
              <w:rPr>
                <w:b/>
                <w:i/>
              </w:rPr>
              <w:t>;</w:t>
            </w:r>
            <w:r>
              <w:t xml:space="preserve"> </w:t>
            </w:r>
            <w:r>
              <w:rPr>
                <w:b/>
                <w:i/>
              </w:rPr>
              <w:t>painottaa, että nämä varat olisi sen sijaan välittömästi ohjattava käytettäväksi nykyisten jäsenvaltioiden hyväksi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Hermann Tertsch, 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suhtautuu myönteisesti EU:n uuteen</w:t>
            </w:r>
            <w:r>
              <w:t xml:space="preserve"> Länsi-Balkanin uudistus- ja </w:t>
            </w:r>
            <w:r>
              <w:rPr>
                <w:b/>
                <w:i/>
              </w:rPr>
              <w:t>kasvutukivälineeseen</w:t>
            </w:r>
            <w:r>
              <w:t>, josta myönnetään 922 miljoonaa euroa avustuksina ja lainoina Albanialle, kun sen kunnianhimoisessa uudistusohjelmassa asetetut ehdot täyttyvät;</w:t>
            </w:r>
          </w:p>
        </w:tc>
        <w:tc>
          <w:tcPr>
            <w:tcW w:w="4876" w:type="dxa"/>
            <w:tcBorders>
              <w:top w:val="nil"/>
              <w:left w:val="nil"/>
              <w:bottom w:val="nil"/>
              <w:right w:val="nil"/>
            </w:tcBorders>
          </w:tcPr>
          <w:p>
            <w:pPr>
              <w:pStyle w:val="Normal6a"/>
            </w:pPr>
            <w:r>
              <w:t>4.</w:t>
            </w:r>
            <w:r>
              <w:tab/>
            </w:r>
            <w:r>
              <w:rPr>
                <w:b/>
                <w:i/>
              </w:rPr>
              <w:t>panee merkille EU:n uuden</w:t>
            </w:r>
            <w:r>
              <w:t xml:space="preserve"> Länsi-Balkanin uudistus- ja </w:t>
            </w:r>
            <w:r>
              <w:rPr>
                <w:b/>
                <w:i/>
              </w:rPr>
              <w:t>kasvutukivälineen</w:t>
            </w:r>
            <w:r>
              <w:t>, josta myönnetään 922 miljoonaa euroa avustuksina ja lainoina Albanialle, kun sen kunnianhimoisessa uudistusohjelmassa asetetut ehdot täyttyvät;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suhtautuu myönteisesti EU:n uuteen</w:t>
            </w:r>
            <w:r>
              <w:t xml:space="preserve"> Länsi-Balkanin uudistus- ja </w:t>
            </w:r>
            <w:r>
              <w:rPr>
                <w:b/>
                <w:i/>
              </w:rPr>
              <w:t>kasvutukivälineeseen</w:t>
            </w:r>
            <w:r>
              <w:t>, josta myönnetään 922 miljoonaa euroa avustuksina ja lainoina Albanialle, kun sen kunnianhimoisessa uudistusohjelmassa asetetut ehdot täyttyvät;</w:t>
            </w:r>
          </w:p>
        </w:tc>
        <w:tc>
          <w:tcPr>
            <w:tcW w:w="4876" w:type="dxa"/>
            <w:tcBorders>
              <w:top w:val="nil"/>
              <w:left w:val="nil"/>
              <w:bottom w:val="nil"/>
              <w:right w:val="nil"/>
            </w:tcBorders>
          </w:tcPr>
          <w:p>
            <w:pPr>
              <w:pStyle w:val="Normal6a"/>
            </w:pPr>
            <w:r>
              <w:t>4.</w:t>
            </w:r>
            <w:r>
              <w:tab/>
            </w:r>
            <w:r>
              <w:rPr>
                <w:b/>
                <w:i/>
              </w:rPr>
              <w:t>panee merkille EU:n uuden</w:t>
            </w:r>
            <w:r>
              <w:t xml:space="preserve"> Länsi-Balkanin uudistus- ja </w:t>
            </w:r>
            <w:r>
              <w:rPr>
                <w:b/>
                <w:i/>
              </w:rPr>
              <w:t>kasvutukivälineen</w:t>
            </w:r>
            <w:r>
              <w:t>, josta myönnetään 922 miljoonaa euroa avustuksina ja lainoina Albanialle, kun sen kunnianhimoisessa uudistusohjelmassa asetetut ehdot täyttyvät;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panee merkille</w:t>
            </w:r>
            <w:r>
              <w:t>, että Albania on hyväksynyt unioniin yhdentymistä koskevan kansallisen suunnitelman 2024–2026; kehottaa tehostamaan toimia, joilla lisätään avoimuutta ja toteutetaan julkista viestintää EU:hun yhdentymisestä;</w:t>
            </w:r>
          </w:p>
        </w:tc>
        <w:tc>
          <w:tcPr>
            <w:tcW w:w="4876" w:type="dxa"/>
            <w:tcBorders>
              <w:top w:val="nil"/>
              <w:left w:val="nil"/>
              <w:bottom w:val="nil"/>
              <w:right w:val="nil"/>
            </w:tcBorders>
          </w:tcPr>
          <w:p>
            <w:pPr>
              <w:pStyle w:val="Normal6a"/>
            </w:pPr>
            <w:r>
              <w:t>5.</w:t>
            </w:r>
            <w:r>
              <w:tab/>
            </w:r>
            <w:r>
              <w:rPr>
                <w:b/>
                <w:i/>
              </w:rPr>
              <w:t>kiittää sitä</w:t>
            </w:r>
            <w:r>
              <w:t>, että Albania on hyväksynyt unioniin yhdentymistä koskevan kansallisen suunnitelman 2024–2026</w:t>
            </w:r>
            <w:r>
              <w:rPr>
                <w:b/>
                <w:i/>
              </w:rPr>
              <w:t>;</w:t>
            </w:r>
            <w:r>
              <w:t xml:space="preserve"> </w:t>
            </w:r>
            <w:r>
              <w:rPr>
                <w:b/>
                <w:i/>
              </w:rPr>
              <w:t>pitää myönteisenä sitä, että Albanian yhdentymisprosessista vastaavat elimet ovat toiminnassa</w:t>
            </w:r>
            <w:r>
              <w:t>; kehottaa tehostamaan toimia, joilla lisätään avoimuutta ja toteutetaan julkista viestintää EU:hun yhdentymisestä;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5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a.</w:t>
            </w:r>
            <w:r>
              <w:tab/>
            </w:r>
            <w:r>
              <w:rPr>
                <w:b/>
                <w:i/>
              </w:rPr>
              <w:t>panee merkille Albanian ja EU:n yhteistyön tiivistämisen muuttovirtojen hallinnassa ja rajavalvonnassa, mikä juontuu etenkin vuosia 2024–2026 koskevasta uudesta kansallisesta muuttoliikestrategiasta ja yhteistyöstä Frontexin kanssa;</w:t>
            </w:r>
            <w:r>
              <w:t xml:space="preserve"> </w:t>
            </w:r>
            <w:r>
              <w:rPr>
                <w:b/>
                <w:i/>
              </w:rPr>
              <w:t>kannustaa Albaniaa jatkamaan tämänsuuntaisia toimia, huolehtimaan tehokkaasta rajavalvonnasta ja paremmasta koordinoinnista jäsenvaltioiden kanssa muuttoliikkeen haasteiden selättämiseksi;</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5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a.</w:t>
            </w:r>
            <w:r>
              <w:tab/>
            </w:r>
            <w:r>
              <w:rPr>
                <w:b/>
                <w:i/>
              </w:rPr>
              <w:t>pitää ilahduttavana, että Albanian perustuslakituomioistuin on tehostanut toimintaansa ja purkanut ruuhkaa ja että se ylläpitää edelleen vallan kolmijaon mukaista kontrollia toimielimissä;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maassa meneillään olevaan poliittiseen vastakkainasetteluun puuttumisesta; korostaa tehokkaamman parlamentaarisen valvonnan, instituutioiden paremman toiminnan ja kansalaisyhteiskunnan merkityksellisen osallistumisen tarvetta;</w:t>
            </w:r>
          </w:p>
        </w:tc>
        <w:tc>
          <w:tcPr>
            <w:tcW w:w="4876" w:type="dxa"/>
            <w:tcBorders>
              <w:top w:val="nil"/>
              <w:left w:val="nil"/>
              <w:bottom w:val="nil"/>
              <w:right w:val="nil"/>
            </w:tcBorders>
          </w:tcPr>
          <w:p>
            <w:pPr>
              <w:pStyle w:val="Normal6a"/>
            </w:pPr>
            <w:r>
              <w:t>6.</w:t>
            </w:r>
            <w:r>
              <w:tab/>
            </w:r>
            <w:r>
              <w:rPr>
                <w:b/>
                <w:i/>
              </w:rPr>
              <w:t>on huolissaan siitä, että jännitteet ja vastakkainasettelu hallitsevan puolueen ja opposition välillä häiritsevät ja heikentävät parlamentin toimintaa;</w:t>
            </w:r>
            <w:r>
              <w:t xml:space="preserve"> 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maassa meneillään olevaan poliittiseen vastakkainasetteluun puuttumisesta</w:t>
            </w:r>
            <w:r>
              <w:rPr>
                <w:b/>
                <w:i/>
              </w:rPr>
              <w:t>;</w:t>
            </w:r>
            <w:r>
              <w:t xml:space="preserve"> </w:t>
            </w:r>
            <w:r>
              <w:rPr>
                <w:b/>
                <w:i/>
              </w:rPr>
              <w:t>kehottaa Albaniaa panemaan täytäntöön Euroopan turvallisuus- ja yhteistyöjärjestön (Etyj) / demokraattisten instituutioiden ja ihmisoikeuksien toimiston (ODIHR) vaalitarkkailuraportissa esitetyt suositukset poliittisten puolueiden rahoituksen avoimuudesta ja reilusta vaalikilpailusta;</w:t>
            </w:r>
            <w:r>
              <w:t xml:space="preserve"> </w:t>
            </w:r>
            <w:r>
              <w:rPr>
                <w:b/>
                <w:i/>
              </w:rPr>
              <w:t>painottaa tarvetta edistää poliittista kulttuuria, joka perustuu keskinäiseen kunnioitukseen ja demokratian normien noudattamiseen, sillä näin varmistetaan, että poliittinen kilpailu ei horjuta toimielinten vakautta;</w:t>
            </w:r>
            <w:r>
              <w:t xml:space="preserve"> </w:t>
            </w:r>
            <w:r>
              <w:rPr>
                <w:b/>
                <w:i/>
              </w:rPr>
              <w:t>painottaa, että on tärkeää varmistaa keskeisten valtiollisten toimielinten puoluepoliittinen riippumattomuus, jotta voidaan lisätä yleisön luottamusta hallintoa kohtaan</w:t>
            </w:r>
            <w:r>
              <w:t>; korostaa tehokkaamman parlamentaarisen valvonnan, instituutioiden paremman toiminnan ja kansalaisyhteiskunnan merkityksellisen osallistumisen tarvetta;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maassa meneillään olevaan poliittiseen vastakkainasetteluun </w:t>
            </w:r>
            <w:r>
              <w:rPr>
                <w:b/>
                <w:i/>
              </w:rPr>
              <w:t>puuttumisesta</w:t>
            </w:r>
            <w:r>
              <w:t>; korostaa tehokkaamman parlamentaarisen valvonnan, instituutioiden paremman toiminnan ja kansalaisyhteiskunnan merkityksellisen osallistumisen tarvetta;</w:t>
            </w:r>
          </w:p>
        </w:tc>
        <w:tc>
          <w:tcPr>
            <w:tcW w:w="4876" w:type="dxa"/>
            <w:tcBorders>
              <w:top w:val="nil"/>
              <w:left w:val="nil"/>
              <w:bottom w:val="nil"/>
              <w:right w:val="nil"/>
            </w:tcBorders>
          </w:tcPr>
          <w:p>
            <w:pPr>
              <w:pStyle w:val="Normal6a"/>
            </w:pPr>
            <w:r>
              <w:t>6.</w:t>
            </w:r>
            <w:r>
              <w:tab/>
            </w:r>
            <w:r>
              <w:t>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w:t>
            </w:r>
            <w:r>
              <w:rPr>
                <w:b/>
                <w:i/>
              </w:rPr>
              <w:t>puuttumisesta</w:t>
            </w:r>
            <w:r>
              <w:t xml:space="preserve"> maassa meneillään olevaan </w:t>
            </w:r>
            <w:r>
              <w:rPr>
                <w:b/>
                <w:i/>
              </w:rPr>
              <w:t>jyrkkään</w:t>
            </w:r>
            <w:r>
              <w:t xml:space="preserve"> poliittiseen vastakkainasetteluun </w:t>
            </w:r>
            <w:r>
              <w:rPr>
                <w:b/>
                <w:i/>
              </w:rPr>
              <w:t>ja hallitsevan puolueen ja opposition yhteenottoihin;</w:t>
            </w:r>
            <w:r>
              <w:t xml:space="preserve"> </w:t>
            </w:r>
            <w:r>
              <w:rPr>
                <w:b/>
                <w:i/>
              </w:rPr>
              <w:t>pitää valitettavana, että parlamentin työjärjestystä ja eettisiä sääntöjä on muutettu, mikä haastaa parlamentin demokraattisen toiminnan</w:t>
            </w:r>
            <w:r>
              <w:t>; korostaa tehokkaamman parlamentaarisen valvonnan, instituutioiden paremman toiminnan ja kansalaisyhteiskunnan merkityksellisen osallistumisen tarvetta;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maassa meneillään olevaan poliittiseen vastakkainasetteluun puuttumisesta; korostaa tehokkaamman parlamentaarisen valvonnan, instituutioiden paremman toiminnan ja kansalaisyhteiskunnan merkityksellisen osallistumisen tarvetta;</w:t>
            </w:r>
          </w:p>
        </w:tc>
        <w:tc>
          <w:tcPr>
            <w:tcW w:w="4876" w:type="dxa"/>
            <w:tcBorders>
              <w:top w:val="nil"/>
              <w:left w:val="nil"/>
              <w:bottom w:val="nil"/>
              <w:right w:val="nil"/>
            </w:tcBorders>
          </w:tcPr>
          <w:p>
            <w:pPr>
              <w:pStyle w:val="Normal6a"/>
            </w:pPr>
            <w:r>
              <w:t>6.</w:t>
            </w:r>
            <w:r>
              <w:tab/>
            </w:r>
            <w:r>
              <w:t xml:space="preserve">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maassa meneillään olevaan poliittiseen vastakkainasetteluun puuttumisesta; korostaa tehokkaamman parlamentaarisen valvonnan, instituutioiden paremman toiminnan ja kansalaisyhteiskunnan merkityksellisen osallistumisen tarvetta; </w:t>
            </w:r>
            <w:r>
              <w:rPr>
                <w:b/>
                <w:i/>
              </w:rPr>
              <w:t>pitää valitettavina maan poliitikkojen jatkuvia poliittisia yhteenottoja ja provosoivaa retoriikkaa;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maassa meneillään olevaan poliittiseen vastakkainasetteluun puuttumisesta; korostaa tehokkaamman parlamentaarisen valvonnan, instituutioiden paremman toiminnan ja kansalaisyhteiskunnan merkityksellisen osallistumisen tarvetta;</w:t>
            </w:r>
          </w:p>
        </w:tc>
        <w:tc>
          <w:tcPr>
            <w:tcW w:w="4876" w:type="dxa"/>
            <w:tcBorders>
              <w:top w:val="nil"/>
              <w:left w:val="nil"/>
              <w:bottom w:val="nil"/>
              <w:right w:val="nil"/>
            </w:tcBorders>
          </w:tcPr>
          <w:p>
            <w:pPr>
              <w:pStyle w:val="Normal6a"/>
            </w:pPr>
            <w:r>
              <w:t>6.</w:t>
            </w:r>
            <w:r>
              <w:tab/>
            </w:r>
            <w:r>
              <w:t xml:space="preserve">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maassa meneillään olevaan poliittiseen vastakkainasetteluun puuttumisesta; korostaa tehokkaamman parlamentaarisen valvonnan, instituutioiden paremman toiminnan ja kansalaisyhteiskunnan merkityksellisen osallistumisen tarvetta; </w:t>
            </w:r>
            <w:r>
              <w:rPr>
                <w:b/>
                <w:i/>
              </w:rPr>
              <w:t>kehottaa Albaniaa vahvistamaan kansalaisyhteiskunnan roolia EU:hun liittymisprosessissa;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maassa meneillään olevaan poliittiseen vastakkainasetteluun puuttumisesta; korostaa tehokkaamman parlamentaarisen valvonnan, instituutioiden paremman toiminnan ja kansalaisyhteiskunnan merkityksellisen osallistumisen tarvetta;</w:t>
            </w:r>
          </w:p>
        </w:tc>
        <w:tc>
          <w:tcPr>
            <w:tcW w:w="4876" w:type="dxa"/>
            <w:tcBorders>
              <w:top w:val="nil"/>
              <w:left w:val="nil"/>
              <w:bottom w:val="nil"/>
              <w:right w:val="nil"/>
            </w:tcBorders>
          </w:tcPr>
          <w:p>
            <w:pPr>
              <w:pStyle w:val="Normal6a"/>
            </w:pPr>
            <w:r>
              <w:t>6.</w:t>
            </w:r>
            <w:r>
              <w:tab/>
            </w:r>
            <w:r>
              <w:t>korostaa, että rakentava poliittinen keskustelu ja hallittu parlamentaarinen toiminta ovat demokraattisen hallinnon keskeisiä tekijöitä; muistuttaa, että Albanian poliittiset voimat ovat yhdessä vastuussa rakentavan ja osallistavan poliittisen vuoropuhelun vahvistamisesta sekä maassa meneillään olevaan poliittiseen vastakkainasetteluun puuttumisesta</w:t>
            </w:r>
            <w:r>
              <w:rPr>
                <w:b/>
                <w:i/>
              </w:rPr>
              <w:t>, etenkin tulevia parlamenttivaaleja silmällä pitäen</w:t>
            </w:r>
            <w:r>
              <w:t>; korostaa tehokkaamman parlamentaarisen valvonnan, instituutioiden paremman toiminnan ja kansalaisyhteiskunnan merkityksellisen osallistumisen tarvetta;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a.</w:t>
            </w:r>
            <w:r>
              <w:tab/>
            </w:r>
            <w:r>
              <w:rPr>
                <w:b/>
                <w:i/>
              </w:rPr>
              <w:t>kehottaa painokkaasti kaikkia poliittisia toimijoita pidättymään valtiollisten mekanismien käytöstä poliittisina välineinä, joilla hyökätä vastustajia vastaan, ja osoittamaan, että ne kunnioittavat täysin opposition roolia, tekemällä lopun poliittisista hyökkäyksistä, pelottelusta ja pyrkimyksistä heikentää vastustajien legitiimiyttä;</w:t>
            </w:r>
            <w:r>
              <w:t xml:space="preserve"> </w:t>
            </w:r>
            <w:r>
              <w:rPr>
                <w:b/>
                <w:i/>
              </w:rPr>
              <w:t>kehottaa käymään aitoa vuoropuhelua poliittisen vakauden ja edistyksen lisäämiseksi sekä painottaa tarvetta löytää puoluerajat ylittävä konsensus EU-jäsenyysagendasta ja kansalaisyhteiskunnan mielekkäästä osallistumisesta;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a.</w:t>
            </w:r>
            <w:r>
              <w:tab/>
            </w:r>
            <w:r>
              <w:rPr>
                <w:b/>
                <w:i/>
              </w:rPr>
              <w:t>kannustaa Albaniaa panemaan täytäntöön säännökset, joilla varmistetaan kansallisten vähemmistöjen suojelulle vuonna 2017 vahvistetun kehyksen täysi täytäntöönpano ja siihen liittyvien, vapaata itsemääräämistä, vähemmistökielten käyttöä ja vähemmistökielistä opetusta koskevien oikeuksien toteutuminen;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a.</w:t>
            </w:r>
            <w:r>
              <w:tab/>
            </w:r>
            <w:r>
              <w:rPr>
                <w:b/>
                <w:i/>
              </w:rPr>
              <w:t>panee merkille, että Albanian demokraattisiin instituutioihin kohdistuu kasvava ulkomaisen pahantahtoisen vaikuttamisen ja hybridihäirinnän uhka, joka vaikuttaa suoraan sen EU:hun liittymisprosessiin;</w:t>
            </w:r>
            <w:r>
              <w:t xml:space="preserve"> </w:t>
            </w:r>
            <w:r>
              <w:rPr>
                <w:b/>
                <w:i/>
              </w:rPr>
              <w:t>kehottaa Albaniaa lujittamaan toimielinten resilienssiä salaisen poliittisen rahoituksen, tiedotusvälineiden manipuloinnin ja kyberhyökkäysten varalta;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Andrey Kovatchev, Michael Gahler, Ondřej Kolář, Matej Tonin,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w:t>
            </w:r>
            <w:r>
              <w:tab/>
            </w:r>
            <w:r>
              <w:rPr>
                <w:b/>
                <w:i/>
              </w:rPr>
              <w:t>pitää valitettavana, että parlamentissa on toistuvasti epäonnistuttu eräiden perustuslakituomioistuimen ratkaisujen noudattamisessa;</w:t>
            </w:r>
            <w:r>
              <w:t xml:space="preserve"> </w:t>
            </w:r>
            <w:r>
              <w:rPr>
                <w:b/>
                <w:i/>
              </w:rPr>
              <w:t>korostaa parlamentin velvollisuutta noudattaa perustuslakituomioistuimen ratkaisuja, jotta vallan tasapaino ja kolmijako säilyisivät, sillä ne ovat keskeisiä demokraattisen hallinnon takeita;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w:t>
            </w:r>
            <w:r>
              <w:tab/>
            </w:r>
            <w:r>
              <w:rPr>
                <w:b/>
                <w:i/>
              </w:rPr>
              <w:t>pitää valitettavana, että Albanian kansalaisyhteiskunnan organisaatiot saavat vain vähän julkista rahoitusta;</w:t>
            </w:r>
            <w:r>
              <w:t xml:space="preserve"> </w:t>
            </w:r>
            <w:r>
              <w:rPr>
                <w:b/>
                <w:i/>
              </w:rPr>
              <w:t>vaatii panemaan täytäntöön tarvittavat edellytykset kansalaisyhteiskunnan organisaatioiden tosiasialliselle vapauttamiselle arvonlisäverosta;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c.</w:t>
            </w:r>
            <w:r>
              <w:tab/>
            </w:r>
            <w:r>
              <w:rPr>
                <w:b/>
                <w:i/>
              </w:rPr>
              <w:t>painottaa parlamentin perustavanlaatuista ja korvaamatonta roolia vallan kolmijaon mukaisen kontrollin turvaamisessa, etenkin tutkintavaliokuntien välityksellä;</w:t>
            </w:r>
            <w:r>
              <w:t xml:space="preserve"> </w:t>
            </w:r>
            <w:r>
              <w:rPr>
                <w:b/>
                <w:i/>
              </w:rPr>
              <w:t>panee huolestuneena merkille parlamentaarisia tutkintavaliokuntia koskevan uuden lain hyväksymisen yksipuolisesti ilman konsensusta;</w:t>
            </w:r>
            <w:r>
              <w:t xml:space="preserve"> </w:t>
            </w:r>
            <w:r>
              <w:rPr>
                <w:b/>
                <w:i/>
              </w:rPr>
              <w:t>kehottaa Albaniaa varmistamaan aidon demokraattisen vastuuvelvollisuuden ja lujittamaan vahvaa, läpinäkyvää hallintoa, muun muassa asettamalla tutkintavaliokuntia, tekemällä tiedusteluja ja esittämällä esityksiä, joista keskustellaan, lainsäädännön säännöksiä täysin noudattaen;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Andrey Kovatchev,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6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d.</w:t>
            </w:r>
            <w:r>
              <w:tab/>
            </w:r>
            <w:r>
              <w:rPr>
                <w:b/>
                <w:i/>
              </w:rPr>
              <w:t>painottaa, että kaikkien aloitteiden, joilla väitetysti lujitetaan hallintoa ja oikeusvaltiota, ja korruption torjuntatoimien on perustuttava osallistavuuteen, avoimuuteen ja yhteistoimintaan eikä poliittiseen laskelmointiin;</w:t>
            </w:r>
            <w:r>
              <w:t xml:space="preserve"> </w:t>
            </w:r>
            <w:r>
              <w:rPr>
                <w:b/>
                <w:i/>
              </w:rPr>
              <w:t>pitää huolestuttavina kaikkia päätöksiä, jotka tehdään yksipuolisesti ilman laajempaa poliittista konsensusta;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panee merkille Albanian vaalilakiin heinäkuussa 2024 tehdyt muutokset, joiden nojalla maasta muuttaneet albanialaiset voivat äänestää maan ulkopuolella ja joilla otetaan käyttöön osittain avoimet ehdokaslistat; vaatii, että Etyjin/ODIHR:n ja Venetsian komission jäljellä olevat suositukset käsitellään ja pannaan täytäntöön;</w:t>
            </w:r>
          </w:p>
        </w:tc>
        <w:tc>
          <w:tcPr>
            <w:tcW w:w="4876" w:type="dxa"/>
            <w:tcBorders>
              <w:top w:val="nil"/>
              <w:left w:val="nil"/>
              <w:bottom w:val="nil"/>
              <w:right w:val="nil"/>
            </w:tcBorders>
          </w:tcPr>
          <w:p>
            <w:pPr>
              <w:pStyle w:val="Normal6a"/>
            </w:pPr>
            <w:r>
              <w:t>7.</w:t>
            </w:r>
            <w:r>
              <w:tab/>
            </w:r>
            <w:r>
              <w:t>panee merkille Albanian vaalilakiin heinäkuussa 2024 tehdyt muutokset, joiden nojalla maasta muuttaneet albanialaiset voivat äänestää maan ulkopuolella ja joilla otetaan käyttöön osittain avoimet ehdokaslistat; vaatii, että Etyjin/ODIHR:n ja Venetsian komission jäljellä olevat suositukset</w:t>
            </w:r>
            <w:r>
              <w:rPr>
                <w:b/>
                <w:i/>
              </w:rPr>
              <w:t>, myös suositukset vaali- ja puoluerahoitusta koskevasta kehyksestä,</w:t>
            </w:r>
            <w:r>
              <w:t xml:space="preserve"> käsitellään ja pannaan täytäntöön </w:t>
            </w:r>
            <w:r>
              <w:rPr>
                <w:b/>
                <w:i/>
              </w:rPr>
              <w:t>kiireellisesti;</w:t>
            </w:r>
            <w:r>
              <w:t xml:space="preserve"> </w:t>
            </w:r>
            <w:r>
              <w:rPr>
                <w:b/>
                <w:i/>
              </w:rPr>
              <w:t>vaatii viranomaisia takaamaan yhdistymisvapauden, myös oikeuden perustaa poliittisia puolueita, ja vapauden asettua ehdolle, myös kaikille vähemmistöille ja kaikille opposition ryhmille;</w:t>
            </w:r>
            <w:r>
              <w:t xml:space="preserve"> </w:t>
            </w:r>
            <w:r>
              <w:rPr>
                <w:b/>
                <w:i/>
              </w:rPr>
              <w:t>vaatii Albanian viranomaisia estämään äänten ostamisen ja hallinnollisten resurssien väärinkäytön vaalimenestyksen tavoitteluun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panee merkille Albanian vaalilakiin heinäkuussa 2024 tehdyt muutokset, joiden nojalla maasta muuttaneet albanialaiset voivat äänestää maan ulkopuolella ja joilla otetaan käyttöön osittain avoimet ehdokaslistat; vaatii, että Etyjin/ODIHR:n ja Venetsian komission jäljellä olevat suositukset käsitellään ja pannaan täytäntöön;</w:t>
            </w:r>
          </w:p>
        </w:tc>
        <w:tc>
          <w:tcPr>
            <w:tcW w:w="4876" w:type="dxa"/>
            <w:tcBorders>
              <w:top w:val="nil"/>
              <w:left w:val="nil"/>
              <w:bottom w:val="nil"/>
              <w:right w:val="nil"/>
            </w:tcBorders>
          </w:tcPr>
          <w:p>
            <w:pPr>
              <w:pStyle w:val="Normal6a"/>
            </w:pPr>
            <w:r>
              <w:t>7.</w:t>
            </w:r>
            <w:r>
              <w:tab/>
            </w:r>
            <w:r>
              <w:t xml:space="preserve">panee merkille Albanian vaalilakiin heinäkuussa 2024 tehdyt muutokset, joiden nojalla maasta muuttaneet albanialaiset voivat äänestää maan ulkopuolella ja joilla otetaan käyttöön osittain avoimet ehdokaslistat; </w:t>
            </w:r>
            <w:r>
              <w:rPr>
                <w:b/>
                <w:i/>
              </w:rPr>
              <w:t>on huolissaan siitä, että näillä muutoksilla ei ehkä onnistuta ratkaisemaan perustavia ongelmia, kuten vaalisalaisuus, vaaleihin liittyvä lahjonta ja tiedotusvälineiden riippumattoman valvonnan puute;</w:t>
            </w:r>
            <w:r>
              <w:t xml:space="preserve"> </w:t>
            </w:r>
            <w:r>
              <w:rPr>
                <w:b/>
                <w:i/>
              </w:rPr>
              <w:t>pitää valitettavana, että kireä poliittinen ilmapiiri ja jatkuvat erimielisyydet haittasivat parlamentin tilapäisen valiokunnan työtä ja vaaliuudistusten onnistunutta täytäntöönpanoa;</w:t>
            </w:r>
            <w:r>
              <w:t xml:space="preserve"> vaatii, että Etyjin/ODIHR:n ja Venetsian komission jäljellä olevat suositukset käsitellään ja pannaan täytäntöön;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panee merkille Albanian vaalilakiin heinäkuussa 2024 tehdyt muutokset, joiden nojalla maasta muuttaneet albanialaiset voivat äänestää maan ulkopuolella ja joilla otetaan käyttöön osittain avoimet ehdokaslistat; </w:t>
            </w:r>
            <w:r>
              <w:rPr>
                <w:b/>
                <w:i/>
              </w:rPr>
              <w:t>vaatii, että</w:t>
            </w:r>
            <w:r>
              <w:t xml:space="preserve"> Etyjin/ODIHR:n ja Venetsian komission jäljellä olevat suositukset </w:t>
            </w:r>
            <w:r>
              <w:rPr>
                <w:b/>
                <w:i/>
              </w:rPr>
              <w:t>käsitellään ja pannaan täytäntöön</w:t>
            </w:r>
            <w:r>
              <w:t>;</w:t>
            </w:r>
          </w:p>
        </w:tc>
        <w:tc>
          <w:tcPr>
            <w:tcW w:w="4876" w:type="dxa"/>
            <w:tcBorders>
              <w:top w:val="nil"/>
              <w:left w:val="nil"/>
              <w:bottom w:val="nil"/>
              <w:right w:val="nil"/>
            </w:tcBorders>
          </w:tcPr>
          <w:p>
            <w:pPr>
              <w:pStyle w:val="Normal6a"/>
            </w:pPr>
            <w:r>
              <w:t>7.</w:t>
            </w:r>
            <w:r>
              <w:tab/>
            </w:r>
            <w:r>
              <w:t xml:space="preserve">panee merkille Albanian vaalilakiin heinäkuussa 2024 tehdyt muutokset, joiden nojalla maasta muuttaneet albanialaiset voivat äänestää maan ulkopuolella ja joilla otetaan käyttöön osittain avoimet ehdokaslistat; </w:t>
            </w:r>
            <w:r>
              <w:rPr>
                <w:b/>
                <w:i/>
              </w:rPr>
              <w:t>korostaa tarvetta panna</w:t>
            </w:r>
            <w:r>
              <w:t xml:space="preserve"> Etyjin/ODIHR:n ja Venetsian komission jäljellä olevat suositukset </w:t>
            </w:r>
            <w:r>
              <w:rPr>
                <w:b/>
                <w:i/>
              </w:rPr>
              <w:t>täytäntöön täysin ja ripeästi, jotta voidaan varmistaa vaaliprosessien avoimuus ja demokraattisten instituutioiden asianmukainen toiminta;</w:t>
            </w:r>
            <w:r>
              <w:t xml:space="preserve"> </w:t>
            </w:r>
            <w:r>
              <w:rPr>
                <w:b/>
                <w:i/>
              </w:rPr>
              <w:t>kehottaa vahvistamaan edelleen lainsäädäntökehystä, jotta estetään äänestäjien painostaminen ja parannetaan yhtäläistä pääsyä tiedotusvälineisiin vaalikampanjoiden aikana</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panee merkille Albanian vaalilakiin heinäkuussa 2024 tehdyt muutokset, joiden nojalla maasta muuttaneet albanialaiset voivat äänestää maan ulkopuolella ja joilla otetaan käyttöön osittain avoimet ehdokaslistat; vaatii, että Etyjin/ODIHR:n ja Venetsian komission jäljellä olevat suositukset käsitellään ja pannaan täytäntöön;</w:t>
            </w:r>
          </w:p>
        </w:tc>
        <w:tc>
          <w:tcPr>
            <w:tcW w:w="4876" w:type="dxa"/>
            <w:tcBorders>
              <w:top w:val="nil"/>
              <w:left w:val="nil"/>
              <w:bottom w:val="nil"/>
              <w:right w:val="nil"/>
            </w:tcBorders>
          </w:tcPr>
          <w:p>
            <w:pPr>
              <w:pStyle w:val="Normal6a"/>
            </w:pPr>
            <w:r>
              <w:t>7.</w:t>
            </w:r>
            <w:r>
              <w:tab/>
            </w:r>
            <w:r>
              <w:t xml:space="preserve">panee merkille Albanian vaalilakiin heinäkuussa 2024 tehdyt muutokset, joiden nojalla maasta muuttaneet albanialaiset voivat äänestää maan ulkopuolella ja joilla otetaan käyttöön osittain avoimet ehdokaslistat; vaatii, että Etyjin/ODIHR:n ja Venetsian komission jäljellä olevat suositukset käsitellään ja pannaan täytäntöön; </w:t>
            </w:r>
            <w:r>
              <w:rPr>
                <w:b/>
                <w:i/>
              </w:rPr>
              <w:t>toteaa, että tämä koskee erityisesti vaalien avoimuutta koskevia suosituksia, muun muassa nimettömän poliittisen verkkomainonnan kieltämistä, ulkomaisia yhteyksiä omaavien toimijoiden taloudellisten tietojen julkistamisvaatimusten lisäämistä ja vaalirahoitusrikkomuksia koskevan lainsäädännön tiukentamista;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a.</w:t>
            </w:r>
            <w:r>
              <w:tab/>
            </w:r>
            <w:r>
              <w:rPr>
                <w:b/>
                <w:i/>
              </w:rPr>
              <w:t>pitää valitettavana, että Etyjin/ODIHR:n suosituksista huolimatta toistuviin vaalirikkomuksiin ei ole edelleenkään puututtu;</w:t>
            </w:r>
            <w:r>
              <w:t xml:space="preserve"> </w:t>
            </w:r>
            <w:r>
              <w:rPr>
                <w:b/>
                <w:i/>
              </w:rPr>
              <w:t>panee merkille, että hallitsevan puolueen 2020 yksipuolisella perustuslain muutoksella on heikennetty instituutioiden valvontaa ja vaalien kilpailullisuutta;</w:t>
            </w:r>
            <w:r>
              <w:t xml:space="preserve"> </w:t>
            </w:r>
            <w:r>
              <w:rPr>
                <w:b/>
                <w:i/>
              </w:rPr>
              <w:t>vaatii varmistamaan tasapuoliset toimintaedellytykset ja kansainvälisten normien täyden kunnioittamisen, jotta vuoden 2025 vaalit olisivat vapaat ja oikeudenmukaiset;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a.</w:t>
            </w:r>
            <w:r>
              <w:tab/>
            </w:r>
            <w:r>
              <w:rPr>
                <w:b/>
                <w:i/>
              </w:rPr>
              <w:t>tuomitsee ehdottomasti Venäjän sekaantumisen Albanian demokraattisiin prosesseihin ja varsinkin sen salaisen rahoitustuen Albanian poliittisille toimijoille vuoden 2017 vaaleissa, joissa Venäjään kytköksissä olevat peiteyhtiöt ohjasivat 600 000 euroa salaiseen vaalirahoitukseen tarkoituksenaan vaikuttaa vaalituloksiin;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Andrey Kovatchev,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a.</w:t>
            </w:r>
            <w:r>
              <w:tab/>
            </w:r>
            <w:r>
              <w:rPr>
                <w:b/>
                <w:i/>
              </w:rPr>
              <w:t>varoittaa toteuttamasta toimia, jotka saattaisivat heikentää tasapuolista kilpailua ja vaaliprosessin loukkaamattomuutta vähän ennen vaaleja;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a.</w:t>
            </w:r>
            <w:r>
              <w:tab/>
            </w:r>
            <w:r>
              <w:rPr>
                <w:b/>
                <w:i/>
              </w:rPr>
              <w:t>pitää tervetulleina Albanian hallituksen kaikkia mahdollisia aloitteita maasta muuttaneiden albanialaisten paluumuuton edistämiseksi;</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7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w:t>
            </w:r>
            <w:r>
              <w:tab/>
            </w:r>
            <w:r>
              <w:rPr>
                <w:b/>
                <w:i/>
              </w:rPr>
              <w:t>ilmaisee vakavan huolensa vaalilain järjestelmällisistä rikkomuksista, joihin pääministeri Edi Rama on syyllistynyt, ja valtion resurssien väärinkäytöstä vaalimenestyksen tavoitteluun, mistä ovat esimerkkeinä kertaluonteiset maksut eläkeläisille kaksi kuukautta ennen vaaleja, vaalienaikaiset palkkauskäytännöt, nopeutetut hankintamenettelyt sekä toimilupien myöntäminen ja kannabikseen liittyvät kannustimet vastineeksi annetuista äänistä lainsäädännön vastaisesti;</w:t>
            </w:r>
            <w:r>
              <w:t xml:space="preserve"> </w:t>
            </w:r>
            <w:r>
              <w:rPr>
                <w:b/>
                <w:i/>
              </w:rPr>
              <w:t>painottaa, että tällaiset toimet heikentävät vaaliprosessin loukkaamattomuutta ja tasapuolisuutta ja ovat virka-aseman väärinkäyttöä poliittisen edun tavoittelutarkoituksessa;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panee huolestuneena merkille, että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w:t>
            </w:r>
          </w:p>
        </w:tc>
        <w:tc>
          <w:tcPr>
            <w:tcW w:w="4876" w:type="dxa"/>
            <w:tcBorders>
              <w:top w:val="nil"/>
              <w:left w:val="nil"/>
              <w:bottom w:val="nil"/>
              <w:right w:val="nil"/>
            </w:tcBorders>
          </w:tcPr>
          <w:p>
            <w:pPr>
              <w:pStyle w:val="Normal6a"/>
            </w:pPr>
            <w:r>
              <w:t>8.</w:t>
            </w:r>
            <w:r>
              <w:tab/>
            </w:r>
            <w:r>
              <w:t xml:space="preserve">panee huolestuneena merkille, että </w:t>
            </w:r>
            <w:r>
              <w:rPr>
                <w:b/>
                <w:i/>
              </w:rPr>
              <w:t>Albaniassa</w:t>
            </w:r>
            <w:r>
              <w:t xml:space="preserve">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 </w:t>
            </w:r>
            <w:r>
              <w:rPr>
                <w:b/>
                <w:i/>
              </w:rPr>
              <w:t>panee merkille, että Toimittajat ilman rajoja -järjestön vuoden 2024 lehdistönvapausindeksissä Albania on 99. sijalla, mikä kuvastaa yhä ajankohtaisia ongelmia, jotka liittyvät tiedotusvälineiden omistuksen keskittymiseen, poliittisiin vaikuttamispyrkimyksiin ja toimittajien uhkailuun;</w:t>
            </w:r>
            <w:r>
              <w:t xml:space="preserve"> </w:t>
            </w:r>
            <w:r>
              <w:rPr>
                <w:b/>
                <w:i/>
              </w:rPr>
              <w:t>korostaa, että tiedotusvälineiden rahoitusta ja omistusrakenteita koskevan avoimuuden puute lisää riskiä toimituksellisesta puolueellisuudesta ja heikentää yleisön luottamusta journalismiin;</w:t>
            </w:r>
            <w:r>
              <w:t xml:space="preserve"> </w:t>
            </w:r>
            <w:r>
              <w:rPr>
                <w:b/>
                <w:i/>
              </w:rPr>
              <w:t>vaatii Albanian viranomaisia varmistamaan tiedotusvälineiden omistusta koskevan avoimuuden ja soveltamaan toimittajien pelottelutapauksiin nollatoleranssia;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panee huolestuneena merkille, että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w:t>
            </w:r>
          </w:p>
        </w:tc>
        <w:tc>
          <w:tcPr>
            <w:tcW w:w="4876" w:type="dxa"/>
            <w:tcBorders>
              <w:top w:val="nil"/>
              <w:left w:val="nil"/>
              <w:bottom w:val="nil"/>
              <w:right w:val="nil"/>
            </w:tcBorders>
          </w:tcPr>
          <w:p>
            <w:pPr>
              <w:pStyle w:val="Normal6a"/>
            </w:pPr>
            <w:r>
              <w:t>8.</w:t>
            </w:r>
            <w:r>
              <w:tab/>
            </w:r>
            <w:r>
              <w:t xml:space="preserve">panee huolestuneena merkille, että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 </w:t>
            </w:r>
            <w:r>
              <w:rPr>
                <w:b/>
                <w:i/>
              </w:rPr>
              <w:t>korostaa, että Venäjä on järjestelmällisesti levittänyt Albaniassa disinformaatiota ja tähän liittyen vuonna 2023 tunnistettiin 41 merkittävää valeuutista, jotka saavuttivat ihmisiä Albaniassa, Kosovossa ja Pohjois-Makedoniassa yli 780 uudelleenjulkaistun kirjoituksen ansiosta;</w:t>
            </w:r>
            <w:r>
              <w:t xml:space="preserve"> </w:t>
            </w:r>
            <w:r>
              <w:rPr>
                <w:b/>
                <w:i/>
              </w:rPr>
              <w:t>korostaa, että Venäjä-myötäisillä narratiiveilla on pyritty rapauttamaan yleisön luottamusta demokraattisiin instituutioihin ja edistämään länsimaiden vastaista ilmapiiriä;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panee huolestuneena merkille, että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w:t>
            </w:r>
          </w:p>
        </w:tc>
        <w:tc>
          <w:tcPr>
            <w:tcW w:w="4876" w:type="dxa"/>
            <w:tcBorders>
              <w:top w:val="nil"/>
              <w:left w:val="nil"/>
              <w:bottom w:val="nil"/>
              <w:right w:val="nil"/>
            </w:tcBorders>
          </w:tcPr>
          <w:p>
            <w:pPr>
              <w:pStyle w:val="Normal6a"/>
            </w:pPr>
            <w:r>
              <w:t>8.</w:t>
            </w:r>
            <w:r>
              <w:tab/>
            </w:r>
            <w:r>
              <w:t xml:space="preserve">panee huolestuneena merkille, että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 </w:t>
            </w:r>
            <w:r>
              <w:rPr>
                <w:b/>
                <w:i/>
              </w:rPr>
              <w:t>vaatii viranomaisia ratkaisemaan jatkuvat, merkittävät tiedotusvälineiden riippumattomuutta haittaavat ongelmat, mukaan lukien tiedotusvälineiden omistusta ja rahoituslähteitä koskevan avoimuuden puute;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panee huolestuneena merkille, että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w:t>
            </w:r>
          </w:p>
        </w:tc>
        <w:tc>
          <w:tcPr>
            <w:tcW w:w="4876" w:type="dxa"/>
            <w:tcBorders>
              <w:top w:val="nil"/>
              <w:left w:val="nil"/>
              <w:bottom w:val="nil"/>
              <w:right w:val="nil"/>
            </w:tcBorders>
          </w:tcPr>
          <w:p>
            <w:pPr>
              <w:pStyle w:val="Normal6a"/>
            </w:pPr>
            <w:r>
              <w:t>8.</w:t>
            </w:r>
            <w:r>
              <w:tab/>
            </w:r>
            <w:r>
              <w:t xml:space="preserve">panee huolestuneena merkille, että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w:t>
            </w:r>
            <w:r>
              <w:rPr>
                <w:b/>
                <w:i/>
              </w:rPr>
              <w:t>, mitkä johtuvat etenkin siitä, ettei rikoslaissa suojella toimittajia uhkailulta ja väkivallalta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panee huolestuneena merkille, että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w:t>
            </w:r>
          </w:p>
        </w:tc>
        <w:tc>
          <w:tcPr>
            <w:tcW w:w="4876" w:type="dxa"/>
            <w:tcBorders>
              <w:top w:val="nil"/>
              <w:left w:val="nil"/>
              <w:bottom w:val="nil"/>
              <w:right w:val="nil"/>
            </w:tcBorders>
          </w:tcPr>
          <w:p>
            <w:pPr>
              <w:pStyle w:val="Normal6a"/>
            </w:pPr>
            <w:r>
              <w:t>8.</w:t>
            </w:r>
            <w:r>
              <w:tab/>
            </w:r>
            <w:r>
              <w:rPr>
                <w:b/>
                <w:i/>
              </w:rPr>
              <w:t>pitää valitettavana, että vapaiden tiedotusvälineiden ja riippumattomien toimittajien toimintaympäristö on viime vuosina heikentynyt;</w:t>
            </w:r>
            <w:r>
              <w:t xml:space="preserve"> panee huolestuneena merkille, että tiedotusvälineiden riippumattomuuteen ja moniarvoisuuteen vaikuttavat edelleen markkinoiden voimakas keskittyminen, </w:t>
            </w:r>
            <w:r>
              <w:rPr>
                <w:b/>
                <w:i/>
              </w:rPr>
              <w:t>liike-elämän</w:t>
            </w:r>
            <w:r>
              <w:t xml:space="preserve"> ja poliittisten etujen päällekkäisyys, rahoituksen ja omistajuuden avoimuuden puute sekä toimittajien pelottelu ja epävarmat työolot;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Andrey Kovatchev,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muistuttaa, että medialakien mahdollisten tarkistusten olisi oltava Venetsian komission suositusten mukaisia ja ne olisi toteutettava avoimella ja osallistavalla tavalla; toteaa, että lainsäädäntökehyksen mukauttamisessa EU:n säännöstöön ja EU:n normeihin, kuten eurooppalaiseen medianvapaussäädökseen</w:t>
            </w:r>
            <w:r>
              <w:rPr>
                <w:b/>
                <w:i/>
                <w:vertAlign w:val="superscript"/>
              </w:rPr>
              <w:t>4</w:t>
            </w:r>
            <w:r>
              <w:t>, ei ole edistytty; muistuttaa tarpeesta lisätä tutkivaa journalismia, faktantarkistusta ja medialukutaitoa, jotta voidaan torjua vihapuhetta, disinformaatiota ja valeuutisia;</w:t>
            </w:r>
          </w:p>
        </w:tc>
        <w:tc>
          <w:tcPr>
            <w:tcW w:w="4876" w:type="dxa"/>
            <w:tcBorders>
              <w:top w:val="nil"/>
              <w:left w:val="nil"/>
              <w:bottom w:val="nil"/>
              <w:right w:val="nil"/>
            </w:tcBorders>
          </w:tcPr>
          <w:p>
            <w:pPr>
              <w:pStyle w:val="Normal6a"/>
            </w:pPr>
            <w:r>
              <w:t>9.</w:t>
            </w:r>
            <w:r>
              <w:tab/>
            </w:r>
            <w:r>
              <w:t xml:space="preserve">muistuttaa, että medialakien mahdollisten tarkistusten olisi oltava Venetsian komission suositusten mukaisia ja ne olisi toteutettava avoimella ja osallistavalla tavalla </w:t>
            </w:r>
            <w:r>
              <w:rPr>
                <w:b/>
                <w:i/>
              </w:rPr>
              <w:t>ja media-alan järjestöjä kuullen, jotta voidaan parantaa tiedotusvälineiden vapautta ja itsesääntelyä</w:t>
            </w:r>
            <w:r>
              <w:t xml:space="preserve">; toteaa, että lainsäädäntökehyksen mukauttamisessa EU:n säännöstöön ja EU:n normeihin, kuten eurooppalaiseen medianvapaussäädökseen, ei ole edistytty; muistuttaa tarpeesta lisätä tutkivaa journalismia, faktantarkistusta ja medialukutaitoa, jotta voidaan torjua vihapuhetta, disinformaatiota ja valeuutisia; </w:t>
            </w:r>
            <w:r>
              <w:rPr>
                <w:b/>
                <w:i/>
              </w:rPr>
              <w:t>ilmaisee huolensa jatkuvasta provosoivasta retoriikasta, myös korkean tason poliitikkojen, viranhaltijoiden ja muiden julkisuuden henkilöiden taholta, mikä ruokkii pelottelun, mustamaalauskampanjoiden, väkivallan ja mellakoinnin kulttuuria, ja kehottaa varmistamaan, että toimittajia vastaan hyökkääville langetetaan lopulliset tuomiot;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4</w:t>
            </w:r>
            <w:r>
              <w:t xml:space="preserve"> </w:t>
            </w:r>
            <w:r>
              <w:rPr>
                <w:b/>
                <w:i/>
              </w:rPr>
              <w:t>Euroopan parlamentin ja neuvoston asetus (EU) 2024/1083, annettu 11. huhtikuuta 2024, mediapalvelujen yhteisestä kehyksestä sisämarkkinoilla ja direktiivin 2010/13/EU muuttamisesta (eurooppalainen medianvapaussäädös) (EUVL L, 2024/1083, 17.4.2024, ELI: http://data.europa.eu/eli/reg/2024/1083/oj).</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muistuttaa, että medialakien mahdollisten tarkistusten olisi oltava Venetsian komission suositusten mukaisia ja ne olisi toteutettava avoimella ja osallistavalla tavalla; toteaa, että lainsäädäntökehyksen mukauttamisessa EU:n säännöstöön ja EU:n normeihin, kuten eurooppalaiseen medianvapaussäädökseen</w:t>
            </w:r>
            <w:r>
              <w:rPr>
                <w:vertAlign w:val="superscript"/>
              </w:rPr>
              <w:t>4</w:t>
            </w:r>
            <w:r>
              <w:t>, ei ole edistytty; muistuttaa tarpeesta lisätä tutkivaa journalismia, faktantarkistusta ja medialukutaitoa, jotta voidaan torjua vihapuhetta, disinformaatiota ja valeuutisia;</w:t>
            </w:r>
          </w:p>
        </w:tc>
        <w:tc>
          <w:tcPr>
            <w:tcW w:w="4876" w:type="dxa"/>
            <w:tcBorders>
              <w:top w:val="nil"/>
              <w:left w:val="nil"/>
              <w:bottom w:val="nil"/>
              <w:right w:val="nil"/>
            </w:tcBorders>
          </w:tcPr>
          <w:p>
            <w:pPr>
              <w:pStyle w:val="Normal6a"/>
            </w:pPr>
            <w:r>
              <w:t>9.</w:t>
            </w:r>
            <w:r>
              <w:tab/>
            </w:r>
            <w:r>
              <w:t xml:space="preserve">muistuttaa, että medialakien mahdollisten tarkistusten olisi oltava Venetsian komission suositusten mukaisia ja ne olisi toteutettava avoimella ja osallistavalla tavalla; </w:t>
            </w:r>
            <w:r>
              <w:rPr>
                <w:b/>
                <w:i/>
              </w:rPr>
              <w:t>pitää tervetulleena EU:n ja Euroopan neuvoston käynnistämää alustaa ja journalismikoulua;</w:t>
            </w:r>
            <w:r>
              <w:t xml:space="preserve"> </w:t>
            </w:r>
            <w:r>
              <w:rPr>
                <w:b/>
                <w:i/>
              </w:rPr>
              <w:t>kehottaa hallitusta aktiivisuuteen;</w:t>
            </w:r>
            <w:r>
              <w:t xml:space="preserve"> toteaa, että lainsäädäntökehyksen mukauttamisessa EU:n säännöstöön ja EU:n normeihin, kuten eurooppalaiseen medianvapaussäädökseen</w:t>
            </w:r>
            <w:r>
              <w:rPr>
                <w:vertAlign w:val="superscript"/>
              </w:rPr>
              <w:t>4</w:t>
            </w:r>
            <w:r>
              <w:t>, ei ole edistytty; muistuttaa tarpeesta lisätä tutkivaa journalismia, faktantarkistusta ja medialukutaitoa, jotta voidaan torjua vihapuhetta, disinformaatiota ja valeuutisia;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Euroopan parlamentin ja neuvoston asetus (EU) 2024/1083, annettu 11. huhtikuuta 2024, mediapalvelujen yhteisestä kehyksestä sisämarkkinoilla ja direktiivin 2010/13/EU muuttamisesta (eurooppalainen medianvapaussäädös) (EUVL L, 2024/1083, 17.4.2024, ELI: http://data.europa.eu/eli/reg/2024/1083/oj).</w:t>
            </w:r>
          </w:p>
        </w:tc>
        <w:tc>
          <w:tcPr>
            <w:tcW w:w="4876" w:type="dxa"/>
            <w:tcBorders>
              <w:top w:val="nil"/>
              <w:left w:val="nil"/>
              <w:bottom w:val="nil"/>
              <w:right w:val="nil"/>
            </w:tcBorders>
          </w:tcPr>
          <w:p>
            <w:pPr>
              <w:pStyle w:val="Normal6a"/>
            </w:pPr>
            <w:r>
              <w:rPr>
                <w:vertAlign w:val="superscript"/>
              </w:rPr>
              <w:t>4</w:t>
            </w:r>
            <w:r>
              <w:t xml:space="preserve"> </w:t>
            </w:r>
            <w:r>
              <w:t>Euroopan parlamentin ja neuvoston asetus (EU) 2024/1083, annettu 11. huhtikuuta 2024, mediapalvelujen yhteisestä kehyksestä sisämarkkinoilla ja direktiivin 2010/13/EU muuttamisesta (eurooppalainen medianvapaussäädös) (EUVL L, 2024/1083, 17.4.2024, ELI: http://data.europa.eu/eli/reg/2024/1083/oj).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muistuttaa, että medialakien mahdollisten tarkistusten olisi oltava Venetsian komission suositusten mukaisia ja ne olisi toteutettava avoimella ja osallistavalla tavalla; toteaa, että lainsäädäntökehyksen mukauttamisessa EU:n säännöstöön ja EU:n normeihin, kuten eurooppalaiseen medianvapaussäädökseen</w:t>
            </w:r>
            <w:r>
              <w:rPr>
                <w:vertAlign w:val="superscript"/>
              </w:rPr>
              <w:t>4</w:t>
            </w:r>
            <w:r>
              <w:t>, ei ole edistytty; muistuttaa tarpeesta lisätä tutkivaa journalismia, faktantarkistusta ja medialukutaitoa, jotta voidaan torjua vihapuhetta, disinformaatiota ja valeuutisia;</w:t>
            </w:r>
          </w:p>
        </w:tc>
        <w:tc>
          <w:tcPr>
            <w:tcW w:w="4876" w:type="dxa"/>
            <w:tcBorders>
              <w:top w:val="nil"/>
              <w:left w:val="nil"/>
              <w:bottom w:val="nil"/>
              <w:right w:val="nil"/>
            </w:tcBorders>
          </w:tcPr>
          <w:p>
            <w:pPr>
              <w:pStyle w:val="Normal6a"/>
            </w:pPr>
            <w:r>
              <w:t>9.</w:t>
            </w:r>
            <w:r>
              <w:tab/>
            </w:r>
            <w:r>
              <w:t>muistuttaa, että medialakien mahdollisten tarkistusten olisi oltava Venetsian komission suositusten mukaisia ja ne olisi toteutettava avoimella ja osallistavalla tavalla; toteaa, että lainsäädäntökehyksen mukauttamisessa EU:n säännöstöön ja EU:n normeihin, kuten eurooppalaiseen medianvapaussäädökseen</w:t>
            </w:r>
            <w:r>
              <w:rPr>
                <w:vertAlign w:val="superscript"/>
              </w:rPr>
              <w:t>4</w:t>
            </w:r>
            <w:r>
              <w:t xml:space="preserve">, ei ole edistytty; muistuttaa tarpeesta lisätä tutkivaa journalismia, faktantarkistusta ja medialukutaitoa, jotta voidaan torjua vihapuhetta, disinformaatiota ja valeuutisia; </w:t>
            </w:r>
            <w:r>
              <w:rPr>
                <w:b/>
                <w:i/>
              </w:rPr>
              <w:t>kehottaa Albaniaa poistamaan kunnianloukkauksen rangaistavuuden;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Euroopan parlamentin ja neuvoston asetus (EU) 2024/1083, annettu 11. huhtikuuta 2024, mediapalvelujen yhteisestä kehyksestä sisämarkkinoilla ja direktiivin 2010/13/EU muuttamisesta (eurooppalainen medianvapaussäädös) (EUVL L, 2024/1083, 17.4.2024, ELI: http://data.europa.eu/eli/reg/2024/1083/oj).</w:t>
            </w:r>
          </w:p>
        </w:tc>
        <w:tc>
          <w:tcPr>
            <w:tcW w:w="4876" w:type="dxa"/>
            <w:tcBorders>
              <w:top w:val="nil"/>
              <w:left w:val="nil"/>
              <w:bottom w:val="nil"/>
              <w:right w:val="nil"/>
            </w:tcBorders>
          </w:tcPr>
          <w:p>
            <w:pPr>
              <w:pStyle w:val="Normal6a"/>
            </w:pPr>
            <w:r>
              <w:rPr>
                <w:vertAlign w:val="superscript"/>
              </w:rPr>
              <w:t>4</w:t>
            </w:r>
            <w:r>
              <w:t xml:space="preserve"> </w:t>
            </w:r>
            <w:r>
              <w:t>Euroopan parlamentin ja neuvoston asetus (EU) 2024/1083, annettu 11. huhtikuuta 2024, mediapalvelujen yhteisestä kehyksestä sisämarkkinoilla ja direktiivin 2010/13/EU muuttamisesta (eurooppalainen medianvapaussäädös) (EUVL L, 2024/1083, 17.4.2024, ELI: http://data.europa.eu/eli/reg/2024/1083/oj).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muistuttaa, että medialakien mahdollisten tarkistusten olisi oltava Venetsian komission suositusten mukaisia ja ne olisi toteutettava avoimella ja osallistavalla tavalla; </w:t>
            </w:r>
            <w:r>
              <w:rPr>
                <w:b/>
                <w:i/>
              </w:rPr>
              <w:t>toteaa</w:t>
            </w:r>
            <w:r>
              <w:t>, että lainsäädäntökehyksen mukauttamisessa EU:n säännöstöön ja EU:n normeihin, kuten eurooppalaiseen medianvapaussäädökseen</w:t>
            </w:r>
            <w:r>
              <w:rPr>
                <w:vertAlign w:val="superscript"/>
              </w:rPr>
              <w:t>4</w:t>
            </w:r>
            <w:r>
              <w:rPr>
                <w:b/>
                <w:i/>
              </w:rPr>
              <w:t>,</w:t>
            </w:r>
            <w:r>
              <w:t xml:space="preserve"> ei ole edistytty; muistuttaa tarpeesta lisätä tutkivaa journalismia, faktantarkistusta ja medialukutaitoa</w:t>
            </w:r>
            <w:r>
              <w:rPr>
                <w:b/>
                <w:i/>
              </w:rPr>
              <w:t>, jotta voidaan</w:t>
            </w:r>
            <w:r>
              <w:t xml:space="preserve"> torjua vihapuhetta, disinformaatiota ja valeuutisia;</w:t>
            </w:r>
          </w:p>
        </w:tc>
        <w:tc>
          <w:tcPr>
            <w:tcW w:w="4876" w:type="dxa"/>
            <w:tcBorders>
              <w:top w:val="nil"/>
              <w:left w:val="nil"/>
              <w:bottom w:val="nil"/>
              <w:right w:val="nil"/>
            </w:tcBorders>
          </w:tcPr>
          <w:p>
            <w:pPr>
              <w:pStyle w:val="Normal6a"/>
            </w:pPr>
            <w:r>
              <w:t>9.</w:t>
            </w:r>
            <w:r>
              <w:tab/>
            </w:r>
            <w:r>
              <w:t xml:space="preserve">muistuttaa, että medialakien mahdollisten tarkistusten olisi oltava Venetsian komission suositusten mukaisia ja ne olisi toteutettava avoimella ja osallistavalla tavalla; </w:t>
            </w:r>
            <w:r>
              <w:rPr>
                <w:b/>
                <w:i/>
              </w:rPr>
              <w:t>pitää valitettavana</w:t>
            </w:r>
            <w:r>
              <w:t>, että lainsäädäntökehyksen mukauttamisessa EU:n säännöstöön ja EU:n normeihin, kuten eurooppalaiseen medianvapaussäädökseen</w:t>
            </w:r>
            <w:r>
              <w:rPr>
                <w:vertAlign w:val="superscript"/>
              </w:rPr>
              <w:t>4</w:t>
            </w:r>
            <w:r>
              <w:t xml:space="preserve"> ei ole edistytty; muistuttaa tarpeesta lisätä tutkivaa journalismia, faktantarkistusta ja medialukutaitoa </w:t>
            </w:r>
            <w:r>
              <w:rPr>
                <w:b/>
                <w:i/>
              </w:rPr>
              <w:t>sekä</w:t>
            </w:r>
            <w:r>
              <w:t xml:space="preserve"> torjua vihapuhetta, disinformaatiota ja valeuutisia;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Euroopan parlamentin ja neuvoston asetus (EU) 2024/1083, annettu 11. huhtikuuta 2024, mediapalvelujen yhteisestä kehyksestä sisämarkkinoilla ja direktiivin 2010/13/EU muuttamisesta (eurooppalainen medianvapaussäädös) (EUVL L, 2024/1083, 17.4.2024, ELI: http://data.europa.eu/eli/reg/2024/1083/oj).</w:t>
            </w:r>
          </w:p>
        </w:tc>
        <w:tc>
          <w:tcPr>
            <w:tcW w:w="4876" w:type="dxa"/>
            <w:tcBorders>
              <w:top w:val="nil"/>
              <w:left w:val="nil"/>
              <w:bottom w:val="nil"/>
              <w:right w:val="nil"/>
            </w:tcBorders>
          </w:tcPr>
          <w:p>
            <w:pPr>
              <w:pStyle w:val="Normal6a"/>
            </w:pPr>
            <w:r>
              <w:rPr>
                <w:vertAlign w:val="superscript"/>
              </w:rPr>
              <w:t>4</w:t>
            </w:r>
            <w:r>
              <w:t xml:space="preserve"> </w:t>
            </w:r>
            <w:r>
              <w:t>Euroopan parlamentin ja neuvoston asetus (EU) 2024/1083, annettu 11. huhtikuuta 2024, mediapalvelujen yhteisestä kehyksestä sisämarkkinoilla ja direktiivin 2010/13/EU muuttamisesta (eurooppalainen medianvapaussäädös) (EUVL L, 2024/1083, 17.4.2024, ELI: http://data.europa.eu/eli/reg/2024/1083/oj).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9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a.</w:t>
            </w:r>
            <w:r>
              <w:tab/>
            </w:r>
            <w:r>
              <w:rPr>
                <w:b/>
                <w:i/>
              </w:rPr>
              <w:t>pitää hälyttävänä toimittajia vastaan nostettavien kanteiden määrän lisääntymistä ja kehottaa viranomaisia vahvistamaan lainsäädäntökehyksen, joka suojelee tehokkaasti toimittajia, ihmisoikeuksien puolustajia, ympäristöaktivisteja ja muita sidosryhmiä julkisen osallistumisen vastaisilta strategisilta häirintäkanteilta (SLAPP-kanteilta);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9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w:t>
            </w:r>
            <w:r>
              <w:tab/>
            </w:r>
            <w:r>
              <w:rPr>
                <w:b/>
                <w:i/>
              </w:rPr>
              <w:t>tuomitsee jyrkästi kasvavan vihamielisyyden riippumattomia toimittajia ja media-alan ammattilaisia kohtaan Albaniassa, mistä ovat esimerkkeinä korkea-arvoisten viranhaltijoiden sanalliset hyökkäykset ja tiedotusvälineiden vastainen retoriikka, mustamaalauskampanjat ja naisvihamielinen verkkohäirintä, jonka kohteeksi joutuu oikeusvaltiosta, korruptiosta ja oikeudenkäytöstä kirjoittavia naisia;</w:t>
            </w:r>
            <w:r>
              <w:t xml:space="preserve"> </w:t>
            </w:r>
            <w:r>
              <w:rPr>
                <w:b/>
                <w:i/>
              </w:rPr>
              <w:t>vaatii viranomaisia lopettamaan tällaiset kampanjat ja hyökkäykset toimittajia vastaan, tuomitsemaan yksiselitteisesti niiden tekijät, kunnioittamaan riippumattoman journalismin roolia keskeisen tärkeänä vallan vahtikoirana ja tekemään yhteistyötä tiedotusvälineiden kanssa tavalla, joka tukee demokratian periaatteita;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Ilaria Salis, 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muistuttaa kansallisten ja paikallisten viranomaisten vastuusta avoimuuden, vastuuvelvollisuuden ja osallistavuuden edistämisessä järjestämällä merkityksellisiä ja säännöllisiä julkisia sidosryhmien kuulemisia; panee huolestuneena merkille, että Albanian parlamentin julkisia kuulemisia koskevan lainsäädäntökehyksen täytäntöönpano on edelleen pitkälti vain muodollista;</w:t>
            </w:r>
          </w:p>
        </w:tc>
        <w:tc>
          <w:tcPr>
            <w:tcW w:w="4876" w:type="dxa"/>
            <w:tcBorders>
              <w:top w:val="nil"/>
              <w:left w:val="nil"/>
              <w:bottom w:val="nil"/>
              <w:right w:val="nil"/>
            </w:tcBorders>
          </w:tcPr>
          <w:p>
            <w:pPr>
              <w:pStyle w:val="Normal6a"/>
            </w:pPr>
            <w:r>
              <w:t>10.</w:t>
            </w:r>
            <w:r>
              <w:tab/>
            </w:r>
            <w:r>
              <w:t xml:space="preserve">muistuttaa kansallisten ja paikallisten viranomaisten vastuusta avoimuuden, vastuuvelvollisuuden ja osallistavuuden edistämisessä järjestämällä merkityksellisiä ja säännöllisiä julkisia sidosryhmien kuulemisia; panee huolestuneena merkille, että Albanian parlamentin julkisia kuulemisia koskevan lainsäädäntökehyksen täytäntöönpano on edelleen pitkälti vain muodollista; </w:t>
            </w:r>
            <w:r>
              <w:rPr>
                <w:b/>
                <w:i/>
              </w:rPr>
              <w:t>painottaa tarvetta lisätä julkisia tietoja ja keskeisiä lainsäädäntöhankkeita koskevaa avoimuutta, mikä koskee esimerkiksi viimeisintä väestölaskentaa, jonka julkaiseminen on viivästynyt vuosia, sekä Italian ja Albanian turvapaikkasopimusta, jonka neuvotteluista tiedotettiin julkisuuteen niukasti ja jota varten ei riittävästi kuultu kansalaisyhteiskunnan sidosryhmiä;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muistuttaa kansallisten ja paikallisten viranomaisten vastuusta avoimuuden, vastuuvelvollisuuden ja osallistavuuden edistämisessä järjestämällä merkityksellisiä ja säännöllisiä julkisia sidosryhmien kuulemisia; panee huolestuneena merkille, että Albanian parlamentin julkisia kuulemisia koskevan lainsäädäntökehyksen täytäntöönpano on edelleen pitkälti vain muodollista;</w:t>
            </w:r>
          </w:p>
        </w:tc>
        <w:tc>
          <w:tcPr>
            <w:tcW w:w="4876" w:type="dxa"/>
            <w:tcBorders>
              <w:top w:val="nil"/>
              <w:left w:val="nil"/>
              <w:bottom w:val="nil"/>
              <w:right w:val="nil"/>
            </w:tcBorders>
          </w:tcPr>
          <w:p>
            <w:pPr>
              <w:pStyle w:val="Normal6a"/>
            </w:pPr>
            <w:r>
              <w:t>10.</w:t>
            </w:r>
            <w:r>
              <w:tab/>
            </w:r>
            <w:r>
              <w:t xml:space="preserve">muistuttaa kansallisten ja paikallisten viranomaisten vastuusta avoimuuden, vastuuvelvollisuuden ja osallistavuuden edistämisessä järjestämällä merkityksellisiä ja säännöllisiä julkisia sidosryhmien kuulemisia; panee huolestuneena merkille, että Albanian parlamentin julkisia kuulemisia koskevan lainsäädäntökehyksen täytäntöönpano on edelleen pitkälti vain muodollista; </w:t>
            </w:r>
            <w:r>
              <w:rPr>
                <w:b/>
                <w:i/>
              </w:rPr>
              <w:t>kehottaa Albaniaa torjumaan tehokkaammin ulkomaista sekaantumista vaaliprosesseihin, jotta voidaan varmistaa, että ulkomaiden tukemat toimijat eivät vääristä demokraattista kilpailua;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muistuttaa kansallisten ja paikallisten viranomaisten vastuusta avoimuuden, vastuuvelvollisuuden ja osallistavuuden edistämisessä järjestämällä merkityksellisiä ja säännöllisiä julkisia sidosryhmien kuulemisia; panee huolestuneena merkille, että Albanian parlamentin julkisia kuulemisia koskevan lainsäädäntökehyksen täytäntöönpano on edelleen pitkälti vain muodollista;</w:t>
            </w:r>
          </w:p>
        </w:tc>
        <w:tc>
          <w:tcPr>
            <w:tcW w:w="4876" w:type="dxa"/>
            <w:tcBorders>
              <w:top w:val="nil"/>
              <w:left w:val="nil"/>
              <w:bottom w:val="nil"/>
              <w:right w:val="nil"/>
            </w:tcBorders>
          </w:tcPr>
          <w:p>
            <w:pPr>
              <w:pStyle w:val="Normal6a"/>
            </w:pPr>
            <w:r>
              <w:t>10.</w:t>
            </w:r>
            <w:r>
              <w:tab/>
            </w:r>
            <w:r>
              <w:t xml:space="preserve">muistuttaa kansallisten ja paikallisten viranomaisten vastuusta avoimuuden, vastuuvelvollisuuden ja osallistavuuden edistämisessä järjestämällä merkityksellisiä ja säännöllisiä julkisia sidosryhmien kuulemisia; </w:t>
            </w:r>
            <w:r>
              <w:rPr>
                <w:b/>
                <w:i/>
              </w:rPr>
              <w:t>painottaa, että paikallisviranomaisten yksiköiden taloudellisia resursseja, hallinnollisia valmiuksia ja finanssipoliittista itsenäisyyttä on lisättävä;</w:t>
            </w:r>
            <w:r>
              <w:t xml:space="preserve"> panee huolestuneena merkille, että Albanian parlamentin julkisia kuulemisia koskevan lainsäädäntökehyksen täytäntöönpano on edelleen pitkälti vain muodollista;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a.</w:t>
            </w:r>
            <w:r>
              <w:tab/>
            </w:r>
            <w:r>
              <w:rPr>
                <w:b/>
                <w:i/>
              </w:rPr>
              <w:t>on tyytyväinen Albanian elinvoimaiseen ja rakentavaan kansalaisyhteiskuntaan, jolla on ratkaiseva ja myönteinen rooli uudistusprosessissa;</w:t>
            </w:r>
            <w:r>
              <w:t xml:space="preserve"> </w:t>
            </w:r>
            <w:r>
              <w:rPr>
                <w:b/>
                <w:i/>
              </w:rPr>
              <w:t>kannustaa hallitusta tehostamaan päätöksentekoa koskevaa yhteistyötään kansalaisyhteiskunnan ja erityisesti naisten oikeuksia ajavien järjestöjen kanssa sekä rakentamaan yhteistyösuhteita ja ottamaan kansalaisyhteiskunnan aidosti mukaan avoimeen lainsäädäntöprosessiin jo varhaisessa vaiheessa;</w:t>
            </w:r>
            <w:r>
              <w:t xml:space="preserve"> </w:t>
            </w:r>
            <w:r>
              <w:rPr>
                <w:b/>
                <w:i/>
              </w:rPr>
              <w:t>korostaa, että kansalaisyhteiskunta on ratkaisevan tärkeä demokratian ja moniarvoisuuden sekä hyvän hallintotavan ja sosiaalisen kehityksen edistämisessä;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a.</w:t>
            </w:r>
            <w:r>
              <w:tab/>
            </w:r>
            <w:r>
              <w:rPr>
                <w:b/>
                <w:i/>
              </w:rPr>
              <w:t>korostaa, että on tärkeää varmistaa vapaat ja oikeudenmukaiset vaalit kansainvälisten normien mukaisesti;</w:t>
            </w:r>
            <w:r>
              <w:t xml:space="preserve"> </w:t>
            </w:r>
            <w:r>
              <w:rPr>
                <w:b/>
                <w:i/>
              </w:rPr>
              <w:t>pitää myönteisinä vaalitarkkailukäytäntöihin tehtyjä parannuksia ja kansalaisyhteiskunnan entistä laajempaa osallistumista demokratian prosessien seurantaan;</w:t>
            </w:r>
            <w:r>
              <w:t xml:space="preserve"> </w:t>
            </w:r>
            <w:r>
              <w:rPr>
                <w:b/>
                <w:i/>
              </w:rPr>
              <w:t>kehottaa Albanian viranomaisia lisäämään vaalirahoituksen läpinäkyvyyttä ja varmistamaan, että kaikilla puolueilla on yhtäläinen pääsy tiedotusvälineisiin;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a.</w:t>
            </w:r>
            <w:r>
              <w:tab/>
            </w:r>
            <w:r>
              <w:rPr>
                <w:b/>
                <w:i/>
              </w:rPr>
              <w:t>pitää myönteisenä, että on perustettu uusi, julkishallinnosta ja korruption torjunnasta vastaavan valtioministerin toimi;</w:t>
            </w:r>
            <w:r>
              <w:t xml:space="preserve"> </w:t>
            </w:r>
            <w:r>
              <w:rPr>
                <w:b/>
                <w:i/>
              </w:rPr>
              <w:t>on kuitenkin yhä huolissaan siitä, että julkishallinnon uudistus on edistynyt vain vähän;</w:t>
            </w:r>
            <w:r>
              <w:t xml:space="preserve"> </w:t>
            </w:r>
            <w:r>
              <w:rPr>
                <w:b/>
                <w:i/>
              </w:rPr>
              <w:t>vaatii Albanian viranomaisia panemaan tosiasiassa täytäntöön määräykset ansioperusteisesta rekrytoinnista ja tarkastelemaan uudelleen uusien julkishallintoa ja korruptiontorjuntaa koskevien uudistusten nykyisten valvontarakenteiden tehokkuutta;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a.</w:t>
            </w:r>
            <w:r>
              <w:tab/>
            </w:r>
            <w:r>
              <w:rPr>
                <w:b/>
                <w:i/>
              </w:rPr>
              <w:t>painottaa tarvetta edistää vastuuvelvollisuuden kulttuuria, puolueetonta julkisen tiedon saantia ja julkisten toimielinten valvontaa,</w:t>
            </w:r>
            <w:r>
              <w:t xml:space="preserve"> </w:t>
            </w:r>
            <w:r>
              <w:rPr>
                <w:b/>
                <w:i/>
              </w:rPr>
              <w:t>myös uudistusohjelman täytäntöönpanon suhteen;</w:t>
            </w:r>
            <w:r>
              <w:t xml:space="preserve"> </w:t>
            </w:r>
            <w:r>
              <w:rPr>
                <w:b/>
                <w:i/>
              </w:rPr>
              <w:t>toteaa, että julkisyhteisöjen on parannettava avoimuusvaatimusten noudattamista ja reagointiaan tietopyyntöihin;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a.</w:t>
            </w:r>
            <w:r>
              <w:tab/>
            </w:r>
            <w:r>
              <w:rPr>
                <w:b/>
                <w:i/>
              </w:rPr>
              <w:t>kehottaa painokkaasti Albanian hallitusta valvomaan tiedotusvälineiden omistusta koskevasta avoimuudesta annetun lainsäädännön täytäntöönpanoa, sillä yli 30 prosenttia Albanian tiedotusvälineistä toimii salaisten rahoituslähteiden turvin, mikä aiheuttaa merkittävän riskin ulkomaita myötäilevästä toimituksellisesta puolueellisuudesta ja propagandan soluttautumisesta;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a.</w:t>
            </w:r>
            <w:r>
              <w:tab/>
            </w:r>
            <w:r>
              <w:rPr>
                <w:b/>
                <w:i/>
              </w:rPr>
              <w:t>kehottaa Albaniaa suojelemaan ja edistämään vähemmistöihin kuuluvien henkilöiden oikeuksia kansainvälisten velvoitteidensa sekä eurooppalaisten ja kansainvälisten normien mukaisesti muun muassa varmistamalla lainsäädäntökehyksen tehokkaan täytäntöönpanon;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w:t>
            </w:r>
            <w:r>
              <w:tab/>
            </w:r>
            <w:r>
              <w:rPr>
                <w:b/>
                <w:i/>
              </w:rPr>
              <w:t>toteaa, että Albanian kansalaisyhteiskunnan organisaatiot toimivat haasteellisessa ympäristössä, muun muassa niihin sovellettavien rekisteröitymisvaatimusten ja niukasti saatavilla olevan julkisen rahoituksen vuoksi;</w:t>
            </w:r>
            <w:r>
              <w:t xml:space="preserve"> </w:t>
            </w:r>
            <w:r>
              <w:rPr>
                <w:b/>
                <w:i/>
              </w:rPr>
              <w:t>pitää valitettavana merkittäviä viiveitä laadittaessa vuodet 2024–2027 kattavaa etenemissuunnitelmaa, joka koskee hallituksen toimia kansalaisyhteiskunnan kehityksen kannalta suotuisamman ympäristön luomiseksi;</w:t>
            </w:r>
            <w:r>
              <w:t xml:space="preserve"> </w:t>
            </w:r>
            <w:r>
              <w:rPr>
                <w:b/>
                <w:i/>
              </w:rPr>
              <w:t>kehottaa painokkaasti viranomaisia nopeuttamaan prosessia varmistaen samalla kaikkien asiaankuuluvien sidosryhmien laajan ja läpinäkyvän osallistumisen, jotta voidaan merkittävästi parantaa etenemissuunnitelman toteuttamista, koska sen edeltäjän toteuttaminen jäi minimaaliseksi;</w:t>
            </w:r>
            <w:r>
              <w:t xml:space="preserve"> </w:t>
            </w:r>
            <w:r>
              <w:rPr>
                <w:b/>
                <w:i/>
              </w:rPr>
              <w:t>pitää valitettavana, että kolmannen sektorin rahoituksellinen kestävyys on yhä merkittävä haaste, koska Albania ei ole onnistunut panemaan käytännössä täytäntöön ulkomaiseen rahoitukseen sovellettavaa alv-vapautta vastoin sitoumuksia, joita Albania antoi EU:n ja Albanian yhteistyösopimuksessa IPA III -välinettä varten;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w:t>
            </w:r>
            <w:r>
              <w:tab/>
            </w:r>
            <w:r>
              <w:rPr>
                <w:b/>
                <w:i/>
              </w:rPr>
              <w:t>suhtautuu myönteisesti vähemmistöihin kuuluvien henkilöiden oikeuksia, erityisesti itsemäärittelyä ja vähemmistökielten käyttöä, koskevan vireillä olevan täytäntöönpanolainsäädännön hyväksymiseen, ja korostaa, että nämä säännökset on pantava kaikilta osin ja tehokkaasti täytäntöön, jotta vähemmistö- ja koulutusoikeuksien käyttäminen olisi käytännössä mahdollista;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w:t>
            </w:r>
            <w:r>
              <w:tab/>
            </w:r>
            <w:r>
              <w:rPr>
                <w:b/>
                <w:i/>
              </w:rPr>
              <w:t>pitää valitettavana vähäistä edistystä hankintalainsäädännön saattamisessa EU:n säännöstön mukaiseksi;</w:t>
            </w:r>
            <w:r>
              <w:t xml:space="preserve"> </w:t>
            </w:r>
            <w:r>
              <w:rPr>
                <w:b/>
                <w:i/>
              </w:rPr>
              <w:t>ilmaisee huolensa vasta käyttöön otetuista väliaikaisista poikkeuksista julkisia hankintoja koskevan lain soveltamiseen;</w:t>
            </w:r>
            <w:r>
              <w:t xml:space="preserve"> </w:t>
            </w:r>
            <w:r>
              <w:rPr>
                <w:b/>
                <w:i/>
              </w:rPr>
              <w:t>kehottaa Albanian viranomaisia parantamaan kilpailullisia hankintamenettelyjä EU:n säännöstön mukaisesti;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w:t>
            </w:r>
            <w:r>
              <w:tab/>
            </w:r>
            <w:r>
              <w:rPr>
                <w:b/>
                <w:i/>
              </w:rPr>
              <w:t>pitää myönteisenä, että Albania on estänyt 155 venäläisen disinformaatiota levittävän verkkoalueen käytön mutta painottaa tarvetta luoda disinformaation torjuntaa varten koordinoitu EU:n ja Albanian mekanismi käyttäen esikuvana EUvsDisinfo-verkkosivustoa, jotta voidaan nopeasti paljastaa Venäjän vallanpitäjien narratiivit ja ryhtyä vastatoimiin;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w:t>
            </w:r>
            <w:r>
              <w:tab/>
            </w:r>
            <w:r>
              <w:rPr>
                <w:b/>
                <w:i/>
              </w:rPr>
              <w:t>pitää hyvänä uuden etätoimiston perustamista Tiranaan, sillä se toimii keskeisenä yhteyspisteenä Euroopan parlamentin, kansallisten parlamenttien, kansalaisyhteiskunnan ja paikallisten kumppaneiden välillä Länsi-Balkanin alueella;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c.</w:t>
            </w:r>
            <w:r>
              <w:tab/>
            </w:r>
            <w:r>
              <w:rPr>
                <w:b/>
                <w:i/>
              </w:rPr>
              <w:t>muistuttaa, että Albanian olisi turvattava omistusoikeus erityisesti edistymällä ratkaisevasti ensirekisteröinnin ja korvauksien suhteen, parantamalla valtion kiinteistörekisterin avoimuutta ja kiinteistörekisteritietojen laatua sekä varmistamalla, että oikeutta oikeudenmukaiseen oikeudenkäyntiin ja oikeutta tehokkaisiin oikeussuojakeinoihin kunnioitetaan tapauksissa, joissa omaisuutta pakkolunastetaan ja sitä menetetään;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c.</w:t>
            </w:r>
            <w:r>
              <w:tab/>
            </w:r>
            <w:r>
              <w:rPr>
                <w:b/>
                <w:i/>
              </w:rPr>
              <w:t>varoittaa kiinalaisten valtiollisten tiedotusvälineiden kasvavasta vaikutusvallasta Albaniassa, jossa Xinhua News ja China Radio International tarjoavat ilmaista toimituksellista sisältöä albanialaisille medioille ja muovaavat narratiiveja Kiinan vallanpitäjien geopoliittisten intressien mukaisiksi;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c.</w:t>
            </w:r>
            <w:r>
              <w:tab/>
            </w:r>
            <w:r>
              <w:rPr>
                <w:b/>
                <w:i/>
              </w:rPr>
              <w:t xml:space="preserve">on huolissaan siitä, ettei Albanian yhtiöoikeudellisessa lainsäädännössä ole havaittavissa edistystä; </w:t>
            </w:r>
            <w:r>
              <w:t xml:space="preserve"> </w:t>
            </w:r>
            <w:r>
              <w:rPr>
                <w:b/>
                <w:i/>
              </w:rPr>
              <w:t>kehottaa Albanian viranomaisia saattamaan päätökseen yhtiöoikeudellisen lainsäädännön mukauttamisen EU:n säännöstöön;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10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d.</w:t>
            </w:r>
            <w:r>
              <w:tab/>
            </w:r>
            <w:r>
              <w:rPr>
                <w:b/>
                <w:i/>
              </w:rPr>
              <w:t>on tyytyväinen edistykseen, jota Albania on saavuttanut pyrkiessään parantamaan tietojen toimittamista Eurostatille;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panee merkille, että Albanian sukupuolistunutta väkivaltaa koskeva lainsäädäntökehys ei ole vielä täysin Istanbulin yleissopimuksen mukainen; ilmaisee vakavan huolensa siitä, että naisiin kohdistuva väkivalta on edelleen polttava ongelma ja että naismurhien määrä on edelleen suuri; kehottaa tehostamaan uhreille tarkoitettuja tukipalveluja, erityisesti terveydenhuoltoa, turvakotien rahoitusta, maksutonta oikeusapua sekä uhrien sopeuttamista uudelleen yhteiskuntaan ja kuntoutusta;</w:t>
            </w:r>
          </w:p>
        </w:tc>
        <w:tc>
          <w:tcPr>
            <w:tcW w:w="4876" w:type="dxa"/>
            <w:tcBorders>
              <w:top w:val="nil"/>
              <w:left w:val="nil"/>
              <w:bottom w:val="nil"/>
              <w:right w:val="nil"/>
            </w:tcBorders>
          </w:tcPr>
          <w:p>
            <w:pPr>
              <w:pStyle w:val="Normal6a"/>
            </w:pPr>
            <w:r>
              <w:t>11.</w:t>
            </w:r>
            <w:r>
              <w:tab/>
            </w:r>
            <w:r>
              <w:t xml:space="preserve">panee merkille, että Albanian sukupuolistunutta väkivaltaa koskeva lainsäädäntökehys ei ole vielä täysin Istanbulin yleissopimuksen mukainen; ilmaisee vakavan huolensa siitä, että naisiin kohdistuva väkivalta on edelleen polttava ongelma ja että naismurhien määrä on edelleen suuri; kehottaa tehostamaan uhreille tarkoitettuja tukipalveluja, erityisesti terveydenhuoltoa, turvakotien rahoitusta, maksutonta oikeusapua sekä uhrien sopeuttamista uudelleen yhteiskuntaan ja kuntoutusta; </w:t>
            </w:r>
            <w:r>
              <w:rPr>
                <w:b/>
                <w:i/>
              </w:rPr>
              <w:t>kehottaa tehostamaan uhreille tarkoitettuja tukipalveluja erityisesti, kun kyse on terveydenhuollosta, turvakotien rahoituksesta, maksuttomasta oikeusavusta sekä sopeuttamis- ja kuntoutusohjelmista;</w:t>
            </w:r>
            <w:r>
              <w:t xml:space="preserve"> </w:t>
            </w:r>
            <w:r>
              <w:rPr>
                <w:b/>
                <w:i/>
              </w:rPr>
              <w:t>korostaa tarvetta lisätä taloudellista ja institutionaalista tukea ennaltaehkäisyohjelmille, tiedotuskampanjoille sekä lainvalvonta- ja oikeusviranomaisille annettavalle erityiskoulutukselle, jotta varmistetaan uhrikeskeinen lähestymistapa;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panee merkille, että Albanian sukupuolistunutta väkivaltaa koskeva lainsäädäntökehys ei ole vielä täysin Istanbulin yleissopimuksen mukainen; ilmaisee vakavan huolensa siitä, että naisiin kohdistuva väkivalta on edelleen polttava ongelma ja että naismurhien määrä on edelleen suuri; kehottaa tehostamaan uhreille tarkoitettuja tukipalveluja, erityisesti terveydenhuoltoa, turvakotien rahoitusta, maksutonta oikeusapua sekä uhrien sopeuttamista uudelleen yhteiskuntaan ja kuntoutusta;</w:t>
            </w:r>
          </w:p>
        </w:tc>
        <w:tc>
          <w:tcPr>
            <w:tcW w:w="4876" w:type="dxa"/>
            <w:tcBorders>
              <w:top w:val="nil"/>
              <w:left w:val="nil"/>
              <w:bottom w:val="nil"/>
              <w:right w:val="nil"/>
            </w:tcBorders>
          </w:tcPr>
          <w:p>
            <w:pPr>
              <w:pStyle w:val="Normal6a"/>
            </w:pPr>
            <w:r>
              <w:t>11.</w:t>
            </w:r>
            <w:r>
              <w:tab/>
            </w:r>
            <w:r>
              <w:t xml:space="preserve">panee merkille, että Albanian sukupuolistunutta väkivaltaa koskeva lainsäädäntökehys ei ole vielä täysin Istanbulin yleissopimuksen mukainen; ilmaisee vakavan huolensa siitä, että naisiin kohdistuva väkivalta on edelleen polttava ongelma ja että naismurhien määrä on edelleen suuri; </w:t>
            </w:r>
            <w:r>
              <w:rPr>
                <w:b/>
                <w:i/>
              </w:rPr>
              <w:t>pitää myönteisenä oikeusasiamiehen perustamaa naismurhia ehkäisevää Femicide Watch-aloitetta;</w:t>
            </w:r>
            <w:r>
              <w:t xml:space="preserve"> kehottaa tehostamaan uhreille tarkoitettuja tukipalveluja, erityisesti terveydenhuoltoa, turvakotien rahoitusta, maksutonta oikeusapua sekä uhrien sopeuttamista uudelleen yhteiskuntaan ja kuntoutusta;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Hermann Tertsch, 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rPr>
                <w:b/>
                <w:i/>
              </w:rPr>
              <w:t>panee merkille, että Albanian sukupuolistunutta väkivaltaa koskeva lainsäädäntökehys ei ole vielä täysin Istanbulin yleissopimuksen mukainen;</w:t>
            </w:r>
            <w:r>
              <w:t xml:space="preserve"> ilmaisee vakavan huolensa siitä, että naisiin kohdistuva väkivalta on edelleen polttava ongelma ja että naismurhien määrä on edelleen suuri; kehottaa tehostamaan uhreille tarkoitettuja tukipalveluja, erityisesti terveydenhuoltoa, turvakotien rahoitusta, maksutonta oikeusapua sekä uhrien sopeuttamista uudelleen yhteiskuntaan ja kuntoutusta;</w:t>
            </w:r>
          </w:p>
        </w:tc>
        <w:tc>
          <w:tcPr>
            <w:tcW w:w="4876" w:type="dxa"/>
            <w:tcBorders>
              <w:top w:val="nil"/>
              <w:left w:val="nil"/>
              <w:bottom w:val="nil"/>
              <w:right w:val="nil"/>
            </w:tcBorders>
          </w:tcPr>
          <w:p>
            <w:pPr>
              <w:pStyle w:val="Normal6a"/>
            </w:pPr>
            <w:r>
              <w:t>11.</w:t>
            </w:r>
            <w:r>
              <w:tab/>
            </w:r>
            <w:r>
              <w:t>ilmaisee vakavan huolensa siitä, että naisiin kohdistuva väkivalta on edelleen polttava ongelma ja että naismurhien määrä on edelleen suuri</w:t>
            </w:r>
            <w:r>
              <w:rPr>
                <w:b/>
                <w:i/>
              </w:rPr>
              <w:t>;</w:t>
            </w:r>
            <w:r>
              <w:t xml:space="preserve"> </w:t>
            </w:r>
            <w:r>
              <w:rPr>
                <w:b/>
                <w:i/>
              </w:rPr>
              <w:t>on tässä yhteydessä huolissaan islamismin leviämisestä muslimienemmistöisessä maassa, jossa naisten oikeudet ovat toteutuneet heikosti</w:t>
            </w:r>
            <w:r>
              <w:t>; kehottaa tehostamaan uhreille tarkoitettuja tukipalveluja, erityisesti terveydenhuoltoa, turvakotien rahoitusta, maksutonta oikeusapua sekä uhrien sopeuttamista uudelleen yhteiskuntaan ja kuntoutusta;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Yannis Maniatis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a.</w:t>
            </w:r>
            <w:r>
              <w:tab/>
            </w:r>
            <w:r>
              <w:rPr>
                <w:b/>
                <w:i/>
              </w:rPr>
              <w:t>ilmaisee huolensa Albanian kreikkalaisvähemmistöä edustavan puolueen viime elokuussa Himarassa uudelleenjärjestettyjen kunnallisvaalien aikana havaitsemista sääntöjenvastaisuuksista;</w:t>
            </w:r>
            <w:r>
              <w:t xml:space="preserve"> </w:t>
            </w:r>
            <w:r>
              <w:rPr>
                <w:b/>
                <w:i/>
              </w:rPr>
              <w:t>muistuttaa, että etnisiin vähemmistöihin kuuluvien henkilöiden oikeuksien kunnioittaminen, mukaan lukien oikeus edustukseen, on osa Albanian kansainvälisiä velvoitteita ja tärkeä tekijä liittymisneuvotteluissa;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Emmanouil Kefalogiannis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a.</w:t>
            </w:r>
            <w:r>
              <w:tab/>
            </w:r>
            <w:r>
              <w:rPr>
                <w:b/>
                <w:i/>
              </w:rPr>
              <w:t>kehottaa Albaniaa suojelemaan ja edistämään vähemmistöihin kuuluvien henkilöiden oikeuksia kansainvälisten velvoitteidensa sekä eurooppalaisten ja kansainvälisten normien mukaisesti muun muassa varmistamalla lainsäädäntökehyksen tehokkaan täytäntöönpanon;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a.</w:t>
            </w:r>
            <w:r>
              <w:tab/>
            </w:r>
            <w:r>
              <w:rPr>
                <w:b/>
                <w:i/>
              </w:rPr>
              <w:t>kehottaa Albanian hallitusta täysimittaisesti kunnioittamaan ja suojelemaan ihmisoikeuksia, myös vähemmistöjen oikeuksia, ja varmistamaan, että kaikki ihmisoikeusloukkauksia, mukaan lukien vihapuhe, koskevat väitteet tutkitaan viipymättä ja perusteellisesti;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Yannis Maniatis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w:t>
            </w:r>
            <w:r>
              <w:tab/>
            </w:r>
            <w:r>
              <w:rPr>
                <w:b/>
                <w:i/>
              </w:rPr>
              <w:t>ilmaisee huolensa siitä, ettei omistusoikeutta suojella tehokkaasti;</w:t>
            </w:r>
            <w:r>
              <w:t xml:space="preserve"> </w:t>
            </w:r>
            <w:r>
              <w:rPr>
                <w:b/>
                <w:i/>
              </w:rPr>
              <w:t>kehottaa Albanian hallitusta edistämään ensimmäistä rekisteröintiä ja korvauksia, parantamaan valtion kiinteistörekisterin avoimuutta ja kiinteistörekisterin tietojen laatua;</w:t>
            </w:r>
            <w:r>
              <w:t xml:space="preserve"> </w:t>
            </w:r>
            <w:r>
              <w:rPr>
                <w:b/>
                <w:i/>
              </w:rPr>
              <w:t>korostaa oikeudenmukaista oikeudenkäyntiä koskevan oikeuden ja tehokkaita oikeussuojakeinoja koskevan oikeuden merkitystä tapauksissa, joissa omaisuutta pakkolunastetaan ja sitä menetetään;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w:t>
            </w:r>
            <w:r>
              <w:tab/>
            </w:r>
            <w:r>
              <w:rPr>
                <w:b/>
                <w:i/>
              </w:rPr>
              <w:t>toistaa hallitukselle esittämänsä kehotuksen hyväksyä jäljellä oleva osa vähemmistöihin kuuluvien henkilöiden oikeuksia koskevasta täytäntöönpanolainsäädännöstä, erityisesti kansallisten vähemmistöjen suojelua koskevaan vuoden 2017 puitelakiin perustuva itsemäärittelyä ja vähemmistökielten käyttöä koskeva täytäntöönpanolainsäädäntö, eurooppalaisten normien mukaisesti;</w:t>
            </w:r>
            <w:r>
              <w:t xml:space="preserve"> </w:t>
            </w:r>
            <w:r>
              <w:rPr>
                <w:b/>
                <w:i/>
              </w:rPr>
              <w:t>kehottaa viranomaisia lisäämään kansallisia vähemmistöjä käsittelevän valtion komitean valmiuksia;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Emmanouil Kefalogiannis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w:t>
            </w:r>
            <w:r>
              <w:tab/>
            </w:r>
            <w:r>
              <w:rPr>
                <w:b/>
                <w:i/>
              </w:rPr>
              <w:t>suhtautuu myönteisesti vähemmistöihin kuuluvien henkilöiden oikeuksia, erityisesti itsemäärittelyä ja vähemmistökielten käyttöä, koskevan vireillä olevan täytäntöönpanolainsäädännön hyväksymiseen, ja korostaa, että nämä säädökset on pantava kaikilta osin ja tehokkaasti täytäntöön, jotta vähemmistö- ja koulutusoikeuksien käyttäminen olisi käytännössä mahdollista;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c.</w:t>
            </w:r>
            <w:r>
              <w:tab/>
            </w:r>
            <w:r>
              <w:rPr>
                <w:b/>
                <w:i/>
              </w:rPr>
              <w:t>kehottaa Albanian viranomaisia kunnioittamaan ja puolustamaan vähemmistöyhteisöjen omistusoikeuksia ja varmistamaan, että kaikki kansalaiset nauttivat yhtäläistä lain mukaista suojelua etnisestä taustastaan riippumatta;</w:t>
            </w:r>
            <w:r>
              <w:t xml:space="preserve"> </w:t>
            </w:r>
            <w:r>
              <w:rPr>
                <w:b/>
                <w:i/>
              </w:rPr>
              <w:t>kehottaa Albanian viranomaisia ryhtymään tarkoituksenmukaisiin toimiin omaisuusvaateisiin liittyvien historiallisten epäoikeudenmukaisuuksien korjaamiseksi, vähemmistöjen luottamuksen vahvistamiseksi ja kansallisten politiikkojen mukauttamiseksi syrjimättömyyttä ja tasapuolista kohtelua koskeviin EU:n perusarvoihin;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Emmanouil Kefalogiannis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c.</w:t>
            </w:r>
            <w:r>
              <w:tab/>
            </w:r>
            <w:r>
              <w:rPr>
                <w:b/>
                <w:i/>
              </w:rPr>
              <w:t>muistuttaa, että Albanian olisi turvattava omistusoikeus erityisesti edistymällä ratkaisevasti ensirekisteröinnin ja korvauksien suhteen, parantamalla valtion kiinteistörekisterin avoimuutta ja kiinteistörekisteritietojen laatua sekä varmistamalla, että oikeutta oikeudenmukaiseen oikeudenkäyntiin ja oikeutta tehokkaisiin oikeussuojakeinoihin kunnioitetaan tapauksissa, joissa omaisuutta pakkolunastetaan ja sitä menetetään;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Yannis Maniatis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c.</w:t>
            </w:r>
            <w:r>
              <w:tab/>
            </w:r>
            <w:r>
              <w:rPr>
                <w:b/>
                <w:i/>
              </w:rPr>
              <w:t>suhtautuu myönteisesti vireillä olevan täytäntöönpanolainsäädännön hyväksymiseen ja odottaa, että sitä sovelletaan kaikilta osin vähemmistöihin kuuluvien henkilöiden oikeuksien, erityisesti itsemääräämisoikeuden, koulutuksen ja vähemmistökielten käytön, suojelemiseksi käytännössä;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11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d.</w:t>
            </w:r>
            <w:r>
              <w:tab/>
            </w:r>
            <w:r>
              <w:rPr>
                <w:b/>
                <w:i/>
              </w:rPr>
              <w:t>antaa tunnustusta vuoden 2024 onnistuneelle väestönlaskennalle, joka toteutettiin luottamuksen ja avoimuuden ilmapiirissä, ja sen tuloksille; </w:t>
            </w:r>
            <w:r>
              <w:t xml:space="preserve"> </w:t>
            </w:r>
            <w:r>
              <w:rPr>
                <w:b/>
                <w:i/>
              </w:rPr>
              <w:t>korostaa, että Albanian olisi toimittava myönteisenä mallina väestölaskennan toteuttamisessa tällä alueella;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on huolissaan jatkuvista puutteista, kuten siitä, että lainsäädäntöä ei ole mukautettu tai on mukautettu vain osittain vammaisia henkilöitä ja sukupuolten tasa-arvoa koskevaan EU:n säännöstöön;</w:t>
            </w:r>
          </w:p>
        </w:tc>
        <w:tc>
          <w:tcPr>
            <w:tcW w:w="4876" w:type="dxa"/>
            <w:tcBorders>
              <w:top w:val="nil"/>
              <w:left w:val="nil"/>
              <w:bottom w:val="nil"/>
              <w:right w:val="nil"/>
            </w:tcBorders>
          </w:tcPr>
          <w:p>
            <w:pPr>
              <w:pStyle w:val="Normal6a"/>
            </w:pPr>
            <w:r>
              <w:t>12.</w:t>
            </w:r>
            <w:r>
              <w:tab/>
            </w:r>
            <w:r>
              <w:t xml:space="preserve">on huolissaan jatkuvista puutteista, kuten siitä, että lainsäädäntöä ei ole mukautettu tai on mukautettu vain osittain vammaisia henkilöitä ja sukupuolten tasa-arvoa koskevaan EU:n säännöstöön; </w:t>
            </w:r>
            <w:r>
              <w:rPr>
                <w:b/>
                <w:i/>
              </w:rPr>
              <w:t>toteaa, että Albanian on mukautettava täysin sukupuolistunutta väkivaltaa koskeva oikeudellinen kehyksensä Istanbulin yleissopimukseen;</w:t>
            </w:r>
            <w:r>
              <w:t xml:space="preserve"> </w:t>
            </w:r>
            <w:r>
              <w:rPr>
                <w:b/>
                <w:i/>
              </w:rPr>
              <w:t>panee merkille, että Maailman talousfoorumin sukupuolten epätasa-arvoa käsittelevän Global Gender Gap Report 2024 -raportin mukaan Albania on pudonnut kuusi sijaa ja sijoittuu maailmanlaajuisesti 23. sijalle, mikä on osoitus sukupuolten välisen kuilun syvenemisestä;</w:t>
            </w:r>
            <w:r>
              <w:t xml:space="preserve"> </w:t>
            </w:r>
            <w:r>
              <w:rPr>
                <w:b/>
                <w:i/>
              </w:rPr>
              <w:t>ilmaisee vakavan huolensa siitä, että naisiin kohdistuva väkivalta on edelleen polttava ongelma ja että naismurhien määrä on edelleen suuri;</w:t>
            </w:r>
            <w:r>
              <w:t xml:space="preserve"> </w:t>
            </w:r>
            <w:r>
              <w:rPr>
                <w:b/>
                <w:i/>
              </w:rPr>
              <w:t>kehottaa panemaan voimassa olevan lainsäädännön kaikilta osin ja tehokkaasti täytäntöön, mukaan lukien suojelutoimenpiteiden tiukempi täytäntöönpano ja tehostettu oikeudellinen reagointi sukupuolistunutta väkivaltaa koskeviin tapauksiin, kuten Euroopan komission Albaniaa koskevassa vuoden 2024 kertomuksessa korostetaan;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on huolissaan jatkuvista puutteista, kuten siitä, että lainsäädäntöä ei ole mukautettu tai on mukautettu vain osittain vammaisia henkilöitä ja sukupuolten tasa-arvoa koskevaan EU:n säännöstöön;</w:t>
            </w:r>
          </w:p>
        </w:tc>
        <w:tc>
          <w:tcPr>
            <w:tcW w:w="4876" w:type="dxa"/>
            <w:tcBorders>
              <w:top w:val="nil"/>
              <w:left w:val="nil"/>
              <w:bottom w:val="nil"/>
              <w:right w:val="nil"/>
            </w:tcBorders>
          </w:tcPr>
          <w:p>
            <w:pPr>
              <w:pStyle w:val="Normal6a"/>
            </w:pPr>
            <w:r>
              <w:t>12.</w:t>
            </w:r>
            <w:r>
              <w:tab/>
            </w:r>
            <w:r>
              <w:rPr>
                <w:b/>
                <w:i/>
              </w:rPr>
              <w:t>korostaa, että on tärkeää vahvistaa jatkuvasti vähemmistöihin kuuluvien henkilöiden oikeuksien suojelua;</w:t>
            </w:r>
            <w:r>
              <w:t xml:space="preserve"> </w:t>
            </w:r>
            <w:r>
              <w:rPr>
                <w:b/>
                <w:i/>
              </w:rPr>
              <w:t>panee tässä yhteydessä merkille kansallisten vähemmistöjen suojelua koskevan vuoden 2017 puitelain viimeiset jäljellä olevat säädökset ja kannustaa panemaan ne täytäntöön tiukimpien eurooppalaisten normien mukaisesti;</w:t>
            </w:r>
            <w:r>
              <w:t xml:space="preserve"> on huolissaan jatkuvista puutteista, kuten siitä, että lainsäädäntöä ei ole mukautettu tai on mukautettu vain osittain vammaisia henkilöitä ja sukupuolten tasa-arvoa koskevaan EU:n säännöstöön;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on huolissaan jatkuvista puutteista, kuten siitä, että lainsäädäntöä ei ole mukautettu tai on mukautettu vain osittain vammaisia henkilöitä ja sukupuolten tasa-arvoa koskevaan EU:n säännöstöön;</w:t>
            </w:r>
          </w:p>
        </w:tc>
        <w:tc>
          <w:tcPr>
            <w:tcW w:w="4876" w:type="dxa"/>
            <w:tcBorders>
              <w:top w:val="nil"/>
              <w:left w:val="nil"/>
              <w:bottom w:val="nil"/>
              <w:right w:val="nil"/>
            </w:tcBorders>
          </w:tcPr>
          <w:p>
            <w:pPr>
              <w:pStyle w:val="Normal6a"/>
            </w:pPr>
            <w:r>
              <w:t>12.</w:t>
            </w:r>
            <w:r>
              <w:tab/>
            </w:r>
            <w:r>
              <w:t xml:space="preserve">on huolissaan jatkuvista puutteista, kuten siitä, että lainsäädäntöä ei ole mukautettu tai on mukautettu vain osittain vammaisia henkilöitä ja sukupuolten tasa-arvoa koskevaan EU:n säännöstöön; </w:t>
            </w:r>
            <w:r>
              <w:rPr>
                <w:b/>
                <w:i/>
              </w:rPr>
              <w:t>toteaa, että maaseudulla ja syrjäisillä alueilla asuvilla naisilla, romaninaisilla ja egyptiläisillä naisilla sekä hlbtiq-henkilöillä on edelleen rajalliset mahdollisuudet saada perusterveydenhuoltoa;</w:t>
            </w:r>
            <w:r>
              <w:t xml:space="preserve"> </w:t>
            </w:r>
            <w:r>
              <w:rPr>
                <w:b/>
                <w:i/>
              </w:rPr>
              <w:t>katsoo, että on keskusteltava syrjivästä ja vihamielisestä kielenkäytöstä hlbtiq-yhteisöä kohtaan;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12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a.</w:t>
            </w:r>
            <w:r>
              <w:tab/>
            </w:r>
            <w:r>
              <w:rPr>
                <w:b/>
                <w:i/>
              </w:rPr>
              <w:t>on huolissaan Albanian vähemmistöryhmiin kohdistuvasta jatkuvasta syrjinnästä ja niiden sosiaalisesta syrjäytymisestä erityisesti koulutuksen, työn ja julkisten palvelujen saatavuuden osalta;</w:t>
            </w:r>
            <w:r>
              <w:t xml:space="preserve"> </w:t>
            </w:r>
            <w:r>
              <w:rPr>
                <w:b/>
                <w:i/>
              </w:rPr>
              <w:t>pitää tarpeellisena yhdenmukaistaa lainsäädäntö kaikilta osin syrjinnän vastaisia politiikkoja ja vähemmistöjen oikeuksia koskevan EU:n säännöstön kanssa ja varmistaa yhtäläiset mahdollisuudet ja suojelu syrjäytymiseltä;</w:t>
            </w:r>
            <w:r>
              <w:t xml:space="preserve"> </w:t>
            </w:r>
            <w:r>
              <w:rPr>
                <w:b/>
                <w:i/>
              </w:rPr>
              <w:t>kehottaa hyväksymään ja panemaan tehokkaasti täytäntöön oikeudelliset kehykset, joilla taataan kulttuuriset, kielelliset ja uskonnolliset oikeudet ja edistetään samalla sosiaalista ja taloudellista osallisuutta;</w:t>
            </w:r>
            <w:r>
              <w:t xml:space="preserve"> </w:t>
            </w:r>
            <w:r>
              <w:rPr>
                <w:b/>
                <w:i/>
              </w:rPr>
              <w:t>kehottaa Albanian viranomaisia tehostamaan institutionaalisia mekanismeja syrjinnän ehkäisemiseksi ja varmistamaan kaikkien yhteisöjen merkityksellisen poliittisen osallistumisen Euroopan komission Albaniaa koskevan vuoden 2024 kertomuksen suositusten mukaisesti;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12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a.</w:t>
            </w:r>
            <w:r>
              <w:tab/>
            </w:r>
            <w:r>
              <w:rPr>
                <w:b/>
                <w:i/>
              </w:rPr>
              <w:t>palauttaa mieliin, että on tärkeää toteuttaa toimenpiteitä, joilla varmistetaan kansallisten vähemmistöjen ja heidän aktiivisen yhteiskuntaroolinsa suojelu;</w:t>
            </w:r>
            <w:r>
              <w:t xml:space="preserve"> </w:t>
            </w:r>
            <w:r>
              <w:rPr>
                <w:b/>
                <w:i/>
              </w:rPr>
              <w:t>kehottaa Albaniaa varmistamaan, että vähemmistöryhmillä on yhtäläiset mahdollisuudet ja asianmukainen edustus poliittisessa elämässä ja kulttuurielämässä, julkisessa mediassa ja julkishallinnossa sekä oikeuslaitoksessa;</w:t>
            </w:r>
            <w:r>
              <w:t xml:space="preserve"> </w:t>
            </w:r>
            <w:r>
              <w:rPr>
                <w:b/>
                <w:i/>
              </w:rPr>
              <w:t>kehottaa Albaniaa suojelemaan ja edistämään kansallisten vähemmistöjensä kulttuuriperintöä, kieliä ja perinteitä;</w:t>
            </w:r>
            <w:r>
              <w:t xml:space="preserve"> </w:t>
            </w:r>
            <w:r>
              <w:rPr>
                <w:b/>
                <w:i/>
              </w:rPr>
              <w:t>kehottaa Albaniaa tarkistamaan kansallisia vähemmistöjä käsittelevän komitean jäsenten valintamenetelmiä kansallisten vähemmistöjen suojelua koskevan puiteyleissopimuksen suosituksen mukaisesti;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12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a.</w:t>
            </w:r>
            <w:r>
              <w:tab/>
            </w:r>
            <w:r>
              <w:rPr>
                <w:b/>
                <w:i/>
              </w:rPr>
              <w:t>on tyytyväinen hlbti+-henkilöitä koskevan uuden ja paremmin budjetoidun kansallisen toimintasuunnitelman hyväksymiseen;</w:t>
            </w:r>
            <w:r>
              <w:t xml:space="preserve"> </w:t>
            </w:r>
            <w:r>
              <w:rPr>
                <w:b/>
                <w:i/>
              </w:rPr>
              <w:t>pitää kuitenkin valitettavana, että tarvittavan lainsäädännön laadinnassa tällä alalla ei ole edistytty, ja kehottaa viranomaisia hyväksymään tarvittavan lainsäädännön sukupuoli-identiteetin ja sukupuoliominaisuuksien tunnustamisesta sekä samaa sukupuolta olevien henkilöiden parisuhteista/avioliitoista;</w:t>
            </w:r>
            <w:r>
              <w:t xml:space="preserve"> </w:t>
            </w:r>
            <w:r>
              <w:rPr>
                <w:b/>
                <w:i/>
              </w:rPr>
              <w:t>pitää valitettavana, että hlbti+-henkilöihin kohdistuu edelleen uhkia ja halventavia mediakampanjoita ja että julkiset instituutiot eivät tarjoa riittävää suojelua;</w:t>
            </w:r>
            <w:r>
              <w:t xml:space="preserve"> </w:t>
            </w:r>
            <w:r>
              <w:rPr>
                <w:b/>
                <w:i/>
              </w:rPr>
              <w:t>kehottaa julkisia instituutioita osoittamaan vahvaa sitoutumista hlbti+-henkilöiden oikeuksien suojeluun;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12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w:t>
            </w:r>
            <w:r>
              <w:tab/>
            </w:r>
            <w:r>
              <w:rPr>
                <w:b/>
                <w:i/>
              </w:rPr>
              <w:t>palauttaa mieliin koulutuksen keskeisen roolin kansallisille vähemmistöille ja kehottaa siksi Albaniaa tarjoamaan tasavertaista ja syrjimätöntä koulutusta myös vähemmistökielillä sekä varmistamaan valtiollisen alemman ja ylemmän tason koulutuksen asianmukaisen saatavuuden kaikille kansalaisilleen;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12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c.</w:t>
            </w:r>
            <w:r>
              <w:tab/>
            </w:r>
            <w:r>
              <w:rPr>
                <w:b/>
                <w:i/>
              </w:rPr>
              <w:t>on edelleen huolissaan koulutuksen heikosta laadusta ja koulunkäynnin keskeyttäneiden suuresta määrästä sekä digitaalisten taitojen alhaisesta tasosta;</w:t>
            </w:r>
            <w:r>
              <w:t xml:space="preserve"> </w:t>
            </w:r>
            <w:r>
              <w:rPr>
                <w:b/>
                <w:i/>
              </w:rPr>
              <w:t>kehottaa lisäämään investointeja koulutusjärjestelmän nykyaikaistamiseen ja varmistamaan sen laadun ja osallistavuuden;</w:t>
            </w:r>
            <w:r>
              <w:t xml:space="preserve"> </w:t>
            </w:r>
            <w:r>
              <w:rPr>
                <w:b/>
                <w:i/>
              </w:rPr>
              <w:t>kehottaa Albaniaa toteuttamaan toimenpiteitä, joilla edistetään vammaisten henkilöiden työllistymis- ja koulutusmahdollisuuksia;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pitää myönteisenä, että on hyväksytty henkilötietojen suojaa koskeva laki, jolla pyritään mukauttamaan lainsäädäntö täysin EU:n säännöstöön</w:t>
            </w:r>
            <w:r>
              <w:rPr>
                <w:b/>
                <w:i/>
              </w:rPr>
              <w:t>, mutta</w:t>
            </w:r>
            <w:r>
              <w:t xml:space="preserve"> ilmaisee vakavan huolensa henkilötietojen käsittelystä ja tietojärjestelmien heikkouksista; kehottaa Albanian viranomaisia vahvistamaan suojatoimia tietoturvaloukkauksia vastaan;</w:t>
            </w:r>
          </w:p>
        </w:tc>
        <w:tc>
          <w:tcPr>
            <w:tcW w:w="4876" w:type="dxa"/>
            <w:tcBorders>
              <w:top w:val="nil"/>
              <w:left w:val="nil"/>
              <w:bottom w:val="nil"/>
              <w:right w:val="nil"/>
            </w:tcBorders>
          </w:tcPr>
          <w:p>
            <w:pPr>
              <w:pStyle w:val="Normal6a"/>
            </w:pPr>
            <w:r>
              <w:t>13.</w:t>
            </w:r>
            <w:r>
              <w:tab/>
            </w:r>
            <w:r>
              <w:t>pitää myönteisenä, että on hyväksytty henkilötietojen suojaa koskeva laki, jolla pyritään mukauttamaan lainsäädäntö täysin EU:n säännöstöön</w:t>
            </w:r>
            <w:r>
              <w:rPr>
                <w:b/>
                <w:i/>
              </w:rPr>
              <w:t>;</w:t>
            </w:r>
            <w:r>
              <w:t xml:space="preserve"> </w:t>
            </w:r>
            <w:r>
              <w:rPr>
                <w:b/>
                <w:i/>
              </w:rPr>
              <w:t>kiittää Albanian viranomaisia orpoteosten käyttöä koskevasta menettelystä ja sopivasta korvauksesta sekä tekijänoikeusteosten tietokannasta annetun täytäntöönpanolainsäädännön hyväksymisestä;</w:t>
            </w:r>
            <w:r>
              <w:t xml:space="preserve"> </w:t>
            </w:r>
            <w:r>
              <w:rPr>
                <w:b/>
                <w:i/>
              </w:rPr>
              <w:t> </w:t>
            </w:r>
            <w:r>
              <w:t xml:space="preserve">ilmaisee </w:t>
            </w:r>
            <w:r>
              <w:rPr>
                <w:b/>
                <w:i/>
              </w:rPr>
              <w:t>kuitenkin</w:t>
            </w:r>
            <w:r>
              <w:t xml:space="preserve"> vakavan huolensa henkilötietojen käsittelystä ja tietojärjestelmien heikkouksista; kehottaa Albanian viranomaisia vahvistamaan suojatoimia tietoturvaloukkauksia vastaan; </w:t>
            </w:r>
            <w:r>
              <w:rPr>
                <w:b/>
                <w:i/>
              </w:rPr>
              <w:t>kehottaa Albaniaa jatkamaan yhteistyötä Euroopan unionin teollisoikeuksien viraston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pitää myönteisenä, että on hyväksytty henkilötietojen suojaa koskeva laki, jolla pyritään mukauttamaan lainsäädäntö täysin EU:n säännöstöön, mutta ilmaisee vakavan huolensa henkilötietojen käsittelystä ja tietojärjestelmien heikkouksista; kehottaa Albanian viranomaisia vahvistamaan suojatoimia tietoturvaloukkauksia vastaan;</w:t>
            </w:r>
          </w:p>
        </w:tc>
        <w:tc>
          <w:tcPr>
            <w:tcW w:w="4876" w:type="dxa"/>
            <w:tcBorders>
              <w:top w:val="nil"/>
              <w:left w:val="nil"/>
              <w:bottom w:val="nil"/>
              <w:right w:val="nil"/>
            </w:tcBorders>
          </w:tcPr>
          <w:p>
            <w:pPr>
              <w:pStyle w:val="Normal6a"/>
            </w:pPr>
            <w:r>
              <w:t>13.</w:t>
            </w:r>
            <w:r>
              <w:tab/>
            </w:r>
            <w:r>
              <w:t>pitää myönteisenä, että on hyväksytty henkilötietojen suojaa koskeva laki, jolla pyritään mukauttamaan lainsäädäntö täysin EU:n säännöstöön, mutta ilmaisee vakavan huolensa henkilötietojen käsittelystä ja tietojärjestelmien heikkouksista; kehottaa Albanian viranomaisia vahvistamaan suojatoimia tietoturvaloukkauksia vastaan</w:t>
            </w:r>
            <w:r>
              <w:rPr>
                <w:b/>
                <w:i/>
              </w:rPr>
              <w:t>, tehostamaan ennaltaehkäisyä ja yleistä tietoisuutta sekä parantamaan institutionaalisia valmiuksia, jotta uusi henkilötietojen suojaa koskeva laki voidaan panna tehokkaasti täytäntöön;</w:t>
            </w:r>
            <w:r>
              <w:t xml:space="preserve"> </w:t>
            </w:r>
            <w:r>
              <w:rPr>
                <w:b/>
                <w:i/>
              </w:rPr>
              <w:t>kehottaa Albanian viranomaisia vahvistamaan suojatoimia tietoturvaloukkauksia vastaan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Hermann Tertsch, 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pitää myönteisenä, että on hyväksytty henkilötietojen suojaa koskeva laki, jolla pyritään mukauttamaan lainsäädäntö täysin EU:n säännöstöön, mutta ilmaisee vakavan huolensa henkilötietojen käsittelystä ja tietojärjestelmien heikkouksista; kehottaa Albanian viranomaisia vahvistamaan suojatoimia tietoturvaloukkauksia vastaan;</w:t>
            </w:r>
          </w:p>
        </w:tc>
        <w:tc>
          <w:tcPr>
            <w:tcW w:w="4876" w:type="dxa"/>
            <w:tcBorders>
              <w:top w:val="nil"/>
              <w:left w:val="nil"/>
              <w:bottom w:val="nil"/>
              <w:right w:val="nil"/>
            </w:tcBorders>
          </w:tcPr>
          <w:p>
            <w:pPr>
              <w:pStyle w:val="Normal6a"/>
            </w:pPr>
            <w:r>
              <w:t>13.</w:t>
            </w:r>
            <w:r>
              <w:tab/>
            </w:r>
            <w:r>
              <w:t xml:space="preserve">pitää myönteisenä, että on hyväksytty henkilötietojen suojaa koskeva laki, jolla pyritään mukauttamaan lainsäädäntö täysin EU:n säännöstöön, mutta ilmaisee vakavan huolensa henkilötietojen käsittelystä ja tietojärjestelmien heikkouksista; kehottaa Albanian viranomaisia vahvistamaan suojatoimia tietoturvaloukkauksia vastaan; </w:t>
            </w:r>
            <w:r>
              <w:rPr>
                <w:b/>
                <w:i/>
              </w:rPr>
              <w:t>ilmaisee huolensa uhkista, joita pahantahtoinen ulkomainen sekaantuminen maassa aiheuttaa;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13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a.</w:t>
            </w:r>
            <w:r>
              <w:tab/>
            </w:r>
            <w:r>
              <w:rPr>
                <w:b/>
                <w:i/>
              </w:rPr>
              <w:t>on erittäin huolissaan Italian ja Albanian yhteisymmärryspöytäkirjasta, joka herättää vakavaa huolta ihmisoikeusloukkauksista, mukaan lukien turvapaikkaoikeuden heikentäminen, vastuun siirtäminen turvapaikanhakijoista ”ulkoistamisen” kautta, palauttamisriski, epätasa-arvoinen kohtelu ja EU:n lainsäädännön, erityisesti EU:n perusoikeuskirjan 18 artiklan, noudattamatta jättäminen;</w:t>
            </w:r>
            <w:r>
              <w:t xml:space="preserve"> </w:t>
            </w:r>
            <w:r>
              <w:rPr>
                <w:b/>
                <w:i/>
              </w:rPr>
              <w:t>muistuttaa, että italialaiset tuomioistuimet ovat useaan otteeseen hylänneet siirrot albanialaiseen keskukseen eikä keskus ole tällä hetkellä käytössä;</w:t>
            </w:r>
            <w:r>
              <w:t xml:space="preserve"> </w:t>
            </w:r>
            <w:r>
              <w:rPr>
                <w:b/>
                <w:i/>
              </w:rPr>
              <w:t>kehottaa komissiota toimittamaan viipymättä parlamentille yhteisymmärryspöytäkirjaa koskevan oikeudellisen analyysinsa;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Ilaria Salis, 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13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a.</w:t>
            </w:r>
            <w:r>
              <w:tab/>
            </w:r>
            <w:r>
              <w:rPr>
                <w:b/>
                <w:i/>
              </w:rPr>
              <w:t>ilmaisee huolensa toistuvista käännytyksistä, joista on herännyt epäilyksiä</w:t>
            </w:r>
            <w:r>
              <w:rPr>
                <w:b/>
                <w:i/>
                <w:vertAlign w:val="superscript"/>
              </w:rPr>
              <w:t>1 a</w:t>
            </w:r>
            <w:r>
              <w:t xml:space="preserve"> </w:t>
            </w:r>
            <w:r>
              <w:rPr>
                <w:b/>
                <w:i/>
              </w:rPr>
              <w:t>Albanian ulkomaalaislain 102 pykälän kiertämisen vuoksi;</w:t>
            </w:r>
            <w:r>
              <w:t xml:space="preserve"> </w:t>
            </w:r>
            <w:r>
              <w:rPr>
                <w:b/>
                <w:i/>
              </w:rPr>
              <w:t>kehottaa siksi Albanian viranomaisia panemaan kaikilta osin täytäntöön turvapaikkahakemusmenettelyä koskevan kansallisen lainsäädäntönsä sekä Euroopan unionin perusoikeuskirjan takeet;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Frontex SIR 10910/2023, 11153/2023.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Ilaria Salis, Pernando Barrena Arza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13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w:t>
            </w:r>
            <w:r>
              <w:tab/>
            </w:r>
            <w:r>
              <w:rPr>
                <w:b/>
                <w:i/>
              </w:rPr>
              <w:t>panee merkille, että Italian ja Albanian väliseen sopimukseen on kohdistunut toistuvasti oikeudellisia haasteita, ja korostaa, että jäsenvaltioiden on noudatettava kaikilta osin EU:n lainsäädäntöä ja Euroopan unionin tuomioistuimen tuomioita;</w:t>
            </w:r>
            <w:r>
              <w:t xml:space="preserve"> </w:t>
            </w:r>
            <w:r>
              <w:rPr>
                <w:b/>
                <w:i/>
              </w:rPr>
              <w:t>torjuu kaikki ehdotukset turvapaikkamenettelyjen ulkoistamisesta kolmansiin maihin, sillä ne heikentävät perusoikeutta hakea turvapaikkaa EU:n alueelta ja rikkovat sekä EU:n että kansainvälistä oikeutta;</w:t>
            </w:r>
            <w:r>
              <w:t xml:space="preserve"> </w:t>
            </w:r>
            <w:r>
              <w:rPr>
                <w:b/>
                <w:i/>
              </w:rPr>
              <w:t>korostaa, että ulkoiset käsittelymekanismit, kuten palauttamiskeskukset, loukkaavat vainoa, konflikteja tai taloudellista ahdinkoa pakenevien henkilöiden oikeuksia;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13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w:t>
            </w:r>
            <w:r>
              <w:tab/>
            </w:r>
            <w:r>
              <w:rPr>
                <w:b/>
                <w:i/>
              </w:rPr>
              <w:t>on lisäksi huolissaan laajemmasta suuntauksesta, jossa EU ja yksittäiset jäsenvaltiot painostavat liittymisneuvotteluja käyviä maita tekemään yhteistyötä niiden kanssa niiden muuttoliikepoliittisen ohjelman täytäntöönpanossa, kun otetaan huomioon niiden epätasa-arvoinen suhde liittymisneuvotteluja käyviin maihin, ja kehottaa lopettamaan tällaisen käytännön;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suhtautuu myönteisesti Albanian edistymiseen oikeuslaitosuudistusten täytäntöönpanossa ja ensimmäisessä oikeusasteessa päätökseen saatettuun taustaselvitysprosessiin; on kuitenkin huolissaan jatkuvasta poliittisesta puuttumisesta ja oikeusjärjestelmään kohdistuvasta painostuksesta;</w:t>
            </w:r>
          </w:p>
        </w:tc>
        <w:tc>
          <w:tcPr>
            <w:tcW w:w="4876" w:type="dxa"/>
            <w:tcBorders>
              <w:top w:val="nil"/>
              <w:left w:val="nil"/>
              <w:bottom w:val="nil"/>
              <w:right w:val="nil"/>
            </w:tcBorders>
          </w:tcPr>
          <w:p>
            <w:pPr>
              <w:pStyle w:val="Normal6a"/>
            </w:pPr>
            <w:r>
              <w:t>14.</w:t>
            </w:r>
            <w:r>
              <w:tab/>
            </w:r>
            <w:r>
              <w:t xml:space="preserve">suhtautuu myönteisesti Albanian edistymiseen oikeuslaitosuudistusten täytäntöönpanossa ja ensimmäisessä oikeusasteessa päätökseen saatettuun taustaselvitysprosessiin; on kuitenkin huolissaan jatkuvasta poliittisesta puuttumisesta ja oikeusjärjestelmään kohdistuvasta painostuksesta; </w:t>
            </w:r>
            <w:r>
              <w:rPr>
                <w:b/>
                <w:i/>
              </w:rPr>
              <w:t>kehottaa Euroopan komissiota seuraamaan tiiviisti Albanian altistumista ulkomaiselle pahantahtoiselle vaikuttamiselle;</w:t>
            </w:r>
            <w:r>
              <w:t xml:space="preserve"> </w:t>
            </w:r>
            <w:r>
              <w:rPr>
                <w:b/>
                <w:i/>
              </w:rPr>
              <w:t>korostaa, että on tärkeää vahvistaa riippumattoman journalismin häiriönsietokykyä ja torjua puolueellista raportointia;</w:t>
            </w:r>
            <w:r>
              <w:t xml:space="preserve"> </w:t>
            </w:r>
            <w:r>
              <w:rPr>
                <w:b/>
                <w:i/>
              </w:rPr>
              <w:t>kehottaa Albanian viranomaisia parantamaan ulkomaista rahoitusta koskevia avoimuusnormeja;</w:t>
            </w:r>
            <w:r>
              <w:t xml:space="preserve"> </w:t>
            </w:r>
            <w:r>
              <w:rPr>
                <w:b/>
                <w:i/>
              </w:rPr>
              <w:t>kehottaa hallitusta tukemaan riippumattomia faktantarkistusalustoja keinona varmistaa todenperäisten tietojen julkinen saatavuus ja ylläpitää informaatioympäristön eheyttä;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suhtautuu myönteisesti Albanian edistymiseen oikeuslaitosuudistusten täytäntöönpanossa ja ensimmäisessä oikeusasteessa päätökseen saatettuun taustaselvitysprosessiin; on kuitenkin huolissaan jatkuvasta poliittisesta puuttumisesta ja oikeusjärjestelmään kohdistuvasta painostuksesta;</w:t>
            </w:r>
          </w:p>
        </w:tc>
        <w:tc>
          <w:tcPr>
            <w:tcW w:w="4876" w:type="dxa"/>
            <w:tcBorders>
              <w:top w:val="nil"/>
              <w:left w:val="nil"/>
              <w:bottom w:val="nil"/>
              <w:right w:val="nil"/>
            </w:tcBorders>
          </w:tcPr>
          <w:p>
            <w:pPr>
              <w:pStyle w:val="Normal6a"/>
            </w:pPr>
            <w:r>
              <w:t>14.</w:t>
            </w:r>
            <w:r>
              <w:tab/>
            </w:r>
            <w:r>
              <w:t xml:space="preserve">suhtautuu myönteisesti Albanian edistymiseen oikeuslaitosuudistusten täytäntöönpanossa ja ensimmäisessä oikeusasteessa päätökseen saatettuun taustaselvitysprosessiin; </w:t>
            </w:r>
            <w:r>
              <w:rPr>
                <w:b/>
                <w:i/>
              </w:rPr>
              <w:t>suhtautuu myönteisesti Albanian parlamentin käynnistämään uuteen merkittävään uudistusprosessiin, joka koskee hyvää hallintotapaa, oikeusvaltioperiaatetta ja korruption torjuntaa Albaniassa vuoteen 2030 mennessä;</w:t>
            </w:r>
            <w:r>
              <w:t xml:space="preserve"> on kuitenkin huolissaan jatkuvasta poliittisesta puuttumisesta ja oikeusjärjestelmään kohdistuvasta painostuksesta </w:t>
            </w:r>
            <w:r>
              <w:rPr>
                <w:b/>
                <w:i/>
              </w:rPr>
              <w:t>ja siitä, että ylimmän tuomarineuvoston ja ylimmän syyttäjäneuvoston muiden kuin tuomarijäsenten ansioihin perustuvissa nimityksissä on puutteita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rPr>
                <w:b/>
                <w:i/>
              </w:rPr>
              <w:t>suhtautuu myönteisesti</w:t>
            </w:r>
            <w:r>
              <w:t xml:space="preserve"> Albanian </w:t>
            </w:r>
            <w:r>
              <w:rPr>
                <w:b/>
                <w:i/>
              </w:rPr>
              <w:t>edistymiseen</w:t>
            </w:r>
            <w:r>
              <w:t xml:space="preserve"> oikeuslaitosuudistusten täytäntöönpanossa ja ensimmäisessä oikeusasteessa päätökseen </w:t>
            </w:r>
            <w:r>
              <w:rPr>
                <w:b/>
                <w:i/>
              </w:rPr>
              <w:t>saatettuun taustaselvitysprosessiin</w:t>
            </w:r>
            <w:r>
              <w:t>; on kuitenkin huolissaan jatkuvasta poliittisesta puuttumisesta ja oikeusjärjestelmään kohdistuvasta painostuksesta;</w:t>
            </w:r>
          </w:p>
        </w:tc>
        <w:tc>
          <w:tcPr>
            <w:tcW w:w="4876" w:type="dxa"/>
            <w:tcBorders>
              <w:top w:val="nil"/>
              <w:left w:val="nil"/>
              <w:bottom w:val="nil"/>
              <w:right w:val="nil"/>
            </w:tcBorders>
          </w:tcPr>
          <w:p>
            <w:pPr>
              <w:pStyle w:val="Normal6a"/>
            </w:pPr>
            <w:r>
              <w:t>14.</w:t>
            </w:r>
            <w:r>
              <w:tab/>
            </w:r>
            <w:r>
              <w:rPr>
                <w:b/>
                <w:i/>
              </w:rPr>
              <w:t>antaa tunnustusta</w:t>
            </w:r>
            <w:r>
              <w:t xml:space="preserve"> Albanian </w:t>
            </w:r>
            <w:r>
              <w:rPr>
                <w:b/>
                <w:i/>
              </w:rPr>
              <w:t>edistymiselle</w:t>
            </w:r>
            <w:r>
              <w:t xml:space="preserve"> oikeuslaitosuudistusten täytäntöönpanossa</w:t>
            </w:r>
            <w:r>
              <w:rPr>
                <w:b/>
                <w:i/>
              </w:rPr>
              <w:t>, jolla pyritään vahvistamaan oikeuslaitoksen riippumattomuutta, avoimuutta ja vastuuvelvollisuutta,</w:t>
            </w:r>
            <w:r>
              <w:t xml:space="preserve"> ja ensimmäisessä oikeusasteessa päätökseen </w:t>
            </w:r>
            <w:r>
              <w:rPr>
                <w:b/>
                <w:i/>
              </w:rPr>
              <w:t>saatetulle taustaselvitysprosessille</w:t>
            </w:r>
            <w:r>
              <w:t xml:space="preserve">; on kuitenkin huolissaan jatkuvasta poliittisesta puuttumisesta ja oikeusjärjestelmään kohdistuvasta painostuksesta; </w:t>
            </w:r>
            <w:r>
              <w:rPr>
                <w:b/>
                <w:i/>
              </w:rPr>
              <w:t>on huolissaan puutteista ylimmän tuomarineuvoston ja ylimmän syyttäjäneuvoston muiden kuin tuomarijäsenten ansioihin perustuvien nimityksien ja heidän lahjomattomuutensa suhteen;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rPr>
                <w:b/>
                <w:i/>
              </w:rPr>
              <w:t>suhtautuu myönteisesti Albanian edistymiseen oikeuslaitosuudistusten täytäntöönpanossa ja ensimmäisessä oikeusasteessa päätökseen saatettuun taustaselvitysprosessiin;</w:t>
            </w:r>
            <w:r>
              <w:t xml:space="preserve"> </w:t>
            </w:r>
            <w:r>
              <w:rPr>
                <w:b/>
                <w:i/>
              </w:rPr>
              <w:t>on kuitenkin huolissaan jatkuvasta poliittisesta puuttumisesta ja oikeusjärjestelmään kohdistuvasta painostuksesta</w:t>
            </w:r>
            <w:r>
              <w:t>;</w:t>
            </w:r>
          </w:p>
        </w:tc>
        <w:tc>
          <w:tcPr>
            <w:tcW w:w="4876" w:type="dxa"/>
            <w:tcBorders>
              <w:top w:val="nil"/>
              <w:left w:val="nil"/>
              <w:bottom w:val="nil"/>
              <w:right w:val="nil"/>
            </w:tcBorders>
          </w:tcPr>
          <w:p>
            <w:pPr>
              <w:pStyle w:val="Normal6a"/>
            </w:pPr>
            <w:r>
              <w:t>14.</w:t>
            </w:r>
            <w:r>
              <w:tab/>
            </w:r>
            <w:r>
              <w:rPr>
                <w:b/>
                <w:i/>
              </w:rPr>
              <w:t>panee merkille, että vaikka Albaniassa on annettu lainsäädäntöä oikeuslaitosuudistusten täytäntöönpanosta, järjestelmä on täysin hallituksen valvonnassa eikä maassa ole todellisia oikeusviranomaisia</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14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 a.</w:t>
            </w:r>
            <w:r>
              <w:tab/>
            </w:r>
            <w:r>
              <w:rPr>
                <w:b/>
                <w:i/>
              </w:rPr>
              <w:t>on erittäin huolissaan todisteista, jotka viittaavat Albanian oikeuslaitoksen politisoitumiseen, mistä on esimerkkinä Euroopan ihmisoikeustuomioistuimen puuttuminen oppositiojohtaja Sali Berishan pidätykseen, ja Venetsian komission varoituksista, joiden mukaan valtapuolue valvoo oikeuslaitoksen uudistuksia;</w:t>
            </w:r>
            <w:r>
              <w:t xml:space="preserve"> </w:t>
            </w:r>
            <w:r>
              <w:rPr>
                <w:b/>
                <w:i/>
              </w:rPr>
              <w:t>kehottaa ryhtymään kiireellisiin toimiin oikeuslaitoksen riippumattomuuden ja instituutioiden luotettavuuden varmistamiseksi;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Andrey Kovatchev,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14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 a.</w:t>
            </w:r>
            <w:r>
              <w:tab/>
            </w:r>
            <w:r>
              <w:rPr>
                <w:b/>
                <w:i/>
              </w:rPr>
              <w:t>ilmaisee huolensa poliittisesta vainosta, mielivaltaisista vangitsemisista sekä oppositiojohtajiin, parlamentin jäseniin ja paikallisiin virkamiehiin kohdistetuista uhkauksista, jotka heikentävät demokraattisen hallinnon ja poliittisen moniarvoisuuden periaatteita;</w:t>
            </w:r>
            <w:r>
              <w:t xml:space="preserve"> </w:t>
            </w:r>
            <w:r>
              <w:rPr>
                <w:b/>
                <w:i/>
              </w:rPr>
              <w:t>kehottaa lopettamaan tällaiset toimet;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14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 a.</w:t>
            </w:r>
            <w:r>
              <w:tab/>
            </w:r>
            <w:r>
              <w:rPr>
                <w:b/>
                <w:i/>
              </w:rPr>
              <w:t>korostaa tarvetta torjua pienaseiden ja kevyiden aseiden laitonta kauppaa, sillä Albania on edelleen kyseisten aseiden kohdemaa ja kauttakulkumaa;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korostaa, että Albanian korruption ja järjestäytyneen rikollisuuden torjuntayksiköllä on ollut keskeinen rooli korkean tason korruptiotapausten tutkinnassa, syytteeseenpanossa ja tuomitsemisessa; varoittaa heikentämästä riippumattomien instituutioiden, kuten korruption ja järjestäytyneen rikollisuuden torjuntayksikön, työtä;</w:t>
            </w:r>
          </w:p>
        </w:tc>
        <w:tc>
          <w:tcPr>
            <w:tcW w:w="4876" w:type="dxa"/>
            <w:tcBorders>
              <w:top w:val="nil"/>
              <w:left w:val="nil"/>
              <w:bottom w:val="nil"/>
              <w:right w:val="nil"/>
            </w:tcBorders>
          </w:tcPr>
          <w:p>
            <w:pPr>
              <w:pStyle w:val="Normal6a"/>
            </w:pPr>
            <w:r>
              <w:t>15.</w:t>
            </w:r>
            <w:r>
              <w:tab/>
            </w:r>
            <w:r>
              <w:t xml:space="preserve">korostaa, että Albanian korruption ja järjestäytyneen rikollisuuden torjuntayksiköllä on ollut keskeinen rooli korkean tason korruptiotapausten tutkinnassa, syytteeseenpanossa ja tuomitsemisessa; </w:t>
            </w:r>
            <w:r>
              <w:rPr>
                <w:b/>
                <w:i/>
              </w:rPr>
              <w:t>suhtautuu myönteisesti korkean tason korruptiotutkimuksiin ja oikeudenkäynteihin, mukaan lukien Tiranan pormestarin Erion Veliajin pidättäminen korruption, rahanpesun ja niihin liittyvien rikoksien vuoksi;</w:t>
            </w:r>
            <w:r>
              <w:t xml:space="preserve"> </w:t>
            </w:r>
            <w:r>
              <w:rPr>
                <w:b/>
                <w:i/>
              </w:rPr>
              <w:t>korostaa, että korkean tason virkamiehiä koskevien lopullisten tuomioiden määrän lisääminen on edelleen tärkeää nykyisen rankaisemattomuuden kulttuurin torjumiseksi;</w:t>
            </w:r>
            <w:r>
              <w:t xml:space="preserve"> varoittaa heikentämästä riippumattomien instituutioiden, kuten korruption ja järjestäytyneen rikollisuuden torjuntayksikön, työtä; </w:t>
            </w:r>
            <w:r>
              <w:rPr>
                <w:b/>
                <w:i/>
              </w:rPr>
              <w:t>pitää valitettavana uhkaavaa toimintaympäristöä ja virkamiesten ja korkea-arvoisten poliitikkojen oikeuslaitokseen kohdistamaa perusteetonta painostusta, joka on vakava uhka oikeuslaitoksen riippumattomuudelle;</w:t>
            </w:r>
            <w:r>
              <w:t xml:space="preserve"> </w:t>
            </w:r>
            <w:r>
              <w:rPr>
                <w:b/>
                <w:i/>
              </w:rPr>
              <w:t>ilmaisee huolensa siitä, että institutionaalisen tuen puute uhkien kohteeksi joutuneille tuomareille heikentää kansalaisten luottamusta ja vaarantaa vakavasti oikeusvaltioperiaatteen ja Albanian yhdentymisprosessin EU:hun;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korostaa, että Albanian korruption ja järjestäytyneen rikollisuuden torjuntayksiköllä on ollut keskeinen rooli korkean tason korruptiotapausten tutkinnassa, syytteeseenpanossa ja tuomitsemisessa; varoittaa heikentämästä riippumattomien instituutioiden, kuten korruption ja järjestäytyneen rikollisuuden torjuntayksikön, työtä;</w:t>
            </w:r>
          </w:p>
        </w:tc>
        <w:tc>
          <w:tcPr>
            <w:tcW w:w="4876" w:type="dxa"/>
            <w:tcBorders>
              <w:top w:val="nil"/>
              <w:left w:val="nil"/>
              <w:bottom w:val="nil"/>
              <w:right w:val="nil"/>
            </w:tcBorders>
          </w:tcPr>
          <w:p>
            <w:pPr>
              <w:pStyle w:val="Normal6a"/>
            </w:pPr>
            <w:r>
              <w:t>15.</w:t>
            </w:r>
            <w:r>
              <w:tab/>
            </w:r>
            <w:r>
              <w:t xml:space="preserve">korostaa, että </w:t>
            </w:r>
            <w:r>
              <w:rPr>
                <w:b/>
                <w:i/>
              </w:rPr>
              <w:t>Albania sijoittui vuonna 2024 Transparency International -järjestön korruptioindeksissä sijalle 80, mikä osoittaa, että korkean tason korruption torjunnassa ja oikeuslaitoksen riippumattomuuden varmistamisessa on edistyttävä merkittävästi;</w:t>
            </w:r>
            <w:r>
              <w:t xml:space="preserve"> </w:t>
            </w:r>
            <w:r>
              <w:rPr>
                <w:b/>
                <w:i/>
              </w:rPr>
              <w:t>korostaa, että</w:t>
            </w:r>
            <w:r>
              <w:t xml:space="preserve"> Albanian korruption ja järjestäytyneen rikollisuuden torjuntayksiköllä on ollut keskeinen rooli korkean tason korruptiotapausten tutkinnassa, syytteeseenpanossa ja tuomitsemisessa </w:t>
            </w:r>
            <w:r>
              <w:rPr>
                <w:b/>
                <w:i/>
              </w:rPr>
              <w:t>sekä tapauksissa, joissa on kyse EU:n taloudellisten etujen suojaamisesta;</w:t>
            </w:r>
            <w:r>
              <w:t xml:space="preserve"> </w:t>
            </w:r>
            <w:r>
              <w:rPr>
                <w:b/>
                <w:i/>
              </w:rPr>
              <w:t>suhtautuu myönteisesti siihen, että korruption ja järjestäytyneen rikollisuuden torjuntayksikön valmiudet talousrikostutkinnassa ovat vahvistuneet ja talousrikostutkinnan ja varojen takavarikoinnin järjestelmällinen käyttö on parantunut</w:t>
            </w:r>
            <w:r>
              <w:t>; varoittaa heikentämästä riippumattomien instituutioiden, kuten korruption ja järjestäytyneen rikollisuuden torjuntayksikön, työtä;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korostaa, että Albanian korruption ja järjestäytyneen rikollisuuden torjuntayksiköllä on ollut keskeinen rooli korkean tason korruptiotapausten tutkinnassa, syytteeseenpanossa ja tuomitsemisessa; varoittaa heikentämästä riippumattomien instituutioiden, kuten korruption ja järjestäytyneen rikollisuuden torjuntayksikön, työtä;</w:t>
            </w:r>
          </w:p>
        </w:tc>
        <w:tc>
          <w:tcPr>
            <w:tcW w:w="4876" w:type="dxa"/>
            <w:tcBorders>
              <w:top w:val="nil"/>
              <w:left w:val="nil"/>
              <w:bottom w:val="nil"/>
              <w:right w:val="nil"/>
            </w:tcBorders>
          </w:tcPr>
          <w:p>
            <w:pPr>
              <w:pStyle w:val="Normal6a"/>
            </w:pPr>
            <w:r>
              <w:t>15.</w:t>
            </w:r>
            <w:r>
              <w:tab/>
            </w:r>
            <w:r>
              <w:t xml:space="preserve">korostaa, että Albanian korruption ja järjestäytyneen rikollisuuden torjuntayksiköllä on ollut keskeinen rooli korkean tason korruptiotapausten tutkinnassa, syytteeseenpanossa ja tuomitsemisessa; varoittaa heikentämästä riippumattomien instituutioiden, kuten korruption ja järjestäytyneen rikollisuuden torjuntayksikön, työtä; </w:t>
            </w:r>
            <w:r>
              <w:rPr>
                <w:b/>
                <w:i/>
              </w:rPr>
              <w:t>pitää tärkeänä varmistaa, että korruption vastaiset instituutiot ovat täysin riippumattomia, ja kehottaa vahvistamaan niiden operatiivisia ja tutkintavalmiuksia;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korostaa, että Albanian korruption ja järjestäytyneen rikollisuuden torjuntayksiköllä on ollut keskeinen rooli korkean tason korruptiotapausten tutkinnassa, syytteeseenpanossa ja tuomitsemisessa; </w:t>
            </w:r>
            <w:r>
              <w:rPr>
                <w:b/>
                <w:i/>
              </w:rPr>
              <w:t>varoittaa heikentämästä</w:t>
            </w:r>
            <w:r>
              <w:t xml:space="preserve"> riippumattomien instituutioiden, kuten korruption ja järjestäytyneen rikollisuuden torjuntayksikön, työtä;</w:t>
            </w:r>
          </w:p>
        </w:tc>
        <w:tc>
          <w:tcPr>
            <w:tcW w:w="4876" w:type="dxa"/>
            <w:tcBorders>
              <w:top w:val="nil"/>
              <w:left w:val="nil"/>
              <w:bottom w:val="nil"/>
              <w:right w:val="nil"/>
            </w:tcBorders>
          </w:tcPr>
          <w:p>
            <w:pPr>
              <w:pStyle w:val="Normal6a"/>
            </w:pPr>
            <w:r>
              <w:t>15.</w:t>
            </w:r>
            <w:r>
              <w:tab/>
            </w:r>
            <w:r>
              <w:t xml:space="preserve">korostaa, että Albanian korruption ja järjestäytyneen rikollisuuden torjuntayksiköllä on ollut keskeinen rooli korkean tason korruptiotapausten tutkinnassa, syytteeseenpanossa ja tuomitsemisessa; </w:t>
            </w:r>
            <w:r>
              <w:rPr>
                <w:b/>
                <w:i/>
              </w:rPr>
              <w:t>kehottaa kaikkia toimijoita lopettamaan kaikki toimet ja pidättymään kaikista toimista, jotka heikentävät</w:t>
            </w:r>
            <w:r>
              <w:t xml:space="preserve"> riippumattomien instituutioiden, kuten korruption ja järjestäytyneen rikollisuuden torjuntayksikön, työtä;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panee merkille oikeuslaitoksen laatuun ja tehokkuuteen liittyvät haasteet, kuten oikeuslaitoksen avointen työpaikkojen suuren määrän, tuomioistuinten henkilöstön riittämättömän määrän, oikeusalan perus- ja jatkokoulutuksen laadun, oikeuskäytännön johdonmukaisuuteen liittyvät näkökohdat ja nykyaikaisen yhdennetyn asianhallintajärjestelmän puuttumisen; toteaa, että määrärahat ovat riittämättömät erityisesti tuomioistuinten osalta;</w:t>
            </w:r>
          </w:p>
        </w:tc>
        <w:tc>
          <w:tcPr>
            <w:tcW w:w="4876" w:type="dxa"/>
            <w:tcBorders>
              <w:top w:val="nil"/>
              <w:left w:val="nil"/>
              <w:bottom w:val="nil"/>
              <w:right w:val="nil"/>
            </w:tcBorders>
          </w:tcPr>
          <w:p>
            <w:pPr>
              <w:pStyle w:val="Normal6a"/>
            </w:pPr>
            <w:r>
              <w:t>16.</w:t>
            </w:r>
            <w:r>
              <w:tab/>
            </w:r>
            <w:r>
              <w:t xml:space="preserve">panee merkille oikeuslaitoksen laatuun ja tehokkuuteen liittyvät haasteet, kuten oikeuslaitoksen avointen työpaikkojen suuren määrän, tuomioistuinten henkilöstön riittämättömän määrän, oikeusalan perus- ja jatkokoulutuksen laadun, oikeuskäytännön johdonmukaisuuteen liittyvät näkökohdat ja nykyaikaisen yhdennetyn asianhallintajärjestelmän puuttumisen; toteaa, että määrärahat ovat riittämättömät erityisesti tuomioistuinten osalta; </w:t>
            </w:r>
            <w:r>
              <w:rPr>
                <w:b/>
                <w:i/>
              </w:rPr>
              <w:t>korostaa, että oikeuslaitoksen käsittelemättömien tapausten ruuhkan purkamisen olisi edelleen oltava ensisijainen tavoite;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17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a.</w:t>
            </w:r>
            <w:r>
              <w:tab/>
            </w:r>
            <w:r>
              <w:rPr>
                <w:b/>
                <w:i/>
              </w:rPr>
              <w:t>korostaa järjestäytyneen rikollisuuden ja huumekaupan torjunnan merkitystä;</w:t>
            </w:r>
            <w:r>
              <w:t xml:space="preserve"> </w:t>
            </w:r>
            <w:r>
              <w:rPr>
                <w:b/>
                <w:i/>
              </w:rPr>
              <w:t>kehottaa Albanian viranomaisia toteuttamaan rikollisuuden vastaisia toimia puolueettomasti;</w:t>
            </w:r>
            <w:r>
              <w:t xml:space="preserve"> </w:t>
            </w:r>
            <w:r>
              <w:rPr>
                <w:b/>
                <w:i/>
              </w:rPr>
              <w:t>on huolissaan valtion virkamiesten ja järjestäytyneiden rikollisryhmien välisistä yhteyksistä, mukaan lukien Belgian viranomaisten paljastamat rahanpesuoperaatiot, ja vaatii päättäväisiä toimia ja vankkaa näyttöä järjestäytyneen rikollisuuden yhteyksien katkaisemisesta poliitikkoihin, valtion instituutioihin ja julkisiin varoihin;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kehottaa Albaniaa jatkamaan lainsäädäntökehyksensä mukauttamista järjestäytyneen rikollisuuden torjuntaa koskevaan EU:n säännöstöön; panee merkille uusien syyttäjien nimittämisen erityissyyttäjänvirastoon sekä talousrikostutkintayksikön perustamisen; antaa tunnustusta Albanian osallistumisesta järjestäytyneen rikollisuuden torjuntaa koskeviin yhteisiin operaatioihin ja yhteistyöhön Euroopan monialaisen rikosuhkien torjuntafoorumin (EMPACT) puitteissa ja Interpolin kanssa;</w:t>
            </w:r>
          </w:p>
        </w:tc>
        <w:tc>
          <w:tcPr>
            <w:tcW w:w="4876" w:type="dxa"/>
            <w:tcBorders>
              <w:top w:val="nil"/>
              <w:left w:val="nil"/>
              <w:bottom w:val="nil"/>
              <w:right w:val="nil"/>
            </w:tcBorders>
          </w:tcPr>
          <w:p>
            <w:pPr>
              <w:pStyle w:val="Normal6a"/>
            </w:pPr>
            <w:r>
              <w:t>18.</w:t>
            </w:r>
            <w:r>
              <w:tab/>
            </w:r>
            <w:r>
              <w:t>kehottaa Albaniaa jatkamaan lainsäädäntökehyksensä mukauttamista järjestäytyneen rikollisuuden</w:t>
            </w:r>
            <w:r>
              <w:rPr>
                <w:b/>
                <w:i/>
              </w:rPr>
              <w:t>, myös ihmiskaupan, huumausaineiden ja ampuma-aseiden kaupan sekä kyberrikollisuuden, ääriliikkeiden ja terrorismin uhkien</w:t>
            </w:r>
            <w:r>
              <w:t xml:space="preserve"> torjuntaa koskevaan EU:n säännöstöön; panee merkille uusien syyttäjien nimittämisen erityissyyttäjänvirastoon sekä talousrikostutkintayksikön perustamisen; antaa tunnustusta Albanian osallistumisesta järjestäytyneen rikollisuuden torjuntaa </w:t>
            </w:r>
            <w:r>
              <w:rPr>
                <w:b/>
                <w:i/>
              </w:rPr>
              <w:t>ja kansainvälisten rikollisverkostojen hajottamista</w:t>
            </w:r>
            <w:r>
              <w:t xml:space="preserve"> koskeviin yhteisiin operaatioihin ja yhteistyöhön Euroopan monialaisen rikosuhkien torjuntafoorumin (EMPACT) puitteissa </w:t>
            </w:r>
            <w:r>
              <w:rPr>
                <w:b/>
                <w:i/>
              </w:rPr>
              <w:t>ja Europolin, Eurojustin, Frontexin</w:t>
            </w:r>
            <w:r>
              <w:t xml:space="preserve"> ja Interpolin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kehottaa Albaniaa jatkamaan lainsäädäntökehyksensä mukauttamista järjestäytyneen rikollisuuden torjuntaa koskevaan EU:n säännöstöön; panee merkille uusien syyttäjien nimittämisen erityissyyttäjänvirastoon sekä talousrikostutkintayksikön perustamisen; antaa tunnustusta Albanian osallistumisesta järjestäytyneen rikollisuuden torjuntaa koskeviin yhteisiin operaatioihin ja yhteistyöhön Euroopan monialaisen rikosuhkien torjuntafoorumin (EMPACT) puitteissa ja Interpolin kanssa;</w:t>
            </w:r>
          </w:p>
        </w:tc>
        <w:tc>
          <w:tcPr>
            <w:tcW w:w="4876" w:type="dxa"/>
            <w:tcBorders>
              <w:top w:val="nil"/>
              <w:left w:val="nil"/>
              <w:bottom w:val="nil"/>
              <w:right w:val="nil"/>
            </w:tcBorders>
          </w:tcPr>
          <w:p>
            <w:pPr>
              <w:pStyle w:val="Normal6a"/>
            </w:pPr>
            <w:r>
              <w:t>18.</w:t>
            </w:r>
            <w:r>
              <w:tab/>
            </w:r>
            <w:r>
              <w:t xml:space="preserve">kehottaa Albaniaa jatkamaan lainsäädäntökehyksensä mukauttamista järjestäytyneen rikollisuuden torjuntaa koskevaan EU:n säännöstöön; panee merkille uusien syyttäjien nimittämisen erityissyyttäjänvirastoon sekä talousrikostutkintayksikön perustamisen; antaa tunnustusta Albanian osallistumisesta järjestäytyneen rikollisuuden torjuntaa koskeviin yhteisiin operaatioihin ja yhteistyöhön Euroopan monialaisen rikosuhkien torjuntafoorumin (EMPACT) puitteissa ja Interpolin kanssa; </w:t>
            </w:r>
            <w:r>
              <w:rPr>
                <w:b/>
                <w:i/>
              </w:rPr>
              <w:t>kehottaa Albaniaa tehostamaan ihmiskaupan torjuntaa yhteistyössä EU:n jäsenvaltioiden ja EU:n virastojen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kehottaa Albaniaa jatkamaan lainsäädäntökehyksensä mukauttamista järjestäytyneen rikollisuuden torjuntaa koskevaan EU:n säännöstöön; panee merkille uusien syyttäjien nimittämisen erityissyyttäjänvirastoon sekä talousrikostutkintayksikön perustamisen; antaa tunnustusta Albanian osallistumisesta järjestäytyneen rikollisuuden torjuntaa koskeviin yhteisiin operaatioihin ja yhteistyöhön Euroopan monialaisen rikosuhkien torjuntafoorumin (EMPACT) puitteissa ja Interpolin kanssa;</w:t>
            </w:r>
          </w:p>
        </w:tc>
        <w:tc>
          <w:tcPr>
            <w:tcW w:w="4876" w:type="dxa"/>
            <w:tcBorders>
              <w:top w:val="nil"/>
              <w:left w:val="nil"/>
              <w:bottom w:val="nil"/>
              <w:right w:val="nil"/>
            </w:tcBorders>
          </w:tcPr>
          <w:p>
            <w:pPr>
              <w:pStyle w:val="Normal6a"/>
            </w:pPr>
            <w:r>
              <w:t>18.</w:t>
            </w:r>
            <w:r>
              <w:tab/>
            </w:r>
            <w:r>
              <w:t xml:space="preserve">kehottaa Albaniaa jatkamaan lainsäädäntökehyksensä mukauttamista järjestäytyneen rikollisuuden torjuntaa koskevaan EU:n säännöstöön; panee merkille uusien syyttäjien nimittämisen erityissyyttäjänvirastoon sekä talousrikostutkintayksikön perustamisen; antaa tunnustusta Albanian osallistumisesta järjestäytyneen rikollisuuden torjuntaa koskeviin yhteisiin operaatioihin ja yhteistyöhön Euroopan monialaisen rikosuhkien torjuntafoorumin (EMPACT) puitteissa ja Interpolin kanssa; </w:t>
            </w:r>
            <w:r>
              <w:rPr>
                <w:b/>
                <w:i/>
              </w:rPr>
              <w:t>suhtautuu myönteisesti rikoksen uhrien suojelua koskevan uuden strategian hyväksymiseen;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18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a.</w:t>
            </w:r>
            <w:r>
              <w:tab/>
            </w:r>
            <w:r>
              <w:rPr>
                <w:b/>
                <w:i/>
              </w:rPr>
              <w:t>antaa Albanialle tunnustusta sen lisääntyvästä sitoutumisesta rajaturvallisuuden vahvistamiseen ja muuttovirtojen hallintaan muun muassa parantamalla valvontainfrastruktuuria ja rajapoliisin operatiivisia valmiuksia;</w:t>
            </w:r>
            <w:r>
              <w:t xml:space="preserve"> </w:t>
            </w:r>
            <w:r>
              <w:rPr>
                <w:b/>
                <w:i/>
              </w:rPr>
              <w:t>korostaa muuttoliikkeen valvonnasta vastaavan henkilöstön jatkuvan koulutuksen merkitystä, jotta varmistetaan EU:n säännösten tehokas täytäntöönpano ja torjutaan päättäväisemmin ihmiskauppaverkostoja;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Ondřej Kolář,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18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a.</w:t>
            </w:r>
            <w:r>
              <w:tab/>
            </w:r>
            <w:r>
              <w:rPr>
                <w:b/>
                <w:i/>
              </w:rPr>
              <w:t>kannustaa EU:n ulkosuhdehallintoa ja komissiota edistämään edelleen Albanian selviytymiskykyä hybridiuhkia vastaan kyberturvallisuuden, tietojen manipuloinnin ja kriittisten infrastruktuurien suojelun alalla;</w:t>
            </w:r>
            <w:r>
              <w:t xml:space="preserve"> </w:t>
            </w:r>
            <w:r>
              <w:rPr>
                <w:b/>
                <w:i/>
              </w:rPr>
              <w:t>korostaa tarvetta parantaa koordinointia ja puuttua disinformaatioon ja hybridiuhkiin, joilla pyritään heikentämään EU-jäsenyysnäkymiä, korostamalla strategisemmin EU:n merkitystä Länsi-Balkanin kansalaisille;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18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a.</w:t>
            </w:r>
            <w:r>
              <w:tab/>
            </w:r>
            <w:r>
              <w:rPr>
                <w:b/>
                <w:i/>
              </w:rPr>
              <w:t>panee merkille EU:n kanssa tehtävän yhteistyön merkityksen Balkanin reitillä esiintyvän ihmiskaupan ja laittoman muuttoliikkeen torjunnassa;</w:t>
            </w:r>
            <w:r>
              <w:t xml:space="preserve"> </w:t>
            </w:r>
            <w:r>
              <w:rPr>
                <w:b/>
                <w:i/>
              </w:rPr>
              <w:t>kehottaa mukauttamaan rikoslakia edelleen ihmiskauppaa koskevaan EU:n säännöstöön; </w:t>
            </w:r>
            <w:r>
              <w:t xml:space="preserve"> </w:t>
            </w:r>
            <w:r>
              <w:rPr>
                <w:b/>
                <w:i/>
              </w:rPr>
              <w:t>kehottaa vahvistamaan edelleen lainvalvontavalmiuksia syrjäisillä alueilla ja vuoristoalueilla, jotta ihmiskauppaa voidaan tutkia ennakoivammin;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18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a.</w:t>
            </w:r>
            <w:r>
              <w:tab/>
            </w:r>
            <w:r>
              <w:rPr>
                <w:b/>
                <w:i/>
              </w:rPr>
              <w:t>kehottaa EU:ta ja Länsi-Balkanin maita luomaan puitteet Euroopan syyttäjänviraston (EPPO) ja liittymisneuvotteluja käyvien maiden väliselle tehokkaalle yhteistyölle, jotta helpotetaan tiivistä yhteistyötä ja syytteeseenpanoa EU:n varojen väärinkäytöstä;</w:t>
            </w:r>
            <w:r>
              <w:t xml:space="preserve"> </w:t>
            </w:r>
            <w:r>
              <w:rPr>
                <w:b/>
                <w:i/>
              </w:rPr>
              <w:t>pitää myönteisenä, että Albania on tehnyt kahdenvälisen työjärjestelyn EPPOn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18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a.</w:t>
            </w:r>
            <w:r>
              <w:tab/>
            </w:r>
            <w:r>
              <w:rPr>
                <w:b/>
                <w:i/>
              </w:rPr>
              <w:t>kehottaa Albaniaa arvioimaan suoriin ulkomaisiin sijoituksiin liittyviä riskejä erityisesti strategisilla aloilla, kuten energia-, kaivos- ja televiestintäalalla, jotta vältetään taloudelliset riippuvuudet ja velkaloukut;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pitää myönteisenä Albanian sitoutumista EU:n Länsi-Balkanin kasvusuunnitelman täytäntöönpanoon, johon kuuluu yhdentyminen EU:n sisämarkkinoihin, alueellinen taloudellinen yhdentyminen, perustavanlaatuisia uudistuksia </w:t>
            </w:r>
            <w:r>
              <w:rPr>
                <w:b/>
                <w:i/>
              </w:rPr>
              <w:t>ja taloudellista lisätukea</w:t>
            </w:r>
            <w:r>
              <w:t>;</w:t>
            </w:r>
          </w:p>
        </w:tc>
        <w:tc>
          <w:tcPr>
            <w:tcW w:w="4876" w:type="dxa"/>
            <w:tcBorders>
              <w:top w:val="nil"/>
              <w:left w:val="nil"/>
              <w:bottom w:val="nil"/>
              <w:right w:val="nil"/>
            </w:tcBorders>
          </w:tcPr>
          <w:p>
            <w:pPr>
              <w:pStyle w:val="Normal6a"/>
            </w:pPr>
            <w:r>
              <w:t>19.</w:t>
            </w:r>
            <w:r>
              <w:tab/>
            </w:r>
            <w:r>
              <w:t>pitää myönteisenä Albanian sitoutumista EU:n Länsi-Balkanin kasvusuunnitelman täytäntöönpanoon, johon kuuluu yhdentyminen EU:n sisämarkkinoihin, alueellinen taloudellinen yhdentyminen, perustavanlaatuisia uudistuksia;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19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a.</w:t>
            </w:r>
            <w:r>
              <w:tab/>
            </w:r>
            <w:r>
              <w:rPr>
                <w:b/>
                <w:i/>
              </w:rPr>
              <w:t>palauttaa mieliin, että on tärkeää parantaa julkista infrastruktuuria Länsi-Balkanin maissa ja EU:n jäsenvaltioiden kanssa;</w:t>
            </w:r>
            <w:r>
              <w:t xml:space="preserve"> </w:t>
            </w:r>
            <w:r>
              <w:rPr>
                <w:b/>
                <w:i/>
              </w:rPr>
              <w:t>muistuttaa Länsi-Balkanin talous- ja investointisuunnitelman tarjoamista mahdollisuuksista parantaa alueellisia yhteyksiä rautateiden ja moottoriteiden avulla;</w:t>
            </w:r>
            <w:r>
              <w:t xml:space="preserve"> </w:t>
            </w:r>
            <w:r>
              <w:rPr>
                <w:b/>
                <w:i/>
              </w:rPr>
              <w:t>kehottaa tältä osin kaikkien maiden viranomaisia saattamaan päätökseen käytävän VIII, joka yhdistää Albanian, Pohjois-Makedonian ja Bulgarian;</w:t>
            </w:r>
            <w:r>
              <w:t xml:space="preserve"> </w:t>
            </w:r>
            <w:r>
              <w:rPr>
                <w:b/>
                <w:i/>
              </w:rPr>
              <w:t>palauttaa mieliin, että on tärkeää kehittää lentoyhteyksiä Länsi-Balkanin maissa ja EU:n jäsenvaltioiden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19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a.</w:t>
            </w:r>
            <w:r>
              <w:tab/>
            </w:r>
            <w:r>
              <w:rPr>
                <w:b/>
                <w:i/>
              </w:rPr>
              <w:t>korostaa Albanian ja Frontexin välisen yhteistyön arvoa rajaturvallisuuden vahvistamisessa ja rajat ylittävän rikollisuuden torjunnassa;</w:t>
            </w:r>
            <w:r>
              <w:t xml:space="preserve"> </w:t>
            </w:r>
            <w:r>
              <w:rPr>
                <w:b/>
                <w:i/>
              </w:rPr>
              <w:t>korostaa, että on tärkeää parantaa edelleen Albanian rajapoliisin operatiivisia valmiuksia parantamalla koordinointia jäsenvaltioiden viranomaisten kanssa ja ottamalla käyttöön kehittyneitä teknologisia välineitä muuttovirtojen seuraamiseksi ja hallitsemiseksi;</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19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a.</w:t>
            </w:r>
            <w:r>
              <w:tab/>
            </w:r>
            <w:r>
              <w:rPr>
                <w:b/>
                <w:i/>
              </w:rPr>
              <w:t>suhtautuu myönteisesti Albanian uudistusohjelmaan, jossa keskitytään liiketoimintaympäristöön, inhimilliseen pääomaan, digitalisaatioon, energiaan ja vihreään siirtymään, perusoikeuksiin ja oikeusvaltioperiaatteeseen;</w:t>
            </w:r>
            <w:r>
              <w:t xml:space="preserve"> </w:t>
            </w:r>
            <w:r>
              <w:rPr>
                <w:b/>
                <w:i/>
              </w:rPr>
              <w:t>pitää lisäksi myönteisenä Albanian osallistumista EU:n Digitaalinen Eurooppa -ohjelmaan;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19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b.</w:t>
            </w:r>
            <w:r>
              <w:tab/>
            </w:r>
            <w:r>
              <w:rPr>
                <w:b/>
                <w:i/>
              </w:rPr>
              <w:t>pitää myönteisenä, että Albania on luokiteltu alueen johtavaksi maaksi julkishallinnon ja digitaalisten julkisten hankintojen osalta OECD:n SIGMA-ohjelmassa;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kannustaa Albanian viranomaisia vähentämään köyhyyden ja sosiaalisen syrjäytymisen riskiä parantamalla sosiaali- ja terveydenhuoltopalvelujen saantia erityisesti muita heikommassa asemassa olevien väestöryhmien osalta; </w:t>
            </w:r>
            <w:r>
              <w:rPr>
                <w:b/>
                <w:i/>
              </w:rPr>
              <w:t>kehottaa panemaan täytäntöön</w:t>
            </w:r>
            <w:r>
              <w:t xml:space="preserve"> Albanian vuosien 2024–2030 kansallisen sosiaalisen suojelun strategian ja vuosien 2023–2030 kansallisen työllisyys- ja osaamisstrategian;</w:t>
            </w:r>
          </w:p>
        </w:tc>
        <w:tc>
          <w:tcPr>
            <w:tcW w:w="4876" w:type="dxa"/>
            <w:tcBorders>
              <w:top w:val="nil"/>
              <w:left w:val="nil"/>
              <w:bottom w:val="nil"/>
              <w:right w:val="nil"/>
            </w:tcBorders>
          </w:tcPr>
          <w:p>
            <w:pPr>
              <w:pStyle w:val="Normal6a"/>
            </w:pPr>
            <w:r>
              <w:t>20.</w:t>
            </w:r>
            <w:r>
              <w:tab/>
            </w:r>
            <w:r>
              <w:t xml:space="preserve">kannustaa Albanian viranomaisia vähentämään köyhyyden ja sosiaalisen syrjäytymisen riskiä parantamalla sosiaali- ja terveydenhuoltopalvelujen saantia erityisesti muita heikommassa asemassa olevien väestöryhmien osalta; </w:t>
            </w:r>
            <w:r>
              <w:rPr>
                <w:b/>
                <w:i/>
              </w:rPr>
              <w:t>pitää myönteisenä</w:t>
            </w:r>
            <w:r>
              <w:t xml:space="preserve"> Albanian vuosien 2024–2030 kansallisen sosiaalisen suojelun strategian ja vuosien 2023–2030 kansallisen työllisyys- ja osaamisstrategian </w:t>
            </w:r>
            <w:r>
              <w:rPr>
                <w:b/>
                <w:i/>
              </w:rPr>
              <w:t>täytäntöönpanoa;</w:t>
            </w:r>
            <w:r>
              <w:t xml:space="preserve"> </w:t>
            </w:r>
            <w:r>
              <w:rPr>
                <w:b/>
                <w:i/>
              </w:rPr>
              <w:t>kehottaa Albanian viranomaisia panemaan tehokkaasti täytäntöön lasten oikeuksia koskevan kansallisen toimintasuunnitelman tarjoamalla apua syrjäytyneille ja köyhyydessä eläville lapsille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kannustaa Albanian viranomaisia vähentämään köyhyyden ja sosiaalisen syrjäytymisen riskiä parantamalla sosiaali- ja terveydenhuoltopalvelujen </w:t>
            </w:r>
            <w:r>
              <w:rPr>
                <w:b/>
                <w:i/>
              </w:rPr>
              <w:t>saantia</w:t>
            </w:r>
            <w:r>
              <w:t xml:space="preserve"> erityisesti </w:t>
            </w:r>
            <w:r>
              <w:rPr>
                <w:b/>
                <w:i/>
              </w:rPr>
              <w:t>muita heikommassa</w:t>
            </w:r>
            <w:r>
              <w:t xml:space="preserve"> asemassa olevien </w:t>
            </w:r>
            <w:r>
              <w:rPr>
                <w:b/>
                <w:i/>
              </w:rPr>
              <w:t>väestöryhmien osalta</w:t>
            </w:r>
            <w:r>
              <w:t>; kehottaa panemaan täytäntöön Albanian vuosien 2024–2030 kansallisen sosiaalisen suojelun strategian ja vuosien 2023–2030 kansallisen työllisyys- ja osaamisstrategian;</w:t>
            </w:r>
          </w:p>
        </w:tc>
        <w:tc>
          <w:tcPr>
            <w:tcW w:w="4876" w:type="dxa"/>
            <w:tcBorders>
              <w:top w:val="nil"/>
              <w:left w:val="nil"/>
              <w:bottom w:val="nil"/>
              <w:right w:val="nil"/>
            </w:tcBorders>
          </w:tcPr>
          <w:p>
            <w:pPr>
              <w:pStyle w:val="Normal6a"/>
            </w:pPr>
            <w:r>
              <w:t>20.</w:t>
            </w:r>
            <w:r>
              <w:tab/>
            </w:r>
            <w:r>
              <w:t xml:space="preserve">kannustaa Albanian viranomaisia vähentämään köyhyyden ja sosiaalisen syrjäytymisen riskiä parantamalla </w:t>
            </w:r>
            <w:r>
              <w:rPr>
                <w:b/>
                <w:i/>
              </w:rPr>
              <w:t>edelleen koulutus-, asunto-,</w:t>
            </w:r>
            <w:r>
              <w:t xml:space="preserve"> sosiaali- ja terveydenhuoltopalvelujen </w:t>
            </w:r>
            <w:r>
              <w:rPr>
                <w:b/>
                <w:i/>
              </w:rPr>
              <w:t>saatavuutta</w:t>
            </w:r>
            <w:r>
              <w:t xml:space="preserve"> erityisesti </w:t>
            </w:r>
            <w:r>
              <w:rPr>
                <w:b/>
                <w:i/>
              </w:rPr>
              <w:t>romani-, egyptiläis- ja hlbtqi+-yhteisöjen sekä muiden vähemmistöjen ja haavoittuvassa</w:t>
            </w:r>
            <w:r>
              <w:t xml:space="preserve"> asemassa olevien </w:t>
            </w:r>
            <w:r>
              <w:rPr>
                <w:b/>
                <w:i/>
              </w:rPr>
              <w:t>ryhmien keskuudessa</w:t>
            </w:r>
            <w:r>
              <w:t>; kehottaa panemaan täytäntöön Albanian vuosien 2024–2030 kansallisen sosiaalisen suojelun strategian ja vuosien 2023–2030 kansallisen työllisyys- ja osaamisstrategian;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kannustaa Albanian viranomaisia vähentämään köyhyyden ja sosiaalisen syrjäytymisen riskiä parantamalla sosiaali- ja terveydenhuoltopalvelujen saantia erityisesti muita heikommassa asemassa olevien väestöryhmien osalta; kehottaa panemaan täytäntöön Albanian vuosien 2024–2030 kansallisen sosiaalisen suojelun strategian ja vuosien 2023–2030 kansallisen työllisyys- ja osaamisstrategian;</w:t>
            </w:r>
          </w:p>
        </w:tc>
        <w:tc>
          <w:tcPr>
            <w:tcW w:w="4876" w:type="dxa"/>
            <w:tcBorders>
              <w:top w:val="nil"/>
              <w:left w:val="nil"/>
              <w:bottom w:val="nil"/>
              <w:right w:val="nil"/>
            </w:tcBorders>
          </w:tcPr>
          <w:p>
            <w:pPr>
              <w:pStyle w:val="Normal6a"/>
            </w:pPr>
            <w:r>
              <w:t>20.</w:t>
            </w:r>
            <w:r>
              <w:tab/>
            </w:r>
            <w:r>
              <w:t xml:space="preserve">kannustaa Albanian viranomaisia vähentämään köyhyyden ja sosiaalisen syrjäytymisen riskiä parantamalla sosiaali- ja terveydenhuoltopalvelujen saantia erityisesti muita heikommassa asemassa olevien väestöryhmien </w:t>
            </w:r>
            <w:r>
              <w:rPr>
                <w:b/>
                <w:i/>
              </w:rPr>
              <w:t>ja vähemmistöryhmien</w:t>
            </w:r>
            <w:r>
              <w:t xml:space="preserve"> osalta; kehottaa panemaan täytäntöön Albanian vuosien 2024–2030 kansallisen sosiaalisen suojelun strategian ja vuosien 2023–2030 kansallisen työllisyys- ja osaamisstrategian;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a.</w:t>
            </w:r>
            <w:r>
              <w:tab/>
            </w:r>
            <w:r>
              <w:rPr>
                <w:b/>
                <w:i/>
              </w:rPr>
              <w:t>kehottaa toteuttamaan lisätoimia ja tarjoamaan lisäresursseja romanien ja egyptiläisten osallisuuden vauhdittamiseksi, romanivastaisuuden, syrjinnän sekä koulutuksellisen ja fyysisen eriytymisen torjumiseksi, romanien ja egyptiläisten osallistumisen edistämiseksi ja erojen kaventamiseksi muuhun väestöön nähden;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a.</w:t>
            </w:r>
            <w:r>
              <w:tab/>
            </w:r>
            <w:r>
              <w:rPr>
                <w:b/>
                <w:i/>
              </w:rPr>
              <w:t>pitää valitettavana, että julkishallinnon tehottomuus, liiallinen sääntelykehys ja korruptio aiheuttavat lisähaasteita liiketoimintaympäristölle;</w:t>
            </w:r>
            <w:r>
              <w:t xml:space="preserve"> </w:t>
            </w:r>
            <w:r>
              <w:rPr>
                <w:b/>
                <w:i/>
              </w:rPr>
              <w:t>pitää valitettavana, että laaja epävirallinen talous haittaa liiketoimintaympäristöä ja kilpailua;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a.</w:t>
            </w:r>
            <w:r>
              <w:tab/>
            </w:r>
            <w:r>
              <w:rPr>
                <w:b/>
                <w:i/>
              </w:rPr>
              <w:t>pitää myönteisenä Albanian edistymistä kahdenvälisten sosiaaliturvasopimusten tekemisessä EU:n jäsenvaltioiden kanssa ja valmistelujen edistämisessä, jotta sen työnvälitysjärjestelmä voidaan yhdistää Eures-verkostoon;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a.</w:t>
            </w:r>
            <w:r>
              <w:tab/>
            </w:r>
            <w:r>
              <w:rPr>
                <w:b/>
                <w:i/>
              </w:rPr>
              <w:t>kehottaa Albaniaa hyväksymään lisätoimenpiteitä nuorisotyöttömyyden torjumiseksi, sillä 15–29-vuotiaiden nuorten työttömyysaste oli 22 prosenttia vuonna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w:t>
            </w:r>
            <w:r>
              <w:tab/>
            </w:r>
            <w:r>
              <w:rPr>
                <w:b/>
                <w:i/>
              </w:rPr>
              <w:t>antaa tunnustusta Albanian viranomaisille korkea-asteen koulutuksen uudistamista koskevien säädösten hyväksymisestä ja kansallisen koulutusstrategian 2021–2026 täytäntöönpanosta;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w:t>
            </w:r>
            <w:r>
              <w:tab/>
            </w:r>
            <w:r>
              <w:rPr>
                <w:b/>
                <w:i/>
              </w:rPr>
              <w:t>pitää valitettavana strategisia investointeja ja suojelualueita koskevan lain lykkäämistä ja korostaa, että lakia on muutettava EU:n normien mukaiseksi;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20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c.</w:t>
            </w:r>
            <w:r>
              <w:tab/>
            </w:r>
            <w:r>
              <w:rPr>
                <w:b/>
                <w:i/>
              </w:rPr>
              <w:t>kehottaa panemaan täytäntöön kattavan ulkomaisten suorien sijoitusten seurantaprosessin strategisena aloitteena, jolla suojellaan kansallisia etuja, parannetaan turvallisuutta ja varmistetaan yhdenmukaisuus EU:n normien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panee tyytyväisenä merkille, että Albania liittyi yhtenäiseen euromaksualueeseen marraskuussa 2024, mikä vähentää kansalaisille ja yrityksille aiheutuvia kustannuksia ja edistää Albanian yhdentymistä sisämarkkinoihin;</w:t>
            </w:r>
          </w:p>
        </w:tc>
        <w:tc>
          <w:tcPr>
            <w:tcW w:w="4876" w:type="dxa"/>
            <w:tcBorders>
              <w:top w:val="nil"/>
              <w:left w:val="nil"/>
              <w:bottom w:val="nil"/>
              <w:right w:val="nil"/>
            </w:tcBorders>
          </w:tcPr>
          <w:p>
            <w:pPr>
              <w:pStyle w:val="Normal6a"/>
            </w:pPr>
            <w:r>
              <w:t>21.</w:t>
            </w:r>
            <w:r>
              <w:tab/>
            </w:r>
            <w:r>
              <w:t xml:space="preserve">panee tyytyväisenä merkille, että Albania liittyi yhtenäiseen euromaksualueeseen marraskuussa 2024, mikä vähentää kansalaisille ja yrityksille aiheutuvia kustannuksia ja edistää Albanian yhdentymistä sisämarkkinoihin; </w:t>
            </w:r>
            <w:r>
              <w:rPr>
                <w:b/>
                <w:i/>
              </w:rPr>
              <w:t>panee merkille Albanian pyrkimykset vahvistaa taloutensa kilpailukykyä, ja kehottaa Albanian hallitusta jatkamaan rakenneuudistuksia EU:n vaatimukset täyttävän houkuttelevamman liiketoimintaympäristön edistämiseksi;</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panee tyytyväisenä merkille, että Albania liittyi yhtenäiseen euromaksualueeseen marraskuussa 2024, mikä vähentää kansalaisille ja yrityksille aiheutuvia kustannuksia ja edistää Albanian yhdentymistä sisämarkkinoihin;</w:t>
            </w:r>
          </w:p>
        </w:tc>
        <w:tc>
          <w:tcPr>
            <w:tcW w:w="4876" w:type="dxa"/>
            <w:tcBorders>
              <w:top w:val="nil"/>
              <w:left w:val="nil"/>
              <w:bottom w:val="nil"/>
              <w:right w:val="nil"/>
            </w:tcBorders>
          </w:tcPr>
          <w:p>
            <w:pPr>
              <w:pStyle w:val="Normal6a"/>
            </w:pPr>
            <w:r>
              <w:t>21.</w:t>
            </w:r>
            <w:r>
              <w:tab/>
            </w:r>
            <w:r>
              <w:t xml:space="preserve">panee tyytyväisenä merkille, että Albania liittyi yhtenäiseen euromaksualueeseen marraskuussa 2024, mikä vähentää kansalaisille ja yrityksille aiheutuvia kustannuksia ja edistää Albanian yhdentymistä sisämarkkinoihin; </w:t>
            </w:r>
            <w:r>
              <w:rPr>
                <w:b/>
                <w:i/>
              </w:rPr>
              <w:t>antaa tunnustusta Albanian viranomaisille lainsäädännön mukauttamisesta maksuja koskevaan EU:n säännöstöön (maksutilidirektiivi) ja toimista, jotka johtivat Albanian poistamiseen rahanpesunvastaisen toimintaryhmän (FATF) harmaalta listalta;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21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a.</w:t>
            </w:r>
            <w:r>
              <w:tab/>
            </w:r>
            <w:r>
              <w:rPr>
                <w:b/>
                <w:i/>
              </w:rPr>
              <w:t>antaa tunnustusta Albanian julkisen talouden suorituskyvyn parantumisesta;</w:t>
            </w:r>
            <w:r>
              <w:t xml:space="preserve"> </w:t>
            </w:r>
            <w:r>
              <w:rPr>
                <w:b/>
                <w:i/>
              </w:rPr>
              <w:t>kehottaa Albanian viranomaisia parantamaan edelleen julkisen talouden riskianalyysia vahvistamalla asiaankuuluvaa valtiovarainministeriön osastoa;</w:t>
            </w:r>
            <w:r>
              <w:t xml:space="preserve"> </w:t>
            </w:r>
            <w:r>
              <w:rPr>
                <w:b/>
                <w:i/>
              </w:rPr>
              <w:t>kehottaa lisäämään valtion omistamien yritysten avoimuutta ja vastuuvelvollisuutta vuositilinpäätösten avulla;</w:t>
            </w:r>
            <w:r>
              <w:t xml:space="preserve"> </w:t>
            </w:r>
            <w:r>
              <w:rPr>
                <w:b/>
                <w:i/>
              </w:rPr>
              <w:t>kehottaa Albaniaa vahvistamaan julkista varainhoidon sisäistä valvontaansa ja varmistamaan, että ylimmän tarkastuselimen (ALSAI) suositukset pannaan täytäntöön;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21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a.</w:t>
            </w:r>
            <w:r>
              <w:tab/>
            </w:r>
            <w:r>
              <w:rPr>
                <w:b/>
                <w:i/>
              </w:rPr>
              <w:t>pitää myönteisenä Albanian osallistumista Naton kyberturvallisuusaloitteisiin;</w:t>
            </w:r>
            <w:r>
              <w:t xml:space="preserve"> </w:t>
            </w:r>
            <w:r>
              <w:rPr>
                <w:b/>
                <w:i/>
              </w:rPr>
              <w:t> kehottaa hyväksymään EU:n kanssa yhteensopivan kansallisen kyberturvallisuuskehyksen, jolla vahvistetaan häiriönsietokykyä ulkomaiden tukemia kyberoperaatioita vastaan;</w:t>
            </w:r>
            <w:r>
              <w:t xml:space="preserve"> </w:t>
            </w:r>
            <w:r>
              <w:rPr>
                <w:b/>
                <w:i/>
              </w:rPr>
              <w:t>kannustaa Albaniaa perustamaan kansallisen hybridiuhkien torjuntakeskuksen tiiviissä yhteistyössä EU:n hybridianalyysikeskuksen ja Euroopan kyberturvallisuusviraston (ENISA) kanssa disinformaation, vakoilun ja kyberuhkien seuraamiseksi ja torjumiseksi;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21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a.</w:t>
            </w:r>
            <w:r>
              <w:tab/>
            </w:r>
            <w:r>
              <w:rPr>
                <w:b/>
                <w:i/>
              </w:rPr>
              <w:t>panee merkille Albanian aktiivisen roolin alueen taloudellisen yhdentymisen edistämisessä erityisesti sen perusteella, että se liittyi yhtenäiseen euromaksualueeseen ja tekee yhteistyötä energiayhteisön kanssa;</w:t>
            </w:r>
            <w:r>
              <w:t xml:space="preserve"> </w:t>
            </w:r>
            <w:r>
              <w:rPr>
                <w:b/>
                <w:i/>
              </w:rPr>
              <w:t>korostaa, että on tärkeää panna alueelliset kauppa- ja infrastruktuurisopimukset kaikilta osin täytäntöön, koska ne voivat helpottaa yhteyksiä Euroopan markkinoihin ja nopeuttaa EU:hun liittymistä koskevaa prosessia;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21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b.</w:t>
            </w:r>
            <w:r>
              <w:tab/>
            </w:r>
            <w:r>
              <w:rPr>
                <w:b/>
                <w:i/>
              </w:rPr>
              <w:t>panee huolestuneena merkille, että ulkomaiset tiedustelupalvelut ovat harjoittaneet Albaniaa vastaan vakoilua, joka on haitannut EU:hun liittymisen mahdollisuuksia, mistä oli osoituksena Venäjään yhteydessä olevien toimijoiden tunkeutuminen Gramshin sotilastukikohtaan vuonna 2022;</w:t>
            </w:r>
            <w:r>
              <w:t xml:space="preserve"> </w:t>
            </w:r>
            <w:r>
              <w:rPr>
                <w:b/>
                <w:i/>
              </w:rPr>
              <w:t>korostaa tarvetta tehostaa yhteistyötä vastatiedustelun alalla EU:n ja Naton kumppaneiden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21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b.</w:t>
            </w:r>
            <w:r>
              <w:tab/>
            </w:r>
            <w:r>
              <w:rPr>
                <w:b/>
                <w:i/>
              </w:rPr>
              <w:t>pitää myönteisenä, että lainsäädäntöä mukautetaan edelleen yksityisiä eläkerahastoja sekä pankkialan elvytys- ja kriisinratkaisukehystä koskevaan EU:n säännöstöön;</w:t>
            </w:r>
            <w:r>
              <w:t xml:space="preserve"> </w:t>
            </w:r>
            <w:r>
              <w:rPr>
                <w:b/>
                <w:i/>
              </w:rPr>
              <w:t>kehottaa Albaniaa saattamaan päätökseen lainsäädäntönsä mukauttamisen vakuutuksia, pääomamarkkinoita, arvopaperimarkkinoita, sijoitusrahastoja ja rahoitusmarkkinoiden infrastruktuureja koskevaan EU:n säännöstöön;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21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c.</w:t>
            </w:r>
            <w:r>
              <w:tab/>
            </w:r>
            <w:r>
              <w:rPr>
                <w:b/>
                <w:i/>
              </w:rPr>
              <w:t>toistaa, että on kehitettävä kattavia ja yhtenäisiä medialukutaito-ohjelmia kaikilla koulutustasoilla yksittäisten toimien sijaan;</w:t>
            </w:r>
            <w:r>
              <w:t xml:space="preserve"> </w:t>
            </w:r>
            <w:r>
              <w:rPr>
                <w:b/>
                <w:i/>
              </w:rPr>
              <w:t>kehottaa Albaniaa ottamaan medialukutaidon keskeiseksi oppiaineeksi koulujen opetussuunnitelmiin ja varmistamaan samalla, että opettajat saavat medialukutaidon opettamiseen tarvittavaa koulutusta ja nykyaikaisia resursseja laadukkaiden opetusohjelmien toteuttamiseksi;</w:t>
            </w:r>
            <w:r>
              <w:t xml:space="preserve"> </w:t>
            </w:r>
            <w:r>
              <w:rPr>
                <w:b/>
                <w:i/>
              </w:rPr>
              <w:t>kannustaa EU:n koulutusaloitteiden ja alueellisten verkostojen, kuten Länsi-Balkanin medialukutaidon seurantakeskuksen, kanssa tehtävään yhteistyöhön, jotta voidaan panna täytäntöön parhaita käytäntöjä kriittistä ajattelua ja digitaalista lukutaitoa koskevassa koulutuksessa;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Alaotsikko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Ympäristö, energia ja liikenne, kestävä matkailu</w:t>
            </w:r>
          </w:p>
        </w:tc>
        <w:tc>
          <w:tcPr>
            <w:tcW w:w="4876" w:type="dxa"/>
            <w:tcBorders>
              <w:top w:val="nil"/>
              <w:left w:val="nil"/>
              <w:bottom w:val="nil"/>
              <w:right w:val="nil"/>
            </w:tcBorders>
          </w:tcPr>
          <w:p>
            <w:pPr>
              <w:pStyle w:val="Normal6a"/>
            </w:pPr>
            <w:r>
              <w:t xml:space="preserve">Ympäristö, </w:t>
            </w:r>
            <w:r>
              <w:rPr>
                <w:b/>
                <w:i/>
              </w:rPr>
              <w:t>biodiversiteetti,</w:t>
            </w:r>
            <w:r>
              <w:t xml:space="preserve"> energia ja liikenne, kestävä matkailu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korostaa, että Albanian on toteutettava lisätoimia, jotta se voi mukautua ympäristöä koskevaan EU:n säännöstöön; kehottaa Albaniaa mukauttamaan lainsäädäntöään EU:n ympäristövaikutusten arviointia</w:t>
            </w:r>
            <w:r>
              <w:rPr>
                <w:vertAlign w:val="superscript"/>
              </w:rPr>
              <w:t>5</w:t>
            </w:r>
            <w:r>
              <w:t>ja strategista ympäristöarviointia</w:t>
            </w:r>
            <w:r>
              <w:rPr>
                <w:vertAlign w:val="superscript"/>
              </w:rPr>
              <w:t>6</w:t>
            </w:r>
            <w:r>
              <w:t>koskeviin direktiiveihin;</w:t>
            </w:r>
          </w:p>
        </w:tc>
        <w:tc>
          <w:tcPr>
            <w:tcW w:w="4876" w:type="dxa"/>
            <w:tcBorders>
              <w:top w:val="nil"/>
              <w:left w:val="nil"/>
              <w:bottom w:val="nil"/>
              <w:right w:val="nil"/>
            </w:tcBorders>
          </w:tcPr>
          <w:p>
            <w:pPr>
              <w:pStyle w:val="Normal6a"/>
            </w:pPr>
            <w:r>
              <w:t>22.</w:t>
            </w:r>
            <w:r>
              <w:tab/>
            </w:r>
            <w:r>
              <w:t>korostaa, että Albanian on toteutettava lisätoimia, jotta se voi mukautua ympäristöä koskevaan EU:n säännöstöön; kehottaa Albaniaa mukauttamaan lainsäädäntöään EU:n ympäristövaikutusten arviointia</w:t>
            </w:r>
            <w:r>
              <w:rPr>
                <w:vertAlign w:val="superscript"/>
              </w:rPr>
              <w:t>5</w:t>
            </w:r>
            <w:r>
              <w:t xml:space="preserve"> ja strategista ympäristöarviointia</w:t>
            </w:r>
            <w:r>
              <w:rPr>
                <w:vertAlign w:val="superscript"/>
              </w:rPr>
              <w:t>6</w:t>
            </w:r>
            <w:r>
              <w:t xml:space="preserve"> koskeviin direktiiveihin; </w:t>
            </w:r>
            <w:r>
              <w:rPr>
                <w:b/>
                <w:i/>
              </w:rPr>
              <w:t>korostaa tarvetta tehostaa ympäristörikollisuuden torjuntaa;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5</w:t>
            </w:r>
            <w:r>
              <w:t xml:space="preserve"> </w:t>
            </w:r>
            <w:r>
              <w:t>Euroopan parlamentin ja neuvoston direktiivi 2011/92/EU, annettu 13. joulukuuta 2011, tiettyjen julkisten ja yksityisten hankkeiden ympäristövaikutusten arvioinnista (EUVL L 26, 28.1.2012, s. 1, ELI: http://data.europa.eu/eli/dir/2011/92/oj).</w:t>
            </w:r>
          </w:p>
        </w:tc>
        <w:tc>
          <w:tcPr>
            <w:tcW w:w="4876" w:type="dxa"/>
            <w:tcBorders>
              <w:top w:val="nil"/>
              <w:left w:val="nil"/>
              <w:bottom w:val="nil"/>
              <w:right w:val="nil"/>
            </w:tcBorders>
          </w:tcPr>
          <w:p>
            <w:pPr>
              <w:pStyle w:val="Normal6a"/>
            </w:pPr>
            <w:r>
              <w:rPr>
                <w:vertAlign w:val="superscript"/>
              </w:rPr>
              <w:t>5</w:t>
            </w:r>
            <w:r>
              <w:t xml:space="preserve"> </w:t>
            </w:r>
            <w:r>
              <w:t>Euroopan parlamentin ja neuvoston direktiivi 2011/92/EU, annettu 13. joulukuuta 2011, tiettyjen julkisten ja yksityisten hankkeiden ympäristövaikutusten arvioinnista (EUVL L 26, 28.1.2012, s. 1, ELI: http://data.europa.eu/eli/dir/2011/92/oj).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Euroopan parlamentin ja neuvoston direktiivi 2001/42/EY, annettu 27. kesäkuuta 2001, tiettyjen suunnitelmien ja ohjelmien ympäristövaikutusten arvioinnista (EYVL L 197, 21.7.2001, s. 30, ELI: http://data.europa.eu/eli/dir/2001/42/oj).</w:t>
            </w:r>
          </w:p>
        </w:tc>
        <w:tc>
          <w:tcPr>
            <w:tcW w:w="4876" w:type="dxa"/>
            <w:tcBorders>
              <w:top w:val="nil"/>
              <w:left w:val="nil"/>
              <w:bottom w:val="nil"/>
              <w:right w:val="nil"/>
            </w:tcBorders>
          </w:tcPr>
          <w:p>
            <w:pPr>
              <w:pStyle w:val="Normal6a"/>
            </w:pPr>
            <w:r>
              <w:rPr>
                <w:vertAlign w:val="superscript"/>
              </w:rPr>
              <w:t>6</w:t>
            </w:r>
            <w:r>
              <w:t xml:space="preserve"> </w:t>
            </w:r>
            <w:r>
              <w:t>Euroopan parlamentin ja neuvoston direktiivi 2001/42/EY, annettu 27. kesäkuuta 2001, tiettyjen suunnitelmien ja ohjelmien ympäristövaikutusten arvioinnista (EYVL L 197, 21.7.2001, s. 30, ELI: http://data.europa.eu/eli/dir/2001/42/oj).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22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a.</w:t>
            </w:r>
            <w:r>
              <w:tab/>
            </w:r>
            <w:r>
              <w:rPr>
                <w:b/>
                <w:i/>
              </w:rPr>
              <w:t>korostaa, että tarvitaan avoimia ja osallistavia julkisia kuulemisia Århusin yleissopimuksen mukaisesti, jotta varmistetaan paikallisyhteisöjen, kansalaisjärjestöjen ja tieteellisten laitosten aktiivinen osallistuminen ympäristöä koskeviin päätöksentekoprosesseihin, erityisesti hankkeisiin, joilla on laajoja ympäristöön liittyviä ja sosioekonomisia vaikutuksia; </w:t>
            </w:r>
            <w:r>
              <w:t xml:space="preserve"> </w:t>
            </w:r>
            <w:r>
              <w:rPr>
                <w:b/>
                <w:i/>
              </w:rPr>
              <w:t>varoittaa, että sidosryhmien asianmukaisen osallistumisen puute heikentää hallintonormeja ja Albanian kykyä noudattaa EU:n säännöstön velvoitteita;</w:t>
            </w:r>
            <w:r>
              <w:t xml:space="preserve"> </w:t>
            </w:r>
            <w:r>
              <w:rPr>
                <w:b/>
                <w:i/>
              </w:rPr>
              <w:t>on huolissaan kilpailuun perustumattomien ulkomaisrahoitteisten kehityshankkeiden taloudellisista ja ympäristövaikutuksista;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muistuttaa, että tarvitaan merkittäviä toimia, jotta Albania voi saavuttaa ilmastonsuojeluun, energiatehokkuuteen, energialähteiden ja liikenteen monipuolistamiseen ja viherryttämiseen, ilman ja veden laatuun sekä jätehuoltoon liittyvät tavoitteet;</w:t>
            </w:r>
          </w:p>
        </w:tc>
        <w:tc>
          <w:tcPr>
            <w:tcW w:w="4876" w:type="dxa"/>
            <w:tcBorders>
              <w:top w:val="nil"/>
              <w:left w:val="nil"/>
              <w:bottom w:val="nil"/>
              <w:right w:val="nil"/>
            </w:tcBorders>
          </w:tcPr>
          <w:p>
            <w:pPr>
              <w:pStyle w:val="Normal6a"/>
            </w:pPr>
            <w:r>
              <w:t>23.</w:t>
            </w:r>
            <w:r>
              <w:tab/>
            </w:r>
            <w:r>
              <w:t xml:space="preserve">muistuttaa, että tarvitaan merkittäviä toimia, jotta Albania voi saavuttaa ilmastonsuojeluun, energiatehokkuuteen, energialähteiden ja liikenteen monipuolistamiseen ja viherryttämiseen, ilman ja veden laatuun sekä jätehuoltoon liittyvät tavoitteet; </w:t>
            </w:r>
            <w:r>
              <w:rPr>
                <w:b/>
                <w:i/>
              </w:rPr>
              <w:t>kehottaa Albanian hallitusta asettamaan etusijalle ilmastonmuutokseen sopeutumista koskevien strategioiden täytäntöönpanon, uusiutuvien energialähteiden kehittämisen ja jätehuoltojärjestelmän nykyaikaistamisen EU:n normien täyttämiseksi ja kestävän talouskasvun tukemiseksi;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muistuttaa, että tarvitaan merkittäviä toimia, jotta Albania voi saavuttaa ilmastonsuojeluun, energiatehokkuuteen, energialähteiden ja liikenteen monipuolistamiseen ja viherryttämiseen</w:t>
            </w:r>
            <w:r>
              <w:rPr>
                <w:b/>
                <w:i/>
              </w:rPr>
              <w:t>,</w:t>
            </w:r>
            <w:r>
              <w:t xml:space="preserve"> ilman ja veden </w:t>
            </w:r>
            <w:r>
              <w:rPr>
                <w:b/>
                <w:i/>
              </w:rPr>
              <w:t>laatuun sekä jätehuoltoon liittyvät tavoitteet</w:t>
            </w:r>
            <w:r>
              <w:t>;</w:t>
            </w:r>
          </w:p>
        </w:tc>
        <w:tc>
          <w:tcPr>
            <w:tcW w:w="4876" w:type="dxa"/>
            <w:tcBorders>
              <w:top w:val="nil"/>
              <w:left w:val="nil"/>
              <w:bottom w:val="nil"/>
              <w:right w:val="nil"/>
            </w:tcBorders>
          </w:tcPr>
          <w:p>
            <w:pPr>
              <w:pStyle w:val="Normal6a"/>
            </w:pPr>
            <w:r>
              <w:t>23.</w:t>
            </w:r>
            <w:r>
              <w:tab/>
            </w:r>
            <w:r>
              <w:t xml:space="preserve">muistuttaa, että tarvitaan merkittäviä toimia, jotta Albania voi saavuttaa ilmastonsuojeluun, energiatehokkuuteen, energialähteiden ja liikenteen monipuolistamiseen ja viherryttämiseen </w:t>
            </w:r>
            <w:r>
              <w:rPr>
                <w:b/>
                <w:i/>
              </w:rPr>
              <w:t>liittyvät tavoitteet;</w:t>
            </w:r>
            <w:r>
              <w:t xml:space="preserve"> </w:t>
            </w:r>
            <w:r>
              <w:rPr>
                <w:b/>
                <w:i/>
              </w:rPr>
              <w:t>toteaa, että</w:t>
            </w:r>
            <w:r>
              <w:t xml:space="preserve"> ilman ja veden </w:t>
            </w:r>
            <w:r>
              <w:rPr>
                <w:b/>
                <w:i/>
              </w:rPr>
              <w:t>laatu sekä jätehuolto ovat edelleen erityisen haastavia kysymyksiä maalle;</w:t>
            </w:r>
            <w:r>
              <w:t xml:space="preserve"> </w:t>
            </w:r>
            <w:r>
              <w:rPr>
                <w:b/>
                <w:i/>
              </w:rPr>
              <w:t>kehottaa keskushallintoa ja paikallisviranomaisia tehostamaan toimiaan ilmanlaadun parantamiseksi ja mahdollisesti hengenvaarallisen saastumisen vähentämiseksi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muistuttaa, että tarvitaan merkittäviä toimia, jotta Albania voi saavuttaa ilmastonsuojeluun, energiatehokkuuteen, energialähteiden ja liikenteen monipuolistamiseen ja viherryttämiseen, ilman ja veden laatuun sekä jätehuoltoon liittyvät tavoitteet;</w:t>
            </w:r>
          </w:p>
        </w:tc>
        <w:tc>
          <w:tcPr>
            <w:tcW w:w="4876" w:type="dxa"/>
            <w:tcBorders>
              <w:top w:val="nil"/>
              <w:left w:val="nil"/>
              <w:bottom w:val="nil"/>
              <w:right w:val="nil"/>
            </w:tcBorders>
          </w:tcPr>
          <w:p>
            <w:pPr>
              <w:pStyle w:val="Normal6a"/>
            </w:pPr>
            <w:r>
              <w:t>23.</w:t>
            </w:r>
            <w:r>
              <w:tab/>
            </w:r>
            <w:r>
              <w:t xml:space="preserve">muistuttaa, että tarvitaan merkittäviä toimia, jotta Albania voi saavuttaa ilmastonsuojeluun, energiatehokkuuteen, energialähteiden ja liikenteen monipuolistamiseen ja viherryttämiseen, ilman ja veden laatuun sekä jätehuoltoon liittyvät tavoitteet; </w:t>
            </w:r>
            <w:r>
              <w:rPr>
                <w:b/>
                <w:i/>
              </w:rPr>
              <w:t>kannustaa Albanian viranomaisia vahvistamaan toimenpiteitä ja investointeja julkisen liikennejärjestelmän ja rautatiejärjestelmän laajentamiseksi;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muistuttaa, että tarvitaan merkittäviä toimia, jotta Albania voi saavuttaa ilmastonsuojeluun, energiatehokkuuteen, energialähteiden ja liikenteen monipuolistamiseen ja </w:t>
            </w:r>
            <w:r>
              <w:rPr>
                <w:b/>
                <w:i/>
              </w:rPr>
              <w:t>viherryttämiseen</w:t>
            </w:r>
            <w:r>
              <w:t>, ilman ja veden laatuun sekä jätehuoltoon liittyvät tavoitteet;</w:t>
            </w:r>
          </w:p>
        </w:tc>
        <w:tc>
          <w:tcPr>
            <w:tcW w:w="4876" w:type="dxa"/>
            <w:tcBorders>
              <w:top w:val="nil"/>
              <w:left w:val="nil"/>
              <w:bottom w:val="nil"/>
              <w:right w:val="nil"/>
            </w:tcBorders>
          </w:tcPr>
          <w:p>
            <w:pPr>
              <w:pStyle w:val="Normal6a"/>
            </w:pPr>
            <w:r>
              <w:t>23.</w:t>
            </w:r>
            <w:r>
              <w:tab/>
            </w:r>
            <w:r>
              <w:t xml:space="preserve">muistuttaa, että tarvitaan merkittäviä toimia, jotta Albania voi saavuttaa ilmastonsuojeluun, energiatehokkuuteen, energialähteiden ja liikenteen monipuolistamiseen ja </w:t>
            </w:r>
            <w:r>
              <w:rPr>
                <w:b/>
                <w:i/>
              </w:rPr>
              <w:t>kestävöittämiseen</w:t>
            </w:r>
            <w:r>
              <w:t>, ilman ja veden laatuun sekä jätehuoltoon liittyvät tavoitteet;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23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a.</w:t>
            </w:r>
            <w:r>
              <w:tab/>
            </w:r>
            <w:r>
              <w:rPr>
                <w:b/>
                <w:i/>
              </w:rPr>
              <w:t>toteaa, että Albanian läpi virtaavat joet ovat erityisen saastuneita;</w:t>
            </w:r>
            <w:r>
              <w:t xml:space="preserve"> </w:t>
            </w:r>
            <w:r>
              <w:rPr>
                <w:b/>
                <w:i/>
              </w:rPr>
              <w:t>panee merkille, että monissa niistä on havaittu äärimmäisen korkeita ammoniakki- ja fosfaattipitoisuuksia;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23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w:t>
            </w:r>
            <w:r>
              <w:tab/>
            </w:r>
            <w:r>
              <w:rPr>
                <w:b/>
                <w:i/>
              </w:rPr>
              <w:t>pitää valitettavina maan eteläosissa ja rannikolla matkailuinvestointien edistämiseksi toteutettuja laajoja maanraivaustöitä, jotka muuttavat Pohjois-Epeiroksen kreikkalaisvähemmistön asuinalueiden luonnetta;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on vahvasti sitä mieltä, että ympäristönsuojelun on oltava tiiviisti sidoksissa kestävän matkailun kehittämiseen; panee tyytyväisenä merkille Vjosajoen kansallispuiston perustamisen ja kehottaa osoittamaan riittävästi resursseja sen suojeluun;</w:t>
            </w:r>
          </w:p>
        </w:tc>
        <w:tc>
          <w:tcPr>
            <w:tcW w:w="4876" w:type="dxa"/>
            <w:tcBorders>
              <w:top w:val="nil"/>
              <w:left w:val="nil"/>
              <w:bottom w:val="nil"/>
              <w:right w:val="nil"/>
            </w:tcBorders>
          </w:tcPr>
          <w:p>
            <w:pPr>
              <w:pStyle w:val="Normal6a"/>
            </w:pPr>
            <w:r>
              <w:t>24.</w:t>
            </w:r>
            <w:r>
              <w:tab/>
            </w:r>
            <w:r>
              <w:t xml:space="preserve">on vahvasti sitä mieltä, että ympäristönsuojelun on oltava tiiviisti sidoksissa kestävän matkailun kehittämiseen; panee tyytyväisenä merkille Vjosajoen kansallispuiston perustamisen ja kehottaa osoittamaan riittävästi resursseja sen suojeluun; </w:t>
            </w:r>
            <w:r>
              <w:rPr>
                <w:b/>
                <w:i/>
              </w:rPr>
              <w:t>kehottaa viranomaisia kunnioittamaan täysin sen ekologista koskemattomuutta ja harkitsemaan uudelleen infrastruktuurihankkeita kansainvälisten biologisen monimuotoisuuden säilyttämistä koskevien normien ja parhaiden käytäntöjen mukaisesti, erityisesti vedenottoa Shushicajoesta, sen varmistamiseksi, että kansallispuiston biologinen monimuotoisuus, elinympäristöt ja ekologiset toiminnot säilyvät ennallaan;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on vahvasti sitä mieltä, että ympäristönsuojelun on oltava tiiviisti sidoksissa kestävän matkailun kehittämiseen; panee tyytyväisenä merkille Vjosajoen kansallispuiston perustamisen ja kehottaa osoittamaan riittävästi resursseja sen suojeluun;</w:t>
            </w:r>
          </w:p>
        </w:tc>
        <w:tc>
          <w:tcPr>
            <w:tcW w:w="4876" w:type="dxa"/>
            <w:tcBorders>
              <w:top w:val="nil"/>
              <w:left w:val="nil"/>
              <w:bottom w:val="nil"/>
              <w:right w:val="nil"/>
            </w:tcBorders>
          </w:tcPr>
          <w:p>
            <w:pPr>
              <w:pStyle w:val="Normal6a"/>
            </w:pPr>
            <w:r>
              <w:t>24.</w:t>
            </w:r>
            <w:r>
              <w:tab/>
            </w:r>
            <w:r>
              <w:t xml:space="preserve">on vahvasti sitä mieltä, että ympäristönsuojelun on oltava tiiviisti sidoksissa kestävän matkailun kehittämiseen; </w:t>
            </w:r>
            <w:r>
              <w:rPr>
                <w:b/>
                <w:i/>
              </w:rPr>
              <w:t>kehottaa EU:ta ja Albanian hallitusta antamaan taloudellista ja teknistä lisäapua maaseudun kestävän kehityksen tukemiseksi ja kaupunkien ja maaseudun välisen kuilun kaventamiseksi EU:n koheesiopolitiikan mukaisesti;</w:t>
            </w:r>
            <w:r>
              <w:t xml:space="preserve"> panee tyytyväisenä merkille Vjosajoen kansallispuiston perustamisen ja kehottaa osoittamaan riittävästi resursseja sen suojeluun; </w:t>
            </w:r>
            <w:r>
              <w:rPr>
                <w:b/>
                <w:i/>
              </w:rPr>
              <w:t>kehottaa Albanian viranomaisia hyväksymään kulttuuriperintöä ja museoita koskevan lain täytäntöönpanolainsäädännön;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Ilaria Salis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on vahvasti sitä mieltä, että ympäristönsuojelun on oltava tiiviisti sidoksissa kestävän matkailun kehittämiseen; panee tyytyväisenä merkille Vjosajoen kansallispuiston perustamisen ja kehottaa osoittamaan riittävästi resursseja sen suojeluun;</w:t>
            </w:r>
          </w:p>
        </w:tc>
        <w:tc>
          <w:tcPr>
            <w:tcW w:w="4876" w:type="dxa"/>
            <w:tcBorders>
              <w:top w:val="nil"/>
              <w:left w:val="nil"/>
              <w:bottom w:val="nil"/>
              <w:right w:val="nil"/>
            </w:tcBorders>
          </w:tcPr>
          <w:p>
            <w:pPr>
              <w:pStyle w:val="Normal6a"/>
            </w:pPr>
            <w:r>
              <w:t>24.</w:t>
            </w:r>
            <w:r>
              <w:tab/>
            </w:r>
            <w:r>
              <w:t xml:space="preserve">on vahvasti sitä mieltä, että ympäristönsuojelun on oltava tiiviisti sidoksissa kestävän matkailun kehittämiseen; panee tyytyväisenä merkille Vjosajoen kansallispuiston perustamisen ja kehottaa osoittamaan riittävästi resursseja sen suojeluun; </w:t>
            </w:r>
            <w:r>
              <w:rPr>
                <w:b/>
                <w:i/>
              </w:rPr>
              <w:t>ilmaisee päinvastoin syvän huolensa Vloran kansainvälisen lentoaseman rakennustöiden jatkamisesta Pishë Poro-Nartën suojelualueella ilman, että Euroopan parlamentin, Euroopan komission ja Bernin yleissopimuksen</w:t>
            </w:r>
            <w:r>
              <w:rPr>
                <w:b/>
                <w:i/>
                <w:vertAlign w:val="superscript"/>
              </w:rPr>
              <w:t>1 a</w:t>
            </w:r>
            <w:r>
              <w:t xml:space="preserve"> </w:t>
            </w:r>
            <w:r>
              <w:rPr>
                <w:b/>
                <w:i/>
              </w:rPr>
              <w:t>varoituksia otetaan huomioon.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Euroopan luonnonvaraisen kasviston ja eläimistön sekä niiden elinympäristön suojelua koskeva yleissopimus, pysyvän komitean suositus N:o 219 (2023), hyväksytty 5. syyskuuta 2023 ja tarkistettu 1. joulukuuta 2023, infrastruktuurin ja kaupungistumiskehityksen, erityisesti Vloran kansainvälisen lentoaseman, mahdollisista vaikutuksista Vjosa-Nartan suojelualueeseen (Albania).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on vahvasti sitä mieltä, että ympäristönsuojelun on oltava tiiviisti sidoksissa kestävän matkailun kehittämiseen; panee tyytyväisenä merkille Vjosajoen kansallispuiston perustamisen ja kehottaa osoittamaan riittävästi resursseja sen suojeluun;</w:t>
            </w:r>
          </w:p>
        </w:tc>
        <w:tc>
          <w:tcPr>
            <w:tcW w:w="4876" w:type="dxa"/>
            <w:tcBorders>
              <w:top w:val="nil"/>
              <w:left w:val="nil"/>
              <w:bottom w:val="nil"/>
              <w:right w:val="nil"/>
            </w:tcBorders>
          </w:tcPr>
          <w:p>
            <w:pPr>
              <w:pStyle w:val="Normal6a"/>
            </w:pPr>
            <w:r>
              <w:t>24.</w:t>
            </w:r>
            <w:r>
              <w:tab/>
            </w:r>
            <w:r>
              <w:t xml:space="preserve">on vahvasti sitä mieltä, että ympäristönsuojelun on oltava tiiviisti sidoksissa kestävän matkailun kehittämiseen; panee tyytyväisenä merkille </w:t>
            </w:r>
            <w:r>
              <w:rPr>
                <w:b/>
                <w:i/>
              </w:rPr>
              <w:t>Euroopan ensimmäisen luonnonvaraisen jokialueen muodostaman kansallispuiston,</w:t>
            </w:r>
            <w:r>
              <w:t xml:space="preserve"> Vjosajoen kansallispuiston</w:t>
            </w:r>
            <w:r>
              <w:rPr>
                <w:b/>
                <w:i/>
              </w:rPr>
              <w:t>,</w:t>
            </w:r>
            <w:r>
              <w:t xml:space="preserve"> perustamisen ja kehottaa osoittamaan riittävästi resursseja sen suojeluun; </w:t>
            </w:r>
            <w:r>
              <w:rPr>
                <w:b/>
                <w:i/>
              </w:rPr>
              <w:t>kehottaa viranomaisia ottamaan huomioon kansalaisyhteiskunnan esittämät huolenaiheet suojelualueiden verkoston rajojen määrittelystä;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a.</w:t>
            </w:r>
            <w:r>
              <w:tab/>
            </w:r>
            <w:r>
              <w:rPr>
                <w:b/>
                <w:i/>
              </w:rPr>
              <w:t>pitää myönteisenä Tiranan huippukokouksessa tehtyä sopimusta verkkovierailukustannusten alentamisesta;</w:t>
            </w:r>
            <w:r>
              <w:t xml:space="preserve"> </w:t>
            </w:r>
            <w:r>
              <w:rPr>
                <w:b/>
                <w:i/>
              </w:rPr>
              <w:t>kehottaa tässä yhteydessä viranomaisia, yksityisiä toimijoita ja kaikkia sidosryhmiä helpottamaan sovittujen tavoitteiden saavuttamista, jotta datapalvelujen verkkovierailumaksuja voidaan alentaa huomattavasti ja edelleen niin, että Länsi-Balkanin ja EU:n väliset hinnat saadaan lähelle kotimaisia hintoja vuoteen 2027 mennessä;</w:t>
            </w:r>
            <w:r>
              <w:t xml:space="preserve"> </w:t>
            </w:r>
            <w:r>
              <w:rPr>
                <w:b/>
                <w:i/>
              </w:rPr>
              <w:t>suhtautuu myönteisesti Länsi-Balkanin ja EU:n välisen verkkovierailuja koskevan etenemissuunnitelman täytäntöönpanon ensimmäisen vaiheen voimaantuloon;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a.</w:t>
            </w:r>
            <w:r>
              <w:tab/>
            </w:r>
            <w:r>
              <w:rPr>
                <w:b/>
                <w:i/>
              </w:rPr>
              <w:t>ilmaisee vakavan huolensa Albanian suojelualueita koskevaan lakiin äskettäin tehdyistä muutoksista, jotka mahdollistavat suuret infrastruktuuri- ja matkailuhankkeet ekologisesti herkillä alueilla; </w:t>
            </w:r>
            <w:r>
              <w:t xml:space="preserve"> </w:t>
            </w:r>
            <w:r>
              <w:rPr>
                <w:b/>
                <w:i/>
              </w:rPr>
              <w:t>kehottaa peruuttamaan nämä lainsäädäntöön tehdyt muutokset, jotta varmistetaan kansallisten ja kansainvälisten oikeudellisten kehysten ja suojelunormien täydellinen ja tiukka noudattaminen;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Ilaria Salis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a.</w:t>
            </w:r>
            <w:r>
              <w:tab/>
            </w:r>
            <w:r>
              <w:rPr>
                <w:b/>
                <w:i/>
              </w:rPr>
              <w:t>kehottaa Albanian viranomaisia nimeämään erittäin uhanalaisten lajien, erityisesti Balkanin ilveksen, säilymisen kannalta keskeiset suojelualueet ja hallinnoimaan niitä tehokkaasti, mukaan lukien kattavat biologisen monimuotoisuuden seurantaohjelmat, sekä panemaan täytäntöön salametsästyksen vastaisen lainsäädännön ja valvomaan tiukasti sen noudattamista;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a.</w:t>
            </w:r>
            <w:r>
              <w:tab/>
            </w:r>
            <w:r>
              <w:rPr>
                <w:b/>
                <w:i/>
              </w:rPr>
              <w:t>toistaa huolensa Vloran lentoaseman rakentamisesta Vjosa-Nartan suojelualueelle kansallisten ja kansainvälisten biologisen monimuotoisuuden suojelua koskevien normien vastaisesti;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a.</w:t>
            </w:r>
            <w:r>
              <w:tab/>
            </w:r>
            <w:r>
              <w:rPr>
                <w:b/>
                <w:i/>
              </w:rPr>
              <w:t>on huolissaan Albanian merten roskaantumisesta, joka vaikuttaa naapurimaihin, ja kehottaa ryhtymään kiireellisiin toimiin tämän ongelman korjaamiseksi;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w:t>
            </w:r>
            <w:r>
              <w:tab/>
            </w:r>
            <w:r>
              <w:rPr>
                <w:b/>
                <w:i/>
              </w:rPr>
              <w:t>kehottaa hallitusta keskeyttämään kiireellisesti Vlorën kansainvälisen lentoaseman laittoman rakentamisen Vjosa-Nartan suojelualueelle Bernin yleissopimuksen pysyvän komitean kehotuksen mukaisesti;</w:t>
            </w:r>
            <w:r>
              <w:t xml:space="preserve"> </w:t>
            </w:r>
            <w:r>
              <w:rPr>
                <w:b/>
                <w:i/>
              </w:rPr>
              <w:t>korostaa, että tämän lentoaseman rakentaminen on vastoin kansallista ja kansainvälistä oikeutta, mukaan lukien Euroopan luonnonvaraisen kasviston ja eläimistön sekä niiden elinympäristön suojelemisesta tehty Bernin yleissopimus, ja että se uhkaa yhtä maan biologisesti monimuotoisimmista alueista;</w:t>
            </w:r>
            <w:r>
              <w:t xml:space="preserve"> </w:t>
            </w:r>
            <w:r>
              <w:rPr>
                <w:b/>
                <w:i/>
              </w:rPr>
              <w:t>kehottaa Albaniaa varmistamaan, että ennen infrastruktuurin rakentamista tehdään tiukat ympäristövaikutusten arvioinnit, jotka ovat täysin kansallisen lainsäädännön ja kansainvälisten normien mukaisia;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c.</w:t>
            </w:r>
            <w:r>
              <w:tab/>
            </w:r>
            <w:r>
              <w:rPr>
                <w:b/>
                <w:i/>
              </w:rPr>
              <w:t>suosittelee, että Euroopan komissio seuraa tiiviisti, miten Albania noudattaa ympäristönsuojelulainsäädäntöä, erityisesti Vloran kansainvälisen lentokentän rakennustöiden lopettamisen, ympäristövaikutusten arviointien asianmukaisen soveltamisen ja muutettujen suojelualueiden ennallistamisen osalta;</w:t>
            </w:r>
            <w:r>
              <w:t xml:space="preserve"> </w:t>
            </w:r>
            <w:r>
              <w:rPr>
                <w:b/>
                <w:i/>
              </w:rPr>
              <w:t>vaatii, että näissä asioissa saavutettua edistystä olisi pidettävä kriittisinä vertailuarvoina neuvotteluissa Albanian kanssa ympäristöä ja ilmastonmuutosta koskevasta neuvotteluluvusta 27;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24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d.</w:t>
            </w:r>
            <w:r>
              <w:tab/>
            </w:r>
            <w:r>
              <w:rPr>
                <w:b/>
                <w:i/>
              </w:rPr>
              <w:t>kannustaa Albanian viranomaisia monipuolistamaan edelleen maan energiantuotantoa ja minimoimaan biologiseen monimuotoisuuteen kohdistuvat vaikutukset pysäyttämällä vesivoimahankkeet suojelualueilla;</w:t>
            </w:r>
            <w:r>
              <w:t xml:space="preserve"> </w:t>
            </w:r>
            <w:r>
              <w:rPr>
                <w:b/>
                <w:i/>
              </w:rPr>
              <w:t>kehottaa Albaniaa hylkäämään erityisesti Musta Drin-joen Skavican vesivoimalaa koskevat suunnitelmat, kun otetaan huomioon sen vakavat ekologiset, sosiaaliset ja kulttuuriset vaikutukset, myös paikallisyhteisöjen siirtyminen muualle, ensisijaisten elinympäristöjen häviäminen, mukaan lukien Balkanin ilveksen, karhun ja suden elinympäristöt;</w:t>
            </w:r>
            <w:r>
              <w:t xml:space="preserve"> </w:t>
            </w:r>
            <w:r>
              <w:rPr>
                <w:b/>
                <w:i/>
              </w:rPr>
              <w:t>kehottaa Albanian hallitusta kunnioittamaan täysin Albanian perustuslakituomioistuimen äskettäistä tuomiota ja panemaan aktiivisesti täytäntöön tehokkaat julkiset kuulemisprosessit ja avoimen päätöksenteon Skavican vesivoimahankkeesta noudattaen täysin kansallisia perustuslain säännöksiä ja velvoitteita, joita Albanialla on Århusin yleissopimuksen nojalla;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pitää myönteisenä 19. marraskuuta 2024 hyväksyttyä EU:n ja Albanian välistä turvallisuus- ja puolustuskumppanuutta, jolla luodaan foorumi tehostetulle vuoropuhelulle ja yhteistyölle turvallisuus- ja puolustuskysymyksissä ja joka on merkittävä edistysaskel;</w:t>
            </w:r>
          </w:p>
        </w:tc>
        <w:tc>
          <w:tcPr>
            <w:tcW w:w="4876" w:type="dxa"/>
            <w:tcBorders>
              <w:top w:val="nil"/>
              <w:left w:val="nil"/>
              <w:bottom w:val="nil"/>
              <w:right w:val="nil"/>
            </w:tcBorders>
          </w:tcPr>
          <w:p>
            <w:pPr>
              <w:pStyle w:val="Normal6a"/>
            </w:pPr>
            <w:r>
              <w:t>25.</w:t>
            </w:r>
            <w:r>
              <w:tab/>
            </w:r>
            <w:r>
              <w:t xml:space="preserve">pitää myönteisenä 19. marraskuuta 2024 hyväksyttyä EU:n ja Albanian välistä turvallisuus- ja puolustuskumppanuutta, jolla luodaan foorumi tehostetulle vuoropuhelulle ja yhteistyölle turvallisuus- ja puolustuskysymyksissä ja joka on merkittävä edistysaskel; </w:t>
            </w:r>
            <w:r>
              <w:rPr>
                <w:b/>
                <w:i/>
              </w:rPr>
              <w:t>korostaa, että on tärkeää varmistaa, että tämä kumppanuus johtaa konkreettisiin toimiin, mukaan lukien yhteiset koulutusaloitteet, yhteiset tiedusteluvalmiudet ja tehostetut rajaturvallisuustoimenpiteet, joilla vastataan alueellisiin ja maailmanlaajuisiin turvallisuushaasteisiin;</w:t>
            </w:r>
            <w:r>
              <w:t xml:space="preserve"> </w:t>
            </w:r>
            <w:r>
              <w:rPr>
                <w:b/>
                <w:i/>
              </w:rPr>
              <w:t>korostaa tarvetta syventää turvallisuusyhteistyötä Länsi-Balkanilla ja edistää tiiviimpää koordinointia alueellisten kumppaneiden välillä järjestäytyneen rikollisuuden, kyberuhkien ja hybridihaasteiden torjumiseksi;</w:t>
            </w:r>
            <w:r>
              <w:t xml:space="preserve"> </w:t>
            </w:r>
            <w:r>
              <w:rPr>
                <w:b/>
                <w:i/>
              </w:rPr>
              <w:t>kehottaa vahvistamaan EU:n tukea alueellisille turvallisuusaloitteille, joilla parannetaan vakautta ja häiriönsietokykyä koko Länsi-Balkanilla;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Ioan-Rareş Bogdan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pitää myönteisenä 19. marraskuuta 2024 hyväksyttyä EU:n ja Albanian välistä turvallisuus- ja puolustuskumppanuutta, jolla luodaan foorumi tehostetulle vuoropuhelulle ja yhteistyölle turvallisuus- ja puolustuskysymyksissä </w:t>
            </w:r>
            <w:r>
              <w:rPr>
                <w:b/>
                <w:i/>
              </w:rPr>
              <w:t>ja joka</w:t>
            </w:r>
            <w:r>
              <w:t xml:space="preserve"> on merkittävä edistysaskel;</w:t>
            </w:r>
          </w:p>
        </w:tc>
        <w:tc>
          <w:tcPr>
            <w:tcW w:w="4876" w:type="dxa"/>
            <w:tcBorders>
              <w:top w:val="nil"/>
              <w:left w:val="nil"/>
              <w:bottom w:val="nil"/>
              <w:right w:val="nil"/>
            </w:tcBorders>
          </w:tcPr>
          <w:p>
            <w:pPr>
              <w:pStyle w:val="Normal6a"/>
            </w:pPr>
            <w:r>
              <w:t>25.</w:t>
            </w:r>
            <w:r>
              <w:tab/>
            </w:r>
            <w:r>
              <w:t>pitää myönteisenä 19. marraskuuta 2024 hyväksyttyä EU:n ja Albanian välistä turvallisuus- ja puolustuskumppanuutta, jolla luodaan foorumi tehostetulle vuoropuhelulle ja yhteistyölle turvallisuus- ja puolustuskysymyksissä</w:t>
            </w:r>
            <w:r>
              <w:rPr>
                <w:b/>
                <w:i/>
              </w:rPr>
              <w:t>;</w:t>
            </w:r>
            <w:r>
              <w:t xml:space="preserve"> </w:t>
            </w:r>
            <w:r>
              <w:rPr>
                <w:b/>
                <w:i/>
              </w:rPr>
              <w:t>toteaa, että tämä kumppanuus</w:t>
            </w:r>
            <w:r>
              <w:t xml:space="preserve"> on merkittävä edistysaskel </w:t>
            </w:r>
            <w:r>
              <w:rPr>
                <w:b/>
                <w:i/>
              </w:rPr>
              <w:t>Albanian aseman vahvistamisessa EU:n luotettavana turvallisuuskumppanina; </w:t>
            </w:r>
            <w:r>
              <w:t xml:space="preserve"> </w:t>
            </w:r>
            <w:r>
              <w:rPr>
                <w:b/>
                <w:i/>
              </w:rPr>
              <w:t>korostaa lisäksi, että kumppanuus helpottaa muun muassa yhteisiä aloitteita ja valmiuksien kehittämistoimia ja edistää siten häiriönsietokykyisempää ja yhdennetympää turvallisuusrakennetta Länsi-Balkanilla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pitää myönteisenä 19. marraskuuta 2024 hyväksyttyä EU:n ja Albanian välistä turvallisuus- ja puolustuskumppanuutta, jolla luodaan foorumi tehostetulle vuoropuhelulle ja yhteistyölle turvallisuus- ja puolustuskysymyksissä ja joka on merkittävä edistysaskel;</w:t>
            </w:r>
          </w:p>
        </w:tc>
        <w:tc>
          <w:tcPr>
            <w:tcW w:w="4876" w:type="dxa"/>
            <w:tcBorders>
              <w:top w:val="nil"/>
              <w:left w:val="nil"/>
              <w:bottom w:val="nil"/>
              <w:right w:val="nil"/>
            </w:tcBorders>
          </w:tcPr>
          <w:p>
            <w:pPr>
              <w:pStyle w:val="Normal6a"/>
            </w:pPr>
            <w:r>
              <w:t>25.</w:t>
            </w:r>
            <w:r>
              <w:tab/>
            </w:r>
            <w:r>
              <w:t xml:space="preserve">pitää myönteisenä 19. marraskuuta 2024 hyväksyttyä EU:n ja Albanian välistä turvallisuus- ja puolustuskumppanuutta, jolla luodaan foorumi tehostetulle vuoropuhelulle ja yhteistyölle turvallisuus- ja puolustuskysymyksissä ja joka on merkittävä edistysaskel; </w:t>
            </w:r>
            <w:r>
              <w:rPr>
                <w:b/>
                <w:i/>
              </w:rPr>
              <w:t>pitää myönteisenä Albanian, Kosovon ja Kroatian allekirjoittamaa kolmenvälistä julistusta sotilaallisesta liittoumasta, jolla pyritään parantamaan yhteistyötä ja vahvistamaan puolustuspotentiaalia samalla kun annetaan täysi tuki euroatlanttiselle ja alueelliselle puolustusintegraatiolle;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pitää myönteisenä 19. marraskuuta 2024 hyväksyttyä EU:n ja Albanian välistä turvallisuus- ja puolustuskumppanuutta, jolla luodaan foorumi tehostetulle vuoropuhelulle ja yhteistyölle turvallisuus- ja puolustuskysymyksissä ja joka on merkittävä edistysaskel;</w:t>
            </w:r>
          </w:p>
        </w:tc>
        <w:tc>
          <w:tcPr>
            <w:tcW w:w="4876" w:type="dxa"/>
            <w:tcBorders>
              <w:top w:val="nil"/>
              <w:left w:val="nil"/>
              <w:bottom w:val="nil"/>
              <w:right w:val="nil"/>
            </w:tcBorders>
          </w:tcPr>
          <w:p>
            <w:pPr>
              <w:pStyle w:val="Normal6a"/>
            </w:pPr>
            <w:r>
              <w:t>25.</w:t>
            </w:r>
            <w:r>
              <w:tab/>
            </w:r>
            <w:r>
              <w:t xml:space="preserve">pitää myönteisenä 19. marraskuuta 2024 hyväksyttyä EU:n ja Albanian välistä turvallisuus- ja puolustuskumppanuutta, jolla luodaan foorumi tehostetulle vuoropuhelulle ja yhteistyölle turvallisuus- ja puolustuskysymyksissä ja joka on merkittävä edistysaskel; </w:t>
            </w:r>
            <w:r>
              <w:rPr>
                <w:b/>
                <w:i/>
              </w:rPr>
              <w:t>korostaa Albanian myönteistä panosta yhteisen turvallisuus- ja puolustuspolitiikan operaatioihin, erityisesti EUFOR Althea -operaatioon, ja kehottaa sitä osallistumaan edelleen EUNAVFOR Aspides -meriturvallisuusoperaation kaltaisiin aloitteisiin;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pitää myönteisenä 19. marraskuuta 2024 hyväksyttyä EU:n ja Albanian välistä turvallisuus- ja puolustuskumppanuutta, jolla luodaan foorumi tehostetulle vuoropuhelulle ja yhteistyölle turvallisuus- ja puolustuskysymyksissä ja joka on merkittävä edistysaskel;</w:t>
            </w:r>
          </w:p>
        </w:tc>
        <w:tc>
          <w:tcPr>
            <w:tcW w:w="4876" w:type="dxa"/>
            <w:tcBorders>
              <w:top w:val="nil"/>
              <w:left w:val="nil"/>
              <w:bottom w:val="nil"/>
              <w:right w:val="nil"/>
            </w:tcBorders>
          </w:tcPr>
          <w:p>
            <w:pPr>
              <w:pStyle w:val="Normal6a"/>
            </w:pPr>
            <w:r>
              <w:t>25.</w:t>
            </w:r>
            <w:r>
              <w:tab/>
            </w:r>
            <w:r>
              <w:t xml:space="preserve">pitää myönteisenä 19. marraskuuta 2024 hyväksyttyä EU:n ja Albanian välistä turvallisuus- ja puolustuskumppanuutta, jolla luodaan foorumi tehostetulle vuoropuhelulle ja yhteistyölle turvallisuus- ja puolustuskysymyksissä ja joka on merkittävä edistysaskel; </w:t>
            </w:r>
            <w:r>
              <w:rPr>
                <w:b/>
                <w:i/>
              </w:rPr>
              <w:t>pitää myönteisenä Albanian osallistumista EUFOR Althea -operaatioon, mikä tuo esiin maan sitoutumisen alueellisen ja kansainvälisen turvallisuuden ja vakauden edistämiseen;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a.</w:t>
            </w:r>
            <w:r>
              <w:tab/>
            </w:r>
            <w:r>
              <w:rPr>
                <w:b/>
                <w:i/>
              </w:rPr>
              <w:t>korostaa Albanian panosta alueelliseen turvallisuuteen naapurimaiden poliisin ja turvallisuusjoukkojen kanssa tehtävän yhteistyön kautta;</w:t>
            </w:r>
            <w:r>
              <w:t xml:space="preserve"> </w:t>
            </w:r>
            <w:r>
              <w:rPr>
                <w:b/>
                <w:i/>
              </w:rPr>
              <w:t>pitää myönteisenä Albanian osallistumista alueellisiin aloitteisiin järjestäytyneen rikollisuuden ja ihmiskaupan torjumiseksi, mukaan lukien sen yhteistyö Europolin ja Interpolin kanssa;</w:t>
            </w:r>
            <w:r>
              <w:t xml:space="preserve"> </w:t>
            </w:r>
            <w:r>
              <w:rPr>
                <w:b/>
                <w:i/>
              </w:rPr>
              <w:t>kehottaa Albaniaa kehittämään edelleen tiedustelutietojen jakamiseen liittyviä valmiuksia ja vahvistamaan yhteisiä operaatioita EU:n jäsenvaltioiden ja alueen muiden maiden kanssa;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a.</w:t>
            </w:r>
            <w:r>
              <w:tab/>
            </w:r>
            <w:r>
              <w:rPr>
                <w:b/>
                <w:i/>
              </w:rPr>
              <w:t>katsoo, että Turkin läsnäolo Balkanilla ja erityisesti Albaniassa on usein ristiriidassa EU:n etujen kanssa;</w:t>
            </w:r>
            <w:r>
              <w:t xml:space="preserve"> </w:t>
            </w:r>
            <w:r>
              <w:rPr>
                <w:b/>
                <w:i/>
              </w:rPr>
              <w:t>kehottaa Euroopan ulkosuhdehallintoa seuraamaan erityisesti näiden EU:n vastaisten toimien esiintymistä;</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a.</w:t>
            </w:r>
            <w:r>
              <w:tab/>
            </w:r>
            <w:r>
              <w:rPr>
                <w:b/>
                <w:i/>
              </w:rPr>
              <w:t>antaa Albanialle tunnustusta sen merkittävästä panoksesta vakauden ja yhteistyön edistämiseen koko Länsi-Balkanilla erityisesti sen ansiosta, että se osallistuu EU:n ja Naton johtamiin operaatioihin;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a.</w:t>
            </w:r>
            <w:r>
              <w:tab/>
            </w:r>
            <w:r>
              <w:rPr>
                <w:b/>
                <w:i/>
              </w:rPr>
              <w:t>pitää myönteisenä, että on hyväksytty uusi kyberturvallisuuslaki, joka on yhdenmukainen toimenpiteistä kyberturvallisuuden yhteisen korkean tason varmistamiseksi kaikkialla unionissa annetun EU:n direktiivin (NIS 2 -direktiivi)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a.</w:t>
            </w:r>
            <w:r>
              <w:tab/>
            </w:r>
            <w:r>
              <w:rPr>
                <w:b/>
                <w:i/>
              </w:rPr>
              <w:t>suhtautuu myönteisesti siihen, että Albania hyväksyi vuonna 2024 uuden kansallisen turvallisuusstrategian hybridiuhkien torjunnan jatkamiseksi;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25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w:t>
            </w:r>
            <w:r>
              <w:tab/>
            </w:r>
            <w:r>
              <w:rPr>
                <w:b/>
                <w:i/>
              </w:rPr>
              <w:t>pitää myönteisenä kolmenvälistä puolustussopimusta Kosovon ja Kroatian kanssa;</w:t>
            </w:r>
            <w:r>
              <w:t xml:space="preserve"> </w:t>
            </w:r>
            <w:r>
              <w:rPr>
                <w:b/>
                <w:i/>
              </w:rPr>
              <w:t>toteaa, että tällä aloitteella voi olla aluetta vakauttava rooli ja se voi toimia välineenä, jolla edistetään yhteistyötä turvallisuuden ja puolustuksen alalla sekä puolustusvalmiuksien kehittämisessä;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Yannis Maniatis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suhtautuu myönteisesti Albanian hallituksen jatkuviin pyrkimyksiin edistää hyviä naapuruussuhteita;</w:t>
            </w:r>
          </w:p>
        </w:tc>
        <w:tc>
          <w:tcPr>
            <w:tcW w:w="4876" w:type="dxa"/>
            <w:tcBorders>
              <w:top w:val="nil"/>
              <w:left w:val="nil"/>
              <w:bottom w:val="nil"/>
              <w:right w:val="nil"/>
            </w:tcBorders>
          </w:tcPr>
          <w:p>
            <w:pPr>
              <w:pStyle w:val="Normal6a"/>
            </w:pPr>
            <w:r>
              <w:t>26.</w:t>
            </w:r>
            <w:r>
              <w:tab/>
            </w:r>
            <w:r>
              <w:t xml:space="preserve">suhtautuu myönteisesti Albanian hallituksen jatkuviin pyrkimyksiin edistää hyviä naapuruussuhteita; </w:t>
            </w:r>
            <w:r>
              <w:rPr>
                <w:b/>
                <w:i/>
              </w:rPr>
              <w:t>muistuttaa tässä yhteydessä, että on tärkeää tehdä Kreikan kanssa uusi sopimus merialueiden, myös talousvyöhykkeen, rajaamisesta näiden kahden maan välillä kansainvälisen oikeuden ja Yhdistyneiden kansakuntien merioikeusyleissopimuksen mukaisesti sen jälkeen, kun Albanian perustuslakituomioistuin kumosi edellisen sopimuksen vuonna 2010;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Andrey Kovatchev, Reinhold Lopatka, Michael Gahler, Matej Tonin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suhtautuu myönteisesti Albanian hallituksen jatkuviin pyrkimyksiin edistää hyviä naapuruussuhteita;</w:t>
            </w:r>
          </w:p>
        </w:tc>
        <w:tc>
          <w:tcPr>
            <w:tcW w:w="4876" w:type="dxa"/>
            <w:tcBorders>
              <w:top w:val="nil"/>
              <w:left w:val="nil"/>
              <w:bottom w:val="nil"/>
              <w:right w:val="nil"/>
            </w:tcBorders>
          </w:tcPr>
          <w:p>
            <w:pPr>
              <w:pStyle w:val="Normal6a"/>
            </w:pPr>
            <w:r>
              <w:t>26.</w:t>
            </w:r>
            <w:r>
              <w:tab/>
            </w:r>
            <w:r>
              <w:t xml:space="preserve">suhtautuu myönteisesti Albanian hallituksen jatkuviin pyrkimyksiin edistää hyviä naapuruussuhteita; </w:t>
            </w:r>
            <w:r>
              <w:rPr>
                <w:b/>
                <w:i/>
              </w:rPr>
              <w:t>varoittaa kaikista toimista, kuten Open Balkans -aloitteesta, jotka voivat heikentää yhteisiä alueellisia markkinoita tai poiketa Berliinin prosessista, koska tällaiset toimet luovat esteitä EU:n yhdentymiselle ja yhteenkuuluvuudelle ja saattavat vaarantaa Albanian edistymisen kohti syvempää alueellista ja unioniin yhdentymistä;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Ioan-Rareş Bogdan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suhtautuu myönteisesti Albanian hallituksen jatkuviin pyrkimyksiin edistää hyviä naapuruussuhteita;</w:t>
            </w:r>
          </w:p>
        </w:tc>
        <w:tc>
          <w:tcPr>
            <w:tcW w:w="4876" w:type="dxa"/>
            <w:tcBorders>
              <w:top w:val="nil"/>
              <w:left w:val="nil"/>
              <w:bottom w:val="nil"/>
              <w:right w:val="nil"/>
            </w:tcBorders>
          </w:tcPr>
          <w:p>
            <w:pPr>
              <w:pStyle w:val="Normal6a"/>
            </w:pPr>
            <w:r>
              <w:t>26.</w:t>
            </w:r>
            <w:r>
              <w:tab/>
            </w:r>
            <w:r>
              <w:t xml:space="preserve">suhtautuu myönteisesti Albanian hallituksen jatkuviin pyrkimyksiin edistää hyviä naapuruussuhteita; </w:t>
            </w:r>
            <w:r>
              <w:rPr>
                <w:b/>
                <w:i/>
              </w:rPr>
              <w:t>kannustaa edelleen jatkuvaan ja rakentavaan sitoutumiseen alueellisiin yhteistyöaloitteisiin EU:n arvojen ja laajentumistavoitteiden mukaisesti, koska se edistää rauhaa, turvallisuutta ja vakautta Länsi-Balkanilla;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Hermann Tertsch, 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suhtautuu myönteisesti Albanian hallituksen jatkuviin pyrkimyksiin edistää hyviä naapuruussuhteita;</w:t>
            </w:r>
          </w:p>
        </w:tc>
        <w:tc>
          <w:tcPr>
            <w:tcW w:w="4876" w:type="dxa"/>
            <w:tcBorders>
              <w:top w:val="nil"/>
              <w:left w:val="nil"/>
              <w:bottom w:val="nil"/>
              <w:right w:val="nil"/>
            </w:tcBorders>
          </w:tcPr>
          <w:p>
            <w:pPr>
              <w:pStyle w:val="Normal6a"/>
            </w:pPr>
            <w:r>
              <w:t>26.</w:t>
            </w:r>
            <w:r>
              <w:tab/>
            </w:r>
            <w:r>
              <w:t xml:space="preserve">suhtautuu myönteisesti Albanian hallituksen jatkuviin pyrkimyksiin edistää hyviä naapuruussuhteita; </w:t>
            </w:r>
            <w:r>
              <w:rPr>
                <w:b/>
                <w:i/>
              </w:rPr>
              <w:t>antaa tässä yhteydessä tunnustusta Italian kanssa 6. marraskuuta 2023 allekirjoitetulle ja Albanian parlamentin 22. helmikuuta 2024 ratifioimalle turvapaikkasopimukselle arvokkaana välineenä, jolla autetaan hallitsemaan EU:hun suuntautuvia muuttovirtoja;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rPr>
                <w:b/>
                <w:i/>
              </w:rPr>
              <w:t>suhtautuu myönteisesti</w:t>
            </w:r>
            <w:r>
              <w:t xml:space="preserve"> Albanian hallituksen </w:t>
            </w:r>
            <w:r>
              <w:rPr>
                <w:b/>
                <w:i/>
              </w:rPr>
              <w:t>jatkuviin pyrkimyksiin edistää hyviä naapuruussuhteita</w:t>
            </w:r>
            <w:r>
              <w:t>;</w:t>
            </w:r>
          </w:p>
        </w:tc>
        <w:tc>
          <w:tcPr>
            <w:tcW w:w="4876" w:type="dxa"/>
            <w:tcBorders>
              <w:top w:val="nil"/>
              <w:left w:val="nil"/>
              <w:bottom w:val="nil"/>
              <w:right w:val="nil"/>
            </w:tcBorders>
          </w:tcPr>
          <w:p>
            <w:pPr>
              <w:pStyle w:val="Normal6a"/>
            </w:pPr>
            <w:r>
              <w:t>26.</w:t>
            </w:r>
            <w:r>
              <w:tab/>
            </w:r>
            <w:r>
              <w:rPr>
                <w:b/>
                <w:i/>
              </w:rPr>
              <w:t>panee merkille</w:t>
            </w:r>
            <w:r>
              <w:t xml:space="preserve"> Albanian hallituksen </w:t>
            </w:r>
            <w:r>
              <w:rPr>
                <w:b/>
                <w:i/>
              </w:rPr>
              <w:t>tahdonilmaisut hyvistä naapuruussuhteista</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a.</w:t>
            </w:r>
            <w:r>
              <w:tab/>
            </w:r>
            <w:r>
              <w:rPr>
                <w:b/>
                <w:i/>
              </w:rPr>
              <w:t>suhtautuu myönteisesti Italian ja Albanian 6. marraskuuta 2023 allekirjoittamaan kahdenväliseen sopimukseen, joka mahdollistaa mereltä pelastettujen laittomien muuttajien siirtämisen kahteen Albaniassa sijaitsevaan käsittelykeskukseen, joissa heidän turvapaikkahakemuksensa arvioidaan kansainvälisten normien mukaisesti;</w:t>
            </w:r>
            <w:r>
              <w:t xml:space="preserve"> </w:t>
            </w:r>
            <w:r>
              <w:rPr>
                <w:b/>
                <w:i/>
              </w:rPr>
              <w:t>toteaa, että tämä sopimus on konkreettinen ja käytännöllinen esimerkki alueellisesta yhteistyöstä laittoman muuttoliikkeen ja ihmissalakuljetusverkostojen torjunnassa;</w:t>
            </w:r>
            <w:r>
              <w:t xml:space="preserve"> </w:t>
            </w:r>
            <w:r>
              <w:rPr>
                <w:b/>
                <w:i/>
              </w:rPr>
              <w:t>kannustaa komissiota toistamaan vastaavia kumppanuus- ja ulkoisen yhteistyön malleja;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Eszter Lakos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a.</w:t>
            </w:r>
            <w:r>
              <w:tab/>
            </w:r>
            <w:r>
              <w:rPr>
                <w:b/>
                <w:i/>
              </w:rPr>
              <w:t>kannattaa Länsi-Balkanin maiden välisen alueellisen yhteistyön lisäämistä disinformaation ja ulkomaisen sekaantumisen torjumista koskevien parhaiden käytäntöjen jakamiseksi ja yhteisten strategioiden kehittämiseksi;</w:t>
            </w:r>
            <w:r>
              <w:t xml:space="preserve"> </w:t>
            </w:r>
            <w:r>
              <w:rPr>
                <w:b/>
                <w:i/>
              </w:rPr>
              <w:t>korostaa Euroopan unionin roolia tällaisen yhteistyön edistämisessä;</w:t>
            </w:r>
            <w:r>
              <w:t xml:space="preserve"> </w:t>
            </w:r>
            <w:r>
              <w:rPr>
                <w:b/>
                <w:i/>
              </w:rPr>
              <w:t>kehottaa jatkamaan ja vahvistamaan edelleen IPA:n alueellista kyberturvallisuusohjelmaa;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a.</w:t>
            </w:r>
            <w:r>
              <w:tab/>
            </w:r>
            <w:r>
              <w:rPr>
                <w:b/>
                <w:i/>
              </w:rPr>
              <w:t>antaa tunnustusta Albanian sitoumukselle edistää hyviä naapuruussuhteita ja alueellista yhteistyötä Länsi-Balkanilla;</w:t>
            </w:r>
            <w:r>
              <w:t xml:space="preserve"> </w:t>
            </w:r>
            <w:r>
              <w:rPr>
                <w:b/>
                <w:i/>
              </w:rPr>
              <w:t>pitää myönteisenä Albanian aktiivista osallistumista Berliinin prosessiin ja Länsi-Balkanin kasvusuunnitelmaan, joilla edistetään alueen taloudellista ja poliittista yhdentymistä;</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a.</w:t>
            </w:r>
            <w:r>
              <w:tab/>
            </w:r>
            <w:r>
              <w:rPr>
                <w:b/>
                <w:i/>
              </w:rPr>
              <w:t>muistuttaa, että oikeusvaltioperiaate, riippumattomat instituutiot, vallanjako ja vallan tasapaino sekä poliittinen moniarvoisuus ovat keskeisiä kriteereitä EU:hun liittymiselle; </w:t>
            </w:r>
            <w:r>
              <w:t xml:space="preserve"> </w:t>
            </w:r>
            <w:r>
              <w:rPr>
                <w:b/>
                <w:i/>
              </w:rPr>
              <w:t>kehottaa ryhtymään välittömiin toimiin opposition oikeuksien turvaamiseksi, varmistamaan myös parlamentin oikeudellisen riippumattomuuden ja estämään valtion instituutioiden väärinkäytön poliittisen hyödyn tavoitteluun;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a.</w:t>
            </w:r>
            <w:r>
              <w:tab/>
            </w:r>
            <w:r>
              <w:rPr>
                <w:b/>
                <w:i/>
              </w:rPr>
              <w:t>kannustaa Albaniaa vahvistamaan tiedustelutietojen jakamismekanismejaan EU:n virastojen, kuten Europolin ja Frontexin, kanssa alueellisen vakauden ja rajaturvallisuuden parantamiseksi;</w:t>
            </w:r>
            <w:r>
              <w:t xml:space="preserve"> </w:t>
            </w:r>
            <w:r>
              <w:rPr>
                <w:b/>
                <w:i/>
              </w:rPr>
              <w:t>kehottaa jatkamaan toimia Albanian turvallisuuspolitiikkojen mukauttamiseksi EU:n strategioihin ja edistämään yhdennetympää ja häiriönsietokykyisempää alueellista turvallisuuskehystä;</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a.</w:t>
            </w:r>
            <w:r>
              <w:tab/>
            </w:r>
            <w:r>
              <w:rPr>
                <w:b/>
                <w:i/>
              </w:rPr>
              <w:t>pitää myönteisenä Albanian asemaa aktiivisimpana kolmantena maana huumekauppaa, rahanpesua ja kyberrikollisuutta käsittelevässä EMPACT-torjuntafoorumissa;</w:t>
            </w:r>
            <w:r>
              <w:t xml:space="preserve"> </w:t>
            </w:r>
            <w:r>
              <w:rPr>
                <w:b/>
                <w:i/>
              </w:rPr>
              <w:t>panee lisäksi merkille tehostetun tietojenvaihdon Interpolin, Europolin ja CARIN-verkoston kautta;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a.</w:t>
            </w:r>
            <w:r>
              <w:tab/>
            </w:r>
            <w:r>
              <w:rPr>
                <w:b/>
                <w:i/>
              </w:rPr>
              <w:t>muistuttaa Kreikan ja Albanian talousvyöhykettä koskevan sopimuksen (2009) oikeudellisesta pätevyydestä, jonka Albanian ”perustuslakituomioistuin” kumosi Edi Raman puolueen instituutioiden vastaisten toimien jälkeen;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a.</w:t>
            </w:r>
            <w:r>
              <w:tab/>
            </w:r>
            <w:r>
              <w:rPr>
                <w:b/>
                <w:i/>
              </w:rPr>
              <w:t>pitää myönteisenä, että Albania on ratifioinut kahdenväliset sopimukset sosiaaliturvajärjestelmien yhteensovittamisesta Kroatian, Montenegron ja Bulgarian kanssa;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Tineke Strik</w:t>
      </w:r>
      <w:r>
        <w:rPr>
          <w:rStyle w:val="HideTWBExt"/>
          <w:b w:val="0"/>
        </w:rPr>
        <w:t>&lt;/Members&gt;</w:t>
      </w:r>
    </w:p>
    <w:p>
      <w:r>
        <w:rPr>
          <w:rStyle w:val="HideTWBExt"/>
          <w:b w:val="0"/>
        </w:rPr>
        <w:t>&lt;AuNomDe&gt;</w:t>
      </w:r>
      <w:r>
        <w:rPr>
          <w:rStyle w:val="HideTWBInt"/>
        </w:rPr>
        <w:t>{Greens/EFA}</w:t>
      </w:r>
      <w:r>
        <w:t>Verts/ALE-ryhmän puolesta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a.</w:t>
            </w:r>
            <w:r>
              <w:tab/>
            </w:r>
            <w:r>
              <w:rPr>
                <w:b/>
                <w:i/>
              </w:rPr>
              <w:t>suhtautuu erittäin myönteisesti päätökseen avata Euroopan parlamentin Länsi-Balkanin etätoimisto Tiranaan;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Rihards Kols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w:t>
            </w:r>
            <w:r>
              <w:tab/>
            </w:r>
            <w:r>
              <w:rPr>
                <w:b/>
                <w:i/>
              </w:rPr>
              <w:t>tuomitsee Euroopan paikallisen itsehallinnon peruskirjan ja Albanian paikallista itsehallintoa koskevien perustuslaillisten ja oikeudellisten määräysten rikkomisen pormestari Erion Veliajin pidätyksen jälkeen;</w:t>
            </w:r>
            <w:r>
              <w:t xml:space="preserve"> </w:t>
            </w:r>
            <w:r>
              <w:rPr>
                <w:b/>
                <w:i/>
              </w:rPr>
              <w:t>panee huolestuneena merkille, että pääministeri Rama otti laittomasti määräysvallan Tiranan kunnassa ja nimitti seuraajan, millä siten keskitettiin valtaa ja käytettiin väärin kunnallisia resursseja vaalitarkoituksiin;</w:t>
            </w:r>
            <w:r>
              <w:t xml:space="preserve"> </w:t>
            </w:r>
            <w:r>
              <w:rPr>
                <w:b/>
                <w:i/>
              </w:rPr>
              <w:t>korostaa, että tämä heikentää demokraattista hallintoa ja vaalien oikeudenmukaisuutta;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w:t>
            </w:r>
            <w:r>
              <w:tab/>
            </w:r>
            <w:r>
              <w:rPr>
                <w:b/>
                <w:i/>
              </w:rPr>
              <w:t>korostaa Albanian rakentavaa roolia vakauden ja yhteistyön edistämisessä Länsi-Balkanilla erityisesti sen naapurimaiden kanssa käymän kahdenvälisen vuoropuhelun ja alueellisiin järjestöihin osallistumisen ansiosta;</w:t>
            </w:r>
            <w:r>
              <w:t xml:space="preserve"> </w:t>
            </w:r>
            <w:r>
              <w:rPr>
                <w:b/>
                <w:i/>
              </w:rPr>
              <w:t>kehottaa Albaniaa pyrkimään edelleen ratkaisemaan kaikki käynnissä olevat riidat naapurimaiden kanssa noudattamalla lähestymistapaa, joka perustuu kansainvälisen oikeuden noudattamiseen sekä rauhan ja turvallisuuden edistämiseen alueella;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w:t>
            </w:r>
            <w:r>
              <w:tab/>
            </w:r>
            <w:r>
              <w:rPr>
                <w:b/>
                <w:i/>
              </w:rPr>
              <w:t>antaa tunnustusta Albanian täysipainoiselle mukautumiselle EU:n yhteiseen ulko- ja turvallisuuspolitiikkaan (YUTP), mukaan lukien sen tuki EU:n pakotteille kolmansia maita vastaan;</w:t>
            </w:r>
            <w:r>
              <w:t xml:space="preserve"> </w:t>
            </w:r>
            <w:r>
              <w:rPr>
                <w:b/>
                <w:i/>
              </w:rPr>
              <w:t>korostaa, että on tärkeää lisätä Albanian osallistumista EU-johtoisiin kriisinhallintaoperaatioihin ja yhteisen turvallisuus- ja puolustuspolitiikan (YTPP) operaatioihin;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Andreas Schieder, Marco Tarquinio, Marta Temido,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w:t>
            </w:r>
            <w:r>
              <w:tab/>
            </w:r>
            <w:r>
              <w:rPr>
                <w:b/>
                <w:i/>
              </w:rPr>
              <w:t>suhtautuu myönteisesti siihen, että 18 albanialaista osallistujaa on mukana ETSK:n luomassa ehdokasvaltioita koskevassa aloitteessa, jolla pyritään edistämään tiiviimpiä suhteita ehdokasvaltioihin ja helpottamaan niiden asteittaista yhdentymistä Euroopan unioniin;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Ilhan Kyuchyuk, Marjan Šarec, Dan Barna,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26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c.</w:t>
            </w:r>
            <w:r>
              <w:tab/>
            </w:r>
            <w:r>
              <w:rPr>
                <w:b/>
                <w:i/>
              </w:rPr>
              <w:t>tunnustaa Adrian- ja Joonianmeren alueen strategisen merkityksen Euroopan turvallisuudelle ja taloudelliselle vakaudelle;</w:t>
            </w:r>
            <w:r>
              <w:t xml:space="preserve"> </w:t>
            </w:r>
            <w:r>
              <w:rPr>
                <w:b/>
                <w:i/>
              </w:rPr>
              <w:t>kehottaa Albaniaa parantamaan merellisen turvallisuuden valmiuksiaan koordinoidusti EU:n ja Naton kanssa, mukaan lukien merivoimien infrastruktuurin vahvistaminen, valvontajärjestelmien parantaminen ja laittoman toiminnan, kuten salakuljetuksen ja ihmiskaupan, torjunnan tehostaminen Adrian- ja Joonianmerellä; </w:t>
            </w:r>
            <w:r>
              <w:t xml:space="preserve"> </w:t>
            </w:r>
            <w:r>
              <w:rPr>
                <w:b/>
                <w:i/>
              </w:rPr>
              <w:t>kannustaa syventämään yhteistyötä EU:n rannikkovaltioissa, jotta varmistetaan kriittisten merireittien suojelu ja ympäristön kestävyys alueella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Tarkistus</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Päätöslauselmaesitys</w:t>
      </w:r>
      <w:r>
        <w:rPr>
          <w:rStyle w:val="HideTWBExt"/>
        </w:rPr>
        <w:t>&lt;/DocAmend&gt;</w:t>
      </w:r>
    </w:p>
    <w:p>
      <w:pPr>
        <w:pStyle w:val="NormalBold"/>
      </w:pPr>
      <w:r>
        <w:rPr>
          <w:rStyle w:val="HideTWBExt"/>
        </w:rPr>
        <w:t>&lt;Article&gt;</w:t>
      </w:r>
      <w:r>
        <w:t>27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a.</w:t>
            </w:r>
            <w:r>
              <w:tab/>
            </w:r>
            <w:r>
              <w:rPr>
                <w:b/>
                <w:i/>
              </w:rPr>
              <w:t>suhtautuu myönteisesti Euroopan parlamentin Länsi-Balkanin toimiston perustamiseen Tiranaan; </w:t>
            </w:r>
            <w:r>
              <w:t xml:space="preserve"> </w:t>
            </w:r>
            <w:r>
              <w:rPr>
                <w:b/>
                <w:i/>
              </w:rPr>
              <w:t>panee merkille, että toimisto toimii keskeisenä yhteyspisteenä Euroopan parlamentin ja kansallisten parlamenttien, kansalaisyhteiskunnan ja paikallisten kumppaneiden välillä koko Länsi-Balkanin alueella;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770.101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122</w:t>
    </w:r>
    <w:r>
      <w:fldChar w:fldCharType="end"/>
    </w:r>
    <w:r>
      <w:t>/</w:t>
    </w:r>
    <w:r>
      <w:fldChar w:fldCharType="begin"/>
    </w:r>
    <w:r>
      <w:instrText xml:space="preserve"> NUMPAGES </w:instrText>
    </w:r>
    <w:r>
      <w:fldChar w:fldCharType="separate"/>
    </w:r>
    <w:r>
      <w:t>123</w:t>
    </w:r>
    <w:r>
      <w:fldChar w:fldCharType="end"/>
    </w:r>
    <w:r>
      <w:tab/>
    </w:r>
    <w:r>
      <w:rPr>
        <w:rStyle w:val="HideTWBExt"/>
      </w:rPr>
      <w:t>&lt;PathFdR&gt;</w:t>
    </w:r>
    <w:r>
      <w:t>AM\1316349FI.docx</w:t>
    </w:r>
    <w:r>
      <w:rPr>
        <w:rStyle w:val="HideTWBExt"/>
      </w:rPr>
      <w:t>&lt;/PathFdR&gt;</w:t>
    </w:r>
  </w:p>
  <w:p>
    <w:pPr>
      <w:pStyle w:val="EPFooter2"/>
    </w:pPr>
    <w:r>
      <w:t>FI</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AM\1316349FI.docx</w:t>
    </w:r>
    <w:r>
      <w:rPr>
        <w:rStyle w:val="HideTWBExt"/>
      </w:rPr>
      <w:t>&lt;/PathFdR&gt;</w:t>
    </w:r>
    <w:r>
      <w:tab/>
    </w:r>
    <w:r>
      <w:fldChar w:fldCharType="begin"/>
    </w:r>
    <w:r>
      <w:instrText xml:space="preserve"> PAGE </w:instrText>
    </w:r>
    <w:r>
      <w:fldChar w:fldCharType="separate"/>
    </w:r>
    <w:r>
      <w:t>123</w:t>
    </w:r>
    <w:r>
      <w:fldChar w:fldCharType="end"/>
    </w:r>
    <w:r>
      <w:t>/</w:t>
    </w:r>
    <w:r>
      <w:fldChar w:fldCharType="begin"/>
    </w:r>
    <w:r>
      <w:instrText xml:space="preserve"> NUMPAGES </w:instrText>
    </w:r>
    <w:r>
      <w:fldChar w:fldCharType="separate"/>
    </w:r>
    <w:r>
      <w:t>123</w:t>
    </w:r>
    <w:r>
      <w:fldChar w:fldCharType="end"/>
    </w:r>
    <w:r>
      <w:tab/>
    </w:r>
    <w:r>
      <w:t>PE</w:t>
    </w:r>
    <w:r>
      <w:rPr>
        <w:rStyle w:val="HideTWBExt"/>
      </w:rPr>
      <w:t>&lt;NoPE&gt;</w:t>
    </w:r>
    <w:r>
      <w:t>770.101</w:t>
    </w:r>
    <w:r>
      <w:rPr>
        <w:rStyle w:val="HideTWBExt"/>
      </w:rPr>
      <w:t>&lt;/NoPE&gt;</w:t>
    </w:r>
    <w:r>
      <w:rPr>
        <w:rStyle w:val="HideTWBExt"/>
      </w:rPr>
      <w:t>&lt;Version&gt;</w:t>
    </w:r>
    <w:r>
      <w:t>v01-00</w:t>
    </w:r>
    <w:r>
      <w:rPr>
        <w:rStyle w:val="HideTWBExt"/>
      </w:rPr>
      <w:t>&lt;/Version&gt;</w:t>
    </w:r>
  </w:p>
  <w:p>
    <w:pPr>
      <w:pStyle w:val="EPFooter2"/>
    </w:pPr>
    <w:r>
      <w:tab/>
    </w:r>
    <w:r>
      <w:tab/>
    </w:r>
    <w:r>
      <w:t>FI</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AM\1316349FI.docx</w:t>
    </w:r>
    <w:r>
      <w:rPr>
        <w:rStyle w:val="HideTWBExt"/>
      </w:rPr>
      <w:t>&lt;/PathFdR&gt;</w:t>
    </w:r>
    <w:r>
      <w:tab/>
    </w:r>
    <w:r>
      <w:tab/>
    </w:r>
    <w:r>
      <w:t>PE</w:t>
    </w:r>
    <w:r>
      <w:rPr>
        <w:rStyle w:val="HideTWBExt"/>
      </w:rPr>
      <w:t>&lt;NoPE&gt;</w:t>
    </w:r>
    <w:r>
      <w:t>770.101</w:t>
    </w:r>
    <w:r>
      <w:rPr>
        <w:rStyle w:val="HideTWBExt"/>
      </w:rPr>
      <w:t>&lt;/NoPE&gt;</w:t>
    </w:r>
    <w:r>
      <w:rPr>
        <w:rStyle w:val="HideTWBExt"/>
      </w:rPr>
      <w:t>&lt;Version&gt;</w:t>
    </w:r>
    <w:r>
      <w:t>v01-00</w:t>
    </w:r>
    <w:r>
      <w:rPr>
        <w:rStyle w:val="HideTWBExt"/>
      </w:rPr>
      <w:t>&lt;/Version&gt;</w:t>
    </w:r>
  </w:p>
  <w:p>
    <w:pPr>
      <w:pStyle w:val="EPFooter2"/>
    </w:pPr>
    <w:r>
      <w:t>FI</w:t>
    </w:r>
    <w:r>
      <w:tab/>
    </w:r>
    <w:r>
      <w:rPr>
        <w:rStyle w:val="EPFooter2Motto"/>
      </w:rPr>
      <w:t>Moninaisuudessaan yhtenäinen</w:t>
    </w:r>
    <w:r>
      <w:tab/>
    </w:r>
    <w:r>
      <w:t>FI</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123</Pages>
  <Words>17175</Words>
  <Characters>147371</Characters>
  <Application>Microsoft Office Word</Application>
  <DocSecurity>0</DocSecurity>
  <Lines>1</Lines>
  <Paragraphs>2051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1316349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159319</vt:lpwstr>
  </property>
  <property fmtid="{D5CDD505-2E9C-101B-9397-08002B2CF9AE}" pid="7" name="dmxml.render.traceId">
    <vt:lpwstr>67f395bf434b8668529174226d8e8c99</vt:lpwstr>
  </property>
  <property fmtid="{D5CDD505-2E9C-101B-9397-08002B2CF9AE}" pid="8" name="FooterPath">
    <vt:lpwstr>AM\1316349FI.docx</vt:lpwstr>
  </property>
  <property fmtid="{D5CDD505-2E9C-101B-9397-08002B2CF9AE}" pid="9" name="PE Number">
    <vt:lpwstr>770.101</vt:lpwstr>
  </property>
  <property fmtid="{D5CDD505-2E9C-101B-9397-08002B2CF9AE}" pid="10" name="UID">
    <vt:lpwstr>eu.europa.europarl-DIN1-2025-0000061388_01.00-fi-01.00_text-xml</vt:lpwstr>
  </property>
</Properties>
</file>