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Eiropas Parlaments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Ārlietu komiteja</w:t>
      </w:r>
      <w:r>
        <w:rPr>
          <w:rStyle w:val="HideTWBExt"/>
        </w:rPr>
        <w:t>&lt;/Commission&gt;</w:t>
      </w:r>
    </w:p>
    <w:p>
      <w:pPr>
        <w:pStyle w:val="LineBottom"/>
      </w:pPr>
      <w:r>
        <w:t xml:space="preserve"> </w:t>
      </w:r>
    </w:p>
    <w:p>
      <w:pPr>
        <w:pStyle w:val="CoverReference"/>
      </w:pPr>
      <w:r>
        <w:rPr>
          <w:rStyle w:val="HideTWBExt"/>
        </w:rPr>
        <w:t>&lt;RefProc&gt;</w:t>
      </w:r>
      <w:r>
        <w:t>2025/2017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{25/03/2025}</w:t>
      </w:r>
      <w:r>
        <w:t>25.3.2025</w:t>
      </w:r>
      <w:r>
        <w:rPr>
          <w:rStyle w:val="HideTWBExt"/>
        </w:rPr>
        <w:t>&lt;/Date&gt;</w:t>
      </w:r>
    </w:p>
    <w:p>
      <w:pPr>
        <w:pStyle w:val="CoverDocType"/>
      </w:pPr>
      <w:r>
        <w:rPr>
          <w:rStyle w:val="HideTWBExt"/>
        </w:rPr>
        <w:t>&lt;TypeAM&gt;</w:t>
      </w:r>
      <w:r>
        <w:t>GROZĪJUMI Nr.</w:t>
      </w:r>
      <w:r>
        <w:rPr>
          <w:rStyle w:val="HideTWBExt"/>
        </w:rPr>
        <w:t>&lt;/TypeAM&gt;</w:t>
      </w:r>
    </w:p>
    <w:p>
      <w:pPr>
        <w:pStyle w:val="CoverDocType24a"/>
      </w:pPr>
      <w:r>
        <w:rPr>
          <w:rStyle w:val="HideTWBExt"/>
        </w:rPr>
        <w:t>&lt;RangeAM&gt;</w:t>
      </w:r>
      <w:r>
        <w:t>1</w:t>
      </w:r>
      <w:r>
        <w:t xml:space="preserve"> - </w:t>
      </w:r>
      <w:r>
        <w:t>236</w:t>
      </w:r>
      <w:r>
        <w:rPr>
          <w:rStyle w:val="HideTWBExt"/>
        </w:rPr>
        <w:t>&lt;/RangeAM&gt;</w:t>
      </w:r>
    </w:p>
    <w:p>
      <w:pPr>
        <w:pStyle w:val="CoverBold"/>
      </w:pPr>
      <w:r>
        <w:rPr>
          <w:rStyle w:val="HideTWBExt"/>
        </w:rPr>
        <w:t>&lt;TitreType&gt;</w:t>
      </w:r>
      <w:r>
        <w:t>Ziņojuma projekts</w:t>
      </w:r>
      <w:r>
        <w:rPr>
          <w:rStyle w:val="HideTWBExt"/>
        </w:rPr>
        <w:t>&lt;/TitreType&gt;</w:t>
      </w:r>
    </w:p>
    <w:p>
      <w:pPr>
        <w:pStyle w:val="CoverBold"/>
      </w:pPr>
      <w:r>
        <w:rPr>
          <w:rStyle w:val="HideTWBExt"/>
        </w:rPr>
        <w:t>&lt;Rapporteur&gt;</w:t>
      </w:r>
      <w:r>
        <w:t>Andreas Schieder</w:t>
      </w:r>
      <w:r>
        <w:rPr>
          <w:rStyle w:val="HideTWBExt"/>
        </w:rPr>
        <w:t>&lt;/Rapporteur&gt;</w:t>
      </w:r>
    </w:p>
    <w:p>
      <w:pPr>
        <w:pStyle w:val="CoverNormal24a"/>
      </w:pPr>
      <w:r>
        <w:rPr>
          <w:rStyle w:val="HideTWBExt"/>
        </w:rPr>
        <w:t>&lt;DocRefPE&gt;</w:t>
      </w:r>
      <w:r>
        <w:t>(PE769.914v01-00)</w:t>
      </w:r>
      <w:r>
        <w:rPr>
          <w:rStyle w:val="HideTWBExt"/>
        </w:rPr>
        <w:t>&lt;/DocRefPE&gt;</w:t>
      </w:r>
    </w:p>
    <w:p>
      <w:pPr>
        <w:pStyle w:val="CoverNormal"/>
      </w:pPr>
      <w:r>
        <w:rPr>
          <w:rStyle w:val="HideTWBExt"/>
        </w:rPr>
        <w:t>&lt;Titre&gt;</w:t>
      </w:r>
      <w:r>
        <w:t>Komisijas 2023. un 2024. gada ziņojumi par Albāniju</w:t>
      </w:r>
      <w:r>
        <w:rPr>
          <w:rStyle w:val="HideTWBExt"/>
        </w:rPr>
        <w:t>&lt;/Titre&gt;</w:t>
      </w:r>
    </w:p>
    <w:p>
      <w:pPr>
        <w:pStyle w:val="CoverNormal24a"/>
      </w:pPr>
      <w:r>
        <w:rPr>
          <w:rStyle w:val="HideTWBExt"/>
        </w:rPr>
        <w:t>&lt;DocRef&gt;</w:t>
      </w:r>
      <w:r>
        <w:t>(2025/2017(INI))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Grozījums Nr.</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Pasaules Ekonomikas foruma 2024. gada ziņojumu par dzimumu nevienlīdzību pasaulē,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12.b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organizācijas “Reportieri bez robežām” sagatavoto 2024. gada pasaules preses brīvības indeksu,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12.c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organizācijas Transparency International 2024. gada korupcijas uztveres indeksu,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ES un Rietumbalkānu 2018. gada 17. maija samitā pieņemto Sofijas deklarāciju un tai pievienoto Sofijas prioritāšu programmu,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15.b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ES un Rietumbalkānu samitu, kas notika Zagrebā 2020. gada 6. maijā, un tā deklarāciju,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15.c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Eiropas Drošības un sadarbības organizācijas (EDSO) Demokrātisko iestāžu un cilvēktiesību biroja (ODIHR) vēlēšanu novērošanas misijas 2021. gada 26. jūlija galīgo ziņojumu par Albānijas Republikas parlamenta vēlēšanām 2021. gada 25. aprīlī,</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Hermann Tertsch, 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patvēruma nolīgumu, ko Albānijas un Itālijas valdības parakstīja 2023. gada 6. novembrī un Albānijas parlaments ratificēja 2024. gada 22. februārī,</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Eiropola 2023. gada ziņojumu par vislielāko apdraudējumu radošo ES noziedzīgo tīklu atšifrēšanu,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Hermann Tertsch, 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tā kā paplašināšanās </w:t>
            </w:r>
            <w:r>
              <w:rPr>
                <w:b/>
                <w:i/>
              </w:rPr>
              <w:t>ir visefektīvākais</w:t>
            </w:r>
            <w:r>
              <w:t xml:space="preserve"> ES ārpolitikas instruments un ģeostratēģisks ieguldījums ilgstošā mierā, stabilitātē un labklājībā visā kontinentā;</w:t>
            </w:r>
          </w:p>
        </w:tc>
        <w:tc>
          <w:tcPr>
            <w:tcW w:w="4876" w:type="dxa"/>
            <w:tcBorders>
              <w:top w:val="nil"/>
              <w:left w:val="nil"/>
              <w:bottom w:val="nil"/>
              <w:right w:val="nil"/>
            </w:tcBorders>
          </w:tcPr>
          <w:p>
            <w:pPr>
              <w:pStyle w:val="Normal6a"/>
            </w:pPr>
            <w:r>
              <w:t>A.</w:t>
            </w:r>
            <w:r>
              <w:tab/>
            </w:r>
            <w:r>
              <w:t xml:space="preserve">tā kā paplašināšanās </w:t>
            </w:r>
            <w:r>
              <w:rPr>
                <w:b/>
                <w:i/>
              </w:rPr>
              <w:t>tiek izmantota kā</w:t>
            </w:r>
            <w:r>
              <w:t xml:space="preserve"> ES ārpolitikas instruments un ģeostratēģisks ieguldījums ilgstošā mierā, stabilitātē un labklājībā visā kontinentā; </w:t>
            </w:r>
            <w:r>
              <w:rPr>
                <w:b/>
                <w:i/>
              </w:rPr>
              <w:t>tā kā paplašināšanās nozīmē palielinātus riskus un izaicinājumus ES darbībai, kas pašreizējām dalībvalstīm ir pienācīgi jāizvērtē;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tā kā paplašināšanās </w:t>
            </w:r>
            <w:r>
              <w:rPr>
                <w:b/>
                <w:i/>
              </w:rPr>
              <w:t>ir visefektīvākais ES ārpolitikas instruments un ģeostratēģisks ieguldījums ilgstošā mierā, stabilitātē un labklājībā visā kontinentā</w:t>
            </w:r>
            <w:r>
              <w:t>;</w:t>
            </w:r>
          </w:p>
        </w:tc>
        <w:tc>
          <w:tcPr>
            <w:tcW w:w="4876" w:type="dxa"/>
            <w:tcBorders>
              <w:top w:val="nil"/>
              <w:left w:val="nil"/>
              <w:bottom w:val="nil"/>
              <w:right w:val="nil"/>
            </w:tcBorders>
          </w:tcPr>
          <w:p>
            <w:pPr>
              <w:pStyle w:val="Normal6a"/>
            </w:pPr>
            <w:r>
              <w:t>A.</w:t>
            </w:r>
            <w:r>
              <w:tab/>
            </w:r>
            <w:r>
              <w:t xml:space="preserve">tā kā paplašināšanās </w:t>
            </w:r>
            <w:r>
              <w:rPr>
                <w:b/>
                <w:i/>
              </w:rPr>
              <w:t>vairs nav pilnībā saistīta ar Kopenhāgenas kritērijos noteikto ekonomiskās stingrības vai politiskās stabilitātes kritēriju izpildi;</w:t>
            </w:r>
            <w:r>
              <w:t xml:space="preserve"> </w:t>
            </w:r>
            <w:r>
              <w:rPr>
                <w:b/>
                <w:i/>
              </w:rPr>
              <w:t>tā kā Kopenhāgenas kritēriji ir būtiski svarīgi Savienības un tās iedzīvotāju vērtību, stabilitātes un drošības aizsardzībai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tā kā paplašināšanās </w:t>
            </w:r>
            <w:r>
              <w:rPr>
                <w:b/>
                <w:i/>
              </w:rPr>
              <w:t>ir visefektīvākais</w:t>
            </w:r>
            <w:r>
              <w:t xml:space="preserve"> ES ārpolitikas instruments un </w:t>
            </w:r>
            <w:r>
              <w:rPr>
                <w:b/>
                <w:i/>
              </w:rPr>
              <w:t>ģeostratēģisks ieguldījums</w:t>
            </w:r>
            <w:r>
              <w:t xml:space="preserve"> ilgstošā mierā, stabilitātē un labklājībā visā kontinentā;</w:t>
            </w:r>
          </w:p>
        </w:tc>
        <w:tc>
          <w:tcPr>
            <w:tcW w:w="4876" w:type="dxa"/>
            <w:tcBorders>
              <w:top w:val="nil"/>
              <w:left w:val="nil"/>
              <w:bottom w:val="nil"/>
              <w:right w:val="nil"/>
            </w:tcBorders>
          </w:tcPr>
          <w:p>
            <w:pPr>
              <w:pStyle w:val="Normal6a"/>
            </w:pPr>
            <w:r>
              <w:t>A.</w:t>
            </w:r>
            <w:r>
              <w:tab/>
            </w:r>
            <w:r>
              <w:t xml:space="preserve">tā kā </w:t>
            </w:r>
            <w:r>
              <w:rPr>
                <w:b/>
                <w:i/>
              </w:rPr>
              <w:t>sadarbība, nevis tikai</w:t>
            </w:r>
            <w:r>
              <w:t xml:space="preserve"> paplašināšanās</w:t>
            </w:r>
            <w:r>
              <w:rPr>
                <w:b/>
                <w:i/>
              </w:rPr>
              <w:t>, būtu jāuzskata par visreālistiskāko un visefektīvāko</w:t>
            </w:r>
            <w:r>
              <w:t xml:space="preserve"> ES ārpolitikas instruments un </w:t>
            </w:r>
            <w:r>
              <w:rPr>
                <w:b/>
                <w:i/>
              </w:rPr>
              <w:t>ģeostratēģisko ieguldījumu</w:t>
            </w:r>
            <w:r>
              <w:t xml:space="preserve"> ilgstošā mierā, stabilitātē un labklājībā visā kontinentā;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tā kā paplašināšanās </w:t>
            </w:r>
            <w:r>
              <w:rPr>
                <w:b/>
                <w:i/>
              </w:rPr>
              <w:t>ir visefektīvākais</w:t>
            </w:r>
            <w:r>
              <w:t xml:space="preserve"> ES ārpolitikas </w:t>
            </w:r>
            <w:r>
              <w:rPr>
                <w:b/>
                <w:i/>
              </w:rPr>
              <w:t>instruments</w:t>
            </w:r>
            <w:r>
              <w:t xml:space="preserve"> un ģeostratēģisks ieguldījums ilgstošā mierā, stabilitātē un labklājībā visā kontinentā;</w:t>
            </w:r>
          </w:p>
        </w:tc>
        <w:tc>
          <w:tcPr>
            <w:tcW w:w="4876" w:type="dxa"/>
            <w:tcBorders>
              <w:top w:val="nil"/>
              <w:left w:val="nil"/>
              <w:bottom w:val="nil"/>
              <w:right w:val="nil"/>
            </w:tcBorders>
          </w:tcPr>
          <w:p>
            <w:pPr>
              <w:pStyle w:val="Normal6a"/>
            </w:pPr>
            <w:r>
              <w:t>A.</w:t>
            </w:r>
            <w:r>
              <w:tab/>
            </w:r>
            <w:r>
              <w:t>tā kā paplašināšanās</w:t>
            </w:r>
            <w:r>
              <w:rPr>
                <w:b/>
                <w:i/>
              </w:rPr>
              <w:t>, ja to īsteno saprātīgi, ir viens no visefektīvākajiem</w:t>
            </w:r>
            <w:r>
              <w:t xml:space="preserve"> ES ārpolitikas </w:t>
            </w:r>
            <w:r>
              <w:rPr>
                <w:b/>
                <w:i/>
              </w:rPr>
              <w:t>instrumentiem</w:t>
            </w:r>
            <w:r>
              <w:t xml:space="preserve"> un ģeostratēģisks ieguldījums ilgstošā mierā, stabilitātē un labklājībā visā kontinentā;</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tā kā ES joprojām ir Rietumbalkānu valstu galvenā politiskā un ekonomiskā partnere;</w:t>
            </w:r>
            <w:r>
              <w:t xml:space="preserve"> </w:t>
            </w:r>
            <w:r>
              <w:rPr>
                <w:b/>
                <w:i/>
              </w:rPr>
              <w:t>tā kā ES joprojām ir Albānijas lielākā tirdzniecības un ieguldījumu partnere un lielākā finansiālās palīdzības sniedzēja;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tā kā paplašināšanās ir uz nopelniem balstīts process, kura pamatā ir demokrātija, tiesiskums un pamattiesības;</w:t>
            </w:r>
          </w:p>
        </w:tc>
        <w:tc>
          <w:tcPr>
            <w:tcW w:w="4876" w:type="dxa"/>
            <w:tcBorders>
              <w:top w:val="nil"/>
              <w:left w:val="nil"/>
              <w:bottom w:val="nil"/>
              <w:right w:val="nil"/>
            </w:tcBorders>
          </w:tcPr>
          <w:p>
            <w:pPr>
              <w:pStyle w:val="Normal6a"/>
            </w:pPr>
            <w:r>
              <w:t>B.</w:t>
            </w:r>
            <w:r>
              <w:tab/>
            </w:r>
            <w:r>
              <w:t xml:space="preserve">tā kā paplašināšanās ir uz nopelniem balstīts process, kura pamatā ir demokrātija, tiesiskums un pamattiesības; </w:t>
            </w:r>
            <w:r>
              <w:rPr>
                <w:b/>
                <w:i/>
              </w:rPr>
              <w:t>tā kā Albānijas pievienošanās ES ir atkarīga no noturīgām, padziļinātām un neatgriezeniskām reformām pamatjomās, sākot ar tiesiskumu un demokrātijas institūciju darbību;</w:t>
            </w:r>
            <w:r>
              <w:t xml:space="preserve"> </w:t>
            </w:r>
            <w:r>
              <w:rPr>
                <w:b/>
                <w:i/>
              </w:rPr>
              <w:t>tā kā pievienošanās grafikam jābūt atkarīgam no valstī nepieciešamo reformu kvalitātes;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tā kā paplašināšanās ir uz nopelniem balstīts process, kura pamatā ir demokrātija, tiesiskums </w:t>
            </w:r>
            <w:r>
              <w:rPr>
                <w:b/>
                <w:i/>
              </w:rPr>
              <w:t>un pamattiesības</w:t>
            </w:r>
            <w:r>
              <w:t>;</w:t>
            </w:r>
          </w:p>
        </w:tc>
        <w:tc>
          <w:tcPr>
            <w:tcW w:w="4876" w:type="dxa"/>
            <w:tcBorders>
              <w:top w:val="nil"/>
              <w:left w:val="nil"/>
              <w:bottom w:val="nil"/>
              <w:right w:val="nil"/>
            </w:tcBorders>
          </w:tcPr>
          <w:p>
            <w:pPr>
              <w:pStyle w:val="Normal6a"/>
            </w:pPr>
            <w:r>
              <w:t>B.</w:t>
            </w:r>
            <w:r>
              <w:tab/>
            </w:r>
            <w:r>
              <w:t>tā kā paplašināšanās ir uz nopelniem balstīts process, kura pamatā ir demokrātija, tiesiskums</w:t>
            </w:r>
            <w:r>
              <w:rPr>
                <w:b/>
                <w:i/>
              </w:rPr>
              <w:t>, pamattiesības un ekonomiskā gatavība dalībai ES</w:t>
            </w:r>
            <w:r>
              <w:t xml:space="preserve">; </w:t>
            </w:r>
            <w:r>
              <w:rPr>
                <w:b/>
                <w:i/>
              </w:rPr>
              <w:t>kandidātvalstīm ir jādemonstrē, ka tām ir stabilas demokrātiskas institūcijas, un jāievēro pamatvērtības, kā arī tām ir jābūt funkcionējošai tirgus ekonomikai un jāspēj izturēt konkurences spiedienu ES iekšējā tirgū.</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tā kā paplašināšanās ir uz nopelniem balstīts process, kura pamatā ir demokrātija, tiesiskums un pamattiesības;</w:t>
            </w:r>
          </w:p>
        </w:tc>
        <w:tc>
          <w:tcPr>
            <w:tcW w:w="4876" w:type="dxa"/>
            <w:tcBorders>
              <w:top w:val="nil"/>
              <w:left w:val="nil"/>
              <w:bottom w:val="nil"/>
              <w:right w:val="nil"/>
            </w:tcBorders>
          </w:tcPr>
          <w:p>
            <w:pPr>
              <w:pStyle w:val="Normal6a"/>
            </w:pPr>
            <w:r>
              <w:t>B.</w:t>
            </w:r>
            <w:r>
              <w:tab/>
            </w:r>
            <w:r>
              <w:t>tā kā paplašināšanās ir uz nopelniem balstīts process, kura pamatā ir demokrātija, tiesiskums un pamattiesības</w:t>
            </w:r>
            <w:r>
              <w:rPr>
                <w:b/>
                <w:i/>
              </w:rPr>
              <w:t>, un ārvalstu iejaukšanās tiešā veidā apgrūtina demokrātisko iestāžu darbību, tādējādi mazinot izredzes pievienoties 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tā kā paplašināšanās ir uz nopelniem balstīts process, kura pamatā ir demokrātija, tiesiskums un pamattiesības;</w:t>
            </w:r>
          </w:p>
        </w:tc>
        <w:tc>
          <w:tcPr>
            <w:tcW w:w="4876" w:type="dxa"/>
            <w:tcBorders>
              <w:top w:val="nil"/>
              <w:left w:val="nil"/>
              <w:bottom w:val="nil"/>
              <w:right w:val="nil"/>
            </w:tcBorders>
          </w:tcPr>
          <w:p>
            <w:pPr>
              <w:pStyle w:val="Normal6a"/>
            </w:pPr>
            <w:r>
              <w:t>B.</w:t>
            </w:r>
            <w:r>
              <w:tab/>
            </w:r>
            <w:r>
              <w:t xml:space="preserve">tā kā paplašināšanās ir uz nopelniem balstīts process, kura pamatā ir demokrātija, tiesiskums un pamattiesības; </w:t>
            </w:r>
            <w:r>
              <w:rPr>
                <w:b/>
                <w:i/>
              </w:rPr>
              <w:t>tā kā Rietumbalkānu valstis joprojām ir tālu no šo kritēriju izpildes;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tā kā, cenzdamies nepieļaut balsošanu par 2024. gada budžetu, Albānijas parlamenta deputāti 2024. gada 20. novembrī mēģināja Albānijas parlamenta plenārsēžu zāles vidū detonēt dūmu bumbas un sakurt ugunskurus;</w:t>
            </w:r>
            <w:r>
              <w:t xml:space="preserve"> </w:t>
            </w:r>
            <w:r>
              <w:rPr>
                <w:b/>
                <w:i/>
              </w:rPr>
              <w:t>tā kā šis notikums apliecina nepārprotamo šīs valsts politisko nestabilitāti, kas rada nopietnas bažas par Albānijas progresu pievienošanās ES procesā un tās spēju izpildīt nepieciešamos politiskos un institucionālos kritērijus;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tā kā Albānija kopš 2014. gada ir ES kandidātvalsts, nesenie politiskie notikumi ir rada bažas par varas koncentrāciju premjerministra Rama rokās, par represijām pret opozīcijas līderiem un aktīvistiem un par tiesas procesu politizāciju, kas padara tos par politisku ieroci un apdraud demokrātisko procesu un konstitucionālo parlamentāro sistēmu, kuras pamatā ir līdzsvara un atsvara princips;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tā kā saskaņā ar Eiropola 2023. gada ziņojumu par ES visvairāk apdraudošajiem noziedzīgajiem tīkliem</w:t>
            </w:r>
            <w:r>
              <w:rPr>
                <w:b/>
                <w:i/>
                <w:vertAlign w:val="superscript"/>
              </w:rPr>
              <w:t>1a</w:t>
            </w:r>
            <w:r>
              <w:t xml:space="preserve"> </w:t>
            </w:r>
            <w:r>
              <w:rPr>
                <w:b/>
                <w:i/>
              </w:rPr>
              <w:t>Albānija ir atzīta par nozīmīgu dalībnieci dažos no noziedzīgajiem tīkliem, kas rada vislielākos draudus Eiropas Savienībai;</w:t>
            </w:r>
            <w:r>
              <w:t xml:space="preserve"> </w:t>
            </w:r>
            <w:r>
              <w:rPr>
                <w:b/>
                <w:i/>
              </w:rPr>
              <w:t>tā kā šajā ziņojumā īpaši norādīts, ka Albānijas noziedzīgie grupējumi ļoti aktīvi nodarbojas ar narkotiku tirdzniecību, cilvēku tirdzniecību, nelikumīgi iegūtu līdzekļu legalizāciju un šaujamieroču nelikumīgu tirdzniecību;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https://www.europol.europa.eu/cms/sites/default/files/documents/Europol%20report%20on%20Decoding%20the%20EU-s%20most%20threatening%20criminal%20networks.pdf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ņemot vērā ANO Jūras tiesību konvenciju (UNCLOS),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tā kā Albānijas noziedzīgie tīkli ir cieši iesaistīti ieroču, tostarp šaujamieroču un sprāgstvielu, tirdzniecībā pa Balkānu maršrutu uz ES</w:t>
            </w:r>
            <w:r>
              <w:rPr>
                <w:b/>
                <w:i/>
                <w:vertAlign w:val="superscript"/>
              </w:rPr>
              <w:t>1a</w:t>
            </w:r>
            <w:r>
              <w:rPr>
                <w:b/>
                <w:i/>
              </w:rPr>
              <w:t>;</w:t>
            </w:r>
            <w:r>
              <w:t xml:space="preserve"> </w:t>
            </w:r>
            <w:r>
              <w:rPr>
                <w:b/>
                <w:i/>
              </w:rPr>
              <w:t>tā kā Albānijas vēsturiskā loma ieroču kontrabandā, jo īpaši pēc valsts ieroču krājumu izlaupīšanas 20. gadsimta 90. gados, turpina ietekmēt Eiropas ieroču tirdzniecību;</w:t>
            </w:r>
            <w:r>
              <w:t xml:space="preserve"> </w:t>
            </w:r>
            <w:r>
              <w:rPr>
                <w:b/>
                <w:i/>
              </w:rPr>
              <w:t>tā kā Eiropols ziņo, ka Rietumbalkāni joprojām ir kritiski svarīgs tranzīta punkts Rietumeiropā nelegāli ievestajiem ieročiem</w:t>
            </w:r>
            <w:r>
              <w:rPr>
                <w:b/>
                <w:i/>
                <w:vertAlign w:val="superscript"/>
              </w:rPr>
              <w:t>1b</w:t>
            </w:r>
            <w:r>
              <w:rPr>
                <w:b/>
                <w:i/>
              </w:rPr>
              <w:t>;</w:t>
            </w:r>
            <w:r>
              <w:t xml:space="preserve"> </w:t>
            </w:r>
            <w:r>
              <w:rPr>
                <w:b/>
                <w:i/>
              </w:rPr>
              <w:t>tā kā šīs kontrabandistu darbības saasina bažas par ES drošību;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https://www.europol.europa.eu/cms/sites/default/files/documents/Europol%20report%20on%20Decoding%20the%20EU-s%20most%20threatening%20criminal%20networks.pdf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https://www.europol.europa.eu/cms/sites/default/files/documents/EU-SOCTA-2025.pdf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tā kā Albānija ir nozīmīgs marihuānas ražotājs Eiropā un aplēses liecina, ka liela daļa Eiropā patērētās marihuānas ir audzēta Albānijā;</w:t>
            </w:r>
            <w:r>
              <w:t xml:space="preserve"> </w:t>
            </w:r>
            <w:r>
              <w:rPr>
                <w:b/>
                <w:i/>
              </w:rPr>
              <w:t>tā kā Balkānu maršruts ir galvenais kontrabandas ceļš, pa kuru heroīns no Afganistānas caur Albāniju nonāk Rietumeiropā;</w:t>
            </w:r>
            <w:r>
              <w:t xml:space="preserve"> </w:t>
            </w:r>
            <w:r>
              <w:rPr>
                <w:b/>
                <w:i/>
              </w:rPr>
              <w:t>tā kā Albānijas noziedzīgie tīkli ir cieši iesaistīti heroīna kontrabandā un Albānija ir izšķirošais punkts heroīna ievešanai Eiropas Savienībā;</w:t>
            </w:r>
            <w:r>
              <w:t xml:space="preserve"> </w:t>
            </w:r>
            <w:r>
              <w:rPr>
                <w:b/>
                <w:i/>
              </w:rPr>
              <w:t>tā kā Albānijas valstspiederīgie ir viena no visvairāk pārstāvētajām valstspiederīgo grupām marihuānas un kokaīna tīklos Eiropā</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https://www.europol.europa.eu/cms/sites/default/files/documents/Europol%20report%20on%20Decoding%20the%20EU-s%20most%20threatening%20criminal%20networks.pdf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tā kā Albānija sāka sarunas par 1. kopu “Pamatjautājumi” 2024. gada 15. oktobrī un par 6. kopu “Ārējās attiecības” 2024. gada 17. decembrī;</w:t>
            </w:r>
          </w:p>
        </w:tc>
        <w:tc>
          <w:tcPr>
            <w:tcW w:w="4876" w:type="dxa"/>
            <w:tcBorders>
              <w:top w:val="nil"/>
              <w:left w:val="nil"/>
              <w:bottom w:val="nil"/>
              <w:right w:val="nil"/>
            </w:tcBorders>
          </w:tcPr>
          <w:p>
            <w:pPr>
              <w:pStyle w:val="Normal6a"/>
            </w:pPr>
            <w:r>
              <w:t>D.</w:t>
            </w:r>
            <w:r>
              <w:tab/>
            </w:r>
            <w:r>
              <w:t xml:space="preserve">tā kā Albānija sāka sarunas par 1. kopu “Pamatjautājumi” 2024. gada 15. oktobrī un par 6. kopu “Ārējās attiecības” 2024. gada 17. decembrī </w:t>
            </w:r>
            <w:r>
              <w:rPr>
                <w:b/>
                <w:i/>
              </w:rPr>
              <w:t>un, lai turpinātu virzību uz dalību ES, tai ir jānovērš kritiski trūkumi tādās jomās kā ļaunprātīga ārvalstu iejaukšanās, vēlēšanu integritāte un hibrīddraudi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tā kā Albānija ir uzticama ārpolitikas partnere un ir pilnībā pieskaņojusies ES kopējai ārpolitikai un drošības politikai,</w:t>
            </w:r>
          </w:p>
        </w:tc>
        <w:tc>
          <w:tcPr>
            <w:tcW w:w="4876" w:type="dxa"/>
            <w:tcBorders>
              <w:top w:val="nil"/>
              <w:left w:val="nil"/>
              <w:bottom w:val="nil"/>
              <w:right w:val="nil"/>
            </w:tcBorders>
          </w:tcPr>
          <w:p>
            <w:pPr>
              <w:pStyle w:val="Normal6a"/>
            </w:pPr>
            <w:r>
              <w:t>E.</w:t>
            </w:r>
            <w:r>
              <w:tab/>
            </w:r>
            <w:r>
              <w:t xml:space="preserve">tā kā Albānija ir uzticama ārpolitikas partnere un ir pilnībā pieskaņojusies ES kopējai ārpolitikai un drošības politikai, </w:t>
            </w:r>
            <w:r>
              <w:rPr>
                <w:b/>
                <w:i/>
              </w:rPr>
              <w:t>tā kā ārpolitikas saskaņošana ar ES nav vienīgā ieskicētā pievienošanās prasība;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tā kā </w:t>
            </w:r>
            <w:r>
              <w:rPr>
                <w:b/>
                <w:i/>
              </w:rPr>
              <w:t>Albānija ir uzticama ārpolitikas partnere un ir pilnībā pieskaņojusies ES kopējai ārpolitikai</w:t>
            </w:r>
            <w:r>
              <w:t xml:space="preserve"> un drošības </w:t>
            </w:r>
            <w:r>
              <w:rPr>
                <w:b/>
                <w:i/>
              </w:rPr>
              <w:t>politikai,</w:t>
            </w:r>
          </w:p>
        </w:tc>
        <w:tc>
          <w:tcPr>
            <w:tcW w:w="4876" w:type="dxa"/>
            <w:tcBorders>
              <w:top w:val="nil"/>
              <w:left w:val="nil"/>
              <w:bottom w:val="nil"/>
              <w:right w:val="nil"/>
            </w:tcBorders>
          </w:tcPr>
          <w:p>
            <w:pPr>
              <w:pStyle w:val="Normal6a"/>
            </w:pPr>
            <w:r>
              <w:t>E.</w:t>
            </w:r>
            <w:r>
              <w:tab/>
            </w:r>
            <w:r>
              <w:t xml:space="preserve">tā kā </w:t>
            </w:r>
            <w:r>
              <w:rPr>
                <w:b/>
                <w:i/>
              </w:rPr>
              <w:t>Eiropa vēlas, lai Albānija kļūtu par uzticamu partneri ES kopējā ārpolitikā</w:t>
            </w:r>
            <w:r>
              <w:t xml:space="preserve"> un drošības </w:t>
            </w:r>
            <w:r>
              <w:rPr>
                <w:b/>
                <w:i/>
              </w:rPr>
              <w:t>politikā;</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tā kā Albānija ir bijusi Krievijas dezinformācijas kampaņu, kiberuzbrukumu un iejaukšanās vēlēšanu mērķis, kā arī apšaubāmi trešo valstu dalībnieku, piemēram, Ķīnas, investīciju galamērķis;</w:t>
            </w:r>
            <w:r>
              <w:t xml:space="preserve"> </w:t>
            </w:r>
            <w:r>
              <w:rPr>
                <w:b/>
                <w:i/>
              </w:rPr>
              <w:t>tā kā 2023. un 2024. gadā neatkarīgās izmeklēšanās tika atklātas būtiskas dezinformācijas darbības, kas vērstas pret Albāniju,proti, vairāk nekā 780 viltus ziņu no Krievijas avotiem tika pārpublicētas albāņu valodas medijos;</w:t>
            </w:r>
            <w:r>
              <w:t xml:space="preserve"> </w:t>
            </w:r>
            <w:r>
              <w:rPr>
                <w:b/>
                <w:i/>
              </w:rPr>
              <w:t>tā kā Krievijas un Irānas kiberoperācijas pret Albāniju 2022. un 2023. gadā traucēja kritiski svarīgas valdības funkcijas, ilustrējot hibrīddraudu vidi, ar ko Albānija saskaras, virzoties uz integrāciju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tā kā paplašināšanās Balkānos ir pretrunā dalībvalstu interesēm;</w:t>
            </w:r>
            <w:r>
              <w:t xml:space="preserve"> </w:t>
            </w:r>
            <w:r>
              <w:rPr>
                <w:b/>
                <w:i/>
              </w:rPr>
              <w:t>tā kā pētījums, ko 2019. gadā veica Eiropas Ārlietu padome (ECFR)</w:t>
            </w:r>
            <w:r>
              <w:rPr>
                <w:b/>
                <w:i/>
                <w:vertAlign w:val="superscript"/>
              </w:rPr>
              <w:t>1a</w:t>
            </w:r>
            <w:r>
              <w:rPr>
                <w:b/>
                <w:i/>
              </w:rPr>
              <w:t>, apstiprina, ka vairākums dalībvalstu pilsoņu nevēlas Balkānu reģiona valstu integrāciju 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https://eupinions.eu/de/blog/eu-citizens-remain-against-further-enlargement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Andrey Kovatchev, Michael Gahler, Matej Tonin,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tā kā Albānijā vēlēšanu process joprojām ir ar nepilnībām;</w:t>
            </w:r>
            <w:r>
              <w:t xml:space="preserve"> </w:t>
            </w:r>
            <w:r>
              <w:rPr>
                <w:b/>
                <w:i/>
              </w:rPr>
              <w:t>tā kā vēl nav pilnībā īstenoti EDSO/ODIHR ieteikumi turpināt uzlabot vēlēšanu norisi Albānijā un vēlēšanas pilnībā saskaņot ar EDSO saistībām un citiem starptautiskiem pienākumiem un standartiem;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Hermann Tertsch, 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tā kā 2024. gada 22. februārī Albānijas parlaments ratificēja Albānijas un Itālijas valdību 2023. gada 6. novembrī parakstīto patvēruma nolīgumu par divu migrantu centru izveidošanu Albānijā, lai pārvaldītu migrācijas plūsmas uz Itāliju;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tā kā pie nacionālajām un etniskajām minoritātēm un neaizsargātām grupām piederīgu cilvēku aizsardzība un iekļaušana ir izšķiroši svarīga valstīm, kuras vēlas pievienoties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tā kā Albānija piedalās ES KDAP misijās un operācijās, tostarp EUFOR Althea Bosnijā un Hercegovinā;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tā kā EDSO-ODIHR ir konstatējis nopietnu neaizsargātību Albānijas vēlēšanu sistēmā, jo īpaši attiecībā uz ārvalstu finansējumu, mediju īpašnieku pārredzamību un tiešsaistes politiskajām reklāmām, kas joprojām ir galvenie riski demokrātijas noturībai;</w:t>
            </w:r>
            <w:r>
              <w:t xml:space="preserve"> </w:t>
            </w:r>
            <w:r>
              <w:rPr>
                <w:b/>
                <w:i/>
              </w:rPr>
              <w:t>tā kā Albānijas iestādēm ir jānovērš šī neaizsargātība;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tā kā cīņa pret korupciju Albānijā, klanu iejaukšanās gan vietējās, gan centrālās pārvaldes iestādēs kaitīgā ietekme, nelikumīgi iegūtu līdzekļu legalizācija, organizētā noziedzība un nelegālo migrantu nelikumīga pārvešana uz Eiropas Savienības teritoriju rada būtiskas bažas par Eiropas drošību;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tā kā minoritāšu aizsardzībai ir izšķiroša nozīme valstīs, kuras tiecas kļūt par ES dalībvalstīm;</w:t>
            </w:r>
            <w:r>
              <w:t xml:space="preserve"> </w:t>
            </w:r>
            <w:r>
              <w:rPr>
                <w:b/>
                <w:i/>
              </w:rPr>
              <w:t>tā kā Albānija joprojām nav pieņēmusi tiesību aktus par nacionālo minoritāšu brīvu pašidentifikāciju un minoritāšu valodu lietošanu;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tā kā Krievijas agresijas karš pret Ukrainu izgaismo ES paplašināšanās izšķirošo nozīmi drošības un stabilitātes nodrošināšanā mūsu kontinentā;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tā kā IPA III (Pirmspievienošanās palīdzības instruments laikposmam no 2021. gada līdz 2027. gadam) nodrošina 14,2 miljardus EUR reformu un sociālekonomiskās attīstības atbalstam Rietumbalkānos un Turcijā;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tā kā ļaunprātīgas tiešas un pastarpinātas iejaukšanās un dezinformācijas mērķis ir radīt nesaskaņas, izraisīt spriedzi un vardarbību un destabilizēt visu reģionu;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atzinīgi vērtē</w:t>
            </w:r>
            <w:r>
              <w:t xml:space="preserve"> Albānijas </w:t>
            </w:r>
            <w:r>
              <w:rPr>
                <w:b/>
                <w:i/>
              </w:rPr>
              <w:t>nelokāmo</w:t>
            </w:r>
            <w:r>
              <w:t xml:space="preserve"> apņemšanos integrēties ES</w:t>
            </w:r>
            <w:r>
              <w:rPr>
                <w:b/>
                <w:i/>
              </w:rPr>
              <w:t>, kas atspoguļojas gan politisko partiju vienprātībā šai jautājumā, gan pārliecinošā iedzīvotāju atbalstā, un atzinīgi vērtē Albānijas konsekvento un pilnīgo pieskaņošanos ES kopējai ārpolitikai un drošības politikai un noteikumos balstītas starptautiskās kārtības veicināšanu</w:t>
            </w:r>
            <w:r>
              <w:t>;</w:t>
            </w:r>
          </w:p>
        </w:tc>
        <w:tc>
          <w:tcPr>
            <w:tcW w:w="4876" w:type="dxa"/>
            <w:tcBorders>
              <w:top w:val="nil"/>
              <w:left w:val="nil"/>
              <w:bottom w:val="nil"/>
              <w:right w:val="nil"/>
            </w:tcBorders>
          </w:tcPr>
          <w:p>
            <w:pPr>
              <w:pStyle w:val="Normal6a"/>
            </w:pPr>
            <w:r>
              <w:t>1.</w:t>
            </w:r>
            <w:r>
              <w:tab/>
            </w:r>
            <w:r>
              <w:rPr>
                <w:b/>
                <w:i/>
              </w:rPr>
              <w:t>norāda uz</w:t>
            </w:r>
            <w:r>
              <w:t xml:space="preserve"> Albānijas </w:t>
            </w:r>
            <w:r>
              <w:rPr>
                <w:b/>
                <w:i/>
              </w:rPr>
              <w:t>teorētisko</w:t>
            </w:r>
            <w:r>
              <w:t xml:space="preserve"> apņemšanos integrēties ES;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atzinīgi vērtē Albānijas nelokāmo apņemšanos integrēties ES, kas atspoguļojas gan politisko partiju vienprātībā šai jautājumā, gan pārliecinošā iedzīvotāju atbalstā, un atzinīgi vērtē Albānijas konsekvento un pilnīgo pieskaņošanos ES kopējai ārpolitikai un drošības politikai un noteikumos balstītas starptautiskās kārtības veicināšanu;</w:t>
            </w:r>
          </w:p>
        </w:tc>
        <w:tc>
          <w:tcPr>
            <w:tcW w:w="4876" w:type="dxa"/>
            <w:tcBorders>
              <w:top w:val="nil"/>
              <w:left w:val="nil"/>
              <w:bottom w:val="nil"/>
              <w:right w:val="nil"/>
            </w:tcBorders>
          </w:tcPr>
          <w:p>
            <w:pPr>
              <w:pStyle w:val="Normal6a"/>
            </w:pPr>
            <w:r>
              <w:t>1.</w:t>
            </w:r>
            <w:r>
              <w:tab/>
            </w:r>
            <w:r>
              <w:t>atzinīgi vērtē Albānijas nelokāmo apņemšanos integrēties ES, kas atspoguļojas gan politisko partiju vienprātībā šai jautājumā, gan pārliecinošā iedzīvotāju atbalstā, un atzinīgi vērtē Albānijas konsekvento un pilnīgo pieskaņošanos ES kopējai ārpolitikai un drošības politikai un noteikumos balstītas starptautiskās kārtības veicināšanu</w:t>
            </w:r>
            <w:r>
              <w:rPr>
                <w:b/>
                <w:i/>
              </w:rPr>
              <w:t>, tostarp tās kategorisko reakciju pret Krievijas agresijas karu Ukrainā, tai pieņemot ES ierobežojošos pasākumus pret Krieviju un Baltkrieviju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atzinīgi vērtē Albānijas nelokāmo apņemšanos integrēties ES, kas atspoguļojas gan politisko partiju vienprātībā šai jautājumā, gan pārliecinošā iedzīvotāju atbalstā, un atzinīgi vērtē Albānijas konsekvento un pilnīgo pieskaņošanos ES kopējai ārpolitikai un drošības politikai un noteikumos balstītas starptautiskās kārtības veicināšanu</w:t>
            </w:r>
            <w:r>
              <w:t>;</w:t>
            </w:r>
          </w:p>
        </w:tc>
        <w:tc>
          <w:tcPr>
            <w:tcW w:w="4876" w:type="dxa"/>
            <w:tcBorders>
              <w:top w:val="nil"/>
              <w:left w:val="nil"/>
              <w:bottom w:val="nil"/>
              <w:right w:val="nil"/>
            </w:tcBorders>
          </w:tcPr>
          <w:p>
            <w:pPr>
              <w:pStyle w:val="Normal6a"/>
            </w:pPr>
            <w:r>
              <w:t>1.</w:t>
            </w:r>
            <w:r>
              <w:tab/>
            </w:r>
            <w:r>
              <w:rPr>
                <w:b/>
                <w:i/>
              </w:rPr>
              <w:t>stingri iebilst pret turpmāku ES paplašināšanos, jo kandidātvalstis joprojām ne tuvu neatbilst Kopenhāgenas kritērijos izklāstītajiem politiskās, ekonomiskās un sociālās stabilitātes kritērijiem, kas jo īpaši sakāms par Albāniju, kuras pašreizējā politiskā nestabilitāte, tajā plaši izplatītā korupcija un nemitīgā organizētā noziedzība rada būtiskus riskus, kas varētu apdraudēt Eiropas iedzīvotāju drošību un drošumu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atzinīgi vērtē Albānijas nelokāmo apņemšanos integrēties ES, kas atspoguļojas gan politisko partiju vienprātībā šai jautājumā, gan pārliecinošā iedzīvotāju atbalstā, un atzinīgi vērtē Albānijas konsekvento un pilnīgo pieskaņošanos ES kopējai ārpolitikai un drošības politikai un noteikumos balstītas starptautiskās kārtības veicināšanu;</w:t>
            </w:r>
          </w:p>
        </w:tc>
        <w:tc>
          <w:tcPr>
            <w:tcW w:w="4876" w:type="dxa"/>
            <w:tcBorders>
              <w:top w:val="nil"/>
              <w:left w:val="nil"/>
              <w:bottom w:val="nil"/>
              <w:right w:val="nil"/>
            </w:tcBorders>
          </w:tcPr>
          <w:p>
            <w:pPr>
              <w:pStyle w:val="Normal6a"/>
            </w:pPr>
            <w:r>
              <w:t>1.</w:t>
            </w:r>
            <w:r>
              <w:tab/>
            </w:r>
            <w:r>
              <w:t>atzinīgi vērtē Albānijas nelokāmo apņemšanos integrēties ES, kas atspoguļojas gan politisko partiju vienprātībā šai jautājumā, gan pārliecinošā iedzīvotāju atbalstā, un atzinīgi vērtē Albānijas konsekvento un pilnīgo pieskaņošanos ES kopējai ārpolitikai un drošības politikai un noteikumos balstītas starptautiskās kārtības veicināšanu</w:t>
            </w:r>
            <w:r>
              <w:rPr>
                <w:b/>
                <w:i/>
              </w:rPr>
              <w:t>, tostarp tās aktīvo lomu reģionā un reģiona iniciatīvās</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atzinīgi vērtē Albānijas nelokāmo apņemšanos integrēties ES, kas atspoguļojas gan politisko partiju vienprātībā šai jautājumā, gan pārliecinošā iedzīvotāju atbalstā, un atzinīgi vērtē Albānijas konsekvento un pilnīgo pieskaņošanos ES kopējai ārpolitikai un drošības politikai un noteikumos balstītas starptautiskās kārtības veicināšanu;</w:t>
            </w:r>
          </w:p>
        </w:tc>
        <w:tc>
          <w:tcPr>
            <w:tcW w:w="4876" w:type="dxa"/>
            <w:tcBorders>
              <w:top w:val="nil"/>
              <w:left w:val="nil"/>
              <w:bottom w:val="nil"/>
              <w:right w:val="nil"/>
            </w:tcBorders>
          </w:tcPr>
          <w:p>
            <w:pPr>
              <w:pStyle w:val="Normal6a"/>
            </w:pPr>
            <w:r>
              <w:t>1.</w:t>
            </w:r>
            <w:r>
              <w:tab/>
            </w:r>
            <w:r>
              <w:t xml:space="preserve">atzinīgi vērtē Albānijas nelokāmo apņemšanos integrēties ES, kas atspoguļojas gan politisko partiju </w:t>
            </w:r>
            <w:r>
              <w:rPr>
                <w:b/>
                <w:i/>
              </w:rPr>
              <w:t>(kā pozīcijā, tā opozīcijā esošo partiju)</w:t>
            </w:r>
            <w:r>
              <w:t xml:space="preserve"> vienprātībā šai jautājumā, gan pārliecinošā iedzīvotāju atbalstā, un atzinīgi vērtē Albānijas konsekvento un pilnīgo pieskaņošanos ES kopējai ārpolitikai un drošības politikai un noteikumos balstītas starptautiskās kārtības veicināšanu;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Andrey Kovatchev, Michael Gahler, Ondřej Kolář, Matej Tonin,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atzinīgi vērtē Albānijas ieceri līdz 2027. gada beigām pabeigt pievienošanās sarunas un pēdējos gados panākto straujo progresu, jo īpaši divu sarunu sadaļu kopu atvēršanu 2024. gadā;</w:t>
            </w:r>
          </w:p>
        </w:tc>
        <w:tc>
          <w:tcPr>
            <w:tcW w:w="4876" w:type="dxa"/>
            <w:tcBorders>
              <w:top w:val="nil"/>
              <w:left w:val="nil"/>
              <w:bottom w:val="nil"/>
              <w:right w:val="nil"/>
            </w:tcBorders>
          </w:tcPr>
          <w:p>
            <w:pPr>
              <w:pStyle w:val="Normal6a"/>
            </w:pPr>
            <w:r>
              <w:t>2.</w:t>
            </w:r>
            <w:r>
              <w:tab/>
            </w:r>
            <w:r>
              <w:t xml:space="preserve">atzinīgi vērtē Albānijas ieceri līdz 2027. gada beigām pabeigt pievienošanās sarunas un pēdējos gados panākto straujo progresu, jo īpaši divu sarunu sadaļu kopu atvēršanu 2024. gadā; </w:t>
            </w:r>
            <w:r>
              <w:rPr>
                <w:b/>
                <w:i/>
              </w:rPr>
              <w:t>atgādina, ka kandidātvalstīs notiek pamatīgas pārmaiņas, lai izpildītu dalības kritērijus pievienošanās sarunu laikā, kas ilgst tik ilgi, cik nepieciešams, lai īstenotu vajadzīgās reformas;</w:t>
            </w:r>
            <w:r>
              <w:t xml:space="preserve"> </w:t>
            </w:r>
            <w:r>
              <w:rPr>
                <w:b/>
                <w:i/>
              </w:rPr>
              <w:t>uzsver, ka ir jāstiprina pievienošanās procesa pārredzamība, pārskatatbildība un iekļautība, tostarp tā parlamentārā dimensija;</w:t>
            </w:r>
            <w:r>
              <w:t xml:space="preserve"> </w:t>
            </w:r>
            <w:r>
              <w:rPr>
                <w:b/>
                <w:i/>
              </w:rPr>
              <w:t>brīdina par jebkādām darbībām, kas varētu apdraudēt līdzsvara un atsvara sistēmu;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atzinīgi vērtē</w:t>
            </w:r>
            <w:r>
              <w:t xml:space="preserve"> Albānijas ieceri līdz 2027. gada beigām pabeigt pievienošanās sarunas un pēdējos gados panākto straujo progresu, jo īpaši divu sarunu sadaļu kopu atvēršanu 2024. gadā;</w:t>
            </w:r>
          </w:p>
        </w:tc>
        <w:tc>
          <w:tcPr>
            <w:tcW w:w="4876" w:type="dxa"/>
            <w:tcBorders>
              <w:top w:val="nil"/>
              <w:left w:val="nil"/>
              <w:bottom w:val="nil"/>
              <w:right w:val="nil"/>
            </w:tcBorders>
          </w:tcPr>
          <w:p>
            <w:pPr>
              <w:pStyle w:val="Normal6a"/>
            </w:pPr>
            <w:r>
              <w:t>2.</w:t>
            </w:r>
            <w:r>
              <w:tab/>
            </w:r>
            <w:r>
              <w:rPr>
                <w:b/>
                <w:i/>
              </w:rPr>
              <w:t>pieņem zināšanai</w:t>
            </w:r>
            <w:r>
              <w:t xml:space="preserve"> Albānijas ieceri līdz 2027. gada beigām pabeigt pievienošanās sarunas un pēdējos gados panākto straujo progresu, jo īpaši divu sarunu sadaļu kopu atvēršanu 2024. gadā;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norāda, ka pievienošanās ES tempu nosaka tas, kā kandidātvalstij sokas ar pieskaņošanos ES acquis, rezultāti tā īstenošanā un visu valsts iestāžu pienācīga darbība, un tā pamatā ir tiesiskums, laba pārvaldība un pamattiesības; mudina Albāniju paātrināt reformas, lai stiprinātu tiesiskumu, apkarotu korupciju un organizēto noziedzību un nodrošinātu pamattiesību, tostarp vārda brīvības, aizsardzību;</w:t>
            </w:r>
          </w:p>
        </w:tc>
        <w:tc>
          <w:tcPr>
            <w:tcW w:w="4876" w:type="dxa"/>
            <w:tcBorders>
              <w:top w:val="nil"/>
              <w:left w:val="nil"/>
              <w:bottom w:val="nil"/>
              <w:right w:val="nil"/>
            </w:tcBorders>
          </w:tcPr>
          <w:p>
            <w:pPr>
              <w:pStyle w:val="Normal6a"/>
            </w:pPr>
            <w:r>
              <w:t>3.</w:t>
            </w:r>
            <w:r>
              <w:tab/>
            </w:r>
            <w:r>
              <w:t xml:space="preserve">norāda, ka pievienošanās ES tempu nosaka tas, kā kandidātvalstij sokas ar pieskaņošanos ES acquis, rezultāti tā īstenošanā un visu valsts iestāžu pienācīga darbība, un tā pamatā ir tiesiskums, laba pārvaldība un pamattiesības; </w:t>
            </w:r>
            <w:r>
              <w:rPr>
                <w:b/>
                <w:i/>
              </w:rPr>
              <w:t>uzsver, ka kandidātvalstīm ir jābūt funkcionējošai tirgus ekonomikai un spējai izturēt konkurences spiedienu ES iekšējā tirgū;</w:t>
            </w:r>
            <w:r>
              <w:t xml:space="preserve"> mudina Albāniju paātrināt reformas, lai stiprinātu tiesiskumu, apkarotu korupciju un organizēto noziedzību un nodrošinātu pamattiesību, tostarp vārda brīvības, aizsardzību;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norāda, ka pievienošanās ES tempu nosaka tas, kā kandidātvalstij sokas ar pieskaņošanos ES acquis, rezultāti tā īstenošanā un visu valsts iestāžu pienācīga darbība, un tā pamatā ir tiesiskums, laba pārvaldība un pamattiesības; </w:t>
            </w:r>
            <w:r>
              <w:rPr>
                <w:b/>
                <w:i/>
              </w:rPr>
              <w:t>mudina Albāniju paātrināt reformas</w:t>
            </w:r>
            <w:r>
              <w:t xml:space="preserve">, lai stiprinātu tiesiskumu, apkarotu korupciju un organizēto noziedzību un </w:t>
            </w:r>
            <w:r>
              <w:rPr>
                <w:b/>
                <w:i/>
              </w:rPr>
              <w:t>nodrošinātu pamattiesību</w:t>
            </w:r>
            <w:r>
              <w:t xml:space="preserve">, tostarp vārda </w:t>
            </w:r>
            <w:r>
              <w:rPr>
                <w:b/>
                <w:i/>
              </w:rPr>
              <w:t>brīvības, aizsardzību</w:t>
            </w:r>
            <w:r>
              <w:t>;</w:t>
            </w:r>
          </w:p>
        </w:tc>
        <w:tc>
          <w:tcPr>
            <w:tcW w:w="4876" w:type="dxa"/>
            <w:tcBorders>
              <w:top w:val="nil"/>
              <w:left w:val="nil"/>
              <w:bottom w:val="nil"/>
              <w:right w:val="nil"/>
            </w:tcBorders>
          </w:tcPr>
          <w:p>
            <w:pPr>
              <w:pStyle w:val="Normal6a"/>
            </w:pPr>
            <w:r>
              <w:t>3.</w:t>
            </w:r>
            <w:r>
              <w:tab/>
            </w:r>
            <w:r>
              <w:t xml:space="preserve">norāda, ka pievienošanās ES tempu nosaka tas, kā kandidātvalstij sokas ar pieskaņošanos ES acquis, rezultāti tā īstenošanā un visu valsts iestāžu pienācīga darbība, un tā pamatā ir tiesiskums, laba pārvaldība un pamattiesības; </w:t>
            </w:r>
            <w:r>
              <w:rPr>
                <w:b/>
                <w:i/>
              </w:rPr>
              <w:t>uzsver, ka Albānija joprojām ievērojami atpaliek tādu reformu īstenošanā, kas vajadzīgas</w:t>
            </w:r>
            <w:r>
              <w:t xml:space="preserve">, lai stiprinātu tiesiskumu, apkarotu korupciju un organizēto noziedzību un </w:t>
            </w:r>
            <w:r>
              <w:rPr>
                <w:b/>
                <w:i/>
              </w:rPr>
              <w:t>aizsargātu pamattiesības</w:t>
            </w:r>
            <w:r>
              <w:t xml:space="preserve">, tostarp vārda </w:t>
            </w:r>
            <w:r>
              <w:rPr>
                <w:b/>
                <w:i/>
              </w:rPr>
              <w:t>brīvību, un tādēļ būtu jāpārskata tās pievienošanās izredzes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norāda, ka pievienošanās ES tempu nosaka tas, kā kandidātvalstij sokas ar pieskaņošanos ES acquis, rezultāti tā īstenošanā un visu valsts iestāžu pienācīga darbība, un tā pamatā ir tiesiskums, laba pārvaldība un pamattiesības; mudina Albāniju paātrināt reformas, lai stiprinātu tiesiskumu, apkarotu korupciju un organizēto noziedzību un nodrošinātu pamattiesību, tostarp vārda brīvības, aizsardzību;</w:t>
            </w:r>
          </w:p>
        </w:tc>
        <w:tc>
          <w:tcPr>
            <w:tcW w:w="4876" w:type="dxa"/>
            <w:tcBorders>
              <w:top w:val="nil"/>
              <w:left w:val="nil"/>
              <w:bottom w:val="nil"/>
              <w:right w:val="nil"/>
            </w:tcBorders>
          </w:tcPr>
          <w:p>
            <w:pPr>
              <w:pStyle w:val="Normal6a"/>
            </w:pPr>
            <w:r>
              <w:t>3.</w:t>
            </w:r>
            <w:r>
              <w:tab/>
            </w:r>
            <w:r>
              <w:t xml:space="preserve">norāda, ka pievienošanās ES tempu nosaka tas, kā kandidātvalstij sokas ar pieskaņošanos ES acquis, rezultāti tā īstenošanā un visu valsts iestāžu pienācīga darbība, un tā pamatā ir tiesiskums, laba pārvaldība un pamattiesības; mudina Albāniju paātrināt reformas, lai stiprinātu tiesiskumu </w:t>
            </w:r>
            <w:r>
              <w:rPr>
                <w:b/>
                <w:i/>
              </w:rPr>
              <w:t>un ekonomikas izaugsmi</w:t>
            </w:r>
            <w:r>
              <w:t>, apkarotu korupciju un organizēto noziedzību</w:t>
            </w:r>
            <w:r>
              <w:rPr>
                <w:b/>
                <w:i/>
              </w:rPr>
              <w:t>, pastiprinātu robežkontroli nolūkā novērst cilvēku tirdzniecību un nelegālo imigrāciju</w:t>
            </w:r>
            <w:r>
              <w:t xml:space="preserve"> un nodrošinātu pamattiesību, tostarp vārda brīvības, aizsardzību;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Ilaria Salis, 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norāda, ka pievienošanās ES tempu nosaka tas, kā kandidātvalstij sokas ar pieskaņošanos ES acquis, rezultāti tā īstenošanā un visu valsts iestāžu pienācīga darbība, un tā pamatā ir tiesiskums, laba pārvaldība un pamattiesības; mudina Albāniju paātrināt reformas, lai stiprinātu tiesiskumu, apkarotu korupciju un organizēto noziedzību un nodrošinātu pamattiesību, tostarp vārda brīvības, aizsardzību;</w:t>
            </w:r>
          </w:p>
        </w:tc>
        <w:tc>
          <w:tcPr>
            <w:tcW w:w="4876" w:type="dxa"/>
            <w:tcBorders>
              <w:top w:val="nil"/>
              <w:left w:val="nil"/>
              <w:bottom w:val="nil"/>
              <w:right w:val="nil"/>
            </w:tcBorders>
          </w:tcPr>
          <w:p>
            <w:pPr>
              <w:pStyle w:val="Normal6a"/>
            </w:pPr>
            <w:r>
              <w:t>3.</w:t>
            </w:r>
            <w:r>
              <w:tab/>
            </w:r>
            <w:r>
              <w:t xml:space="preserve">norāda, ka pievienošanās ES tempu nosaka tas, kā kandidātvalstij sokas ar pieskaņošanos ES acquis, rezultāti tā īstenošanā un visu valsts iestāžu pienācīga darbība, un tā pamatā ir tiesiskums, laba pārvaldība un pamattiesības; mudina Albāniju paātrināt reformas, lai stiprinātu tiesiskumu, apkarotu korupciju un organizēto noziedzību un nodrošinātu pamattiesību, tostarp </w:t>
            </w:r>
            <w:r>
              <w:rPr>
                <w:b/>
                <w:i/>
              </w:rPr>
              <w:t>jo īpaši</w:t>
            </w:r>
            <w:r>
              <w:t xml:space="preserve"> vārda brīvības</w:t>
            </w:r>
            <w:r>
              <w:rPr>
                <w:b/>
                <w:i/>
              </w:rPr>
              <w:t>, informācijas brīvības un tiesību uz patvērumu</w:t>
            </w:r>
            <w:r>
              <w:t>, aizsardzību;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norāda, ka pievienošanās ES tempu nosaka tas, kā kandidātvalstij sokas ar pieskaņošanos ES acquis, rezultāti tā īstenošanā un visu valsts iestāžu pienācīga darbība, un tā pamatā ir tiesiskums, laba pārvaldība un pamattiesības; mudina Albāniju paātrināt reformas, lai stiprinātu tiesiskumu, apkarotu korupciju un organizēto noziedzību un nodrošinātu pamattiesību, tostarp vārda brīvības, aizsardzību;</w:t>
            </w:r>
          </w:p>
        </w:tc>
        <w:tc>
          <w:tcPr>
            <w:tcW w:w="4876" w:type="dxa"/>
            <w:tcBorders>
              <w:top w:val="nil"/>
              <w:left w:val="nil"/>
              <w:bottom w:val="nil"/>
              <w:right w:val="nil"/>
            </w:tcBorders>
          </w:tcPr>
          <w:p>
            <w:pPr>
              <w:pStyle w:val="Normal6a"/>
            </w:pPr>
            <w:r>
              <w:t>3.</w:t>
            </w:r>
            <w:r>
              <w:tab/>
            </w:r>
            <w:r>
              <w:t xml:space="preserve">norāda, ka pievienošanās ES tempu nosaka tas, kā kandidātvalstij sokas ar pieskaņošanos ES acquis, rezultāti tā īstenošanā un visu valsts iestāžu pienācīga darbība, un tā pamatā ir tiesiskums, laba pārvaldība un pamattiesības; mudina Albāniju paātrināt reformas, lai stiprinātu tiesiskumu, apkarotu korupciju un organizēto noziedzību un nodrošinātu pamattiesību, tostarp vārda brīvības, </w:t>
            </w:r>
            <w:r>
              <w:rPr>
                <w:b/>
                <w:i/>
              </w:rPr>
              <w:t>plurālisma un mediju neatkarības</w:t>
            </w:r>
            <w:r>
              <w:t xml:space="preserve"> aizsardzību;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norāda uz Albānijas panākto progresu valsts pārvaldes reformu īstenošanā, jo īpaši Valsts pārvaldes ministrijas izveidošanu un jaunas publisko finanšu pārvaldības stratēģijas 2023.–2030. gadam pieņemšanu;</w:t>
            </w:r>
            <w:r>
              <w:t xml:space="preserve"> </w:t>
            </w:r>
            <w:r>
              <w:rPr>
                <w:b/>
                <w:i/>
              </w:rPr>
              <w:t>uzsver, ka ir svarīgi turpināt reformas, lai padarītu pārvaldību efektīvāku un pārredzamāku un publiskā sektorā cilvēki tiktu pieņemti darbā, balstoties uz viņu nopelniem;</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pauž nopietnas bažas par pieaugošajām pazīmēm, ka opozīcijas līderi tiek politiski vajāti, tostarp par notiekošajām juridiskajām darbībām un redzamāko politisko figūru, piemēram, prof. Dr. Sali Berisha, Ilir Meta, Fatmir Mediu, Ervin Salianji un Fredi Beleri, arestēšanu;</w:t>
            </w:r>
            <w:r>
              <w:t xml:space="preserve"> </w:t>
            </w:r>
            <w:r>
              <w:rPr>
                <w:b/>
                <w:i/>
              </w:rPr>
              <w:t>uzsver, ka Albānijai pirms 2025. gada vēlēšanām ir jāsaglabā politiskais plurālisms un jānodrošina taisnīga demokrātiskā vide, kurā pastāv konkurence;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pauž nožēlu par to, ka nav izdarīts spiediens uz kompensācijām attiecībā uz daudzajiem vajāšanas un terorizēšanas gadījumiem, ar ko saskaras Ziemeļu Ēpeiras grieķu etniskā minoritāte, no kuras liela daļa ir pametusi senču mājas;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nosoda to, ka netiek darīts vispār nekas, lai panāktu taisnīgumu par ziemeļeifērieša Konstantinos Katsifas slepkavību;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norāda, ka Albānija ir Albānijas mafijas organizētās noziedzības bāze un šī organizētā noziedzība skar vairākas ES un valstis visā pasaulē;</w:t>
            </w:r>
            <w:r>
              <w:t xml:space="preserve"> </w:t>
            </w:r>
            <w:r>
              <w:rPr>
                <w:b/>
                <w:i/>
              </w:rPr>
              <w:t>uzsver, ka ir svarīgi, lai Eurojust efektīvi pretdarbotos Albānijas narkotiku tirdzniecībai, cilvēku orgānu tirdzniecībai un piespiedu prostitūcijas organizētājiem;</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Matthieu Valet,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atzinīgi vērtē</w:t>
            </w:r>
            <w:r>
              <w:t xml:space="preserve"> ES jauno reformu un izaugsmes mehānismu Rietumbalkāniem, no kura Albānija dabūs dotācijas un aizdevumus 922 miljonu EUR apmērā, </w:t>
            </w:r>
            <w:r>
              <w:rPr>
                <w:b/>
                <w:i/>
              </w:rPr>
              <w:t>ja</w:t>
            </w:r>
            <w:r>
              <w:t xml:space="preserve"> tā izpildīs nosacījumus, kas izklāstīti tās vērienīgajā reformu programmā;</w:t>
            </w:r>
          </w:p>
        </w:tc>
        <w:tc>
          <w:tcPr>
            <w:tcW w:w="4876" w:type="dxa"/>
            <w:tcBorders>
              <w:top w:val="nil"/>
              <w:left w:val="nil"/>
              <w:bottom w:val="nil"/>
              <w:right w:val="nil"/>
            </w:tcBorders>
          </w:tcPr>
          <w:p>
            <w:pPr>
              <w:pStyle w:val="Normal6a"/>
            </w:pPr>
            <w:r>
              <w:t>4.</w:t>
            </w:r>
            <w:r>
              <w:tab/>
            </w:r>
            <w:r>
              <w:rPr>
                <w:b/>
                <w:i/>
              </w:rPr>
              <w:t>uz ES iekšienē vērojamā politiskā un ekonomiskā saspīlējuma fona pauž bažas par</w:t>
            </w:r>
            <w:r>
              <w:t xml:space="preserve"> ES jauno reformu un izaugsmes mehānismu Rietumbalkāniem, no kura Albānija dabūs dotācijas un aizdevumus 922 miljonu EUR apmērā, </w:t>
            </w:r>
            <w:r>
              <w:rPr>
                <w:b/>
                <w:i/>
              </w:rPr>
              <w:t>kad</w:t>
            </w:r>
            <w:r>
              <w:t xml:space="preserve"> tā izpildīs nosacījumus, kas izklāstīti tās vērienīgajā reformu programmā; </w:t>
            </w:r>
            <w:r>
              <w:rPr>
                <w:b/>
                <w:i/>
              </w:rPr>
              <w:t>turklāt šaubās, vai Eiropas Savienībai pienāktos piešķirt finansējumu trešām valstīm laikā, kad tā pati saskaras ar ekonomisku un ģeopolitisku krīzi;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atzinīgi vērtē ES jauno</w:t>
            </w:r>
            <w:r>
              <w:t xml:space="preserve"> reformu </w:t>
            </w:r>
            <w:r>
              <w:rPr>
                <w:b/>
                <w:i/>
              </w:rPr>
              <w:t>un izaugsmes mehānismu Rietumbalkāniem, no kura Albānija dabūs dotācijas un aizdevumus 922 miljonu EUR apmērā, ja tā izpildīs nosacījumus, kas izklāstīti tās vērienīgajā reformu programmā</w:t>
            </w:r>
            <w:r>
              <w:t>;</w:t>
            </w:r>
          </w:p>
        </w:tc>
        <w:tc>
          <w:tcPr>
            <w:tcW w:w="4876" w:type="dxa"/>
            <w:tcBorders>
              <w:top w:val="nil"/>
              <w:left w:val="nil"/>
              <w:bottom w:val="nil"/>
              <w:right w:val="nil"/>
            </w:tcBorders>
          </w:tcPr>
          <w:p>
            <w:pPr>
              <w:pStyle w:val="Normal6a"/>
            </w:pPr>
            <w:r>
              <w:t>4.</w:t>
            </w:r>
            <w:r>
              <w:tab/>
            </w:r>
            <w:r>
              <w:rPr>
                <w:b/>
                <w:i/>
              </w:rPr>
              <w:t>uzsver, ka Albānijas vērienīgajā</w:t>
            </w:r>
            <w:r>
              <w:t xml:space="preserve"> reformu </w:t>
            </w:r>
            <w:r>
              <w:rPr>
                <w:b/>
                <w:i/>
              </w:rPr>
              <w:t>programmā izklāstīto nosacījumu izpildei nebūtu jānoved pie 922 miljonu EUR izmaksas tai no Rietumbalkānu reformu un izaugsmes mehānisma;</w:t>
            </w:r>
            <w:r>
              <w:t xml:space="preserve"> </w:t>
            </w:r>
            <w:r>
              <w:rPr>
                <w:b/>
                <w:i/>
              </w:rPr>
              <w:t>uzsver, ka tā vietā šie līdzekļi būtu nekavējoties jānovirza pašreizējām dalībvalstīm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Hermann Tertsch, 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atzinīgi vērtē</w:t>
            </w:r>
            <w:r>
              <w:t xml:space="preserve"> ES jauno reformu un izaugsmes mehānismu Rietumbalkāniem, no kura Albānija dabūs dotācijas un aizdevumus 922 miljonu EUR apmērā, ja tā izpildīs nosacījumus, kas izklāstīti tās vērienīgajā reformu programmā;</w:t>
            </w:r>
          </w:p>
        </w:tc>
        <w:tc>
          <w:tcPr>
            <w:tcW w:w="4876" w:type="dxa"/>
            <w:tcBorders>
              <w:top w:val="nil"/>
              <w:left w:val="nil"/>
              <w:bottom w:val="nil"/>
              <w:right w:val="nil"/>
            </w:tcBorders>
          </w:tcPr>
          <w:p>
            <w:pPr>
              <w:pStyle w:val="Normal6a"/>
            </w:pPr>
            <w:r>
              <w:t>4.</w:t>
            </w:r>
            <w:r>
              <w:tab/>
            </w:r>
            <w:r>
              <w:rPr>
                <w:b/>
                <w:i/>
              </w:rPr>
              <w:t>norāda uz</w:t>
            </w:r>
            <w:r>
              <w:t xml:space="preserve"> ES jauno reformu un izaugsmes mehānismu Rietumbalkāniem, no kura Albānija dabūs dotācijas un aizdevumus 922 miljonu EUR apmērā, ja tā izpildīs nosacījumus, kas izklāstīti tās vērienīgajā reformu programmā;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atzinīgi vērtē</w:t>
            </w:r>
            <w:r>
              <w:t xml:space="preserve"> ES jauno reformu un izaugsmes mehānismu Rietumbalkāniem, no kura Albānija dabūs dotācijas un aizdevumus 922 miljonu EUR apmērā, ja tā izpildīs nosacījumus, kas izklāstīti tās vērienīgajā reformu programmā;</w:t>
            </w:r>
          </w:p>
        </w:tc>
        <w:tc>
          <w:tcPr>
            <w:tcW w:w="4876" w:type="dxa"/>
            <w:tcBorders>
              <w:top w:val="nil"/>
              <w:left w:val="nil"/>
              <w:bottom w:val="nil"/>
              <w:right w:val="nil"/>
            </w:tcBorders>
          </w:tcPr>
          <w:p>
            <w:pPr>
              <w:pStyle w:val="Normal6a"/>
            </w:pPr>
            <w:r>
              <w:t>4.</w:t>
            </w:r>
            <w:r>
              <w:tab/>
            </w:r>
            <w:r>
              <w:rPr>
                <w:b/>
                <w:i/>
              </w:rPr>
              <w:t>norāda uz</w:t>
            </w:r>
            <w:r>
              <w:t xml:space="preserve"> ES jauno reformu un izaugsmes mehānismu Rietumbalkāniem, no kura Albānija dabūs dotācijas un aizdevumus 922 miljonu EUR apmērā, ja tā izpildīs nosacījumus, kas izklāstīti tās vērienīgajā reformu programmā;</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pieņem zināšanai</w:t>
            </w:r>
            <w:r>
              <w:t xml:space="preserve"> to, ka Albānija ir pieņēmusi savu nacionālo Eiropas integrācijas plānu 2024.–2026. gadam; </w:t>
            </w:r>
            <w:r>
              <w:rPr>
                <w:b/>
                <w:i/>
              </w:rPr>
              <w:t>aicina to darīt vairāk</w:t>
            </w:r>
            <w:r>
              <w:t xml:space="preserve">, lai palielinātu pārredzamību un iesaistītos publiskajā komunikācijā par ES </w:t>
            </w:r>
            <w:r>
              <w:rPr>
                <w:b/>
                <w:i/>
              </w:rPr>
              <w:t>integrāciju</w:t>
            </w:r>
            <w:r>
              <w:t>;</w:t>
            </w:r>
          </w:p>
        </w:tc>
        <w:tc>
          <w:tcPr>
            <w:tcW w:w="4876" w:type="dxa"/>
            <w:tcBorders>
              <w:top w:val="nil"/>
              <w:left w:val="nil"/>
              <w:bottom w:val="nil"/>
              <w:right w:val="nil"/>
            </w:tcBorders>
          </w:tcPr>
          <w:p>
            <w:pPr>
              <w:pStyle w:val="Normal6a"/>
            </w:pPr>
            <w:r>
              <w:t>5.</w:t>
            </w:r>
            <w:r>
              <w:tab/>
            </w:r>
            <w:r>
              <w:rPr>
                <w:b/>
                <w:i/>
              </w:rPr>
              <w:t>pauž gandarījumu par</w:t>
            </w:r>
            <w:r>
              <w:t xml:space="preserve"> to, ka Albānija ir pieņēmusi savu nacionālo Eiropas integrācijas plānu 2024.–2026. gadam; </w:t>
            </w:r>
            <w:r>
              <w:rPr>
                <w:b/>
                <w:i/>
              </w:rPr>
              <w:t>atzinīgi vērtē to, ka ir izveidotas par integrācijas procesu atbildīgās Albānijas struktūras; aicina pielikt lielākas pūles</w:t>
            </w:r>
            <w:r>
              <w:t xml:space="preserve">, lai palielinātu pārredzamību un iesaistītos publiskajā komunikācijā par </w:t>
            </w:r>
            <w:r>
              <w:rPr>
                <w:b/>
                <w:i/>
              </w:rPr>
              <w:t>integrāciju</w:t>
            </w:r>
            <w:r>
              <w:t xml:space="preserve">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atzīst, ka Albānijai tagad ir ciešāka sadarbība ar ES, sevišķi ar Frontex, migrācijas plūsmu un robežkontroles procesu pārvaldībā, jo īpaši saistībā ar jauno šīs valsts migrācijas stratēģiju 2024.–2026. gadam;</w:t>
            </w:r>
            <w:r>
              <w:t xml:space="preserve"> </w:t>
            </w:r>
            <w:r>
              <w:rPr>
                <w:b/>
                <w:i/>
              </w:rPr>
              <w:t>mudina Albāniju turpināt šo ceļu, nodrošinot efektīvu robežu pārvaldību un labāku koordināciju ar dalībvalstīm, lai risinātu migrācijas problēmas;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atzinīgi vērtē to, ka Albānijas Konstitucionālā tiesa ir uzlabojusi savu darba efektivitāti un samazinājusi neizskatīto lietu skaitu, kā arī turpina uzturēt institucionālo līdzsvara un atsvara sistēmu;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uzstāj, ka svarīgas ir konstruktīvas politiskas debates un sakārtota parlamentārā darbība, kas ir demokrātiskas pārvaldības galvenie aspekti; atkārtoti apstiprina, ka Albānijas politiskajiem spēkiem ir kopīgs pienākums stiprināt konstruktīvu un iekļaujošu politisko dialogu un pārvarēt politisko polarizāciju valstī; uzsver, ka ir vajadzīga efektīvāka parlamentārā uzraudzība, iestāžu darbības uzlabošana un jēgpilna pilsoniskās sabiedrības līdzdalība;</w:t>
            </w:r>
          </w:p>
        </w:tc>
        <w:tc>
          <w:tcPr>
            <w:tcW w:w="4876" w:type="dxa"/>
            <w:tcBorders>
              <w:top w:val="nil"/>
              <w:left w:val="nil"/>
              <w:bottom w:val="nil"/>
              <w:right w:val="nil"/>
            </w:tcBorders>
          </w:tcPr>
          <w:p>
            <w:pPr>
              <w:pStyle w:val="Normal6a"/>
            </w:pPr>
            <w:r>
              <w:t>6.</w:t>
            </w:r>
            <w:r>
              <w:tab/>
            </w:r>
            <w:r>
              <w:rPr>
                <w:b/>
                <w:i/>
              </w:rPr>
              <w:t>pauž bažas par to, ka saspīlējums un polarizācija starp valdošo partiju un opozīciju mazina un vājina parlamentāro darbību;</w:t>
            </w:r>
            <w:r>
              <w:t xml:space="preserve"> uzstāj, ka svarīgas ir konstruktīvas politiskas debates un sakārtota parlamentārā darbība, kas ir demokrātiskas pārvaldības galvenie aspekti; atkārtoti apstiprina, ka Albānijas politiskajiem spēkiem ir kopīgs pienākums stiprināt konstruktīvu un iekļaujošu politisko dialogu un pārvarēt politisko polarizāciju valstī</w:t>
            </w:r>
            <w:r>
              <w:rPr>
                <w:b/>
                <w:i/>
              </w:rPr>
              <w:t>;</w:t>
            </w:r>
            <w:r>
              <w:t xml:space="preserve"> </w:t>
            </w:r>
            <w:r>
              <w:rPr>
                <w:b/>
                <w:i/>
              </w:rPr>
              <w:t>aicina Albāniju īstenot ieteikumus, kas izklāstīti Eiropas Drošības un sadarbības organizācijas (EDSO)/Demokrātisku iestāžu un cilvēktiesību biroja (ODIHR) vēlēšanu novērošanas ziņojumā par politisko partiju finansēšanas pārredzamību un konkurenci godīgās vēlēšanās;</w:t>
            </w:r>
            <w:r>
              <w:t xml:space="preserve"> </w:t>
            </w:r>
            <w:r>
              <w:rPr>
                <w:b/>
                <w:i/>
              </w:rPr>
              <w:t>uzsver nepieciešamību veicināt tādu politisko kultūru, kuras pamatā ir savstarpēja cieņa un demokrātisko normu ievērošana, nodrošinot, ka politiskā konkurence neapdraud institucionālo stabilitāti;</w:t>
            </w:r>
            <w:r>
              <w:t xml:space="preserve"> </w:t>
            </w:r>
            <w:r>
              <w:rPr>
                <w:b/>
                <w:i/>
              </w:rPr>
              <w:t>uzsver, ka ir svarīgi depolitizēt galvenās valsts iestādes, lai palielinātu sabiedrības uzticēšanos valsts pārvaldei</w:t>
            </w:r>
            <w:r>
              <w:t>; uzsver, ka ir vajadzīga efektīvāka parlamentārā uzraudzība, iestāžu darbības uzlabošana un jēgpilna pilsoniskās sabiedrības līdzdalība;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uzstāj, ka svarīgas ir konstruktīvas politiskas debates un sakārtota parlamentārā darbība, kas ir demokrātiskas pārvaldības galvenie aspekti; atkārtoti apstiprina, ka Albānijas politiskajiem spēkiem ir kopīgs pienākums stiprināt konstruktīvu un iekļaujošu politisko dialogu un pārvarēt politisko polarizāciju valstī; uzsver, ka ir vajadzīga efektīvāka parlamentārā uzraudzība, iestāžu darbības uzlabošana un jēgpilna pilsoniskās sabiedrības līdzdalība;</w:t>
            </w:r>
          </w:p>
        </w:tc>
        <w:tc>
          <w:tcPr>
            <w:tcW w:w="4876" w:type="dxa"/>
            <w:tcBorders>
              <w:top w:val="nil"/>
              <w:left w:val="nil"/>
              <w:bottom w:val="nil"/>
              <w:right w:val="nil"/>
            </w:tcBorders>
          </w:tcPr>
          <w:p>
            <w:pPr>
              <w:pStyle w:val="Normal6a"/>
            </w:pPr>
            <w:r>
              <w:t>6.</w:t>
            </w:r>
            <w:r>
              <w:tab/>
            </w:r>
            <w:r>
              <w:t xml:space="preserve">uzstāj, ka svarīgas ir konstruktīvas politiskas debates un sakārtota parlamentārā darbība, kas ir demokrātiskas pārvaldības galvenie aspekti; atkārtoti apstiprina, ka Albānijas politiskajiem spēkiem ir kopīgs pienākums stiprināt konstruktīvu un iekļaujošu politisko dialogu un pārvarēt </w:t>
            </w:r>
            <w:r>
              <w:rPr>
                <w:b/>
                <w:i/>
              </w:rPr>
              <w:t>ievērojamo</w:t>
            </w:r>
            <w:r>
              <w:t xml:space="preserve"> politisko polarizāciju valstī </w:t>
            </w:r>
            <w:r>
              <w:rPr>
                <w:b/>
                <w:i/>
              </w:rPr>
              <w:t>un saspīlējumu starp pie varas esošo vairākumu un opozīciju;</w:t>
            </w:r>
            <w:r>
              <w:t xml:space="preserve"> </w:t>
            </w:r>
            <w:r>
              <w:rPr>
                <w:b/>
                <w:i/>
              </w:rPr>
              <w:t>pauž nožēlu par grozījumiem Parlamenta Reglamentā un ētikas regulējumā, kas apdraud Parlamenta demokrātisko darbību</w:t>
            </w:r>
            <w:r>
              <w:t>; uzsver, ka ir vajadzīga efektīvāka parlamentārā uzraudzība, iestāžu darbības uzlabošana un jēgpilna pilsoniskās sabiedrības līdzdalība;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uzstāj, ka svarīgas ir konstruktīvas politiskas debates un sakārtota parlamentārā darbība, kas ir demokrātiskas pārvaldības galvenie aspekti; atkārtoti apstiprina, ka Albānijas politiskajiem spēkiem ir kopīgs pienākums stiprināt konstruktīvu un iekļaujošu politisko dialogu un pārvarēt politisko polarizāciju valstī; uzsver, ka ir vajadzīga efektīvāka parlamentārā uzraudzība, iestāžu darbības uzlabošana un jēgpilna pilsoniskās sabiedrības līdzdalība;</w:t>
            </w:r>
          </w:p>
        </w:tc>
        <w:tc>
          <w:tcPr>
            <w:tcW w:w="4876" w:type="dxa"/>
            <w:tcBorders>
              <w:top w:val="nil"/>
              <w:left w:val="nil"/>
              <w:bottom w:val="nil"/>
              <w:right w:val="nil"/>
            </w:tcBorders>
          </w:tcPr>
          <w:p>
            <w:pPr>
              <w:pStyle w:val="Normal6a"/>
            </w:pPr>
            <w:r>
              <w:t>6.</w:t>
            </w:r>
            <w:r>
              <w:tab/>
            </w:r>
            <w:r>
              <w:t xml:space="preserve">uzstāj, ka svarīgas ir konstruktīvas politiskas debates un sakārtota parlamentārā darbība, kas ir demokrātiskas pārvaldības galvenie aspekti; atkārtoti apstiprina, ka Albānijas politiskajiem spēkiem ir kopīgs pienākums stiprināt konstruktīvu un iekļaujošu politisko dialogu un pārvarēt politisko polarizāciju valstī; uzsver, ka ir vajadzīga efektīvāka parlamentārā uzraudzība, iestāžu darbības uzlabošana un jēgpilna pilsoniskās sabiedrības līdzdalība; </w:t>
            </w:r>
            <w:r>
              <w:rPr>
                <w:b/>
                <w:i/>
              </w:rPr>
              <w:t>pauž nožēlu par šīs valsts politiķu nemitīgo politisko konfrontāciju un aso retoriku;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uzstāj, ka svarīgas ir konstruktīvas politiskas debates un sakārtota parlamentārā darbība, kas ir demokrātiskas pārvaldības galvenie aspekti; atkārtoti apstiprina, ka Albānijas politiskajiem spēkiem ir kopīgs pienākums stiprināt konstruktīvu un iekļaujošu politisko dialogu un pārvarēt politisko polarizāciju valstī; uzsver, ka ir vajadzīga efektīvāka parlamentārā uzraudzība, iestāžu darbības uzlabošana un jēgpilna pilsoniskās sabiedrības līdzdalība;</w:t>
            </w:r>
          </w:p>
        </w:tc>
        <w:tc>
          <w:tcPr>
            <w:tcW w:w="4876" w:type="dxa"/>
            <w:tcBorders>
              <w:top w:val="nil"/>
              <w:left w:val="nil"/>
              <w:bottom w:val="nil"/>
              <w:right w:val="nil"/>
            </w:tcBorders>
          </w:tcPr>
          <w:p>
            <w:pPr>
              <w:pStyle w:val="Normal6a"/>
            </w:pPr>
            <w:r>
              <w:t>6.</w:t>
            </w:r>
            <w:r>
              <w:tab/>
            </w:r>
            <w:r>
              <w:t xml:space="preserve">uzstāj, ka svarīgas ir konstruktīvas politiskas debates un sakārtota parlamentārā darbība, kas ir demokrātiskas pārvaldības galvenie aspekti; atkārtoti apstiprina, ka Albānijas politiskajiem spēkiem ir kopīgs pienākums stiprināt konstruktīvu un iekļaujošu politisko dialogu un pārvarēt politisko polarizāciju valstī; uzsver, ka ir vajadzīga efektīvāka parlamentārā uzraudzība, iestāžu darbības uzlabošana un jēgpilna pilsoniskās sabiedrības līdzdalība; </w:t>
            </w:r>
            <w:r>
              <w:rPr>
                <w:b/>
                <w:i/>
              </w:rPr>
              <w:t>aicina Albāniju arī stiprināt pilsoniskās sabiedrības lomu ES pievienošanās procesā;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uzstāj, ka svarīgas ir konstruktīvas politiskas debates un sakārtota parlamentārā darbība, kas ir demokrātiskas pārvaldības galvenie aspekti; atkārtoti apstiprina, ka Albānijas politiskajiem spēkiem ir kopīgs pienākums stiprināt konstruktīvu un iekļaujošu politisko dialogu un pārvarēt politisko polarizāciju valstī; uzsver, ka ir vajadzīga efektīvāka parlamentārā uzraudzība, iestāžu darbības uzlabošana un jēgpilna pilsoniskās sabiedrības līdzdalība;</w:t>
            </w:r>
          </w:p>
        </w:tc>
        <w:tc>
          <w:tcPr>
            <w:tcW w:w="4876" w:type="dxa"/>
            <w:tcBorders>
              <w:top w:val="nil"/>
              <w:left w:val="nil"/>
              <w:bottom w:val="nil"/>
              <w:right w:val="nil"/>
            </w:tcBorders>
          </w:tcPr>
          <w:p>
            <w:pPr>
              <w:pStyle w:val="Normal6a"/>
            </w:pPr>
            <w:r>
              <w:t>6.</w:t>
            </w:r>
            <w:r>
              <w:tab/>
            </w:r>
            <w:r>
              <w:t>uzstāj, ka svarīgas ir konstruktīvas politiskas debates un sakārtota parlamentārā darbība, kas ir demokrātiskas pārvaldības galvenie aspekti; atkārtoti apstiprina, ka Albānijas politiskajiem spēkiem ir kopīgs pienākums stiprināt konstruktīvu un iekļaujošu politisko dialogu un pārvarēt politisko polarizāciju valstī</w:t>
            </w:r>
            <w:r>
              <w:rPr>
                <w:b/>
                <w:i/>
              </w:rPr>
              <w:t>, īpaši tāpēc, ka šai valstī tuvojas parlamenta vēlēšanas</w:t>
            </w:r>
            <w:r>
              <w:t>; uzsver, ka ir vajadzīga efektīvāka parlamentārā uzraudzība, iestāžu darbības uzlabošana un jēgpilna pilsoniskās sabiedrības līdzdalība;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mudina visus politiskos spēkus atturēties izmantot valsts mehānismus kā politiskus instrumentus, lai uzbruktu oponentiem, demonstrēt cieņu pret opozīcijas lomu un izbeigt politiskos uzbrukumus, iebiedēšanu un centienus graut opozīcijas leģitimitāti;</w:t>
            </w:r>
            <w:r>
              <w:t xml:space="preserve"> </w:t>
            </w:r>
            <w:r>
              <w:rPr>
                <w:b/>
                <w:i/>
              </w:rPr>
              <w:t>aicina veidot patiesu dialogu, lai veicinātu politisko stabilitāti un progresu, uzsverot nepieciešamību panākt partiju vienprātību par ES integrācijas programmu un panākt jēgpilnu pilsoniskās sabiedrības iesaisti;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mudina Albāniju īstenot noteikumus, ar ko nodrošināt, ka tiek pilnībā īstenots 2017. gada satvars nacionālo minoritāšu aizsardzībai un viņu tiesībām uz brīvu pašnoteikšanos, minoritāšu valodu izmantošanu un tiesībām uz izglītību minoritāšu valodās;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atzīst, ka pieaug ārvalstu ļaunprātīgas ietekmes un hibrīdiejaukšanās draudi Albānijas demokrātisko institūciju darbībā, kas tiešā veidā ietekmē tās pievienošanās ES procesu;</w:t>
            </w:r>
            <w:r>
              <w:t xml:space="preserve"> </w:t>
            </w:r>
            <w:r>
              <w:rPr>
                <w:b/>
                <w:i/>
              </w:rPr>
              <w:t>aicina Albāniju paaugstināt savu institucionālo noturību pret slēptu politisko finansējumu, manipulācijām ar medijiem un kiberdraudiem;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Andrey Kovatchev, Michael Gahler, Ondřej Kolář, Matej Tonin,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pauž nožēlu par to, ka parlaments atkal neievēro atsevišķus Konstitucionālās tiesas nolēmumus;</w:t>
            </w:r>
            <w:r>
              <w:t xml:space="preserve"> </w:t>
            </w:r>
            <w:r>
              <w:rPr>
                <w:b/>
                <w:i/>
              </w:rPr>
              <w:t>uzsver parlamenta pienākumu ievērot Konstitucionālās tiesas nolēmumus, lai saglabātu līdzsvaru un varas dalīšanu, jo tie ir būtiski demokrātiskas pārvaldības nodrošināšanai;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pauž nožēlu par to, ka pilsoniskās sabiedrības organizācijas Albānijā saņem ierobežotu finansējumu no valsts budžeta;</w:t>
            </w:r>
            <w:r>
              <w:t xml:space="preserve"> </w:t>
            </w:r>
            <w:r>
              <w:rPr>
                <w:b/>
                <w:i/>
              </w:rPr>
              <w:t>uzstāj, ka ir jāīsteno nepieciešamie nosacījumi, lai pilsoniskās sabiedrības organizācijas īsteni atbrīvotu no PVN;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uzsver parlamenta būtisko un neaizstājamo lomu līdzsvara un atsvara sistēmas nodrošināšanā, jo īpaši ar izmeklēšanas komiteju starpniecību;</w:t>
            </w:r>
            <w:r>
              <w:t xml:space="preserve"> </w:t>
            </w:r>
            <w:r>
              <w:rPr>
                <w:b/>
                <w:i/>
              </w:rPr>
              <w:t>ar bažām norāda uz vienpusēju, bez vienprātības pieņemto jauno likumu par parlamentārajām izmeklēšanas komitejām;</w:t>
            </w:r>
            <w:r>
              <w:t xml:space="preserve"> </w:t>
            </w:r>
            <w:r>
              <w:rPr>
                <w:b/>
                <w:i/>
              </w:rPr>
              <w:t>aicina Albāniju nodrošināt patiesu demokrātisko pārskatatbildību un stiprināt spēcīgu un pārredzamu pārvaldību, tostarp izveidojot izmeklēšanas komitejas, paredzot interpelāciju un rezolūciju priekšlikumu ar debatēm iesniegšanu un pilnībā ievērojot tiesību normas;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Andrey Kovatchev, Michael Gahler, Ondřej Kolář,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uzsver, ka ikviena iniciatīva, kuras mērķis ir stiprināt pārvaldību, tiesiskumu un korupcijas apkarošanas centienus, ir jābalsta uz iekļautību, pārredzamību un sadarbību, nevis uz politiskiem manevriem;</w:t>
            </w:r>
            <w:r>
              <w:t xml:space="preserve"> </w:t>
            </w:r>
            <w:r>
              <w:rPr>
                <w:b/>
                <w:i/>
              </w:rPr>
              <w:t>pauž bažas par visiem lēmumiem, kas pieņemti vienpusēji bez plašākas politiskas vienprātības;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pieņem zināšanai 2024. gada jūlija grozījumus Albānijas vēlēšanu kodeksā, kas ļauj Albānijas diasporai balsot ārpus valsts un ar ko ir ieviesti daļēji atvērti kandidātu saraksti; uzstāj, ka ir </w:t>
            </w:r>
            <w:r>
              <w:rPr>
                <w:b/>
                <w:i/>
              </w:rPr>
              <w:t>jāņem vērā</w:t>
            </w:r>
            <w:r>
              <w:t xml:space="preserve"> un jāīsteno vēl neizpildītie EDSO/ODIHR un Venēcijas komisijas ieteikumi;</w:t>
            </w:r>
          </w:p>
        </w:tc>
        <w:tc>
          <w:tcPr>
            <w:tcW w:w="4876" w:type="dxa"/>
            <w:tcBorders>
              <w:top w:val="nil"/>
              <w:left w:val="nil"/>
              <w:bottom w:val="nil"/>
              <w:right w:val="nil"/>
            </w:tcBorders>
          </w:tcPr>
          <w:p>
            <w:pPr>
              <w:pStyle w:val="Normal6a"/>
            </w:pPr>
            <w:r>
              <w:t>7.</w:t>
            </w:r>
            <w:r>
              <w:tab/>
            </w:r>
            <w:r>
              <w:t xml:space="preserve">pieņem zināšanai 2024. gada jūlija grozījumus Albānijas vēlēšanu kodeksā, kas ļauj Albānijas diasporai balsot ārpus valsts un ar ko ir ieviesti daļēji atvērti kandidātu saraksti; uzstāj, ka ir </w:t>
            </w:r>
            <w:r>
              <w:rPr>
                <w:b/>
                <w:i/>
              </w:rPr>
              <w:t>steidzami jārisina</w:t>
            </w:r>
            <w:r>
              <w:t xml:space="preserve"> un jāīsteno vēl neizpildītie EDSO/ODIHR un Venēcijas komisijas ieteikumi</w:t>
            </w:r>
            <w:r>
              <w:rPr>
                <w:b/>
                <w:i/>
              </w:rPr>
              <w:t>, tostarp par vēlēšanu un partiju finansēšanas sistēmu;</w:t>
            </w:r>
            <w:r>
              <w:t xml:space="preserve"> </w:t>
            </w:r>
            <w:r>
              <w:rPr>
                <w:b/>
                <w:i/>
              </w:rPr>
              <w:t>aicina iestādes garantēt biedrošanās brīvību, tostarp politiskajās partijās, un brīvību kandidēt vēlēšanās, tostarp visām minoritātēm un visām opozīcijas grupām;</w:t>
            </w:r>
            <w:r>
              <w:t xml:space="preserve"> </w:t>
            </w:r>
            <w:r>
              <w:rPr>
                <w:b/>
                <w:i/>
              </w:rPr>
              <w:t>aicina Albānijas iestādes novērst balsu pirkšanu un administratīvo resursu ļaunprātīgu izmantošanu pārsvara gūšanai vēlēšanās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Ondřej Kolář,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pieņem zināšanai 2024. gada jūlija grozījumus Albānijas vēlēšanu kodeksā, kas ļauj Albānijas diasporai balsot ārpus valsts un ar ko ir ieviesti daļēji atvērti kandidātu saraksti; uzstāj, ka ir jāņem vērā un jāīsteno vēl neizpildītie EDSO/ODIHR un Venēcijas komisijas ieteikumi;</w:t>
            </w:r>
          </w:p>
        </w:tc>
        <w:tc>
          <w:tcPr>
            <w:tcW w:w="4876" w:type="dxa"/>
            <w:tcBorders>
              <w:top w:val="nil"/>
              <w:left w:val="nil"/>
              <w:bottom w:val="nil"/>
              <w:right w:val="nil"/>
            </w:tcBorders>
          </w:tcPr>
          <w:p>
            <w:pPr>
              <w:pStyle w:val="Normal6a"/>
            </w:pPr>
            <w:r>
              <w:t>7.</w:t>
            </w:r>
            <w:r>
              <w:tab/>
            </w:r>
            <w:r>
              <w:t xml:space="preserve">pieņem zināšanai 2024. gada jūlija grozījumus Albānijas vēlēšanu kodeksā, kas ļauj Albānijas diasporai balsot ārpus valsts un ar ko ir ieviesti daļēji atvērti kandidātu saraksti; </w:t>
            </w:r>
            <w:r>
              <w:rPr>
                <w:b/>
                <w:i/>
              </w:rPr>
              <w:t>pauž bažas par to, ka šīs izmaiņas varētu neatrisināt tādus būtiskus jautājumus kā balsošanas slepenība, korupcija vēlēšanu procesā un neatkarīgs mediju pārraudzības trūkums;</w:t>
            </w:r>
            <w:r>
              <w:t xml:space="preserve"> </w:t>
            </w:r>
            <w:r>
              <w:rPr>
                <w:b/>
                <w:i/>
              </w:rPr>
              <w:t>pauž nožēlu par to, ka saspringtā politiskā vide un nemitīgās ķildas kavēja parlamentārās ad hoc komitejas darbu un vēlēšanu reformu sekmīgu īstenošanu;</w:t>
            </w:r>
            <w:r>
              <w:t xml:space="preserve"> uzstāj, ka ir jāņem vērā un jāīsteno vēl neizpildītie EDSO/ODIHR un Venēcijas komisijas ieteikumi;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pieņem zināšanai 2024. gada jūlija grozījumus Albānijas vēlēšanu kodeksā, kas ļauj Albānijas diasporai balsot ārpus valsts un ar ko ir ieviesti daļēji atvērti kandidātu saraksti; </w:t>
            </w:r>
            <w:r>
              <w:rPr>
                <w:b/>
                <w:i/>
              </w:rPr>
              <w:t>uzstāj, ka ir jāņem vērā un jāīsteno vēl neizpildītie EDSO/ODIHR un Venēcijas komisijas ieteikumi</w:t>
            </w:r>
            <w:r>
              <w:t>;</w:t>
            </w:r>
          </w:p>
        </w:tc>
        <w:tc>
          <w:tcPr>
            <w:tcW w:w="4876" w:type="dxa"/>
            <w:tcBorders>
              <w:top w:val="nil"/>
              <w:left w:val="nil"/>
              <w:bottom w:val="nil"/>
              <w:right w:val="nil"/>
            </w:tcBorders>
          </w:tcPr>
          <w:p>
            <w:pPr>
              <w:pStyle w:val="Normal6a"/>
            </w:pPr>
            <w:r>
              <w:t>7.</w:t>
            </w:r>
            <w:r>
              <w:tab/>
            </w:r>
            <w:r>
              <w:t xml:space="preserve">pieņem zināšanai 2024. gada jūlija grozījumus Albānijas vēlēšanu kodeksā, kas ļauj Albānijas diasporai balsot ārpus valsts un ar ko ir ieviesti daļēji atvērti kandidātu saraksti; </w:t>
            </w:r>
            <w:r>
              <w:rPr>
                <w:b/>
                <w:i/>
              </w:rPr>
              <w:t>uzsver nepieciešamību pilnībā un savlaicīgi īstenot EDSO/ODIHR un Venēcijas komisijas ieteikumus, nodrošinot vēlēšanu procesu pārredzamību un demokrātisko iestāžu pienācīgu darbību;</w:t>
            </w:r>
            <w:r>
              <w:t xml:space="preserve"> </w:t>
            </w:r>
            <w:r>
              <w:rPr>
                <w:b/>
                <w:i/>
              </w:rPr>
              <w:t>prasa vēl vairāk stiprināt tiesisko regulējumu, lai nepieļautu spiedienu uz vēlētājiem un uzlabotu vienlīdzīgu piekļuvi medijiem vēlēšanu kampaņu laikā</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pieņem zināšanai 2024. gada jūlija grozījumus Albānijas vēlēšanu kodeksā, kas ļauj Albānijas diasporai balsot ārpus valsts un ar ko ir ieviesti daļēji atvērti kandidātu saraksti; uzstāj, ka ir jāņem vērā un jāīsteno vēl neizpildītie EDSO/ODIHR un Venēcijas komisijas ieteikumi;</w:t>
            </w:r>
          </w:p>
        </w:tc>
        <w:tc>
          <w:tcPr>
            <w:tcW w:w="4876" w:type="dxa"/>
            <w:tcBorders>
              <w:top w:val="nil"/>
              <w:left w:val="nil"/>
              <w:bottom w:val="nil"/>
              <w:right w:val="nil"/>
            </w:tcBorders>
          </w:tcPr>
          <w:p>
            <w:pPr>
              <w:pStyle w:val="Normal6a"/>
            </w:pPr>
            <w:r>
              <w:t>7.</w:t>
            </w:r>
            <w:r>
              <w:tab/>
            </w:r>
            <w:r>
              <w:t xml:space="preserve">pieņem zināšanai 2024. gada jūlija grozījumus Albānijas vēlēšanu kodeksā, kas ļauj Albānijas diasporai balsot ārpus valsts un ar ko ir ieviesti daļēji atvērti kandidātu saraksti; uzstāj, ka ir jāņem vērā un jāīsteno vēl neizpildītie EDSO/ODIHR un Venēcijas komisijas ieteikumi; </w:t>
            </w:r>
            <w:r>
              <w:rPr>
                <w:b/>
                <w:i/>
              </w:rPr>
              <w:t>jo īpaši attiecībā uz vēlēšanu pārredzamību, tostarp anonīmas tiešsaistes politiskās reklāmas aizliegšanu, finanšu informācijas atklāšanas prasību palielināšanu ar ārvalstīm saistītām vienībām un stingrākiem tiesību aktiem pret kampaņu finansēšanas pārkāpumiem;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pauž nožēlu par to, ka, neraugoties uz EDSO/ODIHR ieteikumiem, vēlēšanu pārkāpumu atkārtošanās tā arī nav novērsta;</w:t>
            </w:r>
            <w:r>
              <w:t xml:space="preserve"> </w:t>
            </w:r>
            <w:r>
              <w:rPr>
                <w:b/>
                <w:i/>
              </w:rPr>
              <w:t>norāda, ka valdošās partijas 2020. gadā veiktie vienpusējie konstitūcijas grozījumi ir vājinājuši institucionālās pārbaudes un sāncensību vēlēšanās;</w:t>
            </w:r>
            <w:r>
              <w:t xml:space="preserve"> </w:t>
            </w:r>
            <w:r>
              <w:rPr>
                <w:b/>
                <w:i/>
              </w:rPr>
              <w:t>aicina nodrošināt vienlīdzīgus konkurences apstākļus un pilnībā ievērot starptautiskos standartus, lai 2025. gada vēlēšanas būtu brīvas un godīgas;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asi nosoda Krievijas iejaukšanos Albānijas demokrātiskajos procesos, jo īpaši slēpto finansiālo atbalstu, kas tika sniegts Albānijas politiskajiem dalībniekiem 2017. gada vēlēšanās, kurās caur ar Krieviju saistītiem čaulas uzņēmumi 600 000 EUR tika ieguldīti neatklātas kampaņas finansējumā, lai ietekmētu vēlēšanu rezultātus;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Andrey Kovatchev,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brīdina vēlēšanu priekšvakarā izvairīties no jebkādas rīcības, kas var apdraudēt godīgu konkurenci un vēlēšanu procesa integritāti;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atzinīgi vērtē visas iespējamās Albānijas valdības iniciatīvas par diasporas repatriāciju;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pauž dziļas bažas par to, ka premjerministrs Edi Rama sistemātiski pārkāpj vēlēšanu kodeksu un izmanto valsts resursus, lai gūtu pārsvaru vēlēšanās, tostarp piešķir vienreizējus pabalstus pensionāriem divus mēnešus pirms vēlēšanām, pauž bažas par darbā pieņemšanas praksi saistībā ar vēlēšanām, paātrinātiem iepirkuma procesiem un ar licencēm un marihuānu saistītu stimulu izmantošanu apmaiņā pret balsošanu, pārkāpjot juridiskos aizliegumus;</w:t>
            </w:r>
            <w:r>
              <w:t xml:space="preserve"> </w:t>
            </w:r>
            <w:r>
              <w:rPr>
                <w:b/>
                <w:i/>
              </w:rPr>
              <w:t>uzsver, ka šīs darbības apdraud vēlēšanu procesa integritāti un taisnīgumu un ir valsts amata ļaunprātīga izmantošana, lai gūtu politisku labumu;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ar bažām norāda, ka mediju neatkarību un plurālismu joprojām ietekmē augsta koncentrācija to tirgū, uzņēmējdarbības un politisko interešu pārklāšanās, finansējuma un īpašnieku pārredzamības trūkums, žurnālistu iebiedēšana un darba nestabilitāte;</w:t>
            </w:r>
          </w:p>
        </w:tc>
        <w:tc>
          <w:tcPr>
            <w:tcW w:w="4876" w:type="dxa"/>
            <w:tcBorders>
              <w:top w:val="nil"/>
              <w:left w:val="nil"/>
              <w:bottom w:val="nil"/>
              <w:right w:val="nil"/>
            </w:tcBorders>
          </w:tcPr>
          <w:p>
            <w:pPr>
              <w:pStyle w:val="Normal6a"/>
            </w:pPr>
            <w:r>
              <w:t>8.</w:t>
            </w:r>
            <w:r>
              <w:tab/>
            </w:r>
            <w:r>
              <w:t xml:space="preserve">ar bažām norāda, ka mediju neatkarību un plurālismu </w:t>
            </w:r>
            <w:r>
              <w:rPr>
                <w:b/>
                <w:i/>
              </w:rPr>
              <w:t>Albānijā</w:t>
            </w:r>
            <w:r>
              <w:t xml:space="preserve"> joprojām ietekmē augsta koncentrācija to tirgū, uzņēmējdarbības un politisko interešu pārklāšanās, finansējuma un īpašnieku pārredzamības trūkums, žurnālistu iebiedēšana un darba nestabilitāte; </w:t>
            </w:r>
            <w:r>
              <w:rPr>
                <w:b/>
                <w:i/>
              </w:rPr>
              <w:t>norāda, ka saskaņā ar organizācijas “Reportieri bez robežām” 2024. gada pasaules preses brīvības indeksu Albānija ieņem 99. vietu, kas atspoguļo aktuālās problēmas saistībā ar mediju īpašumtiesību koncentrāciju, politisko iejaukšanos un draudiem žurnālistiem;</w:t>
            </w:r>
            <w:r>
              <w:t xml:space="preserve"> </w:t>
            </w:r>
            <w:r>
              <w:rPr>
                <w:b/>
                <w:i/>
              </w:rPr>
              <w:t>uzsver, ka pārredzamības trūkums attiecībā uz mediju finansējumu un īpašniekiem palielina redakcionālas neobjektivitātes risku un mazina sabiedrības uzticēšanos žurnālistikai;</w:t>
            </w:r>
            <w:r>
              <w:t xml:space="preserve"> </w:t>
            </w:r>
            <w:r>
              <w:rPr>
                <w:b/>
                <w:i/>
              </w:rPr>
              <w:t>aicina Albānijas iestādes nodrošināt mediju īpašnieku pārredzamību un panākt absolūtu neiecietību pret žurnālistu iebiedēšanu;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ar bažām norāda, ka mediju neatkarību un plurālismu joprojām ietekmē augsta koncentrācija to tirgū, uzņēmējdarbības un politisko interešu pārklāšanās, finansējuma un īpašnieku pārredzamības trūkums, žurnālistu iebiedēšana un darba nestabilitāte;</w:t>
            </w:r>
          </w:p>
        </w:tc>
        <w:tc>
          <w:tcPr>
            <w:tcW w:w="4876" w:type="dxa"/>
            <w:tcBorders>
              <w:top w:val="nil"/>
              <w:left w:val="nil"/>
              <w:bottom w:val="nil"/>
              <w:right w:val="nil"/>
            </w:tcBorders>
          </w:tcPr>
          <w:p>
            <w:pPr>
              <w:pStyle w:val="Normal6a"/>
            </w:pPr>
            <w:r>
              <w:t>8.</w:t>
            </w:r>
            <w:r>
              <w:tab/>
            </w:r>
            <w:r>
              <w:t xml:space="preserve">ar bažām norāda, ka mediju neatkarību un plurālismu joprojām ietekmē augsta koncentrācija to tirgū, uzņēmējdarbības un politisko interešu pārklāšanās, finansējuma un īpašnieku pārredzamības trūkums, žurnālistu iebiedēšana un darba nestabilitāte; </w:t>
            </w:r>
            <w:r>
              <w:rPr>
                <w:b/>
                <w:i/>
              </w:rPr>
              <w:t>uzsver, ka Krievija Albānijā ir sistemātiski izplatījusi dezinformāciju, 2023. gadā tika atklāts 41 nozīmīgs viltus ziņu materiāls, kas ar vairāk nekā 780 pārpublicētiem rakstiem sasniedza Albānijas, Kosovas un Ziemeļmaķedonijas auditoriju;</w:t>
            </w:r>
            <w:r>
              <w:t xml:space="preserve"> </w:t>
            </w:r>
            <w:r>
              <w:rPr>
                <w:b/>
                <w:i/>
              </w:rPr>
              <w:t>uzsver, ka ar Kremli saskaņotie vēstījumi centās mazināt sabiedrības uzticēšanos demokrātiskajām iestādēm un veicināt pret Rietumiem vērstu noskaņojumu;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Ondřej Kolář,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ar bažām norāda, ka mediju neatkarību un plurālismu joprojām ietekmē augsta koncentrācija to tirgū, uzņēmējdarbības un politisko interešu pārklāšanās, finansējuma un īpašnieku pārredzamības trūkums, žurnālistu iebiedēšana un darba nestabilitāte;</w:t>
            </w:r>
          </w:p>
        </w:tc>
        <w:tc>
          <w:tcPr>
            <w:tcW w:w="4876" w:type="dxa"/>
            <w:tcBorders>
              <w:top w:val="nil"/>
              <w:left w:val="nil"/>
              <w:bottom w:val="nil"/>
              <w:right w:val="nil"/>
            </w:tcBorders>
          </w:tcPr>
          <w:p>
            <w:pPr>
              <w:pStyle w:val="Normal6a"/>
            </w:pPr>
            <w:r>
              <w:t>8.</w:t>
            </w:r>
            <w:r>
              <w:tab/>
            </w:r>
            <w:r>
              <w:t xml:space="preserve">ar bažām norāda, ka mediju neatkarību un plurālismu joprojām ietekmē augsta koncentrācija to tirgū, uzņēmējdarbības un politisko interešu pārklāšanās, finansējuma un īpašnieku pārredzamības trūkums, žurnālistu iebiedēšana un darba nestabilitāte; </w:t>
            </w:r>
            <w:r>
              <w:rPr>
                <w:b/>
                <w:i/>
              </w:rPr>
              <w:t>aicina iestādes risināt joprojām pastāvošās būtiskās problēmas, kas kavē mediju neatkarību, tostarp pārredzamības trūkumu attiecībā uz mediju īpašniekiem un finansējuma avotiem;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ar bažām norāda, ka mediju neatkarību un plurālismu joprojām ietekmē augsta koncentrācija to tirgū, uzņēmējdarbības un politisko interešu pārklāšanās, finansējuma un īpašnieku pārredzamības trūkums, žurnālistu iebiedēšana un darba nestabilitāte;</w:t>
            </w:r>
          </w:p>
        </w:tc>
        <w:tc>
          <w:tcPr>
            <w:tcW w:w="4876" w:type="dxa"/>
            <w:tcBorders>
              <w:top w:val="nil"/>
              <w:left w:val="nil"/>
              <w:bottom w:val="nil"/>
              <w:right w:val="nil"/>
            </w:tcBorders>
          </w:tcPr>
          <w:p>
            <w:pPr>
              <w:pStyle w:val="Normal6a"/>
            </w:pPr>
            <w:r>
              <w:t>8.</w:t>
            </w:r>
            <w:r>
              <w:tab/>
            </w:r>
            <w:r>
              <w:t>ar bažām norāda, ka mediju neatkarību un plurālismu joprojām ietekmē augsta koncentrācija to tirgū, uzņēmējdarbības un politisko interešu pārklāšanās, finansējuma un īpašnieku pārredzamības trūkums, žurnālistu iebiedēšana un darba nestabilitāte</w:t>
            </w:r>
            <w:r>
              <w:rPr>
                <w:b/>
                <w:i/>
              </w:rPr>
              <w:t>, jo īpaši tāpēc, ka Kriminālkodeksā žurnālistiem nav paredzēta aizsardzība pret draudiem un vardarbību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ar bažām norāda, ka mediju neatkarību un plurālismu joprojām ietekmē augsta koncentrācija to tirgū, uzņēmējdarbības un politisko interešu pārklāšanās, finansējuma un īpašnieku pārredzamības trūkums, žurnālistu iebiedēšana un darba nestabilitāte;</w:t>
            </w:r>
          </w:p>
        </w:tc>
        <w:tc>
          <w:tcPr>
            <w:tcW w:w="4876" w:type="dxa"/>
            <w:tcBorders>
              <w:top w:val="nil"/>
              <w:left w:val="nil"/>
              <w:bottom w:val="nil"/>
              <w:right w:val="nil"/>
            </w:tcBorders>
          </w:tcPr>
          <w:p>
            <w:pPr>
              <w:pStyle w:val="Normal6a"/>
            </w:pPr>
            <w:r>
              <w:t>8.</w:t>
            </w:r>
            <w:r>
              <w:tab/>
            </w:r>
            <w:r>
              <w:rPr>
                <w:b/>
                <w:i/>
              </w:rPr>
              <w:t>pauž nožēlu par to, ka pēdējos gados brīvo mediju un neatkarīgo žurnālistu darbības vide ir pasliktinājusies;</w:t>
            </w:r>
            <w:r>
              <w:t xml:space="preserve"> ar bažām norāda, ka mediju neatkarību un plurālismu joprojām ietekmē augsta koncentrācija to tirgū, uzņēmējdarbības un politisko interešu pārklāšanās, finansējuma un īpašnieku pārredzamības trūkums, žurnālistu iebiedēšana un darba nestabilitāte;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Andrey Kovatchev, Michael Gahler, Ondřej Kolář,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atgādina, ka </w:t>
            </w:r>
            <w:r>
              <w:rPr>
                <w:b/>
                <w:i/>
              </w:rPr>
              <w:t>jebkādai</w:t>
            </w:r>
            <w:r>
              <w:t xml:space="preserve"> mediju tiesību </w:t>
            </w:r>
            <w:r>
              <w:rPr>
                <w:b/>
                <w:i/>
              </w:rPr>
              <w:t>aktu pārskatīšanai būtu jāatbilst</w:t>
            </w:r>
            <w:r>
              <w:t xml:space="preserve"> Venēcijas komisijas ieteikumiem un </w:t>
            </w:r>
            <w:r>
              <w:rPr>
                <w:b/>
                <w:i/>
              </w:rPr>
              <w:t>tā būtu jāveic pārredzamā un iekļaujošā veidā</w:t>
            </w:r>
            <w:r>
              <w:t>; norāda, ka nav bijis nekāds progress tiesiskā regulējuma saskaņošanā ar ES acquis un ES standartiem, tostarp Eiropas Mediju brīvības aktu</w:t>
            </w:r>
            <w:r>
              <w:rPr>
                <w:b/>
                <w:i/>
                <w:vertAlign w:val="superscript"/>
              </w:rPr>
              <w:t>4</w:t>
            </w:r>
            <w:r>
              <w:t>; atgādina par nepieciešamību stiprināt pētniecisko žurnālistiku, faktu pārbaudi un medijpratību, lai apkarotu naida runu, dezinformāciju un viltus ziņas;</w:t>
            </w:r>
          </w:p>
        </w:tc>
        <w:tc>
          <w:tcPr>
            <w:tcW w:w="4876" w:type="dxa"/>
            <w:tcBorders>
              <w:top w:val="nil"/>
              <w:left w:val="nil"/>
              <w:bottom w:val="nil"/>
              <w:right w:val="nil"/>
            </w:tcBorders>
          </w:tcPr>
          <w:p>
            <w:pPr>
              <w:pStyle w:val="Normal6a"/>
            </w:pPr>
            <w:r>
              <w:t>9.</w:t>
            </w:r>
            <w:r>
              <w:tab/>
            </w:r>
            <w:r>
              <w:t xml:space="preserve">atgādina, ka </w:t>
            </w:r>
            <w:r>
              <w:rPr>
                <w:b/>
                <w:i/>
              </w:rPr>
              <w:t>visi</w:t>
            </w:r>
            <w:r>
              <w:t xml:space="preserve"> mediju </w:t>
            </w:r>
            <w:r>
              <w:rPr>
                <w:b/>
                <w:i/>
              </w:rPr>
              <w:t>jomas</w:t>
            </w:r>
            <w:r>
              <w:t xml:space="preserve"> tiesību </w:t>
            </w:r>
            <w:r>
              <w:rPr>
                <w:b/>
                <w:i/>
              </w:rPr>
              <w:t>akti būtu jāpārskata atbilstīgi</w:t>
            </w:r>
            <w:r>
              <w:t xml:space="preserve"> Venēcijas komisijas ieteikumiem un </w:t>
            </w:r>
            <w:r>
              <w:rPr>
                <w:b/>
                <w:i/>
              </w:rPr>
              <w:t>tas būtu jādara pārredzami un iekļaujoši, apspriežoties ar mediju organizācijām, lai uzlabotu mediju brīvību un pašregulāciju</w:t>
            </w:r>
            <w:r>
              <w:t xml:space="preserve">; norāda, ka nav bijis nekāds progress tiesiskā regulējuma saskaņošanā ar ES acquis un ES standartiem, tostarp Eiropas Mediju brīvības aktu; atgādina par nepieciešamību stiprināt pētniecisko žurnālistiku, faktu pārbaudi un medijpratību, lai apkarotu naida runu, dezinformāciju un viltus ziņas; </w:t>
            </w:r>
            <w:r>
              <w:rPr>
                <w:b/>
                <w:i/>
              </w:rPr>
              <w:t>pauž bažas par ilgstošiem augsta līmeņa politiķu, valsts amatpersonu un citu sabiedrībā pazīstamu personu provocējošiem izteikumiem, kas veicina iebiedēšanas kultūru, nomelnošanas kampaņas, vardarbību un sabiedriskā miera un kārtības traucēšanu, un prasa nodrošināt, ka tiek notiesātas personas, kas uzbrūk žurnālistiem;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Eiropas Parlamenta un Padomes Regula (ES) 2024/1083 (2024. gada 11. aprīlis), ar ko izveido vienotu satvaru mediju pakalpojumiem iekšējā tirgū un groza Direktīvu 2010/13/ES (Eiropas Mediju brīvības akts) (OV L, 2024/1083, 17.4.2024., ELI: http://data.europa.eu/eli/reg/2024/1083/oj).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atgādina, ka jebkādai mediju tiesību aktu pārskatīšanai būtu jāatbilst Venēcijas komisijas ieteikumiem un tā būtu jāveic pārredzamā un iekļaujošā veidā; norāda, ka nav bijis nekāds progress tiesiskā regulējuma saskaņošanā ar ES acquis un ES standartiem, tostarp Eiropas Mediju brīvības aktu</w:t>
            </w:r>
            <w:r>
              <w:rPr>
                <w:vertAlign w:val="superscript"/>
              </w:rPr>
              <w:t>4</w:t>
            </w:r>
            <w:r>
              <w:t>; atgādina par nepieciešamību stiprināt pētniecisko žurnālistiku, faktu pārbaudi un medijpratību, lai apkarotu naida runu, dezinformāciju un viltus ziņas;</w:t>
            </w:r>
          </w:p>
        </w:tc>
        <w:tc>
          <w:tcPr>
            <w:tcW w:w="4876" w:type="dxa"/>
            <w:tcBorders>
              <w:top w:val="nil"/>
              <w:left w:val="nil"/>
              <w:bottom w:val="nil"/>
              <w:right w:val="nil"/>
            </w:tcBorders>
          </w:tcPr>
          <w:p>
            <w:pPr>
              <w:pStyle w:val="Normal6a"/>
            </w:pPr>
            <w:r>
              <w:t>9.</w:t>
            </w:r>
            <w:r>
              <w:tab/>
            </w:r>
            <w:r>
              <w:t xml:space="preserve">atgādina, ka jebkādai mediju tiesību aktu pārskatīšanai būtu jāatbilst Venēcijas komisijas ieteikumiem un tā būtu jāveic pārredzamā un iekļaujošā veidā; </w:t>
            </w:r>
            <w:r>
              <w:rPr>
                <w:b/>
                <w:i/>
              </w:rPr>
              <w:t>atzinīgi vērtē platformu, ko izveidojusi ES/Eiropas Padome un Žurnālistikas skola;</w:t>
            </w:r>
            <w:r>
              <w:t xml:space="preserve"> </w:t>
            </w:r>
            <w:r>
              <w:rPr>
                <w:b/>
                <w:i/>
              </w:rPr>
              <w:t>aicina valdību aktīvi iesaistīties tās darbā;</w:t>
            </w:r>
            <w:r>
              <w:t xml:space="preserve"> norāda, ka nav bijis nekāds progress tiesiskā regulējuma saskaņošanā ar ES acquis un ES standartiem, tostarp Eiropas Mediju brīvības aktu</w:t>
            </w:r>
            <w:r>
              <w:rPr>
                <w:vertAlign w:val="superscript"/>
              </w:rPr>
              <w:t>4</w:t>
            </w:r>
            <w:r>
              <w:t>; atgādina par nepieciešamību stiprināt pētniecisko žurnālistiku, faktu pārbaudi un medijpratību, lai apkarotu naida runu, dezinformāciju un viltus ziņas;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Eiropas Parlamenta un Padomes Regula (ES) 2024/1083 (2024. gada 11. aprīlis), ar ko izveido vienotu satvaru mediju pakalpojumiem iekšējā tirgū un groza Direktīvu 2010/13/ES (Eiropas Mediju brīvības akts) (OV L, 2024/1083, 17.4.2024., ELI: http://data.europa.eu/eli/reg/2024/1083/oj).</w:t>
            </w:r>
          </w:p>
        </w:tc>
        <w:tc>
          <w:tcPr>
            <w:tcW w:w="4876" w:type="dxa"/>
            <w:tcBorders>
              <w:top w:val="nil"/>
              <w:left w:val="nil"/>
              <w:bottom w:val="nil"/>
              <w:right w:val="nil"/>
            </w:tcBorders>
          </w:tcPr>
          <w:p>
            <w:pPr>
              <w:pStyle w:val="Normal6a"/>
            </w:pPr>
            <w:r>
              <w:rPr>
                <w:vertAlign w:val="superscript"/>
              </w:rPr>
              <w:t>4</w:t>
            </w:r>
            <w:r>
              <w:t xml:space="preserve"> </w:t>
            </w:r>
            <w:r>
              <w:t>Eiropas Parlamenta un Padomes Regula (ES) 2024/1083 (2024. gada 11. aprīlis), ar ko izveido vienotu satvaru mediju pakalpojumiem iekšējā tirgū un groza Direktīvu 2010/13/ES (Eiropas Mediju brīvības akts) (OV L, 2024/1083, 17.4.2024., ELI: http://data.europa.eu/eli/reg/2024/1083/oj).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atgādina, ka jebkādai mediju tiesību aktu pārskatīšanai būtu jāatbilst Venēcijas komisijas ieteikumiem un tā būtu jāveic pārredzamā un iekļaujošā veidā; norāda, ka nav bijis nekāds progress tiesiskā regulējuma saskaņošanā ar ES acquis un ES standartiem, tostarp Eiropas Mediju brīvības aktu</w:t>
            </w:r>
            <w:r>
              <w:rPr>
                <w:vertAlign w:val="superscript"/>
              </w:rPr>
              <w:t>4</w:t>
            </w:r>
            <w:r>
              <w:t>; atgādina par nepieciešamību stiprināt pētniecisko žurnālistiku, faktu pārbaudi un medijpratību, lai apkarotu naida runu, dezinformāciju un viltus ziņas;</w:t>
            </w:r>
          </w:p>
        </w:tc>
        <w:tc>
          <w:tcPr>
            <w:tcW w:w="4876" w:type="dxa"/>
            <w:tcBorders>
              <w:top w:val="nil"/>
              <w:left w:val="nil"/>
              <w:bottom w:val="nil"/>
              <w:right w:val="nil"/>
            </w:tcBorders>
          </w:tcPr>
          <w:p>
            <w:pPr>
              <w:pStyle w:val="Normal6a"/>
            </w:pPr>
            <w:r>
              <w:t>9.</w:t>
            </w:r>
            <w:r>
              <w:tab/>
            </w:r>
            <w:r>
              <w:t>atgādina, ka jebkādai mediju tiesību aktu pārskatīšanai būtu jāatbilst Venēcijas komisijas ieteikumiem un tā būtu jāveic pārredzamā un iekļaujošā veidā; norāda, ka nav bijis nekāds progress tiesiskā regulējuma saskaņošanā ar ES acquis un ES standartiem, tostarp Eiropas Mediju brīvības aktu</w:t>
            </w:r>
            <w:r>
              <w:rPr>
                <w:vertAlign w:val="superscript"/>
              </w:rPr>
              <w:t>4</w:t>
            </w:r>
            <w:r>
              <w:t xml:space="preserve">; atgādina par nepieciešamību stiprināt pētniecisko žurnālistiku, faktu pārbaudi un medijpratību, lai apkarotu naida runu, dezinformāciju un viltus ziņas; </w:t>
            </w:r>
            <w:r>
              <w:rPr>
                <w:b/>
                <w:i/>
              </w:rPr>
              <w:t>aicina Albāniju atcelt kriminālatbildību par neslavas celšanu;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Eiropas Parlamenta un Padomes Regula (ES) 2024/1083 (2024. gada 11. aprīlis), ar ko izveido vienotu satvaru mediju pakalpojumiem iekšējā tirgū un groza Direktīvu 2010/13/ES (Eiropas Mediju brīvības akts) (OV L, 2024/1083, 17.4.2024., ELI: http://data.europa.eu/eli/reg/2024/1083/oj).</w:t>
            </w:r>
          </w:p>
        </w:tc>
        <w:tc>
          <w:tcPr>
            <w:tcW w:w="4876" w:type="dxa"/>
            <w:tcBorders>
              <w:top w:val="nil"/>
              <w:left w:val="nil"/>
              <w:bottom w:val="nil"/>
              <w:right w:val="nil"/>
            </w:tcBorders>
          </w:tcPr>
          <w:p>
            <w:pPr>
              <w:pStyle w:val="Normal6a"/>
            </w:pPr>
            <w:r>
              <w:rPr>
                <w:vertAlign w:val="superscript"/>
              </w:rPr>
              <w:t>4</w:t>
            </w:r>
            <w:r>
              <w:t xml:space="preserve"> </w:t>
            </w:r>
            <w:r>
              <w:t>Eiropas Parlamenta un Padomes Regula (ES) 2024/1083 (2024. gada 11. aprīlis), ar ko izveido vienotu satvaru mediju pakalpojumiem iekšējā tirgū un groza Direktīvu 2010/13/ES (Eiropas Mediju brīvības akts) (OV L, 2024/1083, 17.4.2024., ELI: http://data.europa.eu/eli/reg/2024/1083/oj).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atgādina, ka jebkādai mediju tiesību aktu pārskatīšanai būtu jāatbilst Venēcijas komisijas ieteikumiem un tā būtu jāveic pārredzamā un iekļaujošā veidā; </w:t>
            </w:r>
            <w:r>
              <w:rPr>
                <w:b/>
                <w:i/>
              </w:rPr>
              <w:t>norāda</w:t>
            </w:r>
            <w:r>
              <w:t>, ka nav bijis nekāds progress tiesiskā regulējuma saskaņošanā ar ES acquis un ES standartiem, tostarp Eiropas Mediju brīvības aktu</w:t>
            </w:r>
            <w:r>
              <w:rPr>
                <w:vertAlign w:val="superscript"/>
              </w:rPr>
              <w:t>4</w:t>
            </w:r>
            <w:r>
              <w:t>; atgādina par nepieciešamību stiprināt pētniecisko žurnālistiku, faktu pārbaudi un medijpratību</w:t>
            </w:r>
            <w:r>
              <w:rPr>
                <w:b/>
                <w:i/>
              </w:rPr>
              <w:t>, lai apkarotu</w:t>
            </w:r>
            <w:r>
              <w:t xml:space="preserve"> naida runu, dezinformāciju un viltus ziņas;</w:t>
            </w:r>
          </w:p>
        </w:tc>
        <w:tc>
          <w:tcPr>
            <w:tcW w:w="4876" w:type="dxa"/>
            <w:tcBorders>
              <w:top w:val="nil"/>
              <w:left w:val="nil"/>
              <w:bottom w:val="nil"/>
              <w:right w:val="nil"/>
            </w:tcBorders>
          </w:tcPr>
          <w:p>
            <w:pPr>
              <w:pStyle w:val="Normal6a"/>
            </w:pPr>
            <w:r>
              <w:t>9.</w:t>
            </w:r>
            <w:r>
              <w:tab/>
            </w:r>
            <w:r>
              <w:t xml:space="preserve">atgādina, ka jebkādai mediju tiesību aktu pārskatīšanai būtu jāatbilst Venēcijas komisijas ieteikumiem un tā būtu jāveic pārredzamā un iekļaujošā veidā; </w:t>
            </w:r>
            <w:r>
              <w:rPr>
                <w:b/>
                <w:i/>
              </w:rPr>
              <w:t>pauž nožēlu par to</w:t>
            </w:r>
            <w:r>
              <w:t>, ka nav bijis nekāds progress tiesiskā regulējuma saskaņošanā ar ES acquis un ES standartiem, tostarp Eiropas Mediju brīvības aktu</w:t>
            </w:r>
            <w:r>
              <w:rPr>
                <w:vertAlign w:val="superscript"/>
              </w:rPr>
              <w:t>4</w:t>
            </w:r>
            <w:r>
              <w:t xml:space="preserve">; atgādina par nepieciešamību stiprināt pētniecisko žurnālistiku, faktu pārbaudi un medijpratību </w:t>
            </w:r>
            <w:r>
              <w:rPr>
                <w:b/>
                <w:i/>
              </w:rPr>
              <w:t>un apkarot</w:t>
            </w:r>
            <w:r>
              <w:t xml:space="preserve"> naida runu, dezinformāciju un viltus ziņas;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Eiropas Parlamenta un Padomes Regula (ES) 2024/1083 (2024. gada 11. aprīlis), ar ko izveido vienotu satvaru mediju pakalpojumiem iekšējā tirgū un groza Direktīvu 2010/13/ES (Eiropas Mediju brīvības akts) (OV L, 2024/1083, 17.4.2024., ELI: http://data.europa.eu/eli/reg/2024/1083/oj).</w:t>
            </w:r>
          </w:p>
        </w:tc>
        <w:tc>
          <w:tcPr>
            <w:tcW w:w="4876" w:type="dxa"/>
            <w:tcBorders>
              <w:top w:val="nil"/>
              <w:left w:val="nil"/>
              <w:bottom w:val="nil"/>
              <w:right w:val="nil"/>
            </w:tcBorders>
          </w:tcPr>
          <w:p>
            <w:pPr>
              <w:pStyle w:val="Normal6a"/>
            </w:pPr>
            <w:r>
              <w:rPr>
                <w:vertAlign w:val="superscript"/>
              </w:rPr>
              <w:t>4</w:t>
            </w:r>
            <w:r>
              <w:t xml:space="preserve"> </w:t>
            </w:r>
            <w:r>
              <w:t>Eiropas Parlamenta un Padomes Regula (ES) 2024/1083 (2024. gada 11. aprīlis), ar ko izveido vienotu satvaru mediju pakalpojumiem iekšējā tirgū un groza Direktīvu 2010/13/ES (Eiropas Mediju brīvības akts) (OV L, 2024/1083, 17.4.2024., ELI: http://data.europa.eu/eli/reg/2024/1083/oj).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pauž dziļu satraukumu par aizvien biežāko tiesvedību pret žurnālistiem un aicina iestādes pieņemt tiesisko regulējumu, kas efektīvi pasargātu žurnālistus, cilvēktiesību aizstāvjus, vides aktīvistus un citas ieinteresētās personas no stratēģiskām tiesvedībām pret sabiedrības līdzdalību (SLAPP);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asi nosoda pieaugošo naidīgumu pret neatkarīgajiem žurnālistiem un mediju profesionāļiem Albānijā, tostarp augsta ranga amatpersonu verbālos uzbrukumus un pret medijiem vērstu retoriku, nomelnošanas kampaņas un mizogīnismu tiešsaistē, kas vērsta pret sievietēm, kā arī biežo vēršanos pret žurnālistiem, kuri ziņo par problēmā ar tiesiskumu, korupciju un tiesu varu;</w:t>
            </w:r>
            <w:r>
              <w:t xml:space="preserve"> </w:t>
            </w:r>
            <w:r>
              <w:rPr>
                <w:b/>
                <w:i/>
              </w:rPr>
              <w:t>aicina iestādes pārtraukt šādas kampaņas un uzbrukumus žurnālistiem, nepārprotami nosodīt tos, kuri to dara, respektēt neatkarīgo žurnālistiku kā izšķirošu varas pārbaudi un sadarbībā ar medijiem ievērot demokrātijas principus;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Ilaria Salis, 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atgādina par valsts un vietējo iestāžu atbildību uzlabot pārredzamību, pārskatatbildību un iekļautību, veicot jēgpilnas un regulāras sabiedriskās apspriešanas ar ieinteresētajām personām; ar bažām norāda, ka Albānijas parlaments joprojām sabiedriskās apspriešanas tiesisko regulējumu īsteno lielākoties tikai formāli;</w:t>
            </w:r>
          </w:p>
        </w:tc>
        <w:tc>
          <w:tcPr>
            <w:tcW w:w="4876" w:type="dxa"/>
            <w:tcBorders>
              <w:top w:val="nil"/>
              <w:left w:val="nil"/>
              <w:bottom w:val="nil"/>
              <w:right w:val="nil"/>
            </w:tcBorders>
          </w:tcPr>
          <w:p>
            <w:pPr>
              <w:pStyle w:val="Normal6a"/>
            </w:pPr>
            <w:r>
              <w:t>10.</w:t>
            </w:r>
            <w:r>
              <w:tab/>
            </w:r>
            <w:r>
              <w:t xml:space="preserve">atgādina par valsts un vietējo iestāžu atbildību uzlabot pārredzamību, pārskatatbildību un iekļautību, veicot jēgpilnas un regulāras sabiedriskās apspriešanas ar ieinteresētajām personām; ar bažām norāda, ka Albānijas parlaments joprojām sabiedriskās apspriešanas tiesisko regulējumu īsteno lielākoties tikai formāli; </w:t>
            </w:r>
            <w:r>
              <w:rPr>
                <w:b/>
                <w:i/>
              </w:rPr>
              <w:t>uzsver, ka ir vajadzīga lielāka pārredzamība attiecībā uz publiskajiem datiem un galvenajiem likumdošanas projektiem, piemēram, pēdējo tautas skaitīšanu, kuras iznākumu publicēšana ir aizkavējusies gadiem ilgi, un Itālijas un Albānijas vienošanos par patvēruma meklētājiem, sarunas par kuru tika risinātas ar ierobežotu sabiedrības informēšanu un nepietiekamu apspriešanos ar pilsoniskās sabiedrības ieinteresētajām personām;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atgādina par valsts un vietējo iestāžu atbildību uzlabot pārredzamību, pārskatatbildību un iekļautību, veicot jēgpilnas un regulāras sabiedriskās apspriešanas ar ieinteresētajām personām; ar bažām norāda, ka Albānijas parlaments joprojām sabiedriskās apspriešanas tiesisko regulējumu īsteno lielākoties tikai formāli;</w:t>
            </w:r>
          </w:p>
        </w:tc>
        <w:tc>
          <w:tcPr>
            <w:tcW w:w="4876" w:type="dxa"/>
            <w:tcBorders>
              <w:top w:val="nil"/>
              <w:left w:val="nil"/>
              <w:bottom w:val="nil"/>
              <w:right w:val="nil"/>
            </w:tcBorders>
          </w:tcPr>
          <w:p>
            <w:pPr>
              <w:pStyle w:val="Normal6a"/>
            </w:pPr>
            <w:r>
              <w:t>10.</w:t>
            </w:r>
            <w:r>
              <w:tab/>
            </w:r>
            <w:r>
              <w:t xml:space="preserve">atgādina par valsts un vietējo iestāžu atbildību uzlabot pārredzamību, pārskatatbildību un iekļautību, veicot jēgpilnas un regulāras sabiedriskās apspriešanas ar ieinteresētajām personām; ar bažām norāda, ka Albānijas parlaments joprojām sabiedriskās apspriešanas tiesisko regulējumu īsteno lielākoties tikai formāli; </w:t>
            </w:r>
            <w:r>
              <w:rPr>
                <w:b/>
                <w:i/>
              </w:rPr>
              <w:t>aicina Albāniju pastiprināt centienus pret ārvalstu iejaukšanos vēlēšanu procesos, nodrošinot, ka ārvalstu atbalstītas struktūras nekropļo demokrātisko sāncensību;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atgādina par valsts un vietējo iestāžu atbildību uzlabot pārredzamību, pārskatatbildību un iekļautību, veicot jēgpilnas un regulāras sabiedriskās apspriešanas ar ieinteresētajām personām; ar bažām norāda, ka Albānijas parlaments joprojām sabiedriskās apspriešanas tiesisko regulējumu īsteno lielākoties tikai formāli;</w:t>
            </w:r>
          </w:p>
        </w:tc>
        <w:tc>
          <w:tcPr>
            <w:tcW w:w="4876" w:type="dxa"/>
            <w:tcBorders>
              <w:top w:val="nil"/>
              <w:left w:val="nil"/>
              <w:bottom w:val="nil"/>
              <w:right w:val="nil"/>
            </w:tcBorders>
          </w:tcPr>
          <w:p>
            <w:pPr>
              <w:pStyle w:val="Normal6a"/>
            </w:pPr>
            <w:r>
              <w:t>10.</w:t>
            </w:r>
            <w:r>
              <w:tab/>
            </w:r>
            <w:r>
              <w:t xml:space="preserve">atgādina par valsts un vietējo iestāžu atbildību uzlabot pārredzamību, pārskatatbildību un iekļautību, veicot jēgpilnas un regulāras sabiedriskās apspriešanas ar ieinteresētajām personām; </w:t>
            </w:r>
            <w:r>
              <w:rPr>
                <w:b/>
                <w:i/>
              </w:rPr>
              <w:t>uzstāj, ka ir jāpalielina vietējo pašvaldību struktūru finanšu resursi, administratīvā spēja un fiskālā autonomija;</w:t>
            </w:r>
            <w:r>
              <w:t xml:space="preserve"> ar bažām norāda, ka Albānijas parlaments joprojām sabiedriskās apspriešanas tiesisko regulējumu īsteno lielākoties tikai formāli;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uzteic Albānijas dinamisko un konstruktīvo pilsonisko sabiedrību, kurai ir būtiska un pozitīva loma reformu procesā;</w:t>
            </w:r>
            <w:r>
              <w:t xml:space="preserve"> </w:t>
            </w:r>
            <w:r>
              <w:rPr>
                <w:b/>
                <w:i/>
              </w:rPr>
              <w:t>mudina valdību uzlabot sadarbību ar pilsonisko sabiedrību lēmumu pieņemšanas jomā, jo īpaši ar sieviešu tiesību organizācijām, un veidot sadarbību ar pilsonisko sabiedrību, lai patiesi iesaistītu pilsonisko sabiedrību pārredzamā likumdošanas procesā jau no paša sākuma;</w:t>
            </w:r>
            <w:r>
              <w:t xml:space="preserve"> </w:t>
            </w:r>
            <w:r>
              <w:rPr>
                <w:b/>
                <w:i/>
              </w:rPr>
              <w:t>uzsver, ka pilsoniskajai sabiedrībai ir būtiska loma demokrātijas un plurālisma veicināšanā un labas pārvaldības un sociālā progresa sekmēšanā;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uzsver, ka ir svarīgi nodrošināt brīvas un godīgas vēlēšanas, kas atbilst starptautiskajiem standartiem;</w:t>
            </w:r>
            <w:r>
              <w:t xml:space="preserve"> </w:t>
            </w:r>
            <w:r>
              <w:rPr>
                <w:b/>
                <w:i/>
              </w:rPr>
              <w:t>atzinīgi vērtē vēlēšanu novērošanas prakses uzlabojumus un pilsoniskās sabiedrības pieaugošo iesaistīšanos demokrātiskā procesa uzraudzībā;</w:t>
            </w:r>
            <w:r>
              <w:t xml:space="preserve"> </w:t>
            </w:r>
            <w:r>
              <w:rPr>
                <w:b/>
                <w:i/>
              </w:rPr>
              <w:t>aicina Albānijas iestādes padarīt kampaņu finansēšanu pārredzamāku un nodrošināt, ka visām politiskajām partijām ir vienlīdzīga piekļuvemedijiem;</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atzinīgi vērtē to, ka ir izveidots jauns valsts pārvaldības un korupcijas apkarošanas ministra amats;</w:t>
            </w:r>
            <w:r>
              <w:t xml:space="preserve"> </w:t>
            </w:r>
            <w:r>
              <w:rPr>
                <w:b/>
                <w:i/>
              </w:rPr>
              <w:t>tomēr joprojām pauž bažas par to, ka valsts pārvaldes reformas virzība bijusi pieticīga;</w:t>
            </w:r>
            <w:r>
              <w:t xml:space="preserve"> </w:t>
            </w:r>
            <w:r>
              <w:rPr>
                <w:b/>
                <w:i/>
              </w:rPr>
              <w:t>uzstāj, ka Albānijas iestādēm ir efektīvi jāīsteno noteikumi par uz nopelniem balstītu pieņemšanu darbā un jāpārskata pašreizējo uzraudzības struktūru efektivitāte attiecībā uz jauno valsts pārvaldi un pretkorupcijas reformām;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uzsver nepieciešamību veicināt pārskatatbildības kultūru, neatkarīgu piekļuvi publiskai informācijai un publisko iestāžu kontroli;</w:t>
            </w:r>
            <w:r>
              <w:t xml:space="preserve"> </w:t>
            </w:r>
            <w:r>
              <w:rPr>
                <w:b/>
                <w:i/>
              </w:rPr>
              <w:t>tostarp attiecībā uz reformu programmas īstenošanu;</w:t>
            </w:r>
            <w:r>
              <w:t xml:space="preserve"> </w:t>
            </w:r>
            <w:r>
              <w:rPr>
                <w:b/>
                <w:i/>
              </w:rPr>
              <w:t>norāda, ka publiskās pārvaldes struktūrām ir jāuzlabo pārredzamības prasību ievērošana un spēja reaģēt uz pieprasījumiem sniegt informāciju;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mudina Albānijas valdību īstenot tiesību aktus par mediju īpašnieku pārredzamību, ņemot vērā to, ka vairāk nekā 30 % Albānijas mediju darbojas ar neatklātiem finansējuma avotiem, kas rada būtisku risku, ka to redakcijas var izplatīt ar ārvalstīm saskaņotus vēstījumus un propagandu;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mudina Albāniju aizsargāt un veicināt pie minoritātēm piederošu personu tiesības saskaņā ar tās starptautiskajām saistībām un Eiropas un starptautiskajiem standartiem, cita starpā, nodrošinot tiesiskā regulējuma efektīvu īstenošanu;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norāda, ka pilsoniskās sabiedrības organizācijas (PSO) Albānijā darbojas sarežģītā vidē, tostarp tām tiek piemērotas sarežģītas reģistrācijas prasības un ir ierobežots finansējums;</w:t>
            </w:r>
            <w:r>
              <w:t xml:space="preserve"> </w:t>
            </w:r>
            <w:r>
              <w:rPr>
                <w:b/>
                <w:i/>
              </w:rPr>
              <w:t>pauž nožēlu par ievērojamo kavēšanos, izstrādājot valdības politikas ceļvedi 2024.–2027. gadam “Ceļā uz pilsoniskās sabiedrības attīstību veicinošāku vidi”;</w:t>
            </w:r>
            <w:r>
              <w:t xml:space="preserve"> </w:t>
            </w:r>
            <w:r>
              <w:rPr>
                <w:b/>
                <w:i/>
              </w:rPr>
              <w:t>mudina iestādes paātrināt šo procesu, vienlaikus nodrošinot visu attiecīgo ieinteresēto personu plašu un pārredzamu iesaisti, lai būtiski uzlabotu tā īstenošanu, jo iepriekšējais ceļvedis tika ievērots minimāli;</w:t>
            </w:r>
            <w:r>
              <w:t xml:space="preserve"> </w:t>
            </w:r>
            <w:r>
              <w:rPr>
                <w:b/>
                <w:i/>
              </w:rPr>
              <w:t>pauž nožēlu par to, ka bezpeļņas sektora finansiālā ilgtspēja joprojām ir nopietna problēma, jo Albānija nav efektīvi īstenojusi atbrīvojumu no PVN ārvalstu finansējumam, tādējādi pārkāpjot Albānijas saistības saskaņā ar ES un Albānijas sadarbības nolīgumu attiecībā uz IPA III;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atzinīgi vērtē to, ka beidzot pieņemti īstenošanas tiesību akti par pie minoritātēm piederīgu personu tiesībām, jo īpaši par pašidentifikāciju un minoritāšu valodu lietošanu, un uzsver, ka šie nolikumi ir pilnībā un efektīvi jāīsteno, lai patiešām praksē tiktu nodrošinātas minoritāšu tiesības un ar izglītību saistītās tiesības;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pauž nožēlu par to, ka ir panākts ierobežots progress iepirkuma tiesiskā regulējuma saskaņošanā ar ES acquis;</w:t>
            </w:r>
            <w:r>
              <w:t xml:space="preserve"> </w:t>
            </w:r>
            <w:r>
              <w:rPr>
                <w:b/>
                <w:i/>
              </w:rPr>
              <w:t>pauž bažas par nesen ieviestajiem pagaidu atbrīvojumiem publiskā iepirkuma tiesību aktos;</w:t>
            </w:r>
            <w:r>
              <w:t xml:space="preserve"> </w:t>
            </w:r>
            <w:r>
              <w:rPr>
                <w:b/>
                <w:i/>
              </w:rPr>
              <w:t>aicina Albānijas iestādes uzlabot konkurenciālas iepirkuma procedūras saskaņā ar ES acquis;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atzinīgi vērtē to, ka Albānija bloķē 155 Krievijas dezinformācijas domēnus, taču uzsver, ka, lai ātri atmaskotu un neitralizētu Kremļa vēstījumus, ir vajadzīgs koordinēts ES un Albānijas mehānisms reaģēšanai uz dezinformāciju, kas veidots pēc vietnes “EU vs Disinfo” parauga;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atzinīgi vērtē jaunā vietējā biroja izveidi Tirānā, kas Rietumbalkānu reģionā būs galvenais kontaktpunkts starp Eiropas Parlamentu un valstu parlamentiem, pilsonisko sabiedrību un vietējiem partneriem;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atgādina, ka Albānijai būtu jāaizsargā tiesības uz īpašumu, jo īpaši panākot izšķirošu progresu attiecībā uz pirmreizējo reģistrāciju un kompensāciju, uzlabojot valsts kadastra pārredzamību un īpašumu reģistra kadastrālo datu kvalitāti un nodrošinot, ka īpašuma atsavināšanas un atņemšanas gadījumos tiek ievērotas tiesības uz taisnīgu tiesu un tiesības uz efektīvu tiesību aizsardzību;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brīdina par to, ka Albānijā pieaug Ķīnas valsts atbalstīto mediju spiediens, jo Xinhua News un China Radio International nodrošina Albānijas medijus ar bezmaksas redakcionālo saturu, kura naratīvs atbilst Pekinas ģeopolitiskajām interesēm;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pauž bažas par progresa trūkumu uzņēmējdarbības tiesību aktu jomā Albānijā;</w:t>
            </w:r>
            <w:r>
              <w:t xml:space="preserve"> </w:t>
            </w:r>
            <w:r>
              <w:rPr>
                <w:b/>
                <w:i/>
              </w:rPr>
              <w:t>aicina Albānijas iestādes pabeigt uzņēmējdarbības tiesību aktu saskaņošanu ar ES acquis;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atzinīgi vērtē Albānijas panākto progresu, uzlabojot datu nosūtīšanu Eurostat;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norāda, ka Albānijas tiesiskais regulējums attiecībā uz dzimumbalstītu vardarbību vēl nav pilnībā saskaņots ar Stambulas konvenciju; pauž nopietnas bažas par to, ka vardarbība pret sievietēm joprojām ir spiedīga problēma, jo feminicīdu skaits joprojām ir liels; mudina uzlabot atbalsta pakalpojumus cietušajiem, jo īpaši veselības aprūpi, patvēruma finansēšanu, bezmaksas juridisko palīdzību un cietušo reintegrāciju un rehabilitāciju;</w:t>
            </w:r>
          </w:p>
        </w:tc>
        <w:tc>
          <w:tcPr>
            <w:tcW w:w="4876" w:type="dxa"/>
            <w:tcBorders>
              <w:top w:val="nil"/>
              <w:left w:val="nil"/>
              <w:bottom w:val="nil"/>
              <w:right w:val="nil"/>
            </w:tcBorders>
          </w:tcPr>
          <w:p>
            <w:pPr>
              <w:pStyle w:val="Normal6a"/>
            </w:pPr>
            <w:r>
              <w:t>11.</w:t>
            </w:r>
            <w:r>
              <w:tab/>
            </w:r>
            <w:r>
              <w:t xml:space="preserve">norāda, ka Albānijas tiesiskais regulējums attiecībā uz dzimumbalstītu vardarbību vēl nav pilnībā saskaņots ar Stambulas konvenciju; pauž nopietnas bažas par to, ka vardarbība pret sievietēm joprojām ir spiedīga problēma, jo feminicīdu skaits joprojām ir liels; mudina uzlabot atbalsta pakalpojumus cietušajiem, jo īpaši veselības aprūpi, patvēruma finansēšanu, bezmaksas juridisko palīdzību un cietušo reintegrāciju un rehabilitāciju; </w:t>
            </w:r>
            <w:r>
              <w:rPr>
                <w:b/>
                <w:i/>
              </w:rPr>
              <w:t>mudina uzlabot atbalsta pakalpojumus cietušajiem, jo īpaši veselības aprūpi, patvēruma finansēšanu, bezmaksas juridisko palīdzību un reintegrāciju un rehabilitāciju;</w:t>
            </w:r>
            <w:r>
              <w:t xml:space="preserve"> </w:t>
            </w:r>
            <w:r>
              <w:rPr>
                <w:b/>
                <w:i/>
              </w:rPr>
              <w:t>uzsver, ka ir jāpalielina finansiālais un institucionālais atbalsts prevencijas programmām, sabiedrības informēšanas kampaņām un specializētai apmācībai tiesībaizsardzības un tiesu iestādēm, lai nodrošinātu uz cietušajiem vērstu pieeju.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norāda, ka Albānijas tiesiskais regulējums attiecībā uz dzimumbalstītu vardarbību vēl nav pilnībā saskaņots ar Stambulas konvenciju; pauž nopietnas bažas par to, ka vardarbība pret sievietēm joprojām ir spiedīga problēma, jo feminicīdu skaits joprojām ir liels; mudina uzlabot atbalsta pakalpojumus cietušajiem, jo īpaši veselības aprūpi, patvēruma finansēšanu, bezmaksas juridisko palīdzību un cietušo reintegrāciju un rehabilitāciju;</w:t>
            </w:r>
          </w:p>
        </w:tc>
        <w:tc>
          <w:tcPr>
            <w:tcW w:w="4876" w:type="dxa"/>
            <w:tcBorders>
              <w:top w:val="nil"/>
              <w:left w:val="nil"/>
              <w:bottom w:val="nil"/>
              <w:right w:val="nil"/>
            </w:tcBorders>
          </w:tcPr>
          <w:p>
            <w:pPr>
              <w:pStyle w:val="Normal6a"/>
            </w:pPr>
            <w:r>
              <w:t>11.</w:t>
            </w:r>
            <w:r>
              <w:tab/>
            </w:r>
            <w:r>
              <w:t xml:space="preserve">norāda, ka Albānijas tiesiskais regulējums attiecībā uz dzimumbalstītu vardarbību vēl nav pilnībā saskaņots ar Stambulas konvenciju; pauž nopietnas bažas par to, ka vardarbība pret sievietēm joprojām ir spiedīga problēma, jo feminicīdu skaits joprojām ir liels; </w:t>
            </w:r>
            <w:r>
              <w:rPr>
                <w:b/>
                <w:i/>
              </w:rPr>
              <w:t>atzinīgi vērtē to, ka ombuds ir izveidojis Femicide Watch;</w:t>
            </w:r>
            <w:r>
              <w:t xml:space="preserve"> mudina uzlabot atbalsta pakalpojumus cietušajiem, jo īpaši veselības aprūpi, patvēruma finansēšanu, bezmaksas juridisko palīdzību un cietušo reintegrāciju un rehabilitāciju;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Hermann Tertsch, 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norāda, ka Albānijas tiesiskais regulējums attiecībā uz dzimumbalstītu vardarbību vēl nav pilnībā saskaņots ar Stambulas konvenciju;</w:t>
            </w:r>
            <w:r>
              <w:t xml:space="preserve"> pauž nopietnas bažas par to, ka vardarbība pret sievietēm joprojām ir spiedīga problēma, jo feminicīdu skaits joprojām ir liels; mudina uzlabot atbalsta pakalpojumus cietušajiem, jo īpaši veselības aprūpi, patvēruma finansēšanu, bezmaksas juridisko palīdzību un cietušo reintegrāciju un rehabilitāciju;</w:t>
            </w:r>
          </w:p>
        </w:tc>
        <w:tc>
          <w:tcPr>
            <w:tcW w:w="4876" w:type="dxa"/>
            <w:tcBorders>
              <w:top w:val="nil"/>
              <w:left w:val="nil"/>
              <w:bottom w:val="nil"/>
              <w:right w:val="nil"/>
            </w:tcBorders>
          </w:tcPr>
          <w:p>
            <w:pPr>
              <w:pStyle w:val="Normal6a"/>
            </w:pPr>
            <w:r>
              <w:t>11.</w:t>
            </w:r>
            <w:r>
              <w:tab/>
            </w:r>
            <w:r>
              <w:t>pauž nopietnas bažas par to, ka vardarbība pret sievietēm joprojām ir spiedīga problēma, jo feminicīdu skaits joprojām ir liels</w:t>
            </w:r>
            <w:r>
              <w:rPr>
                <w:b/>
                <w:i/>
              </w:rPr>
              <w:t>;</w:t>
            </w:r>
            <w:r>
              <w:t xml:space="preserve"> </w:t>
            </w:r>
            <w:r>
              <w:rPr>
                <w:b/>
                <w:i/>
              </w:rPr>
              <w:t>šajā ziņā pauž bažas par islāmisma izplatīšanos valstī, kurā jau tā dominē islāms un kurai raksturīga slikta izturēšanās pret sieviešu tiesībām</w:t>
            </w:r>
            <w:r>
              <w:t>; mudina uzlabot atbalsta pakalpojumus cietušajiem, jo īpaši veselības aprūpi, patvēruma finansēšanu, bezmaksas juridisko palīdzību un cietušo reintegrāciju un rehabilitāciju;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pauž bažas par pārkāpumiem, ko konstatējusi partija, kas pārstāv grieķu minoritāti Albānijā, atkārtotajās pašvaldību vēlēšanās Himarā pagājušā gada augustā;</w:t>
            </w:r>
            <w:r>
              <w:t xml:space="preserve"> </w:t>
            </w:r>
            <w:r>
              <w:rPr>
                <w:b/>
                <w:i/>
              </w:rPr>
              <w:t>atgādina, ka pie etniskajām minoritātēm piederošu personu tiesību, tostarp pārstāvības tiesību, ievērošana ir daļa no Albānijas starptautiskajām saistībām un svarīgs faktors pievienošanās sarunās;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mudina Albāniju aizsargāt un veicināt pie minoritātēm piederošu personu tiesības saskaņā ar tās starptautiskajām saistībām un Eiropas un starptautiskajiem standartiem, cita starpā, nodrošinot tiesiskā regulējuma efektīvu īstenošanu;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Ondřej Kolář,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aicina Albānijas valdību pilnībā ievērot un aizsargāt cilvēktiesības, tostarp minoritāšu tiesības, un nodrošināt visu paziņoto cilvēktiesību pārkāpumu, tostarp naida runas, ātru un rūpīgu izmeklēšanu;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pauž bažas par to, ka nav pienācīgi aizsargātas tiesības uz īpašumu;</w:t>
            </w:r>
            <w:r>
              <w:t xml:space="preserve"> </w:t>
            </w:r>
            <w:r>
              <w:rPr>
                <w:b/>
                <w:i/>
              </w:rPr>
              <w:t>aicina Albānijas valdību veicināt pirmreizējo reģistrāciju un kompensāciju, uzlabojot valsts kadastra pārredzamību un īpašumu reģistra kadastrālo datu kvalitāti;</w:t>
            </w:r>
            <w:r>
              <w:t xml:space="preserve"> </w:t>
            </w:r>
            <w:r>
              <w:rPr>
                <w:b/>
                <w:i/>
              </w:rPr>
              <w:t>uzsver, cik svarīgas ir tiesības uz taisnīgu tiesu un tiesības uz efektīvu tiesisko aizsardzību īpašumu atsavināšanas un atņemšanas gadījumos;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Ondřej Kolář,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atkārtoti aicina valdību pieņemt atlikušos īstenošanas tiesību aktus par pie minoritātēm piederošu personu tiesībām, jo īpaši par pašidentifikāciju un minoritāšu valodu lietošanu saskaņā ar 2017. gada Pamatlikumu par nacionālo minoritāšu aizsardzību saskaņā ar Eiropas standartiem;</w:t>
            </w:r>
            <w:r>
              <w:t xml:space="preserve"> </w:t>
            </w:r>
            <w:r>
              <w:rPr>
                <w:b/>
                <w:i/>
              </w:rPr>
              <w:t>aicina iestādes palielināt Valsts mazākumtautību komitejas kapacitāti;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atzinīgi vērtē to, ka beidzot pieņemti īstenošanas tiesību akti par pie minoritātēm piederīgu personu tiesībām, jo īpaši par pašidentifikāciju un minoritāšu valodu lietošanu, un uzsver, ka šie nolikumi ir pilnībā un efektīvi jāīsteno, lai patiešām praksē tiktu nodrošinātas minoritāšu tiesības un ar izglītību saistītās tiesības;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Ondřej Kolář,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mudina Albānijas iestādes respektēt un ievērot minoritāšu kopienu īpašumtiesības, nodrošinot, ka visi pilsoņi neatkarīgi no viņu etniskās izcelsmes saņem vienlīdzīgu aizsardzību saskaņā ar tiesību aktiem;</w:t>
            </w:r>
            <w:r>
              <w:t xml:space="preserve"> </w:t>
            </w:r>
            <w:r>
              <w:rPr>
                <w:b/>
                <w:i/>
              </w:rPr>
              <w:t>aicina Albānijas iestādes veikt jēgpilnus pasākumus, lai novērstu vēsturisko netaisnību, kas saistīta ar īpašuma prasībām, palielināt minoritāšu paļāvību un saskaņot valstu politiku ar ES pamatvērtībām — nediskrimināciju un vienlīdzīgu attieksmi;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atgādina, ka Albānijai būtu jāaizsargā tiesības uz īpašumu, jo īpaši panākot izšķirošu progresu attiecībā uz pirmreizējo reģistrāciju un kompensāciju, uzlabojot valsts kadastra pārredzamību un īpašumu reģistra kadastrālo datu kvalitāti un nodrošinot, ka īpašuma atsavināšanas un atņemšanas gadījumos tiek ievērotas tiesības uz taisnīgu tiesu un tiesības uz efektīvu tiesību aizsardzību;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atzinīgi vērtē vēl nepieņemto īstenošanas tiesību aktu pieņemšanu un sagaida, ka tos pilnībā piemēros, lai praksē aizsargātu minoritāšu tiesības, jo īpaši tiesības uz attiecībā uz pašnoteikšanos, izglītību un minoritāšu valodu lietošanu;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11.d</w:t>
            </w:r>
            <w:r>
              <w:tab/>
            </w:r>
            <w:r>
              <w:rPr>
                <w:b/>
                <w:i/>
              </w:rPr>
              <w:t>atzinīgi vērtē sekmīgo 2024. gada tautas skaitīšanu, kas notika uzticības un pārredzamības gaisotnē, un tās rezultātus;</w:t>
            </w:r>
            <w:r>
              <w:t xml:space="preserve"> </w:t>
            </w:r>
            <w:r>
              <w:rPr>
                <w:b/>
                <w:i/>
              </w:rPr>
              <w:t>uzsver, ka Albānijai būtu jākalpo par pozitīvu modeli reģionā iedzīvotāju skaitīšanai;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pauž bažas par pastāvīgiem trūkumiem attiecībā uz personām ar invaliditāti un dzimumu līdztiesību, piemēram, nesaskaņotību vai daļēju saskaņošanos ar ES acquis;</w:t>
            </w:r>
          </w:p>
        </w:tc>
        <w:tc>
          <w:tcPr>
            <w:tcW w:w="4876" w:type="dxa"/>
            <w:tcBorders>
              <w:top w:val="nil"/>
              <w:left w:val="nil"/>
              <w:bottom w:val="nil"/>
              <w:right w:val="nil"/>
            </w:tcBorders>
          </w:tcPr>
          <w:p>
            <w:pPr>
              <w:pStyle w:val="Normal6a"/>
            </w:pPr>
            <w:r>
              <w:t>12.</w:t>
            </w:r>
            <w:r>
              <w:tab/>
            </w:r>
            <w:r>
              <w:t xml:space="preserve">pauž bažas par pastāvīgiem trūkumiem attiecībā uz personām ar invaliditāti un dzimumu līdztiesību, piemēram, nesaskaņotību vai daļēju saskaņošanos ar ES acquis; </w:t>
            </w:r>
            <w:r>
              <w:rPr>
                <w:b/>
                <w:i/>
              </w:rPr>
              <w:t>atzīst, ka Albānijai ir pilnībā jāsaskaņ ar Stambulas konvenciju savs tiesiskais regulējums par dzimumbalstītu vardarbību;</w:t>
            </w:r>
            <w:r>
              <w:t xml:space="preserve"> </w:t>
            </w:r>
            <w:r>
              <w:rPr>
                <w:b/>
                <w:i/>
              </w:rPr>
              <w:t>norāda, ka Pasaules Ekonomikas foruma 2024. gada ziņojumā par dzimumu nevienlīdzību pasaulē Albānija ir nokritusies par sešām vietām, ierindojoties 23. vietā pasaulē, kas liecina par aizvien lielāku dzimumu nevienlīdzību;</w:t>
            </w:r>
            <w:r>
              <w:t xml:space="preserve"> </w:t>
            </w:r>
            <w:r>
              <w:rPr>
                <w:b/>
                <w:i/>
              </w:rPr>
              <w:t>pauž nopietnas bažas par to, ka vardarbība pret sievietēm joprojām ir spiedīga problēma, jo feminicīdu skaits joprojām ir liels;</w:t>
            </w:r>
            <w:r>
              <w:t xml:space="preserve"> </w:t>
            </w:r>
            <w:r>
              <w:rPr>
                <w:b/>
                <w:i/>
              </w:rPr>
              <w:t>aicina pilnībā un efektīvi piemērot spēkā esošos tiesību aktus, tostarp stingrāk īstenot aizsardzības pasākumus un uzlabot tiesu iestāžu spēju reaģēt uz dzimumbalstītas vardarbības gadījumiem, kā uzsvērts Eiropas Komisijas 2024. gada ziņojumā par Albāniju;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pauž bažas par pastāvīgiem trūkumiem attiecībā uz personām ar invaliditāti un dzimumu līdztiesību, piemēram, nesaskaņotību vai daļēju saskaņošanos ar ES acquis;</w:t>
            </w:r>
          </w:p>
        </w:tc>
        <w:tc>
          <w:tcPr>
            <w:tcW w:w="4876" w:type="dxa"/>
            <w:tcBorders>
              <w:top w:val="nil"/>
              <w:left w:val="nil"/>
              <w:bottom w:val="nil"/>
              <w:right w:val="nil"/>
            </w:tcBorders>
          </w:tcPr>
          <w:p>
            <w:pPr>
              <w:pStyle w:val="Normal6a"/>
            </w:pPr>
            <w:r>
              <w:t>12.</w:t>
            </w:r>
            <w:r>
              <w:tab/>
            </w:r>
            <w:r>
              <w:rPr>
                <w:b/>
                <w:i/>
              </w:rPr>
              <w:t>uzsver, ka ir svarīgi visu laiku stiprināt pie minoritātēm piederošu personu tiesību aizsardzību.</w:t>
            </w:r>
            <w:r>
              <w:t xml:space="preserve"> </w:t>
            </w:r>
            <w:r>
              <w:rPr>
                <w:b/>
                <w:i/>
              </w:rPr>
              <w:t>tāpēc norāda, ka saskaņā ar 2017. gada Pamatlikumu par nacionālo minoritāšu aizsardzību ir pieņemti pēdējie atlikušie nolikumi, un mudina tos īstenot saskaņā ar augstākajiem Eiropas standartiem;</w:t>
            </w:r>
            <w:r>
              <w:t xml:space="preserve"> pauž bažas par pastāvīgiem trūkumiem attiecībā uz personām ar invaliditāti un dzimumu līdztiesību, piemēram, nesaskaņotību vai daļēju saskaņošanos ar ES acquis;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pauž bažas par pastāvīgiem trūkumiem attiecībā uz personām ar invaliditāti un dzimumu līdztiesību, piemēram, nesaskaņotību vai daļēju saskaņošanos ar ES acquis;</w:t>
            </w:r>
          </w:p>
        </w:tc>
        <w:tc>
          <w:tcPr>
            <w:tcW w:w="4876" w:type="dxa"/>
            <w:tcBorders>
              <w:top w:val="nil"/>
              <w:left w:val="nil"/>
              <w:bottom w:val="nil"/>
              <w:right w:val="nil"/>
            </w:tcBorders>
          </w:tcPr>
          <w:p>
            <w:pPr>
              <w:pStyle w:val="Normal6a"/>
            </w:pPr>
            <w:r>
              <w:t>12.</w:t>
            </w:r>
            <w:r>
              <w:tab/>
            </w:r>
            <w:r>
              <w:t xml:space="preserve">pauž bažas par pastāvīgiem trūkumiem attiecībā uz personām ar invaliditāti un dzimumu līdztiesību, piemēram, nesaskaņotību vai daļēju saskaņošanos ar ES acquis; </w:t>
            </w:r>
            <w:r>
              <w:rPr>
                <w:b/>
                <w:i/>
              </w:rPr>
              <w:t>norāda, ka laukos un nomaļos apvidos dzīvojošām sievietēm, romu un ēģiptiešu sievietēm un LGBTIQ personām joprojām ir ierobežota piekļuve primārajai veselības aprūpei;</w:t>
            </w:r>
            <w:r>
              <w:t xml:space="preserve"> </w:t>
            </w:r>
            <w:r>
              <w:rPr>
                <w:b/>
                <w:i/>
              </w:rPr>
              <w:t>runāt par diskriminējošu un naidīgu runu pret LGBTIQ kopienu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pauž bažas par pastāvīgajām diskriminācijas un sociālās atstumtības problēmām, kas skar minoritāšu grupas Albānijā, sevišķi attiecībā uz piekļuvi izglītībai, nodarbinātībai un sabiedriskajiem pakalpojumiem;</w:t>
            </w:r>
            <w:r>
              <w:t xml:space="preserve"> </w:t>
            </w:r>
            <w:r>
              <w:rPr>
                <w:b/>
                <w:i/>
              </w:rPr>
              <w:t>uzsver prasību pilnībā pieskaņoties ES acquis diskriminācijas novēršanas politikas un minoritāšu tiesību jomā, nodrošinot vienlīdzīgas iespējas un aizsardzību pret marginalizāciju;</w:t>
            </w:r>
            <w:r>
              <w:t xml:space="preserve"> </w:t>
            </w:r>
            <w:r>
              <w:rPr>
                <w:b/>
                <w:i/>
              </w:rPr>
              <w:t>aicina ātri pieņemt un efektīvi īstenot tiesisko regulējumu, kas garantē kultūras, valodas un reliģiskās tiesības, vienlaikus veicinot sociālo un ekonomisko iekļaušanu;</w:t>
            </w:r>
            <w:r>
              <w:t xml:space="preserve"> </w:t>
            </w:r>
            <w:r>
              <w:rPr>
                <w:b/>
                <w:i/>
              </w:rPr>
              <w:t>mudina Albānijas iestādes uzlabot institucionālos mehānismus, lai novērstu diskrimināciju un nodrošinātu visu kopienu jēgpilnu politisko līdzdalību saskaņā ar ieteikumiem Eiropas Komisijas 2024. gada ziņojumā par Albāniju;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atgādina par to, cik svarīgi ir pasākumi, ar kuriem tiek nodrošināta nacionālo minoritāšu aizsardzība un aktīva loma sabiedrībā;</w:t>
            </w:r>
            <w:r>
              <w:t xml:space="preserve"> </w:t>
            </w:r>
            <w:r>
              <w:rPr>
                <w:b/>
                <w:i/>
              </w:rPr>
              <w:t>aicina Albāniju nodrošināt, lai minoritāšu grupām būtu vienlīdzīgas iespējas un atbilstīga pārstāvība politiskajā un kultūras dzīvē, sabiedriskajos medijos un valsts pārvaldē, kā arī tiesu iestādēs;</w:t>
            </w:r>
            <w:r>
              <w:t xml:space="preserve"> </w:t>
            </w:r>
            <w:r>
              <w:rPr>
                <w:b/>
                <w:i/>
              </w:rPr>
              <w:t>aicina Albāniju aizsargāt un veicināt savu nacionālo minoritāšu kultūras mantojumu, valodas un tradīcijas;</w:t>
            </w:r>
            <w:r>
              <w:t xml:space="preserve"> </w:t>
            </w:r>
            <w:r>
              <w:rPr>
                <w:b/>
                <w:i/>
              </w:rPr>
              <w:t>aicina Albāniju pārskatīt metodes Nacionālo minoritāšu komitejas locekļu atlasei saskaņā ar Vispārējās konvencijas par nacionālo minoritāšu aizsardzību ieteikumu;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atzinīgi vērtē to, ka ir pieņemts jauns un labāk finansēts valsts rīcības plāns attiecībā uz LGBTI+ personām;</w:t>
            </w:r>
            <w:r>
              <w:t xml:space="preserve"> </w:t>
            </w:r>
            <w:r>
              <w:rPr>
                <w:b/>
                <w:i/>
              </w:rPr>
              <w:t>tomēr pauž nožēlu par to, ka nav panākts progress, ierosinot nepieciešamos tiesību aktus šajā jomā, un aicina iestādes pieņemt nepieciešamos tiesību aktus par dzimumidentitātes un dzimumpazīmju atzīšanu, kā arī par viendzimuma partnerattiecībām/laulībām;</w:t>
            </w:r>
            <w:r>
              <w:t xml:space="preserve"> </w:t>
            </w:r>
            <w:r>
              <w:rPr>
                <w:b/>
                <w:i/>
              </w:rPr>
              <w:t>pauž nožēlu par to, ka LGBTI+ personas joprojām saskaras ar draudiem un noniecinošām mediju kampaņām un ka publiskās pārvaldes iestādes nenodrošina tām pienācīgu aizsardzību;</w:t>
            </w:r>
            <w:r>
              <w:t xml:space="preserve"> </w:t>
            </w:r>
            <w:r>
              <w:rPr>
                <w:b/>
                <w:i/>
              </w:rPr>
              <w:t>mudina valsts pārvaldes iestādes apliecināt stingru apņemšanos aizsargāt LGBT+ tiesības;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atgādina par nacionālo minoritāšu izglītības būtisko nozīmi un tāpēc aicina Albāniju nodrošināt vienlīdzīgu un nediskriminējošu izglītību minoritāšu valodās, kā arī pienācīgu piekļuvi valsts izglītībai pamata un augstākajā līmenī visiem tās iedzīvotājiem;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joprojām pauž bažas par izglītības zemo kvalitāti un izglītību priekšlaicīgi pametušo lielo skaitu, kā arī par zemo digitālo prasmju līmeni;</w:t>
            </w:r>
            <w:r>
              <w:t xml:space="preserve"> </w:t>
            </w:r>
            <w:r>
              <w:rPr>
                <w:b/>
                <w:i/>
              </w:rPr>
              <w:t>aicina palielināt ieguldījumus izglītības sistēmas modernizēšanā, lai izglītība būtu kvalitatīva un iekļaujoša;</w:t>
            </w:r>
            <w:r>
              <w:t xml:space="preserve"> </w:t>
            </w:r>
            <w:r>
              <w:rPr>
                <w:b/>
                <w:i/>
              </w:rPr>
              <w:t>aicina Albāniju īstenot pasākumus, lai veicinātu nodarbinātības un izglītības iespējas personām ar invaliditāti;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atzinīgi vērtē to, ka ir pieņemts likums par personas datu aizsardzību, kura mērķis ir panākt pilnīgu saskaņotību ar ES acquis</w:t>
            </w:r>
            <w:r>
              <w:rPr>
                <w:b/>
                <w:i/>
              </w:rPr>
              <w:t>, taču</w:t>
            </w:r>
            <w:r>
              <w:t xml:space="preserve"> pauž nopietnas bažas par personas datu apstrādi un nepilnībām IT sistēmās; aicina Albānijas iestādes uzlabot aizsardzību pret datu aizsardzības pārkāpumiem;</w:t>
            </w:r>
          </w:p>
        </w:tc>
        <w:tc>
          <w:tcPr>
            <w:tcW w:w="4876" w:type="dxa"/>
            <w:tcBorders>
              <w:top w:val="nil"/>
              <w:left w:val="nil"/>
              <w:bottom w:val="nil"/>
              <w:right w:val="nil"/>
            </w:tcBorders>
          </w:tcPr>
          <w:p>
            <w:pPr>
              <w:pStyle w:val="Normal6a"/>
            </w:pPr>
            <w:r>
              <w:t>13.</w:t>
            </w:r>
            <w:r>
              <w:tab/>
            </w:r>
            <w:r>
              <w:t>atzinīgi vērtē to, ka ir pieņemts likums par personas datu aizsardzību, kura mērķis ir panākt pilnīgu saskaņotību ar ES acquis</w:t>
            </w:r>
            <w:r>
              <w:rPr>
                <w:b/>
                <w:i/>
              </w:rPr>
              <w:t>;</w:t>
            </w:r>
            <w:r>
              <w:t xml:space="preserve"> </w:t>
            </w:r>
            <w:r>
              <w:rPr>
                <w:b/>
                <w:i/>
              </w:rPr>
              <w:t>uzteic Albānijas iestādes par īstenošanas tiesību aktu pieņemšanu attiecībā uz procedūru un taisnīgu kompensāciju par nezināmu autoru darbu izmantošanu un autortiesību darbu datubāzi;</w:t>
            </w:r>
            <w:r>
              <w:t xml:space="preserve"> </w:t>
            </w:r>
            <w:r>
              <w:rPr>
                <w:b/>
                <w:i/>
              </w:rPr>
              <w:t>tomēr</w:t>
            </w:r>
            <w:r>
              <w:t xml:space="preserve"> pauž nopietnas bažas par personas datu apstrādi un nepilnībām IT sistēmās; aicina Albānijas iestādes uzlabot aizsardzību pret datu aizsardzības pārkāpumiem; </w:t>
            </w:r>
            <w:r>
              <w:rPr>
                <w:b/>
                <w:i/>
              </w:rPr>
              <w:t>aicina Albāniju turpināt sadarbību ar Eiropas Savienības Intelektuālā īpašuma biroju;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atzinīgi vērtē to, ka ir pieņemts likums par personas datu aizsardzību, kura mērķis ir panākt pilnīgu saskaņotību ar ES acquis, taču pauž nopietnas bažas par personas datu apstrādi un nepilnībām IT sistēmās; aicina Albānijas iestādes uzlabot aizsardzību pret datu aizsardzības pārkāpumiem;</w:t>
            </w:r>
          </w:p>
        </w:tc>
        <w:tc>
          <w:tcPr>
            <w:tcW w:w="4876" w:type="dxa"/>
            <w:tcBorders>
              <w:top w:val="nil"/>
              <w:left w:val="nil"/>
              <w:bottom w:val="nil"/>
              <w:right w:val="nil"/>
            </w:tcBorders>
          </w:tcPr>
          <w:p>
            <w:pPr>
              <w:pStyle w:val="Normal6a"/>
            </w:pPr>
            <w:r>
              <w:t>13.</w:t>
            </w:r>
            <w:r>
              <w:tab/>
            </w:r>
            <w:r>
              <w:t xml:space="preserve">atzinīgi vērtē to, ka ir pieņemts likums par personas datu aizsardzību, kura mērķis ir panākt pilnīgu saskaņotību ar ES acquis, taču pauž nopietnas bažas par personas datu apstrādi un nepilnībām IT sistēmās; aicina Albānijas iestādes </w:t>
            </w:r>
            <w:r>
              <w:rPr>
                <w:b/>
                <w:i/>
              </w:rPr>
              <w:t>pastiprināt aizsardzības pasākumus pret datu aizsardzības pārkāpumiem, uzlabot prevenciju un sabiedrības informētību un palielināt iestāžu kapacitāti, lai efektīvi īstenotu jauno Likumu par personas datu aizsardzību;</w:t>
            </w:r>
            <w:r>
              <w:t xml:space="preserve"> </w:t>
            </w:r>
            <w:r>
              <w:rPr>
                <w:b/>
                <w:i/>
              </w:rPr>
              <w:t>aicina Albānijas iestādes</w:t>
            </w:r>
            <w:r>
              <w:t xml:space="preserve"> uzlabot aizsardzību pret datu aizsardzības pārkāpumiem;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Hermann Tertsch, 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atzinīgi vērtē to, ka ir pieņemts likums par personas datu aizsardzību, kura mērķis ir panākt pilnīgu saskaņotību ar ES acquis, taču pauž nopietnas bažas par personas datu apstrādi un nepilnībām IT sistēmās; aicina Albānijas iestādes uzlabot aizsardzību pret datu aizsardzības pārkāpumiem;</w:t>
            </w:r>
          </w:p>
        </w:tc>
        <w:tc>
          <w:tcPr>
            <w:tcW w:w="4876" w:type="dxa"/>
            <w:tcBorders>
              <w:top w:val="nil"/>
              <w:left w:val="nil"/>
              <w:bottom w:val="nil"/>
              <w:right w:val="nil"/>
            </w:tcBorders>
          </w:tcPr>
          <w:p>
            <w:pPr>
              <w:pStyle w:val="Normal6a"/>
            </w:pPr>
            <w:r>
              <w:t>13.</w:t>
            </w:r>
            <w:r>
              <w:tab/>
            </w:r>
            <w:r>
              <w:t xml:space="preserve">atzinīgi vērtē to, ka ir pieņemts likums par personas datu aizsardzību, kura mērķis ir panākt pilnīgu saskaņotību ar ES acquis, taču pauž nopietnas bažas par personas datu apstrādi un nepilnībām IT sistēmās; aicina Albānijas iestādes uzlabot aizsardzību pret datu aizsardzības pārkāpumiem; </w:t>
            </w:r>
            <w:r>
              <w:rPr>
                <w:b/>
                <w:i/>
              </w:rPr>
              <w:t>pauž bažas par apdraudējumu, ko valstij rada ļaunprātīga ārvalstu iejaukšanās;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pauž dziļas bažas par Itālijas un Albānijas saprašanās memorandu, kas rada nopietnas bažas par cilvēktiesību pārkāpumiem, tostarp par patvēruma tiesību aizskārumu, atbildības par patvēruma meklētājiem nodošanu ārpakalpojumā, risku, ka tiks īstenota izraidīšana un būs nevienlīdzīga attieksme un neatbilstība ES tiesību aktiem, jo īpaši ES Hartas 18. pantam;</w:t>
            </w:r>
            <w:r>
              <w:t xml:space="preserve"> </w:t>
            </w:r>
            <w:r>
              <w:rPr>
                <w:b/>
                <w:i/>
              </w:rPr>
              <w:t>atgādina, ka Itālijas tiesas vairākkārt ir noraidījušas pārsūtīšanu uz Albānijas centru un centrs pašlaik netiek izmantots;</w:t>
            </w:r>
            <w:r>
              <w:t xml:space="preserve"> </w:t>
            </w:r>
            <w:r>
              <w:rPr>
                <w:b/>
                <w:i/>
              </w:rPr>
              <w:t>mudina Komisiju nekavējoties iesniegt Parlamentam savu juridisko analīzi par šo saprašanās memorandu;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Ilaria Salis, 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pauž bažas par to, ka pastāv aizdomas, ka visu laiku tiek īstenota atstumšanas no robežām prakse</w:t>
            </w:r>
            <w:r>
              <w:rPr>
                <w:b/>
                <w:i/>
                <w:vertAlign w:val="superscript"/>
              </w:rPr>
              <w:t>1a</w:t>
            </w:r>
            <w:r>
              <w:rPr>
                <w:b/>
                <w:i/>
              </w:rPr>
              <w:t>, kas tiek veikta, balstoties uz Albānijas Ārvalstnieku likuma 102. panta interpretāciju;</w:t>
            </w:r>
            <w:r>
              <w:t xml:space="preserve"> </w:t>
            </w:r>
            <w:r>
              <w:rPr>
                <w:b/>
                <w:i/>
              </w:rPr>
              <w:t>tādēļ aicina Albānijas iestādes pilnībā īstenot savus valsts tiesību aktus, kā arī Eiropas Pamattiesību hartas garantijas attiecībā uz patvēruma pieteikuma procedūru;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Frontex SIR 10910/2023, 11153/2023.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Ilaria Salis, 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norāda, ka Itālijas un Albānijas vienošanās ir vairākkārt saskārusies ar juridiskām problēmām, un uzsver, ka dalībvalstīm ir pilnībā jāievēro ES tiesību akti un Eiropas Savienības Tiesas nolēmumi;</w:t>
            </w:r>
            <w:r>
              <w:t xml:space="preserve"> </w:t>
            </w:r>
            <w:r>
              <w:rPr>
                <w:b/>
                <w:i/>
              </w:rPr>
              <w:t>noraida jebkādus priekšlikumus par patvēruma procedūru nodošanu trešām valstīm, jo tas apdraud pamattiesības meklēt patvērumu ES teritorijā un pārkāpj gan ES, gan starptautiskās tiesības;</w:t>
            </w:r>
            <w:r>
              <w:t xml:space="preserve"> </w:t>
            </w:r>
            <w:r>
              <w:rPr>
                <w:b/>
                <w:i/>
              </w:rPr>
              <w:t>uzsver, ka ārēji apstrādes mehānismi, tostarp atgriešanas centri, pārkāpj to personu tiesības, kuras bēg no vajāšanas, konfliktiem vai ekonomiskām grūtībām;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turklāt pauž bažas par ES un atsevišķu dalībvalstu plašāko tendenci spiest pievienošanās valstis sadarboties ar tām savas migrācijas politikas programmas īstenošanā, ņemot vērā to virsroku pār pievienošanās sarunvalstīm, un mudina pārtraukt šo praksi;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atzinīgi vērtē progresu, ko Albānija ir panākusi, īstenojot tiesu sistēmas reformas, tostarp attiecībā uz pārbaudes procesu, kas pabeigts pirmajā instancē; tomēr pauž bažas par nepārtraukto politisko iejaukšanos un spiedienu uz tiesu sistēmu;</w:t>
            </w:r>
          </w:p>
        </w:tc>
        <w:tc>
          <w:tcPr>
            <w:tcW w:w="4876" w:type="dxa"/>
            <w:tcBorders>
              <w:top w:val="nil"/>
              <w:left w:val="nil"/>
              <w:bottom w:val="nil"/>
              <w:right w:val="nil"/>
            </w:tcBorders>
          </w:tcPr>
          <w:p>
            <w:pPr>
              <w:pStyle w:val="Normal6a"/>
            </w:pPr>
            <w:r>
              <w:t>14.</w:t>
            </w:r>
            <w:r>
              <w:tab/>
            </w:r>
            <w:r>
              <w:t xml:space="preserve">atzinīgi vērtē progresu, ko Albānija ir panākusi, īstenojot tiesu sistēmas reformas, tostarp attiecībā uz pārbaudes procesu, kas pabeigts pirmajā instancē; tomēr pauž bažas par nepārtraukto politisko iejaukšanos un spiedienu uz tiesu sistēmu; </w:t>
            </w:r>
            <w:r>
              <w:rPr>
                <w:b/>
                <w:i/>
              </w:rPr>
              <w:t>aicina Eiropas Komisiju cieši uzraudzīt Albānijas pakļautību ārvalstu ļaunprātīgai ietekmei;</w:t>
            </w:r>
            <w:r>
              <w:t xml:space="preserve"> </w:t>
            </w:r>
            <w:r>
              <w:rPr>
                <w:b/>
                <w:i/>
              </w:rPr>
              <w:t>uzsver, ka ir svarīgi stiprināt neatkarīgas žurnālistikas noturību un apkarot neobjektīvu ziņošanu;</w:t>
            </w:r>
            <w:r>
              <w:t xml:space="preserve"> </w:t>
            </w:r>
            <w:r>
              <w:rPr>
                <w:b/>
                <w:i/>
              </w:rPr>
              <w:t>mudina Albānijas iestādes uzlabot pārredzamības standartus attiecībā uz ārvalstu finansējumu;</w:t>
            </w:r>
            <w:r>
              <w:t xml:space="preserve"> </w:t>
            </w:r>
            <w:r>
              <w:rPr>
                <w:b/>
                <w:i/>
              </w:rPr>
              <w:t>aicina valdību atbalstīt neatkarīgas faktu pārbaudes platformas, lai nodrošinātu publisku piekļuvi precīzai informācijai un saglabātu informācijas telpas integritāti;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atzinīgi vērtē progresu, ko Albānija ir panākusi, īstenojot tiesu sistēmas reformas, tostarp attiecībā uz pārbaudes procesu, kas pabeigts pirmajā instancē; tomēr pauž bažas par nepārtraukto politisko iejaukšanos un spiedienu uz tiesu sistēmu;</w:t>
            </w:r>
          </w:p>
        </w:tc>
        <w:tc>
          <w:tcPr>
            <w:tcW w:w="4876" w:type="dxa"/>
            <w:tcBorders>
              <w:top w:val="nil"/>
              <w:left w:val="nil"/>
              <w:bottom w:val="nil"/>
              <w:right w:val="nil"/>
            </w:tcBorders>
          </w:tcPr>
          <w:p>
            <w:pPr>
              <w:pStyle w:val="Normal6a"/>
            </w:pPr>
            <w:r>
              <w:t>14.</w:t>
            </w:r>
            <w:r>
              <w:tab/>
            </w:r>
            <w:r>
              <w:t xml:space="preserve">atzinīgi vērtē progresu, ko Albānija ir panākusi, īstenojot tiesu sistēmas reformas, tostarp attiecībā uz pārbaudes procesu, kas pabeigts pirmajā instancē; </w:t>
            </w:r>
            <w:r>
              <w:rPr>
                <w:b/>
                <w:i/>
              </w:rPr>
              <w:t>atzinīgi vērtē Albānijas parlamenta sākto jauno, nozīmīgo reformu procesu attiecībā uz labu pārvaldību, tiesiskumu un korupcijas apkarošanu Albānijā līdz 2030. gadam;</w:t>
            </w:r>
            <w:r>
              <w:t xml:space="preserve"> tomēr pauž bažas par nepārtraukto politisko iejaukšanos un spiedienu uz tiesu sistēmu</w:t>
            </w:r>
            <w:r>
              <w:rPr>
                <w:b/>
                <w:i/>
              </w:rPr>
              <w:t>, kā arī par trūkumiem uz nopelniem balstītā Augstākās tiesu padomes (HJC) un Augstākās prokuratūras padomes locekļu, kas nav miertiesneši, iecelšanā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Ondřej Kolář,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atzinīgi vērtē progresu, ko Albānija ir panākusi, īstenojot tiesu sistēmas reformas, </w:t>
            </w:r>
            <w:r>
              <w:rPr>
                <w:b/>
                <w:i/>
              </w:rPr>
              <w:t>tostarp attiecībā uz pārbaudes procesu, kas pabeigts</w:t>
            </w:r>
            <w:r>
              <w:t xml:space="preserve"> pirmajā instancē; tomēr pauž bažas par nepārtraukto politisko iejaukšanos un spiedienu uz tiesu sistēmu;</w:t>
            </w:r>
          </w:p>
        </w:tc>
        <w:tc>
          <w:tcPr>
            <w:tcW w:w="4876" w:type="dxa"/>
            <w:tcBorders>
              <w:top w:val="nil"/>
              <w:left w:val="nil"/>
              <w:bottom w:val="nil"/>
              <w:right w:val="nil"/>
            </w:tcBorders>
          </w:tcPr>
          <w:p>
            <w:pPr>
              <w:pStyle w:val="Normal6a"/>
            </w:pPr>
            <w:r>
              <w:t>14.</w:t>
            </w:r>
            <w:r>
              <w:tab/>
            </w:r>
            <w:r>
              <w:t xml:space="preserve">atzinīgi vērtē progresu, ko Albānija ir panākusi, īstenojot tiesu sistēmas reformas, </w:t>
            </w:r>
            <w:r>
              <w:rPr>
                <w:b/>
                <w:i/>
              </w:rPr>
              <w:t>kuru mērķis ir stiprināt tiesu iestāžu neatkarību, pārredzamību un pārskatatbildību, tostarp attiecībā uz</w:t>
            </w:r>
            <w:r>
              <w:t xml:space="preserve"> pirmajā instancē </w:t>
            </w:r>
            <w:r>
              <w:rPr>
                <w:b/>
                <w:i/>
              </w:rPr>
              <w:t>pabeigto pārbaudes procesu</w:t>
            </w:r>
            <w:r>
              <w:t xml:space="preserve">; tomēr pauž bažas par nepārtraukto politisko iejaukšanos un spiedienu uz tiesu sistēmu; </w:t>
            </w:r>
            <w:r>
              <w:rPr>
                <w:b/>
                <w:i/>
              </w:rPr>
              <w:t>pauž bažas par trūkumiem uz nopelniem balstītā Augstākās tiesu padomes un Augstākās prokuratūras padomes locekļu, kas nav miertiesneši, iecelšanā amatā un viņu godprātībā;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atzinīgi vērtē progresu, ko Albānija ir panākusi, īstenojot tiesu sistēmas reformas, tostarp attiecībā uz pārbaudes procesu, kas pabeigts pirmajā instancē;</w:t>
            </w:r>
            <w:r>
              <w:t xml:space="preserve"> </w:t>
            </w:r>
            <w:r>
              <w:rPr>
                <w:b/>
                <w:i/>
              </w:rPr>
              <w:t>tomēr pauž bažas par nepārtraukto politisko iejaukšanos un spiedienu uz</w:t>
            </w:r>
            <w:r>
              <w:t xml:space="preserve"> tiesu </w:t>
            </w:r>
            <w:r>
              <w:rPr>
                <w:b/>
                <w:i/>
              </w:rPr>
              <w:t>sistēmu</w:t>
            </w:r>
            <w:r>
              <w:t>;</w:t>
            </w:r>
          </w:p>
        </w:tc>
        <w:tc>
          <w:tcPr>
            <w:tcW w:w="4876" w:type="dxa"/>
            <w:tcBorders>
              <w:top w:val="nil"/>
              <w:left w:val="nil"/>
              <w:bottom w:val="nil"/>
              <w:right w:val="nil"/>
            </w:tcBorders>
          </w:tcPr>
          <w:p>
            <w:pPr>
              <w:pStyle w:val="Normal6a"/>
            </w:pPr>
            <w:r>
              <w:t>14.</w:t>
            </w:r>
            <w:r>
              <w:tab/>
            </w:r>
            <w:r>
              <w:rPr>
                <w:b/>
                <w:i/>
              </w:rPr>
              <w:t>norāda, ka, neraugoties uz to, ka Albānijā ir pieņemti tiesību akti par tiesu reformu īstenošanu, tiesu sistēmu pilnībā kontrolē valdība un nav reālu</w:t>
            </w:r>
            <w:r>
              <w:t xml:space="preserve"> tiesu </w:t>
            </w:r>
            <w:r>
              <w:rPr>
                <w:b/>
                <w:i/>
              </w:rPr>
              <w:t>amatpersonu</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pauž dziļas bažas par pierādījumiem, kas liecina par Albānijas tiesu varas politizāciju, par ko liecina Eiropas Cilvēktiesību tiesas iejaukšanās opozīcijas līdera Sali Berisha arestā un Venēcijas komisijas brīdinājumi par to, ka valdošā partija kontrolē tiesu sistēmas reformas;</w:t>
            </w:r>
            <w:r>
              <w:t xml:space="preserve"> </w:t>
            </w:r>
            <w:r>
              <w:rPr>
                <w:b/>
                <w:i/>
              </w:rPr>
              <w:t>aicina steidzami rīkoties, lai nodrošinātu tiesu neatkarību un institucionālo integritāti;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Andrey Kovatchev, Michael Gahler, Ondřej Kolář,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pauž bažas par politisko vajāšanu, patvaļīgu ieslodzīšanu un draudiem, kas vērsti pret opozīcijas līderiem, parlamenta deputātiem un vietējām amatpersonām un kas apdraud demokrātiskas pārvaldības un politiskā plurālisma principus;</w:t>
            </w:r>
            <w:r>
              <w:t xml:space="preserve"> </w:t>
            </w:r>
            <w:r>
              <w:rPr>
                <w:b/>
                <w:i/>
              </w:rPr>
              <w:t>prasa pārtraukt šādas darbības;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uzsver, ka ir jācīnās pret kājnieku ieroču un vieglo ieroču nelikumīgu tirdzniecību, jo Albānija joprojām ir gan šo ieroču mērķa, gan tranzīta valsts;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uzsver Albānijas Īpašās korupcijas un organizētās noziedzības apkarošanas struktūras (SPAK) svarīgo darbu, kas ir panākusi rezultātus augsta līmeņa korupcijas lietu izmeklēšanā, kriminālvajāšanā un notiesāšanā; brīdina, ka nedrīkst apdraudēt neatkarīgu iestāžu, piemēram, SPAK, darbu;</w:t>
            </w:r>
          </w:p>
        </w:tc>
        <w:tc>
          <w:tcPr>
            <w:tcW w:w="4876" w:type="dxa"/>
            <w:tcBorders>
              <w:top w:val="nil"/>
              <w:left w:val="nil"/>
              <w:bottom w:val="nil"/>
              <w:right w:val="nil"/>
            </w:tcBorders>
          </w:tcPr>
          <w:p>
            <w:pPr>
              <w:pStyle w:val="Normal6a"/>
            </w:pPr>
            <w:r>
              <w:t>15.</w:t>
            </w:r>
            <w:r>
              <w:tab/>
            </w:r>
            <w:r>
              <w:t xml:space="preserve">uzsver Albānijas Īpašās korupcijas un organizētās noziedzības apkarošanas struktūras (SPAK) svarīgo darbu, kas ir panākusi rezultātus augsta līmeņa korupcijas lietu izmeklēšanā, kriminālvajāšanā un notiesāšanā; </w:t>
            </w:r>
            <w:r>
              <w:rPr>
                <w:b/>
                <w:i/>
              </w:rPr>
              <w:t>atzinīgi vērtē augsta līmeņa korupcijas izmeklēšanu un tiesvedību, tostarp Tirānas mēra un Erion Veliaj arestu par korupciju, nelikumīgi iegūtu līdzekļu legalizāciju un tamlīdzīgiem noziegumiem;</w:t>
            </w:r>
            <w:r>
              <w:t xml:space="preserve"> </w:t>
            </w:r>
            <w:r>
              <w:rPr>
                <w:b/>
                <w:i/>
              </w:rPr>
              <w:t>uzsver, ka augsta līmeņa amatpersonu notiesāšanas gadījumu skaita palielināšana joprojām ir svarīga prioritāte, kas palīdzēs izskaust valdošo nesodāmības kultūru;</w:t>
            </w:r>
            <w:r>
              <w:t xml:space="preserve"> brīdina, ka nedrīkst apdraudēt neatkarīgu iestāžu, piemēram, SPAK, darbu; </w:t>
            </w:r>
            <w:r>
              <w:rPr>
                <w:b/>
                <w:i/>
              </w:rPr>
              <w:t>pauž nožēlu par iebiedējošo vidi un gadījumiem, kad valsts amatpersonas un augsta ranga politiķi izdara nepamatotu spiedienu uz tiesu iestādēm, kas nopietni apdraud tiesu iestāžu neatkarību;</w:t>
            </w:r>
            <w:r>
              <w:t xml:space="preserve"> </w:t>
            </w:r>
            <w:r>
              <w:rPr>
                <w:b/>
                <w:i/>
              </w:rPr>
              <w:t>pauž bažas par to, ka institucionālā atbalsta trūkums tiesnešiem, kuri saskaras ar draudiem, vājina sabiedrības uzticēšanos un nopietni apdraud tiesiskumu un Albānijas ES integrācijas procesu;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uzsver Albānijas Īpašās korupcijas un organizētās noziedzības apkarošanas struktūras (SPAK) svarīgo darbu, kas ir panākusi rezultātus augsta līmeņa korupcijas lietu izmeklēšanā, kriminālvajāšanā un notiesāšanā; brīdina, ka nedrīkst apdraudēt neatkarīgu iestāžu, piemēram, SPAK, darbu;</w:t>
            </w:r>
          </w:p>
        </w:tc>
        <w:tc>
          <w:tcPr>
            <w:tcW w:w="4876" w:type="dxa"/>
            <w:tcBorders>
              <w:top w:val="nil"/>
              <w:left w:val="nil"/>
              <w:bottom w:val="nil"/>
              <w:right w:val="nil"/>
            </w:tcBorders>
          </w:tcPr>
          <w:p>
            <w:pPr>
              <w:pStyle w:val="Normal6a"/>
            </w:pPr>
            <w:r>
              <w:t>15.</w:t>
            </w:r>
            <w:r>
              <w:tab/>
            </w:r>
            <w:r>
              <w:t>uzsver</w:t>
            </w:r>
            <w:r>
              <w:rPr>
                <w:b/>
                <w:i/>
              </w:rPr>
              <w:t>, ka 2024. gada Transparency International korupcijas uztveres indeksā Albānija ierindojās 80. vietā, kas liecina, ka ir jāpanāk būtisks progress augsta līmeņa korupcijas apkarošanā un tiesu neatkarības nodrošināšanā;</w:t>
            </w:r>
            <w:r>
              <w:t xml:space="preserve"> </w:t>
            </w:r>
            <w:r>
              <w:rPr>
                <w:b/>
                <w:i/>
              </w:rPr>
              <w:t>uzsver</w:t>
            </w:r>
            <w:r>
              <w:t xml:space="preserve"> Albānijas Īpašās korupcijas un organizētās noziedzības apkarošanas struktūras (SPAK) svarīgo darbu, kas ir panākusi rezultātus augsta līmeņa korupcijas lietu izmeklēšanā, kriminālvajāšanā un notiesāšanā</w:t>
            </w:r>
            <w:r>
              <w:rPr>
                <w:b/>
                <w:i/>
              </w:rPr>
              <w:t>, kā arī lietas, kas saistītas ar ES finanšu interešu aizsardzību;</w:t>
            </w:r>
            <w:r>
              <w:t xml:space="preserve"> </w:t>
            </w:r>
            <w:r>
              <w:rPr>
                <w:b/>
                <w:i/>
              </w:rPr>
              <w:t>atzinīgi vērtē to, ka ir palielinājusies SPAK spēja veikt finanšu izmeklēšanu un ir uzlabojusies sistemātiska finanšu izmeklēšanas un aktīvu konfiskācijas izmantošana</w:t>
            </w:r>
            <w:r>
              <w:t>; brīdina, ka nedrīkst apdraudēt neatkarīgu iestāžu, piemēram, SPAK, darbu;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uzsver Albānijas Īpašās korupcijas un organizētās noziedzības apkarošanas struktūras (SPAK) svarīgo darbu, kas ir panākusi rezultātus augsta līmeņa korupcijas lietu izmeklēšanā, kriminālvajāšanā un notiesāšanā; brīdina, ka nedrīkst apdraudēt neatkarīgu iestāžu, piemēram, SPAK, darbu;</w:t>
            </w:r>
          </w:p>
        </w:tc>
        <w:tc>
          <w:tcPr>
            <w:tcW w:w="4876" w:type="dxa"/>
            <w:tcBorders>
              <w:top w:val="nil"/>
              <w:left w:val="nil"/>
              <w:bottom w:val="nil"/>
              <w:right w:val="nil"/>
            </w:tcBorders>
          </w:tcPr>
          <w:p>
            <w:pPr>
              <w:pStyle w:val="Normal6a"/>
            </w:pPr>
            <w:r>
              <w:t>15.</w:t>
            </w:r>
            <w:r>
              <w:tab/>
            </w:r>
            <w:r>
              <w:t xml:space="preserve">uzsver Albānijas Īpašās korupcijas un organizētās noziedzības apkarošanas struktūras (SPAK) svarīgo darbu, kas ir panākusi rezultātus augsta līmeņa korupcijas lietu izmeklēšanā, kriminālvajāšanā un notiesāšanā; brīdina, ka nedrīkst apdraudēt neatkarīgu iestāžu, piemēram, SPAK, darbu; </w:t>
            </w:r>
            <w:r>
              <w:rPr>
                <w:b/>
                <w:i/>
              </w:rPr>
              <w:t>uzsver, ka ir svarīgi nodrošināt korupcijas apkarošanas iestāžu pilnīgu neatkarību, un aicina stiprināt to operatīvo un izmeklēšanas kapacitāti;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uzsver Albānijas Īpašās korupcijas un organizētās noziedzības apkarošanas struktūras (SPAK) svarīgo darbu, kas ir panākusi rezultātus augsta līmeņa korupcijas lietu izmeklēšanā, kriminālvajāšanā un notiesāšanā; </w:t>
            </w:r>
            <w:r>
              <w:rPr>
                <w:b/>
                <w:i/>
              </w:rPr>
              <w:t>brīdina, ka nedrīkst apdraudēt</w:t>
            </w:r>
            <w:r>
              <w:t xml:space="preserve"> neatkarīgu iestāžu, piemēram, SPAK, darbu;</w:t>
            </w:r>
          </w:p>
        </w:tc>
        <w:tc>
          <w:tcPr>
            <w:tcW w:w="4876" w:type="dxa"/>
            <w:tcBorders>
              <w:top w:val="nil"/>
              <w:left w:val="nil"/>
              <w:bottom w:val="nil"/>
              <w:right w:val="nil"/>
            </w:tcBorders>
          </w:tcPr>
          <w:p>
            <w:pPr>
              <w:pStyle w:val="Normal6a"/>
            </w:pPr>
            <w:r>
              <w:t>15.</w:t>
            </w:r>
            <w:r>
              <w:tab/>
            </w:r>
            <w:r>
              <w:t xml:space="preserve">uzsver Albānijas Īpašās korupcijas un organizētās noziedzības apkarošanas struktūras (SPAK) svarīgo darbu, kas ir panākusi rezultātus augsta līmeņa korupcijas lietu izmeklēšanā, kriminālvajāšanā un notiesāšanā; </w:t>
            </w:r>
            <w:r>
              <w:rPr>
                <w:b/>
                <w:i/>
              </w:rPr>
              <w:t>mudina visus dalībniekus pārtraukt un atturēties no jebkādām darbībām, kas apdraud</w:t>
            </w:r>
            <w:r>
              <w:t xml:space="preserve"> neatkarīgu iestāžu, piemēram, SPAK, darbu;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norāda uz problēmām, kas saistītas ar tiesu sistēmas kvalitāti un efektivitāti, tostarp lielo tiesnešu vakanču skaitu, nepietiekamu tiesu darbinieku skaitu, sākotnējās un pastāvīgās tiesiskās apmācības kvalitāti, trūkumus judikatūras konsekvencē un modernas integrētas lietu pārvaldības sistēmas trūkumu; norāda, ka budžeta piešķīrumi ir nepietiekami, jo īpaši attiecībā uz tiesu komponentu;</w:t>
            </w:r>
          </w:p>
        </w:tc>
        <w:tc>
          <w:tcPr>
            <w:tcW w:w="4876" w:type="dxa"/>
            <w:tcBorders>
              <w:top w:val="nil"/>
              <w:left w:val="nil"/>
              <w:bottom w:val="nil"/>
              <w:right w:val="nil"/>
            </w:tcBorders>
          </w:tcPr>
          <w:p>
            <w:pPr>
              <w:pStyle w:val="Normal6a"/>
            </w:pPr>
            <w:r>
              <w:t>16.</w:t>
            </w:r>
            <w:r>
              <w:tab/>
            </w:r>
            <w:r>
              <w:t xml:space="preserve">norāda uz problēmām, kas saistītas ar tiesu sistēmas kvalitāti un efektivitāti, tostarp lielo tiesnešu vakanču skaitu, nepietiekamu tiesu darbinieku skaitu, sākotnējās un pastāvīgās tiesiskās apmācības kvalitāti, trūkumus judikatūras konsekvencē un modernas integrētas lietu pārvaldības sistēmas trūkumu; norāda, ka budžeta piešķīrumi ir nepietiekami, jo īpaši attiecībā uz tiesu komponentu; </w:t>
            </w:r>
            <w:r>
              <w:rPr>
                <w:b/>
                <w:i/>
              </w:rPr>
              <w:t>uzsver, ka neizskatīto lietu uzkrāšanās samazināšanai tiesu sistēmā arī turpmāk vajadzētu būt prioritātei;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uzsver, cik svarīgi ir apkarot organizēto noziedzību un narkotiku kontrabandu;</w:t>
            </w:r>
            <w:r>
              <w:t xml:space="preserve"> </w:t>
            </w:r>
            <w:r>
              <w:rPr>
                <w:b/>
                <w:i/>
              </w:rPr>
              <w:t>aicina Albānijas iestādes objektīvi veikt noziedzības apkarošanas pasākumus;</w:t>
            </w:r>
            <w:r>
              <w:t xml:space="preserve"> </w:t>
            </w:r>
            <w:r>
              <w:rPr>
                <w:b/>
                <w:i/>
              </w:rPr>
              <w:t>pauž satraukumu par ziņotajām saiknēm starp valdības amatpersonām un organizētās noziedzības grupām, tostarp par nelikumīgi iegūtu līdzekļu legalizācijas operācijām, ko atklāja Beļģijas iestādes, un pieprasa veikt apņēmīgus pasākumus un panākt rezultātus organizētās noziedzības saikņu saraušanā ar politiķiem, valsts iestādēm un publiskajiem līdzekļiem;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aicina Albāniju turpināt saskaņot savu tiesisko regulējumu ar ES acquis organizētās noziedzības apkarošanas jomā; norāda uz papildu prokuroru iecelšanu Īpašajā prokuratūrā, kā arī finanšu izmeklēšanas nodaļas izveidi; atzinīgi vērtē Albānijas dalību kopīgās operācijās un sadarbībā Eiropas daudzdisciplīnu platformas pret noziedzības draudiem (EMPACT) ietvaros, kā arī sadarbībā ar Interpolu organizētās noziedzības apkarošanā;</w:t>
            </w:r>
          </w:p>
        </w:tc>
        <w:tc>
          <w:tcPr>
            <w:tcW w:w="4876" w:type="dxa"/>
            <w:tcBorders>
              <w:top w:val="nil"/>
              <w:left w:val="nil"/>
              <w:bottom w:val="nil"/>
              <w:right w:val="nil"/>
            </w:tcBorders>
          </w:tcPr>
          <w:p>
            <w:pPr>
              <w:pStyle w:val="Normal6a"/>
            </w:pPr>
            <w:r>
              <w:t>18.</w:t>
            </w:r>
            <w:r>
              <w:tab/>
            </w:r>
            <w:r>
              <w:t>aicina Albāniju turpināt saskaņot savu tiesisko regulējumu ar ES acquis organizētās noziedzības apkarošanas jomā</w:t>
            </w:r>
            <w:r>
              <w:rPr>
                <w:b/>
                <w:i/>
              </w:rPr>
              <w:t>, tostarp cilvēku un narkotiku un šaujamieroču kontrabandas, kā arī kibernoziedzības, ekstrēmisma un terorisma draudu apkarošanas jomā</w:t>
            </w:r>
            <w:r>
              <w:t xml:space="preserve">; norāda uz papildu prokuroru iecelšanu Īpašajā prokuratūrā, kā arī finanšu izmeklēšanas nodaļas izveidi; atzinīgi vērtē Albānijas dalību kopīgās operācijās un sadarbībā Eiropas daudzdisciplīnu platformas pret noziedzības draudiem (EMPACT) ietvaros, kā arī sadarbībā ar </w:t>
            </w:r>
            <w:r>
              <w:rPr>
                <w:b/>
                <w:i/>
              </w:rPr>
              <w:t>Eiropolu, Eurojust, FRONTEX un</w:t>
            </w:r>
            <w:r>
              <w:t xml:space="preserve"> Interpolu organizētās noziedzības apkarošanā </w:t>
            </w:r>
            <w:r>
              <w:rPr>
                <w:b/>
                <w:i/>
              </w:rPr>
              <w:t>un iznīcināt transnacionālos noziedzīgos tīklus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aicina Albāniju turpināt saskaņot savu tiesisko regulējumu ar ES acquis organizētās noziedzības apkarošanas jomā; norāda uz papildu prokuroru iecelšanu Īpašajā prokuratūrā, kā arī finanšu izmeklēšanas nodaļas izveidi; atzinīgi vērtē Albānijas dalību kopīgās operācijās un sadarbībā Eiropas daudzdisciplīnu platformas pret noziedzības draudiem (EMPACT) ietvaros, kā arī sadarbībā ar Interpolu organizētās noziedzības apkarošanā;</w:t>
            </w:r>
          </w:p>
        </w:tc>
        <w:tc>
          <w:tcPr>
            <w:tcW w:w="4876" w:type="dxa"/>
            <w:tcBorders>
              <w:top w:val="nil"/>
              <w:left w:val="nil"/>
              <w:bottom w:val="nil"/>
              <w:right w:val="nil"/>
            </w:tcBorders>
          </w:tcPr>
          <w:p>
            <w:pPr>
              <w:pStyle w:val="Normal6a"/>
            </w:pPr>
            <w:r>
              <w:t>18.</w:t>
            </w:r>
            <w:r>
              <w:tab/>
            </w:r>
            <w:r>
              <w:t xml:space="preserve">aicina Albāniju turpināt saskaņot savu tiesisko regulējumu ar ES acquis organizētās noziedzības apkarošanas jomā; norāda uz papildu prokuroru iecelšanu Īpašajā prokuratūrā, kā arī finanšu izmeklēšanas nodaļas izveidi; atzinīgi vērtē Albānijas dalību kopīgās operācijās un sadarbībā Eiropas daudzdisciplīnu platformas pret noziedzības draudiem (EMPACT) ietvaros, kā arī sadarbībā ar Interpolu organizētās noziedzības apkarošanā; </w:t>
            </w:r>
            <w:r>
              <w:rPr>
                <w:b/>
                <w:i/>
              </w:rPr>
              <w:t>aicina Albāniju sadarbībā ar ES dalībvalstīm un ES aģentūrām pastiprināt cīņu pret cilvēku tirdzniecību;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aicina Albāniju turpināt saskaņot savu tiesisko regulējumu ar ES acquis organizētās noziedzības apkarošanas jomā; norāda uz papildu prokuroru iecelšanu Īpašajā prokuratūrā, kā arī finanšu izmeklēšanas nodaļas izveidi; atzinīgi vērtē Albānijas dalību kopīgās operācijās un sadarbībā Eiropas daudzdisciplīnu platformas pret noziedzības draudiem (EMPACT) ietvaros, kā arī sadarbībā ar Interpolu organizētās noziedzības apkarošanā;</w:t>
            </w:r>
          </w:p>
        </w:tc>
        <w:tc>
          <w:tcPr>
            <w:tcW w:w="4876" w:type="dxa"/>
            <w:tcBorders>
              <w:top w:val="nil"/>
              <w:left w:val="nil"/>
              <w:bottom w:val="nil"/>
              <w:right w:val="nil"/>
            </w:tcBorders>
          </w:tcPr>
          <w:p>
            <w:pPr>
              <w:pStyle w:val="Normal6a"/>
            </w:pPr>
            <w:r>
              <w:t>18.</w:t>
            </w:r>
            <w:r>
              <w:tab/>
            </w:r>
            <w:r>
              <w:t xml:space="preserve">aicina Albāniju turpināt saskaņot savu tiesisko regulējumu ar ES acquis organizētās noziedzības apkarošanas jomā; norāda uz papildu prokuroru iecelšanu Īpašajā prokuratūrā, kā arī finanšu izmeklēšanas nodaļas izveidi; atzinīgi vērtē Albānijas dalību kopīgās operācijās un sadarbībā Eiropas daudzdisciplīnu platformas pret noziedzības draudiem (EMPACT) ietvaros, kā arī sadarbībā ar Interpolu organizētās noziedzības apkarošanā; </w:t>
            </w:r>
            <w:r>
              <w:rPr>
                <w:b/>
                <w:i/>
              </w:rPr>
              <w:t>atzinīgi vērtē to, ka ir pieņemta jauna stratēģija noziegumos cietušo aizsardzībai;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atzinīgi vērtē Albānijas pieaugošo apņemšanos stiprināt robežu drošību un pārvaldīt migrācijas plūsmas, tostarp uzlabojot kontroles infrastruktūru un paaugstinot robežpolicijas operatīvās spējas;</w:t>
            </w:r>
            <w:r>
              <w:t xml:space="preserve"> </w:t>
            </w:r>
            <w:r>
              <w:rPr>
                <w:b/>
                <w:i/>
              </w:rPr>
              <w:t>uzsver, cik svarīga ir pastāvīga apmācība migrācijas kontroles personālam, lai nodrošinātu ES noteikumu efektīvu piemērošanu un apņēmīgāk apkarotu cilvēku tirdzniecības tīklus;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Ondřej Kolář,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mudina ES Eiropas ārējās darbības dienestu un Komisiju arī turpmāk palīdzēt stiprināt Albānijas noturību pret hibrīddraudiem tādās jomās kā kiberdrošība, manipulēšana ar informāciju un kritiskās infrastruktūras aizsardzība;</w:t>
            </w:r>
            <w:r>
              <w:t xml:space="preserve"> </w:t>
            </w:r>
            <w:r>
              <w:rPr>
                <w:b/>
                <w:i/>
              </w:rPr>
              <w:t>uzsver, ka, stratēģiskāk novērtējot ES nozīmi Rietumbalkānu valstu iedzīvotājiem, ir jāuzlabo koordinācija un jānovērš dezinformācija un hibrīddraudi, kuru mērķis ir apdraudēt ES perspektīvu;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norāda uz to, cik svarīga ir sadarbība ar ES cīņā pret cilvēku tirdzniecību un nelegālo migrāciju pa Balkānu maršrutu;</w:t>
            </w:r>
            <w:r>
              <w:t xml:space="preserve"> </w:t>
            </w:r>
            <w:r>
              <w:rPr>
                <w:b/>
                <w:i/>
              </w:rPr>
              <w:t>aicina turpināt Kriminālkodeksa saskaņošanu ar ES acquis cilvēku tirdzniecības jomā;</w:t>
            </w:r>
            <w:r>
              <w:t xml:space="preserve"> </w:t>
            </w:r>
            <w:r>
              <w:rPr>
                <w:b/>
                <w:i/>
              </w:rPr>
              <w:t>aicina vēl vairāk stiprināt tiesībaizsardzības spējas attālos un kalnu apgabalos, lai varētu veikt proaktīvāku izmeklēšanu cilvēku tirdzniecības jomā;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prasa ES un Rietumbalkānu valstīm izveidot sistēmu efektīvai sadarbībai starp Eiropas Prokuratūru (EPPO) un pievienošanās sarunvalstīm, lai sekmētu ciešu sadarbību un kriminālvajāšanu ES līdzekļu ļaunprātīgas izmantošanas gadījumos;</w:t>
            </w:r>
            <w:r>
              <w:t xml:space="preserve"> </w:t>
            </w:r>
            <w:r>
              <w:rPr>
                <w:b/>
                <w:i/>
              </w:rPr>
              <w:t>atzinīgi vērtē to, ka Albānija ir noslēgusi divpusēju darba vienošanos ar EPPO;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aicina Albāniju novērtēt riskus, kas saistīti ar ĀTI, jo īpaši tādās stratēģiskās nozarēs kā enerģētika, kalnrūpniecība un telekomunikācijas, lai izvairītos no ekonomiskās atkarības un nokļūšanas parādu slazdos;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atzinīgi vērtē Albānijas iesaistīšanos ES izaugsmes plāna Rietumbalkāniem īstenošanā, kas ietver ES vienotā tirgus integrāciju, reģionālo ekonomisko integrāciju, fundamentālas reformas </w:t>
            </w:r>
            <w:r>
              <w:rPr>
                <w:b/>
                <w:i/>
              </w:rPr>
              <w:t>un lielāku finansiālo atbalstu</w:t>
            </w:r>
            <w:r>
              <w:t>;</w:t>
            </w:r>
          </w:p>
        </w:tc>
        <w:tc>
          <w:tcPr>
            <w:tcW w:w="4876" w:type="dxa"/>
            <w:tcBorders>
              <w:top w:val="nil"/>
              <w:left w:val="nil"/>
              <w:bottom w:val="nil"/>
              <w:right w:val="nil"/>
            </w:tcBorders>
          </w:tcPr>
          <w:p>
            <w:pPr>
              <w:pStyle w:val="Normal6a"/>
            </w:pPr>
            <w:r>
              <w:t>19.</w:t>
            </w:r>
            <w:r>
              <w:tab/>
            </w:r>
            <w:r>
              <w:t>atzinīgi vērtē Albānijas iesaistīšanos ES izaugsmes plāna Rietumbalkāniem īstenošanā, kas ietver ES vienotā tirgus integrāciju, reģionālo ekonomisko integrāciju, fundamentālas reformas;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atkārtoti uzsver, cik svarīgi ir uzlabot publisko infrastruktūru Rietumbalkānu valstīs un ar ES dalībvalstīm;</w:t>
            </w:r>
            <w:r>
              <w:t xml:space="preserve"> </w:t>
            </w:r>
            <w:r>
              <w:rPr>
                <w:b/>
                <w:i/>
              </w:rPr>
              <w:t>atgādina, ka Ekonomikas un investīciju plāns Rietumbalkāniem var uzlabot reģionālo savienotību, izmantojot dzelzceļu un autoceļus;</w:t>
            </w:r>
            <w:r>
              <w:t xml:space="preserve"> </w:t>
            </w:r>
            <w:r>
              <w:rPr>
                <w:b/>
                <w:i/>
              </w:rPr>
              <w:t>šajā ziņā mudina iestādes visās valstīs pabeigt VIII koridoru, kas savienot Albāniju, Ziemeļmaķedoniju un Bulgāriju;</w:t>
            </w:r>
            <w:r>
              <w:t xml:space="preserve"> </w:t>
            </w:r>
            <w:r>
              <w:rPr>
                <w:b/>
                <w:i/>
              </w:rPr>
              <w:t>atgādina, ka ir svarīgi izveidot gaisa transporta savienojumus Rietumbalkānu valstīs, lai tās savienotu savā starpā un ar ES dalībvalstīm;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uzsver Albānijas un Frontex sadarbības nozīmi robežu drošības uzlabošanā un pārrobežu noziedzības apkarošanā;</w:t>
            </w:r>
            <w:r>
              <w:t xml:space="preserve"> </w:t>
            </w:r>
            <w:r>
              <w:rPr>
                <w:b/>
                <w:i/>
              </w:rPr>
              <w:t>uzsver, ka ir svarīgi vēl vairāk paaugstināt Albānijas robežpolicijas operatīvās spējas, uzlabojot koordināciju ar dalībvalstu iestādēm un sākot lietot progresīvus tehnoloģiskos instrumentus migrācijas plūsmu uzraudzībai un pārvaldībai;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atzinīgi vērtē Albānijas reformu programmu, kas attiecas uz uzņēmējdarbības vidi, cilvēkkapitālu, digitalizāciju, enerģētiku, zaļo pārkārtošanos, pamattiesībām un tiesiskumu;</w:t>
            </w:r>
            <w:r>
              <w:t xml:space="preserve"> </w:t>
            </w:r>
            <w:r>
              <w:rPr>
                <w:b/>
                <w:i/>
              </w:rPr>
              <w:t>turklāt atzinīgi vērtē Albānijas dalību ES programmā “Digitālā Eiropa”;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atzinīgi vērtē to, ka ESAO SIGMA programmā Albānija ir atzīta par reģionālo līderi valsts pārvaldē un digitālajā publiskajā iepirkumā;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mudina Albānijas iestādes samazināt nabadzības un sociālās atstumtības risku, uzlabojot piekļuvi sociālajiem un veselības aprūpes pakalpojumiem, jo īpaši nelabvēlīgā situācijā esošiem iedzīvotājiem; </w:t>
            </w:r>
            <w:r>
              <w:rPr>
                <w:b/>
                <w:i/>
              </w:rPr>
              <w:t>aicina Albāniju īstenot</w:t>
            </w:r>
            <w:r>
              <w:t xml:space="preserve"> savu sociālās aizsardzības stratēģiju 2024.–2030. gadam un nodarbinātības un prasmju stratēģiju 2023.–2030. gadam;</w:t>
            </w:r>
          </w:p>
        </w:tc>
        <w:tc>
          <w:tcPr>
            <w:tcW w:w="4876" w:type="dxa"/>
            <w:tcBorders>
              <w:top w:val="nil"/>
              <w:left w:val="nil"/>
              <w:bottom w:val="nil"/>
              <w:right w:val="nil"/>
            </w:tcBorders>
          </w:tcPr>
          <w:p>
            <w:pPr>
              <w:pStyle w:val="Normal6a"/>
            </w:pPr>
            <w:r>
              <w:t>20.</w:t>
            </w:r>
            <w:r>
              <w:tab/>
            </w:r>
            <w:r>
              <w:t xml:space="preserve">mudina Albānijas iestādes samazināt nabadzības un sociālās atstumtības risku, uzlabojot piekļuvi sociālajiem un veselības aprūpes pakalpojumiem, jo īpaši nelabvēlīgā situācijā esošiem iedzīvotājiem; </w:t>
            </w:r>
            <w:r>
              <w:rPr>
                <w:b/>
                <w:i/>
              </w:rPr>
              <w:t>atzinīgi vērtē to, ka Albānija īsteno</w:t>
            </w:r>
            <w:r>
              <w:t xml:space="preserve"> savu sociālās aizsardzības stratēģiju 2024.–2030. gadam un nodarbinātības un prasmju stratēģiju 2023.–2030. gadam; </w:t>
            </w:r>
            <w:r>
              <w:rPr>
                <w:b/>
                <w:i/>
              </w:rPr>
              <w:t>aicina Albānijas iestādes efektīvi īstenot nacionālo programmu bērnu tiesību aizsardzības jomā un sniegt palīdzību bērniem, kuri saskaras ar atstumtību un nabadzību;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mudina Albānijas iestādes samazināt </w:t>
            </w:r>
            <w:r>
              <w:rPr>
                <w:b/>
                <w:i/>
              </w:rPr>
              <w:t>nabadzības un</w:t>
            </w:r>
            <w:r>
              <w:t xml:space="preserve"> sociālās atstumtības risku, uzlabojot piekļuvi sociālajiem un veselības aprūpes pakalpojumiem, jo īpaši </w:t>
            </w:r>
            <w:r>
              <w:rPr>
                <w:b/>
                <w:i/>
              </w:rPr>
              <w:t>nelabvēlīgā situācijā esošiem iedzīvotājiem</w:t>
            </w:r>
            <w:r>
              <w:t>; aicina Albāniju īstenot savu sociālās aizsardzības stratēģiju 2024.–2030. gadam un nodarbinātības un prasmju stratēģiju 2023.–2030. gadam;</w:t>
            </w:r>
          </w:p>
        </w:tc>
        <w:tc>
          <w:tcPr>
            <w:tcW w:w="4876" w:type="dxa"/>
            <w:tcBorders>
              <w:top w:val="nil"/>
              <w:left w:val="nil"/>
              <w:bottom w:val="nil"/>
              <w:right w:val="nil"/>
            </w:tcBorders>
          </w:tcPr>
          <w:p>
            <w:pPr>
              <w:pStyle w:val="Normal6a"/>
            </w:pPr>
            <w:r>
              <w:t>20.</w:t>
            </w:r>
            <w:r>
              <w:tab/>
            </w:r>
            <w:r>
              <w:t xml:space="preserve">mudina Albānijas iestādes samazināt sociālās atstumtības </w:t>
            </w:r>
            <w:r>
              <w:rPr>
                <w:b/>
                <w:i/>
              </w:rPr>
              <w:t>un nabadzības</w:t>
            </w:r>
            <w:r>
              <w:t xml:space="preserve"> risku, </w:t>
            </w:r>
            <w:r>
              <w:rPr>
                <w:b/>
                <w:i/>
              </w:rPr>
              <w:t>vēl vairāk</w:t>
            </w:r>
            <w:r>
              <w:t xml:space="preserve"> uzlabojot piekļuvi </w:t>
            </w:r>
            <w:r>
              <w:rPr>
                <w:b/>
                <w:i/>
              </w:rPr>
              <w:t>izglītībai, mājokļiem un</w:t>
            </w:r>
            <w:r>
              <w:t xml:space="preserve"> sociālajiem un veselības aprūpes pakalpojumiem, jo īpaši </w:t>
            </w:r>
            <w:r>
              <w:rPr>
                <w:b/>
                <w:i/>
              </w:rPr>
              <w:t>romu, ēģiptiešu un LGBTQI+ kopienu pārstāvjiem, kā arī citām minoritātēm un neaizsargātām grupām</w:t>
            </w:r>
            <w:r>
              <w:t>; aicina Albāniju īstenot savu sociālās aizsardzības stratēģiju 2024.–2030. gadam un nodarbinātības un prasmju stratēģiju 2023.–2030. gadam;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mudina Albānijas iestādes samazināt nabadzības un sociālās atstumtības risku, uzlabojot piekļuvi sociālajiem un veselības aprūpes pakalpojumiem, jo īpaši nelabvēlīgā situācijā esošiem iedzīvotājiem; aicina Albāniju īstenot savu sociālās aizsardzības stratēģiju 2024.–2030. gadam un nodarbinātības un prasmju stratēģiju 2023.–2030. gadam;</w:t>
            </w:r>
          </w:p>
        </w:tc>
        <w:tc>
          <w:tcPr>
            <w:tcW w:w="4876" w:type="dxa"/>
            <w:tcBorders>
              <w:top w:val="nil"/>
              <w:left w:val="nil"/>
              <w:bottom w:val="nil"/>
              <w:right w:val="nil"/>
            </w:tcBorders>
          </w:tcPr>
          <w:p>
            <w:pPr>
              <w:pStyle w:val="Normal6a"/>
            </w:pPr>
            <w:r>
              <w:t>20.</w:t>
            </w:r>
            <w:r>
              <w:tab/>
            </w:r>
            <w:r>
              <w:t xml:space="preserve">mudina Albānijas iestādes samazināt nabadzības un sociālās atstumtības risku, uzlabojot piekļuvi sociālajiem un veselības aprūpes pakalpojumiem, jo īpaši nelabvēlīgā situācijā esošiem iedzīvotājiem </w:t>
            </w:r>
            <w:r>
              <w:rPr>
                <w:b/>
                <w:i/>
              </w:rPr>
              <w:t>un minoritāšu grupām</w:t>
            </w:r>
            <w:r>
              <w:t>; aicina Albāniju īstenot savu sociālās aizsardzības stratēģiju 2024.–2030. gadam un nodarbinātības un prasmju stratēģiju 2023.–2030. gadam;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aicina pielikt papildu pūles un resursus, lai paātrinātu romu un ēģiptiešu iekļaušanu, novērstu antičigānismu, diskrimināciju un segregāciju izglītībā un fizisko segregāciju, veicinātu romu un ēģiptiešu līdzdalību un samazinātu atšķirības ar pārējo populāciju;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pauž nožēlu par to, ka valsts pārvaldes neefektivitāte, pārregulācija un korupcija rada papildu problēmas uzņēmējdarbības videi;</w:t>
            </w:r>
            <w:r>
              <w:t xml:space="preserve"> </w:t>
            </w:r>
            <w:r>
              <w:rPr>
                <w:b/>
                <w:i/>
              </w:rPr>
              <w:t>pauž nožēlu par to, ka nozīmīgā ēnu ekonomika kropļo uzņēmējdarbības vidi un konkurenci;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atzinīgi vērtē Albānijas panākto progresu, noslēdzot divpusējus sociālā nodrošinājuma nolīgumus ar ES dalībvalstīm un turpinot sagatavošanas darbus, lai varētu savienot tās nodarbinātības dienestu sistēmu ar EURES;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aicina Albāniju turpināt veikt pasākumus cīņai pret jauniešu bezdarbu, kas 2023. gadā vecuma grupā no 15 līdz 29 gadiem sasniedza 22 %;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atzinīgi vērtē Albānijas iestādes par tiesību aktu pieņemšanu, lai reformētu augstāko izglītību, un par valsts izglītības stratēģijas 2021.–2026. gadam īstenošanu;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pauž nožēlu par to, ka ir atlikta Likuma par stratēģiskajām investīcijām un aizsargājamām teritorijām pieņemšana, un uzsver, ka šis likums ir jāgroza, lai tas būtu saskaņā ar ES standartiem;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aicina īstenot visaptverošu ĀTI izvērtēšanas procesu kā stratēģisku iniciatīvu, lai aizsargātu valstu intereses, uzlabotu drošību un nodrošinātu atbilstību ES standartiem;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atzinīgi vērtē to, ka Albānija 2024. gada novembrī pievienojās vienotajai euro maksājumu telpai, kas samazina izmaksas iedzīvotājiem un uzņēmumiem un veicinās Albānijas tālāku integrāciju vienotajā tirgū;</w:t>
            </w:r>
          </w:p>
        </w:tc>
        <w:tc>
          <w:tcPr>
            <w:tcW w:w="4876" w:type="dxa"/>
            <w:tcBorders>
              <w:top w:val="nil"/>
              <w:left w:val="nil"/>
              <w:bottom w:val="nil"/>
              <w:right w:val="nil"/>
            </w:tcBorders>
          </w:tcPr>
          <w:p>
            <w:pPr>
              <w:pStyle w:val="Normal6a"/>
            </w:pPr>
            <w:r>
              <w:t>21.</w:t>
            </w:r>
            <w:r>
              <w:tab/>
            </w:r>
            <w:r>
              <w:t xml:space="preserve">atzinīgi vērtē to, ka Albānija 2024. gada novembrī pievienojās vienotajai euro maksājumu telpai, kas samazina izmaksas iedzīvotājiem un uzņēmumiem un veicinās Albānijas tālāku integrāciju vienotajā tirgū; </w:t>
            </w:r>
            <w:r>
              <w:rPr>
                <w:b/>
                <w:i/>
              </w:rPr>
              <w:t>atzīst Albānijas centienus stiprināt savas ekonomikas konkurētspēju un aicina Albānijas valdību turpināt strukturālās reformas, lai veicinātu pievilcīgāku uzņēmējdarbības vidi, kas atbilst ES standartiem;</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atzinīgi vērtē to, ka Albānija 2024. gada novembrī pievienojās vienotajai euro maksājumu telpai, kas samazina izmaksas iedzīvotājiem un uzņēmumiem un veicinās Albānijas tālāku integrāciju vienotajā tirgū;</w:t>
            </w:r>
          </w:p>
        </w:tc>
        <w:tc>
          <w:tcPr>
            <w:tcW w:w="4876" w:type="dxa"/>
            <w:tcBorders>
              <w:top w:val="nil"/>
              <w:left w:val="nil"/>
              <w:bottom w:val="nil"/>
              <w:right w:val="nil"/>
            </w:tcBorders>
          </w:tcPr>
          <w:p>
            <w:pPr>
              <w:pStyle w:val="Normal6a"/>
            </w:pPr>
            <w:r>
              <w:t>21.</w:t>
            </w:r>
            <w:r>
              <w:tab/>
            </w:r>
            <w:r>
              <w:t xml:space="preserve">atzinīgi vērtē to, ka Albānija 2024. gada novembrī pievienojās vienotajai euro maksājumu telpai, kas samazina izmaksas iedzīvotājiem un uzņēmumiem un veicinās Albānijas tālāku integrāciju vienotajā tirgū; </w:t>
            </w:r>
            <w:r>
              <w:rPr>
                <w:b/>
                <w:i/>
              </w:rPr>
              <w:t>uzteic Albānijas iestādes par pieskaņošanos ES acquis maksājumu jomā (Maksājumu konta direktīva) un par darbībām, kuru rezultātā Albānija tika svītrota no Finanšu darījumu darba grupas (FATF) “pelēkā saraksta”;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atzinīgi vērtē Albānijas fiskālo rādītāju uzlabošanos;</w:t>
            </w:r>
            <w:r>
              <w:t xml:space="preserve"> </w:t>
            </w:r>
            <w:r>
              <w:rPr>
                <w:b/>
                <w:i/>
              </w:rPr>
              <w:t>aicina Albānijas iestādes vēl vairāk uzlabot fiskālā riska analīzi, stiprinot attiecīgo Finanšu ministrijas departamentu;</w:t>
            </w:r>
            <w:r>
              <w:t xml:space="preserve"> </w:t>
            </w:r>
            <w:r>
              <w:rPr>
                <w:b/>
                <w:i/>
              </w:rPr>
              <w:t>prasa nodrošināt valstij piederošu uzņēmumu lielāku pārredzamību un pārskatatbildību, izmantojot gada finanšu pārskatus;</w:t>
            </w:r>
            <w:r>
              <w:t xml:space="preserve"> </w:t>
            </w:r>
            <w:r>
              <w:rPr>
                <w:b/>
                <w:i/>
              </w:rPr>
              <w:t>aicina Albāniju stiprināt publisko iekšējo finanšu kontroli (PFIC) un nodrošināt, ka tiek īstenoti Augstākās revīzijas iestādes (ALSAI) ieteikumi;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atzinīgi vērtē Albānijas dalību NATO kiberdrošības iniciatīvās;</w:t>
            </w:r>
            <w:r>
              <w:t xml:space="preserve"> </w:t>
            </w:r>
            <w:r>
              <w:rPr>
                <w:b/>
                <w:i/>
              </w:rPr>
              <w:t>aicina pieņemt ar ES saderīgu valsts kiberdrošības satvaru, kas stiprina noturību pret ārvalstu atbalstītām kiberoperācijām;</w:t>
            </w:r>
            <w:r>
              <w:t xml:space="preserve"> </w:t>
            </w:r>
            <w:r>
              <w:rPr>
                <w:b/>
                <w:i/>
              </w:rPr>
              <w:t>mudina Albāniju izveidot valsts centru reaģēšanai uz hibrīddraudiem, cieši sadarbojoties ar ES Hibrīddraudu analīzes vienību un Eiropas Kiberdrošības aģentūru (ENISA), lai uzraudzītu un apkarotu dezinformāciju, spiegošanu un kiberdraudus;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atzīst Albānijas proaktīvo lomu reģiona ekonomiskās integrācijas veicināšanā, tostarp tās pievienošanos Vienotajai euro maksājumu telpai un sadarbību ar Enerģētikas kopienu;</w:t>
            </w:r>
            <w:r>
              <w:t xml:space="preserve"> </w:t>
            </w:r>
            <w:r>
              <w:rPr>
                <w:b/>
                <w:i/>
              </w:rPr>
              <w:t>uzsver, ka ir svarīgi pilnībā īstenot reģionālos tirdzniecības un infrastruktūras nolīgumus, jo tie var veicināt saiknes ar Eiropas tirgiem un paātrināt pievienošanās ES procesu;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ar bažām norāda, ka ārvalstu izlūkdienesti ir iesaistījušies spiegošanā pret Albāniju, kas kavē tās izredzes pievienoties ES, par ko liecina ar Krieviju saistīto spēku iekļūšana Gramšas militārajā objektā 2022. gadā;</w:t>
            </w:r>
            <w:r>
              <w:t xml:space="preserve"> </w:t>
            </w:r>
            <w:r>
              <w:rPr>
                <w:b/>
                <w:i/>
              </w:rPr>
              <w:t>uzsver, ka ir jāpastiprina sadarbība pretizlūkošanas jomā ar ES un NATO partneriem;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atzinīgi vērtē tiesību aktu turpmāku saskaņošanu ar ES acquis attiecībā uz privāto pensiju fondu, banku atveseļošanu un noregulējuma sistēmu;</w:t>
            </w:r>
            <w:r>
              <w:t xml:space="preserve"> </w:t>
            </w:r>
            <w:r>
              <w:rPr>
                <w:b/>
                <w:i/>
              </w:rPr>
              <w:t>aicina Albāniju pabeigt saskaņošanu ar ES acquis apdrošināšanas, kapitāla tirgu, vērtspapīru tirgu, ieguldījumu fondu un finanšu tirgus infrastruktūru jomā;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21.c</w:t>
            </w:r>
            <w:r>
              <w:tab/>
            </w:r>
            <w:r>
              <w:rPr>
                <w:b/>
                <w:i/>
              </w:rPr>
              <w:t>atkārtoti norāda, ka ir jāizstrādā visaptverošas un integrētas medijpratības programmas visos izglītības līmeņos, nevis atsevišķi intervences pasākumi;</w:t>
            </w:r>
            <w:r>
              <w:t xml:space="preserve"> </w:t>
            </w:r>
            <w:r>
              <w:rPr>
                <w:b/>
                <w:i/>
              </w:rPr>
              <w:t>mudina Albāniju paplašināt medijpratību kā galveno mācību priekšmetu skolu mācību programmās, vienlaikus nodrošinot, ka skolotāji saņem īpašu apmācību un modernus resursus kvalitatīvu programmu īstenošanai;</w:t>
            </w:r>
            <w:r>
              <w:t xml:space="preserve"> </w:t>
            </w:r>
            <w:r>
              <w:rPr>
                <w:b/>
                <w:i/>
              </w:rPr>
              <w:t>mudina sadarboties ar ES izglītības iniciatīvām un reģionālajiem tīkliem, piemēram, Rietumbalkānu mediju lietotprasmes novērošanas centru, lai īstenotu paraugpraksi kritiskās domāšanas un digitālās pratības izglītības jomā;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apakšvirsraksts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Vide, enerģētika, transports un ilgtspējīgs tūrisms</w:t>
            </w:r>
          </w:p>
        </w:tc>
        <w:tc>
          <w:tcPr>
            <w:tcW w:w="4876" w:type="dxa"/>
            <w:tcBorders>
              <w:top w:val="nil"/>
              <w:left w:val="nil"/>
              <w:bottom w:val="nil"/>
              <w:right w:val="nil"/>
            </w:tcBorders>
          </w:tcPr>
          <w:p>
            <w:pPr>
              <w:pStyle w:val="Normal6a"/>
            </w:pPr>
            <w:r>
              <w:t xml:space="preserve">Vide, </w:t>
            </w:r>
            <w:r>
              <w:rPr>
                <w:b/>
                <w:i/>
              </w:rPr>
              <w:t>bioloģiskā daudzveidība,</w:t>
            </w:r>
            <w:r>
              <w:t xml:space="preserve"> enerģētika, transports un ilgtspējīgs tūrisms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uzsver, ka Albānijai ir jāpieliek lielākas pūles, lai panāktu saskaņotību ar ES acquis vides jomā; aicina to saskaņoties ar ES Ietekmes uz vidi novērtējuma</w:t>
            </w:r>
            <w:r>
              <w:rPr>
                <w:vertAlign w:val="superscript"/>
              </w:rPr>
              <w:t>5</w:t>
            </w:r>
            <w:r>
              <w:t>un stratēģiskā vides novērtējuma direktīvām</w:t>
            </w:r>
            <w:r>
              <w:rPr>
                <w:vertAlign w:val="superscript"/>
              </w:rPr>
              <w:t>6</w:t>
            </w:r>
            <w:r>
              <w:t>;</w:t>
            </w:r>
          </w:p>
        </w:tc>
        <w:tc>
          <w:tcPr>
            <w:tcW w:w="4876" w:type="dxa"/>
            <w:tcBorders>
              <w:top w:val="nil"/>
              <w:left w:val="nil"/>
              <w:bottom w:val="nil"/>
              <w:right w:val="nil"/>
            </w:tcBorders>
          </w:tcPr>
          <w:p>
            <w:pPr>
              <w:pStyle w:val="Normal6a"/>
            </w:pPr>
            <w:r>
              <w:t>22.</w:t>
            </w:r>
            <w:r>
              <w:tab/>
            </w:r>
            <w:r>
              <w:t>uzsver, ka Albānijai ir jāpieliek lielākas pūles, lai panāktu saskaņotību ar ES acquis vides jomā; aicina to saskaņoties ar ES Ietekmes uz vidi novērtējuma</w:t>
            </w:r>
            <w:r>
              <w:rPr>
                <w:vertAlign w:val="superscript"/>
              </w:rPr>
              <w:t>5</w:t>
            </w:r>
            <w:r>
              <w:t xml:space="preserve"> un stratēģiskā vides novērtējuma</w:t>
            </w:r>
            <w:r>
              <w:rPr>
                <w:vertAlign w:val="superscript"/>
              </w:rPr>
              <w:t>6</w:t>
            </w:r>
            <w:r>
              <w:t xml:space="preserve"> direktīvām</w:t>
            </w:r>
            <w:r>
              <w:rPr>
                <w:b/>
                <w:i/>
              </w:rPr>
              <w:t>;</w:t>
            </w:r>
            <w:r>
              <w:t xml:space="preserve"> </w:t>
            </w:r>
            <w:r>
              <w:rPr>
                <w:b/>
                <w:i/>
              </w:rPr>
              <w:t>uzsver, ka ir jāpastiprina cīņa pret noziegumiem pret vidi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Eiropas Parlamenta un Padomes Direktīva 2011/92/ES (2011. gada 13. decembris) par dažu sabiedrisku un privātu projektu ietekmes uz vidi novērtējumu (OV L 26, 28.1.2012., 1. lpp., ELI: http://data.europa.eu/eli/dir/2011/92/oj).</w:t>
            </w:r>
          </w:p>
        </w:tc>
        <w:tc>
          <w:tcPr>
            <w:tcW w:w="4876" w:type="dxa"/>
            <w:tcBorders>
              <w:top w:val="nil"/>
              <w:left w:val="nil"/>
              <w:bottom w:val="nil"/>
              <w:right w:val="nil"/>
            </w:tcBorders>
          </w:tcPr>
          <w:p>
            <w:pPr>
              <w:pStyle w:val="Normal6a"/>
            </w:pPr>
            <w:r>
              <w:rPr>
                <w:vertAlign w:val="superscript"/>
              </w:rPr>
              <w:t>5</w:t>
            </w:r>
            <w:r>
              <w:t xml:space="preserve"> </w:t>
            </w:r>
            <w:r>
              <w:t>Eiropas Parlamenta un Padomes Direktīva 2011/92/ES (2011. gada 13. decembris) par dažu sabiedrisku un privātu projektu ietekmes uz vidi novērtējumu (OV L 26, 28.1.2012., 1. lpp., ELI: http://data.europa.eu/eli/dir/2011/92/oj).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Eiropas Parlamenta un Padomes Direktīva 2001/42/EK (2001. gada 27. jūnijs) par noteiktu plānu un programmu ietekmes uz vidi novērtējumu (OV L 197, 21.7.2001., 30. lpp., ELI: http://data.europa.</w:t>
            </w:r>
            <w:r>
              <w:rPr>
                <w:b/>
                <w:i/>
              </w:rPr>
              <w:t>eu/eli/dir/2001/42/oj)</w:t>
            </w:r>
            <w:r>
              <w:t>.</w:t>
            </w:r>
          </w:p>
        </w:tc>
        <w:tc>
          <w:tcPr>
            <w:tcW w:w="4876" w:type="dxa"/>
            <w:tcBorders>
              <w:top w:val="nil"/>
              <w:left w:val="nil"/>
              <w:bottom w:val="nil"/>
              <w:right w:val="nil"/>
            </w:tcBorders>
          </w:tcPr>
          <w:p>
            <w:pPr>
              <w:pStyle w:val="Normal6a"/>
            </w:pPr>
            <w:r>
              <w:rPr>
                <w:vertAlign w:val="superscript"/>
              </w:rPr>
              <w:t>6</w:t>
            </w:r>
            <w:r>
              <w:t xml:space="preserve"> </w:t>
            </w:r>
            <w:r>
              <w:t>Eiropas Parlamenta un Padomes Direktīva 2001/42/EK (2001. gada 27. jūnijs) par noteiktu plānu un programmu ietekmes uz vidi novērtējumu (OV L 197, 21.7.2001., 30. lpp., ELI: http://data.europa.</w:t>
            </w:r>
            <w:r>
              <w:rPr>
                <w:b/>
                <w:i/>
              </w:rPr>
              <w:t>eu/eli/dir/2011/42/oj)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uzsver, ka ir vajadzīgas pārredzamas un iekļaujošas sabiedriskās apspriešanas saskaņā ar Orhūsas konvenciju, nodrošinot vietējo kopienu, NVO un zinātnisko iestāžu aktīvu iesaistīšanos ar vidi saistītu lēmumu pieņemšanas procesos, sevišķi attiecībā uz projektiem, kuriem ir liela ietekme uz vidi un sociālekonomiskās sekas;</w:t>
            </w:r>
            <w:r>
              <w:t xml:space="preserve"> </w:t>
            </w:r>
            <w:r>
              <w:rPr>
                <w:b/>
                <w:i/>
              </w:rPr>
              <w:t>brīdina, ka pienācīgas ieinteresēto personu iesaistes trūkums apdraud pārvaldības standartus un Albānijas atbilstību ES acquis saistībām;</w:t>
            </w:r>
            <w:r>
              <w:t xml:space="preserve"> </w:t>
            </w:r>
            <w:r>
              <w:rPr>
                <w:b/>
                <w:i/>
              </w:rPr>
              <w:t>pauž bažas par ietekmi uz ekonomiku un vidi, ko rada tādi ārvalstu finansēti attīstības projekti, kuros nav konkurences;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atgādina, ka Albānijai ir jāpieliek ievērojamas pūles, lai sasniegtu mērķus, kas saistīti ar klimata aizsardzību, energoefektivitāti, energoapgādes un transporta dažādošanu un zaļināšanu, gaisa un ūdens kvalitāti un atkritumu apsaimniekošanu;</w:t>
            </w:r>
          </w:p>
        </w:tc>
        <w:tc>
          <w:tcPr>
            <w:tcW w:w="4876" w:type="dxa"/>
            <w:tcBorders>
              <w:top w:val="nil"/>
              <w:left w:val="nil"/>
              <w:bottom w:val="nil"/>
              <w:right w:val="nil"/>
            </w:tcBorders>
          </w:tcPr>
          <w:p>
            <w:pPr>
              <w:pStyle w:val="Normal6a"/>
            </w:pPr>
            <w:r>
              <w:t>23.</w:t>
            </w:r>
            <w:r>
              <w:tab/>
            </w:r>
            <w:r>
              <w:t xml:space="preserve">atgādina, ka Albānijai ir jāpieliek ievērojamas pūles, lai sasniegtu mērķus, kas saistīti ar klimata aizsardzību, energoefektivitāti, energoapgādes un transporta dažādošanu un zaļināšanu, gaisa un ūdens kvalitāti un atkritumu apsaimniekošanu; </w:t>
            </w:r>
            <w:r>
              <w:rPr>
                <w:b/>
                <w:i/>
              </w:rPr>
              <w:t>mudina Albānijas valdību par prioritāti noteikt klimatadaptācijas stratēģiju īstenošanu, atjaunojamo energoresursu attīstību un atkritumu apsaimniekošanas sistēmas modernizāciju, lai tā atbilstu ES standartiem un atbalstītu ilgtspējīgu ekonomikas izaugsmi;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atgādina, ka Albānijai ir jāpieliek ievērojamas pūles, lai sasniegtu mērķus, kas saistīti ar klimata aizsardzību, energoefektivitāti, energoapgādes un transporta dažādošanu un zaļināšanu</w:t>
            </w:r>
            <w:r>
              <w:rPr>
                <w:b/>
                <w:i/>
              </w:rPr>
              <w:t>,</w:t>
            </w:r>
            <w:r>
              <w:t xml:space="preserve"> gaisa un ūdens kvalitāti un </w:t>
            </w:r>
            <w:r>
              <w:rPr>
                <w:b/>
                <w:i/>
              </w:rPr>
              <w:t>atkritumu apsaimniekošanu</w:t>
            </w:r>
            <w:r>
              <w:t>;</w:t>
            </w:r>
          </w:p>
        </w:tc>
        <w:tc>
          <w:tcPr>
            <w:tcW w:w="4876" w:type="dxa"/>
            <w:tcBorders>
              <w:top w:val="nil"/>
              <w:left w:val="nil"/>
              <w:bottom w:val="nil"/>
              <w:right w:val="nil"/>
            </w:tcBorders>
          </w:tcPr>
          <w:p>
            <w:pPr>
              <w:pStyle w:val="Normal6a"/>
            </w:pPr>
            <w:r>
              <w:t>23.</w:t>
            </w:r>
            <w:r>
              <w:tab/>
            </w:r>
            <w:r>
              <w:t>atgādina, ka Albānijai ir jāpieliek ievērojamas pūles, lai sasniegtu mērķus, kas saistīti ar klimata aizsardzību, energoefektivitāti, energoapgādes un transporta dažādošanu un zaļināšanu</w:t>
            </w:r>
            <w:r>
              <w:rPr>
                <w:b/>
                <w:i/>
              </w:rPr>
              <w:t>;</w:t>
            </w:r>
            <w:r>
              <w:t xml:space="preserve"> </w:t>
            </w:r>
            <w:r>
              <w:rPr>
                <w:b/>
                <w:i/>
              </w:rPr>
              <w:t>norāda, ka šai valstī</w:t>
            </w:r>
            <w:r>
              <w:t xml:space="preserve"> gaisa un ūdens </w:t>
            </w:r>
            <w:r>
              <w:rPr>
                <w:b/>
                <w:i/>
              </w:rPr>
              <w:t>kvalitāte, kā arī atkritumu apsaimniekošana joprojām ir īpaši problemātiski jautājumi;</w:t>
            </w:r>
            <w:r>
              <w:t xml:space="preserve"> </w:t>
            </w:r>
            <w:r>
              <w:rPr>
                <w:b/>
                <w:i/>
              </w:rPr>
              <w:t>mudina centrālo valdību un vietējās iestādes pastiprināt centienus, lai uzlabotu gaisa</w:t>
            </w:r>
            <w:r>
              <w:t xml:space="preserve"> kvalitāti un </w:t>
            </w:r>
            <w:r>
              <w:rPr>
                <w:b/>
                <w:i/>
              </w:rPr>
              <w:t>samazinātu potenciāli letālu piesārņojumu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atgādina, ka Albānijai ir jāpieliek ievērojamas pūles, lai sasniegtu mērķus, kas saistīti ar klimata aizsardzību, energoefektivitāti, energoapgādes un transporta dažādošanu un zaļināšanu, gaisa un ūdens kvalitāti un atkritumu apsaimniekošanu;</w:t>
            </w:r>
          </w:p>
        </w:tc>
        <w:tc>
          <w:tcPr>
            <w:tcW w:w="4876" w:type="dxa"/>
            <w:tcBorders>
              <w:top w:val="nil"/>
              <w:left w:val="nil"/>
              <w:bottom w:val="nil"/>
              <w:right w:val="nil"/>
            </w:tcBorders>
          </w:tcPr>
          <w:p>
            <w:pPr>
              <w:pStyle w:val="Normal6a"/>
            </w:pPr>
            <w:r>
              <w:t>23.</w:t>
            </w:r>
            <w:r>
              <w:tab/>
            </w:r>
            <w:r>
              <w:t xml:space="preserve">atgādina, ka Albānijai ir jāpieliek ievērojamas pūles, lai sasniegtu mērķus, kas saistīti ar klimata aizsardzību, energoefektivitāti, energoapgādes un transporta dažādošanu un zaļināšanu, gaisa un ūdens kvalitāti un atkritumu apsaimniekošanu; </w:t>
            </w:r>
            <w:r>
              <w:rPr>
                <w:b/>
                <w:i/>
              </w:rPr>
              <w:t>mudina Albānijas iestādes pastiprināt pasākumus un palielināt investīcijas, lai paplašinātu sabiedriskā transporta sistēmu un dzelzceļa sistēmu;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atgādina, ka Albānijai ir jāpieliek ievērojamas pūles, lai sasniegtu mērķus, kas saistīti ar klimata aizsardzību, energoefektivitāti, energoapgādes un transporta dažādošanu </w:t>
            </w:r>
            <w:r>
              <w:rPr>
                <w:b/>
                <w:i/>
              </w:rPr>
              <w:t>un zaļināšanu,</w:t>
            </w:r>
            <w:r>
              <w:t xml:space="preserve"> gaisa un ūdens kvalitāti un atkritumu apsaimniekošanu;</w:t>
            </w:r>
          </w:p>
        </w:tc>
        <w:tc>
          <w:tcPr>
            <w:tcW w:w="4876" w:type="dxa"/>
            <w:tcBorders>
              <w:top w:val="nil"/>
              <w:left w:val="nil"/>
              <w:bottom w:val="nil"/>
              <w:right w:val="nil"/>
            </w:tcBorders>
          </w:tcPr>
          <w:p>
            <w:pPr>
              <w:pStyle w:val="Normal6a"/>
            </w:pPr>
            <w:r>
              <w:t>23.</w:t>
            </w:r>
            <w:r>
              <w:tab/>
            </w:r>
            <w:r>
              <w:t>atgādina, ka Albānijai ir jāpieliek ievērojamas pūles, lai sasniegtu mērķus, kas saistīti ar klimata aizsardzību, energoefektivitāti, energoapgādes un transporta dažādošanu</w:t>
            </w:r>
            <w:r>
              <w:rPr>
                <w:b/>
                <w:i/>
              </w:rPr>
              <w:t>, lai padarītu tos ilgtspējīgus, ar</w:t>
            </w:r>
            <w:r>
              <w:t xml:space="preserve"> gaisa un ūdens kvalitāti un </w:t>
            </w:r>
            <w:r>
              <w:rPr>
                <w:b/>
                <w:i/>
              </w:rPr>
              <w:t>ar</w:t>
            </w:r>
            <w:r>
              <w:t xml:space="preserve"> atkritumu apsaimniekošanu;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norāda, ka upes, kas šķērso Albāniju, ir ārkārtīgi piesārņotas;</w:t>
            </w:r>
            <w:r>
              <w:t xml:space="preserve"> </w:t>
            </w:r>
            <w:r>
              <w:rPr>
                <w:b/>
                <w:i/>
              </w:rPr>
              <w:t>daudzās no tām ir reģistrēts ārkārtīgi augsts amonjaka un fosfātu daudzums;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pauž nožēlu par apjomīgo teritoriju atmežošanu valsts dienvidos un piekrastē, lai veicinātu ieguldījumus tūrismā, kas maina raksturu vietām, kurās dzīvo Ziemeļēpeiras grieķu etniskā minoritāte;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pauž stingru pārliecību, ka vides aizsardzībai un ilgtspējīga tūrisma attīstībai ir jābūt savstarpēji saistītām; atzinīgi vērtē Vjosas nacionālā parka izveidi un aicina piešķirt pietiekamus resursus tā aizsardzībai;</w:t>
            </w:r>
          </w:p>
        </w:tc>
        <w:tc>
          <w:tcPr>
            <w:tcW w:w="4876" w:type="dxa"/>
            <w:tcBorders>
              <w:top w:val="nil"/>
              <w:left w:val="nil"/>
              <w:bottom w:val="nil"/>
              <w:right w:val="nil"/>
            </w:tcBorders>
          </w:tcPr>
          <w:p>
            <w:pPr>
              <w:pStyle w:val="Normal6a"/>
            </w:pPr>
            <w:r>
              <w:t>24.</w:t>
            </w:r>
            <w:r>
              <w:tab/>
            </w:r>
            <w:r>
              <w:t xml:space="preserve">pauž stingru pārliecību, ka vides aizsardzībai un ilgtspējīga tūrisma attīstībai ir jābūt savstarpēji saistītām; atzinīgi vērtē Vjosas nacionālā parka izveidi un aicina piešķirt pietiekamus resursus tā aizsardzībai; </w:t>
            </w:r>
            <w:r>
              <w:rPr>
                <w:b/>
                <w:i/>
              </w:rPr>
              <w:t>aicina iestādes pilnībā respektēt valsts ekoloģisko integritāti un pārskatīt infrastruktūras projektus saskaņā ar starptautiskajiem bioloģiskās daudzveidības saglabāšanas standartiem un paraugpraksi, sevišķi attiecībā uz ūdens ieguvi no Šušikas upes, lai nodrošinātu, ka netiek ietekmēta nacionālā parka bioloģiskā daudzveidība, dzīvotnes un ekoloģiskās funkcijas;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pauž stingru pārliecību, ka vides aizsardzībai un ilgtspējīga tūrisma attīstībai ir jābūt savstarpēji saistītām; atzinīgi vērtē Vjosas nacionālā parka izveidi un aicina piešķirt pietiekamus resursus tā aizsardzībai;</w:t>
            </w:r>
          </w:p>
        </w:tc>
        <w:tc>
          <w:tcPr>
            <w:tcW w:w="4876" w:type="dxa"/>
            <w:tcBorders>
              <w:top w:val="nil"/>
              <w:left w:val="nil"/>
              <w:bottom w:val="nil"/>
              <w:right w:val="nil"/>
            </w:tcBorders>
          </w:tcPr>
          <w:p>
            <w:pPr>
              <w:pStyle w:val="Normal6a"/>
            </w:pPr>
            <w:r>
              <w:t>24.</w:t>
            </w:r>
            <w:r>
              <w:tab/>
            </w:r>
            <w:r>
              <w:t xml:space="preserve">pauž stingru pārliecību, ka vides aizsardzībai un ilgtspējīga tūrisma attīstībai ir jābūt savstarpēji saistītām; </w:t>
            </w:r>
            <w:r>
              <w:rPr>
                <w:b/>
                <w:i/>
              </w:rPr>
              <w:t>aicina ES un Albānijas valdību sniegt papildu finansiālo un tehnisko palīdzību, lai atbalstītu ilgtspējīgu lauku attīstību un mazinātu plaisu starp pilsētām un laukiem saskaņā ar ES kohēzijas politiku;</w:t>
            </w:r>
            <w:r>
              <w:t xml:space="preserve"> atzinīgi vērtē Vjosas nacionālā parka izveidi un aicina piešķirt pietiekamus resursus tā aizsardzībai; </w:t>
            </w:r>
            <w:r>
              <w:rPr>
                <w:b/>
                <w:i/>
              </w:rPr>
              <w:t>aicina Albānijas iestādes pieņemt tiesību aktus, ar kuriem īsteno Likumu par kultūras mantojumu un muzejiem;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pauž stingru pārliecību, ka vides aizsardzībai un ilgtspējīga tūrisma attīstībai ir jābūt savstarpēji saistītām; atzinīgi vērtē Vjosas nacionālā parka izveidi un aicina piešķirt pietiekamus resursus tā aizsardzībai;</w:t>
            </w:r>
          </w:p>
        </w:tc>
        <w:tc>
          <w:tcPr>
            <w:tcW w:w="4876" w:type="dxa"/>
            <w:tcBorders>
              <w:top w:val="nil"/>
              <w:left w:val="nil"/>
              <w:bottom w:val="nil"/>
              <w:right w:val="nil"/>
            </w:tcBorders>
          </w:tcPr>
          <w:p>
            <w:pPr>
              <w:pStyle w:val="Normal6a"/>
            </w:pPr>
            <w:r>
              <w:t>24.</w:t>
            </w:r>
            <w:r>
              <w:tab/>
            </w:r>
            <w:r>
              <w:t xml:space="preserve">pauž stingru pārliecību, ka vides aizsardzībai un ilgtspējīga tūrisma attīstībai ir jābūt savstarpēji saistītām; atzinīgi vērtē Vjosas nacionālā parka izveidi un aicina piešķirt pietiekamus resursus tā aizsardzībai; </w:t>
            </w:r>
            <w:r>
              <w:rPr>
                <w:b/>
                <w:i/>
              </w:rPr>
              <w:t>gluži pretēji, pauž dziļas bažas par Vloras starptautiskās lidostas būvdarbu turpināšanu Pishë Poro-Nartë aizsargājamā teritorijā, neņemot vērā Eiropas Parlamenta, Eiropas Komisijas un Bernes konvencijas brīdinājumus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Konvencija par Eiropas dzīvās dabas un dabisko dzīvotņu aizsardzību, Pastāvīgās komitejas Ieteikums Nr. 219 (2023), kas pieņemti 2023. gada 5. septembrī un pārskatīti 2023. gada 1. decembrī, par infrastruktūras un urbanizācijas attīstības, jo īpaši Vloras starptautiskās lidosta, iespējamo ietekmi uz Vjosas-Nartas aizsargājamo teritoriju (Albānija).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pauž stingru pārliecību, ka vides aizsardzībai un ilgtspējīga tūrisma attīstībai ir jābūt savstarpēji saistītām; atzinīgi vērtē Vjosas nacionālā parka izveidi un aicina piešķirt pietiekamus resursus tā aizsardzībai;</w:t>
            </w:r>
          </w:p>
        </w:tc>
        <w:tc>
          <w:tcPr>
            <w:tcW w:w="4876" w:type="dxa"/>
            <w:tcBorders>
              <w:top w:val="nil"/>
              <w:left w:val="nil"/>
              <w:bottom w:val="nil"/>
              <w:right w:val="nil"/>
            </w:tcBorders>
          </w:tcPr>
          <w:p>
            <w:pPr>
              <w:pStyle w:val="Normal6a"/>
            </w:pPr>
            <w:r>
              <w:t>24.</w:t>
            </w:r>
            <w:r>
              <w:tab/>
            </w:r>
            <w:r>
              <w:t xml:space="preserve">pauž stingru pārliecību, ka vides aizsardzībai un ilgtspējīga tūrisma attīstībai ir jābūt savstarpēji saistītām; atzinīgi vērtē </w:t>
            </w:r>
            <w:r>
              <w:rPr>
                <w:b/>
                <w:i/>
              </w:rPr>
              <w:t>pirmā neskartas upes nacionālā parka –</w:t>
            </w:r>
            <w:r>
              <w:t xml:space="preserve"> Vjosas nacionālā parka </w:t>
            </w:r>
            <w:r>
              <w:rPr>
                <w:b/>
                <w:i/>
              </w:rPr>
              <w:t>–</w:t>
            </w:r>
            <w:r>
              <w:t xml:space="preserve"> izveidi un aicina piešķirt pietiekamus resursus tā aizsardzībai; </w:t>
            </w:r>
            <w:r>
              <w:rPr>
                <w:b/>
                <w:i/>
              </w:rPr>
              <w:t>aicina iestādes ņemt vērā pilsoniskās sabiedrības paustās bažas par aizsargājamo teritoriju tīkla robežu noteikšanu;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atzinīgi vērtē Tirānas samitā panākto vienošanos par viesabonēšanas maksas samazināšanu;</w:t>
            </w:r>
            <w:r>
              <w:t xml:space="preserve"> </w:t>
            </w:r>
            <w:r>
              <w:rPr>
                <w:b/>
                <w:i/>
              </w:rPr>
              <w:t>šajā sakarā aicina iestādes, privātos dalībniekus un visas ieinteresētās personas veicināt saskaņoto mērķu sasniegšanu, proti, panākt datu viesabonēšanas tarifu būtisku samazinājumu un turpmākus samazinājumus, lai līdz 2027. gadam tie tuvotos vietējiem tarifiem starp Rietumbalkāniem un ES;</w:t>
            </w:r>
            <w:r>
              <w:t xml:space="preserve"> </w:t>
            </w:r>
            <w:r>
              <w:rPr>
                <w:b/>
                <w:i/>
              </w:rPr>
              <w:t>atzinīgi vērtē to, ka ir stājies spēkā pirmais posms viesabonēšanas ceļveža īstenošanā starp Rietumbalkāniem un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pauž nopietnas bažas par nesenajiem grozījumiem Albānijas Likumā par aizsargājamām teritorijām, kas ļauj īstenot lielus infrastruktūras un tūrisma projektus ekoloģiski jutīgās zonās;</w:t>
            </w:r>
            <w:r>
              <w:t xml:space="preserve"> </w:t>
            </w:r>
            <w:r>
              <w:rPr>
                <w:b/>
                <w:i/>
              </w:rPr>
              <w:t>aicina atcelt šos tiesību aktu grozījumus, lai nodrošinātu pilnīgu un stingru atbilstību valsts un starptautiskajam tiesiskajam regulējumam un vides aizsardzības standartiem;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aicina Albānijas iestādes noteikt un efektīvi pārvaldīt galvenās aizsargājamās teritorijas kritiski apdraudēto sugu, jo īpaši Balkānu lūšu, izdzīvošanai, tostarp visaptverošas bioloģiskās daudzveidības uzraudzības programmas, un īstenot un stingri piemērot malumedniecības apkarošanas tiesību aktus;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atkārtoti pauž bažas par Vloras lidostas būvniecību Vjosa-Narta aizsargājamajā teritorijā, pārkāpjot valsts un starptautiskās bioloģiskās daudzveidības aizsardzības normas;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pauž bažas par Albānijas jūras radīto piesārņojumu, kas ietekmē kaimiņvalstis, un prasa steidzami rīkoties, lai to novērstu;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aicina valdību, ņemot vērā Bernes konvencijas pastāvīgās komitejas prasību, nekavējoties apturēt Vloras starptautiskās lidostas nelikumīgo būvniecību Vjosas–Nartas aizsargājamā teritorijā;</w:t>
            </w:r>
            <w:r>
              <w:t xml:space="preserve"> </w:t>
            </w:r>
            <w:r>
              <w:rPr>
                <w:b/>
                <w:i/>
              </w:rPr>
              <w:t>uzsver, ka minētās lidostas būvniecība ir pretrunā valsts un starptautiskajiem tiesību aktiem, tostarp Bernes konvencijai par Eiropas dzīvās dabas un dabisko dzīvotņu aizsardzību, un apdraud vienu no bioloģiski daudzveidīgākajām valsts teritorijām;</w:t>
            </w:r>
            <w:r>
              <w:t xml:space="preserve"> </w:t>
            </w:r>
            <w:r>
              <w:rPr>
                <w:b/>
                <w:i/>
              </w:rPr>
              <w:t>mudina Albāniju nodrošināt, ka pirms jebkādas infrastruktūras attīstīšanas tiek veikti stingri ietekmes uz vidi novērtējumi (IVN), kas pilnībā atbilst valsts tiesību aktiem un starptautiskajiem standartiem;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iesaka Eiropas Komisijai cieši uzraudzīt Albānijas atbilstību vides aizsardzības tiesību aktiem, jo īpaši attiecībā uz Vloras starptautiskās lidostas būvniecības apturēšanu, ietekmes uz vidi novērtējumu pareizu piemērošanu un izmainīto aizsargājamo teritoriju atjaunošanu;</w:t>
            </w:r>
            <w:r>
              <w:t xml:space="preserve"> </w:t>
            </w:r>
            <w:r>
              <w:rPr>
                <w:b/>
                <w:i/>
              </w:rPr>
              <w:t>mudina progresu šajos jautājumos uzskatīt par kritiski svarīgiem kritērijiem Albānijas sarunās par vidi un klimata pārmaiņām 27. sadaļā;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24.d</w:t>
            </w:r>
            <w:r>
              <w:tab/>
            </w:r>
            <w:r>
              <w:rPr>
                <w:b/>
                <w:i/>
              </w:rPr>
              <w:t>aicina Albānijas iestādes turpināt dažādot enerģijas ražošanu un pēc iespējas samazināt ietekmi uz biodaudzveidību, apturot hidroenerģijas būvju attīstīšanu aizsargājamās teritorijās;</w:t>
            </w:r>
            <w:r>
              <w:t xml:space="preserve"> </w:t>
            </w:r>
            <w:r>
              <w:rPr>
                <w:b/>
                <w:i/>
              </w:rPr>
              <w:t>mudina Albāniju jo īpaši atteikties no plāniem attiecībā uz Skavikas hidroelektrostaciju (HPP) Melnajā Drinā, ņemot vērā tās nozīmīgo ekoloģisko, sociālo un kultūras lomu, tostarp vietējo kopienu pārvietošanu, un prioritāro dzīvotņu, tostarp Balkānu lūša, brūnā lāča un pelēkā vilka dzīvotņu, iznīcināšanu;</w:t>
            </w:r>
            <w:r>
              <w:t xml:space="preserve"> </w:t>
            </w:r>
            <w:r>
              <w:rPr>
                <w:b/>
                <w:i/>
              </w:rPr>
              <w:t>aicina Albānijas valdību pilnībā ievērot Albānijas Konstitucionālās tiesas neseno nolēmumu un aktīvi īstenot efektīvus sabiedriskās apspriešanas procesus un pārredzamu lēmumu pieņemšanu par Skavikas hidroenerģijas projektu, pilnībā ievērojot valsts konstitucionālos noteikumus un Albānijas saistības saskaņā ar Orhūsas konvenciju;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atzinīgi vērtē 2024. gada 19. novembrī pieņemto ES un Albānijas drošības un aizsardzības partnerību, ar kuru izveido platformu ciešākam dialogam un sadarbībai drošības un aizsardzības jautājumos un kura ir nozīmīgs solis uz priekšu;</w:t>
            </w:r>
          </w:p>
        </w:tc>
        <w:tc>
          <w:tcPr>
            <w:tcW w:w="4876" w:type="dxa"/>
            <w:tcBorders>
              <w:top w:val="nil"/>
              <w:left w:val="nil"/>
              <w:bottom w:val="nil"/>
              <w:right w:val="nil"/>
            </w:tcBorders>
          </w:tcPr>
          <w:p>
            <w:pPr>
              <w:pStyle w:val="Normal6a"/>
            </w:pPr>
            <w:r>
              <w:t>25.</w:t>
            </w:r>
            <w:r>
              <w:tab/>
            </w:r>
            <w:r>
              <w:t xml:space="preserve">atzinīgi vērtē 2024. gada 19. novembrī pieņemto ES un Albānijas drošības un aizsardzības partnerību, ar kuru izveido platformu ciešākam dialogam un sadarbībai drošības un aizsardzības jautājumos un kura ir nozīmīgs solis uz priekšu; </w:t>
            </w:r>
            <w:r>
              <w:rPr>
                <w:b/>
                <w:i/>
              </w:rPr>
              <w:t>uzsver, ka ir svarīgi nodrošināt, lai šī partnerība pārvērstos konkrētās darbībās, tostarp kopīgās apmācības iniciatīvās, kopīgās izlūkošanas spējās un uzlabotos robežu drošības pasākumos reģionālo un globālo drošības problēmu risināšanai;</w:t>
            </w:r>
            <w:r>
              <w:t xml:space="preserve"> </w:t>
            </w:r>
            <w:r>
              <w:rPr>
                <w:b/>
                <w:i/>
              </w:rPr>
              <w:t>uzsver, ka Rietumbalkānos ir vajadzīga dziļāka sadarbība drošības jomā, lai veicinātu ciešāku koordināciju starp reģionālajiem partneriem un lai apkarotu organizēto noziedzību, kiberdraudus un hibrīdproblēmas;</w:t>
            </w:r>
            <w:r>
              <w:t xml:space="preserve"> </w:t>
            </w:r>
            <w:r>
              <w:rPr>
                <w:b/>
                <w:i/>
              </w:rPr>
              <w:t>aicina pastiprināt ES atbalstu reģionālajām drošības iniciatīvām, kas uzlabo stabilitāti un noturību Rietumbalkānos;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atzinīgi vērtē 2024. gada 19. novembrī pieņemto ES un Albānijas drošības un aizsardzības partnerību, ar kuru izveido platformu ciešākam dialogam un sadarbībai drošības un aizsardzības jautājumos </w:t>
            </w:r>
            <w:r>
              <w:rPr>
                <w:b/>
                <w:i/>
              </w:rPr>
              <w:t>un kura</w:t>
            </w:r>
            <w:r>
              <w:t xml:space="preserve"> ir nozīmīgs solis uz priekšu;</w:t>
            </w:r>
          </w:p>
        </w:tc>
        <w:tc>
          <w:tcPr>
            <w:tcW w:w="4876" w:type="dxa"/>
            <w:tcBorders>
              <w:top w:val="nil"/>
              <w:left w:val="nil"/>
              <w:bottom w:val="nil"/>
              <w:right w:val="nil"/>
            </w:tcBorders>
          </w:tcPr>
          <w:p>
            <w:pPr>
              <w:pStyle w:val="Normal6a"/>
            </w:pPr>
            <w:r>
              <w:t>25.</w:t>
            </w:r>
            <w:r>
              <w:tab/>
            </w:r>
            <w:r>
              <w:t>atzinīgi vērtē 2024. gada 19. novembrī pieņemto ES un Albānijas drošības un aizsardzības partnerību, ar kuru izveido platformu ciešākam dialogam un sadarbībai drošības un aizsardzības jautājumos</w:t>
            </w:r>
            <w:r>
              <w:rPr>
                <w:b/>
                <w:i/>
              </w:rPr>
              <w:t>;</w:t>
            </w:r>
            <w:r>
              <w:t xml:space="preserve"> </w:t>
            </w:r>
            <w:r>
              <w:rPr>
                <w:b/>
                <w:i/>
              </w:rPr>
              <w:t>pauž pārliecību, ka šī partnerība</w:t>
            </w:r>
            <w:r>
              <w:t xml:space="preserve"> ir nozīmīgs solis uz priekšu</w:t>
            </w:r>
            <w:r>
              <w:rPr>
                <w:b/>
                <w:i/>
              </w:rPr>
              <w:t>, stiprinot Albānijas kā uzticamas ES drošības partneres lomu;</w:t>
            </w:r>
            <w:r>
              <w:t xml:space="preserve"> </w:t>
            </w:r>
            <w:r>
              <w:rPr>
                <w:b/>
                <w:i/>
              </w:rPr>
              <w:t>turklāt uzsver, ka partnerība cita starpā veicinās kopīgas iniciatīvas un spēju veidošanas centienus, tādējādi veicinot noturīgāku un integrētāku drošības arhitektūru Rietumbalkānos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atzinīgi vērtē 2024. gada 19. novembrī pieņemto ES un Albānijas drošības un aizsardzības partnerību, ar kuru izveido platformu ciešākam dialogam un sadarbībai drošības un aizsardzības jautājumos un kura ir nozīmīgs solis uz priekšu;</w:t>
            </w:r>
          </w:p>
        </w:tc>
        <w:tc>
          <w:tcPr>
            <w:tcW w:w="4876" w:type="dxa"/>
            <w:tcBorders>
              <w:top w:val="nil"/>
              <w:left w:val="nil"/>
              <w:bottom w:val="nil"/>
              <w:right w:val="nil"/>
            </w:tcBorders>
          </w:tcPr>
          <w:p>
            <w:pPr>
              <w:pStyle w:val="Normal6a"/>
            </w:pPr>
            <w:r>
              <w:t>25.</w:t>
            </w:r>
            <w:r>
              <w:tab/>
            </w:r>
            <w:r>
              <w:t xml:space="preserve">atzinīgi vērtē 2024. gada 19. novembrī pieņemto ES un Albānijas drošības un aizsardzības partnerību, ar kuru izveido platformu ciešākam dialogam un sadarbībai drošības un aizsardzības jautājumos un kura ir nozīmīgs solis uz priekšu; </w:t>
            </w:r>
            <w:r>
              <w:rPr>
                <w:b/>
                <w:i/>
              </w:rPr>
              <w:t>atzinīgi vērtē Albānijas, Kosovas un Horvātijas parakstīto trīspusējo deklarāciju par militāro aliansi, kuras mērķis ir uzlabot sadarbību un stiprināt aizsardzības potenciālu, vienlaikus sniedzot pilnīgu atbalstu eiroatlantiskajai un reģionālajai integrācijai aizsardzības jomā;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atzinīgi vērtē 2024. gada 19. novembrī pieņemto ES un Albānijas drošības un aizsardzības partnerību, ar kuru izveido platformu ciešākam dialogam un sadarbībai drošības un aizsardzības jautājumos un kura ir nozīmīgs solis uz priekšu;</w:t>
            </w:r>
          </w:p>
        </w:tc>
        <w:tc>
          <w:tcPr>
            <w:tcW w:w="4876" w:type="dxa"/>
            <w:tcBorders>
              <w:top w:val="nil"/>
              <w:left w:val="nil"/>
              <w:bottom w:val="nil"/>
              <w:right w:val="nil"/>
            </w:tcBorders>
          </w:tcPr>
          <w:p>
            <w:pPr>
              <w:pStyle w:val="Normal6a"/>
            </w:pPr>
            <w:r>
              <w:t>25.</w:t>
            </w:r>
            <w:r>
              <w:tab/>
            </w:r>
            <w:r>
              <w:t xml:space="preserve">atzinīgi vērtē 2024. gada 19. novembrī pieņemto ES un Albānijas drošības un aizsardzības partnerību, ar kuru izveido platformu ciešākam dialogam un sadarbībai drošības un aizsardzības jautājumos un kura ir nozīmīgs solis uz priekšu; </w:t>
            </w:r>
            <w:r>
              <w:rPr>
                <w:b/>
                <w:i/>
              </w:rPr>
              <w:t>uzsver Albānijas pozitīvo ieguldījumu kopējās drošības un aizsardzības politikas misijās, jo īpaši EUFOR Althea, un aicina turpināt tās līdzdalību tādās iniciatīvās kā jūras drošības operācija EUNAVFOR Aspides;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atzinīgi vērtē 2024. gada 19. novembrī pieņemto ES un Albānijas drošības un aizsardzības partnerību, ar kuru izveido platformu ciešākam dialogam un sadarbībai drošības un aizsardzības jautājumos un kura ir nozīmīgs solis uz priekšu;</w:t>
            </w:r>
          </w:p>
        </w:tc>
        <w:tc>
          <w:tcPr>
            <w:tcW w:w="4876" w:type="dxa"/>
            <w:tcBorders>
              <w:top w:val="nil"/>
              <w:left w:val="nil"/>
              <w:bottom w:val="nil"/>
              <w:right w:val="nil"/>
            </w:tcBorders>
          </w:tcPr>
          <w:p>
            <w:pPr>
              <w:pStyle w:val="Normal6a"/>
            </w:pPr>
            <w:r>
              <w:t>25.</w:t>
            </w:r>
            <w:r>
              <w:tab/>
            </w:r>
            <w:r>
              <w:t xml:space="preserve">atzinīgi vērtē 2024. gada 19. novembrī pieņemto ES un Albānijas drošības un aizsardzības partnerību, ar kuru izveido platformu ciešākam dialogam un sadarbībai drošības un aizsardzības jautājumos un kura ir nozīmīgs solis uz priekšu; </w:t>
            </w:r>
            <w:r>
              <w:rPr>
                <w:b/>
                <w:i/>
              </w:rPr>
              <w:t>atzinīgi vērtē Albānijas dalību EUFOR operācijā Althea, kas uzsver valsts apņemšanos veicināt reģionālo un starptautisko drošību un stabilitāti;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uzsver Albānijas ieguldījumu reģionālajā drošībā, sadarbojoties ar kaimiņvalstu policiju un drošības spēkiem;</w:t>
            </w:r>
            <w:r>
              <w:t xml:space="preserve"> </w:t>
            </w:r>
            <w:r>
              <w:rPr>
                <w:b/>
                <w:i/>
              </w:rPr>
              <w:t>atzinīgi vērtē Albānijas dalību reģionālajās iniciatīvās organizētās noziedzības un cilvēku tirdzniecības apkarošanai, tostarp tās sadarbību ar Eiropolu un Interpolu;</w:t>
            </w:r>
            <w:r>
              <w:t xml:space="preserve"> </w:t>
            </w:r>
            <w:r>
              <w:rPr>
                <w:b/>
                <w:i/>
              </w:rPr>
              <w:t>aicina Albāniju turpināt attīstīt izlūkdatu apmaiņas spējas un stiprināt kopīgas operācijas ar ES dalībvalstīm un citām reģiona valstīm;</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uzskata, ka Turcijas klātbūtne Balkānos, sevišķi Albānijā, bieži ir pretrunā ES interesēm;</w:t>
            </w:r>
            <w:r>
              <w:t xml:space="preserve"> </w:t>
            </w:r>
            <w:r>
              <w:rPr>
                <w:b/>
                <w:i/>
              </w:rPr>
              <w:t>aicina Eiropas Ārējās darbības dienestu īpaši uzraudzīt šīs pret Eiropu vērstās darbības;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atzinīgi vērtē Albānijas nozīmīgo ieguldījumu stabilitātes un sadarbības veicināšanā Rietumbalkānos, jo īpaši iesaistoties ES un NATO vadītajās misijās un operācijās;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atzinīgi vērtē to, ka ir pieņemts jaunais kiberdrošības likums, kas ir saskaņots ar ES direktīvu par pasākumiem nolūkā panākt vienādi augsta līmeņa kiberdrošību visā Eiropas Savienībā (TID2);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atzinīgi vērtē to, ka Albānija 2024. gadā pieņēma jaunu valsts drošības stratēģiju turpmākai cīņai pret hibrīddraudiem;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atzinīgi vērtē trīspusējo aizsardzības nolīgumu ar Kosovu un Horvātiju;</w:t>
            </w:r>
            <w:r>
              <w:t xml:space="preserve"> </w:t>
            </w:r>
            <w:r>
              <w:rPr>
                <w:b/>
                <w:i/>
              </w:rPr>
              <w:t>norāda, ka šai iniciatīvai var būt stabilizējoša loma reģionā un tā var kalpot par instrumentu sadarbības veicināšanai drošības un aizsardzības jomā, kā arī aizsardzības spēju veidošanā;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atzinīgi vērtē Albānijas valdības nemitīgos centienus veicināt labas kaimiņattiecības;</w:t>
            </w:r>
          </w:p>
        </w:tc>
        <w:tc>
          <w:tcPr>
            <w:tcW w:w="4876" w:type="dxa"/>
            <w:tcBorders>
              <w:top w:val="nil"/>
              <w:left w:val="nil"/>
              <w:bottom w:val="nil"/>
              <w:right w:val="nil"/>
            </w:tcBorders>
          </w:tcPr>
          <w:p>
            <w:pPr>
              <w:pStyle w:val="Normal6a"/>
            </w:pPr>
            <w:r>
              <w:t>26.</w:t>
            </w:r>
            <w:r>
              <w:tab/>
            </w:r>
            <w:r>
              <w:t xml:space="preserve">atzinīgi vērtē Albānijas valdības nemitīgos centienus veicināt labas kaimiņattiecības; </w:t>
            </w:r>
            <w:r>
              <w:rPr>
                <w:b/>
                <w:i/>
              </w:rPr>
              <w:t>tāpēc atgādina, ka ir svarīgi noslēgt jaunu nolīgumu ar Grieķiju par jūras zonu, tostarp ekskluzīvās ekonomiskās zonas, robežu noteikšanu starp abām valstīm saskaņā ar starptautiskajām tiesībām un Apvienoto Nāciju Organizācijas Jūras tiesību konvenciju, jo iepriekšējo nolīgumu Albānijas Konstitucionālā tiesa 2010. gadā anulēja;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Andrey Kovatchev, Reinhold Lopatka, Michael Gahler, 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atzinīgi vērtē Albānijas valdības nemitīgos centienus veicināt labas kaimiņattiecības;</w:t>
            </w:r>
          </w:p>
        </w:tc>
        <w:tc>
          <w:tcPr>
            <w:tcW w:w="4876" w:type="dxa"/>
            <w:tcBorders>
              <w:top w:val="nil"/>
              <w:left w:val="nil"/>
              <w:bottom w:val="nil"/>
              <w:right w:val="nil"/>
            </w:tcBorders>
          </w:tcPr>
          <w:p>
            <w:pPr>
              <w:pStyle w:val="Normal6a"/>
            </w:pPr>
            <w:r>
              <w:t>26.</w:t>
            </w:r>
            <w:r>
              <w:tab/>
            </w:r>
            <w:r>
              <w:t xml:space="preserve">atzinīgi vērtē Albānijas valdības nemitīgos centienus veicināt labas kaimiņattiecības; </w:t>
            </w:r>
            <w:r>
              <w:rPr>
                <w:b/>
                <w:i/>
              </w:rPr>
              <w:t>brīdina neveikt nekādas tādas darbības, piemēram, Atvērto Balkānu iniciatīvu, kas varētu apdraudēt kopējo reģionālo tirgu vai nozīmētu novirzīšanos no Berlīnes procesa, jo šādi pasākumi rada šķēršļus ES integrācijai un kohēzijai, potenciāli apdraudot Albānijas virzību uz dziļāku reģionālo un Eiropas integrāciju;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atzinīgi vērtē Albānijas valdības nemitīgos centienus veicināt labas kaimiņattiecības;</w:t>
            </w:r>
          </w:p>
        </w:tc>
        <w:tc>
          <w:tcPr>
            <w:tcW w:w="4876" w:type="dxa"/>
            <w:tcBorders>
              <w:top w:val="nil"/>
              <w:left w:val="nil"/>
              <w:bottom w:val="nil"/>
              <w:right w:val="nil"/>
            </w:tcBorders>
          </w:tcPr>
          <w:p>
            <w:pPr>
              <w:pStyle w:val="Normal6a"/>
            </w:pPr>
            <w:r>
              <w:t>26.</w:t>
            </w:r>
            <w:r>
              <w:tab/>
            </w:r>
            <w:r>
              <w:t xml:space="preserve">atzinīgi vērtē Albānijas valdības nemitīgos centienus veicināt labas kaimiņattiecības; </w:t>
            </w:r>
            <w:r>
              <w:rPr>
                <w:b/>
                <w:i/>
              </w:rPr>
              <w:t>turklāt mudina pastāvīgi un konstruktīvi iesaistīties reģionālās sadarbības iniciatīvās saskaņā ar ES vērtībām un paplašināšanās mērķiem, jo tas veicinās mieru, drošību un stabilitāti Rietumbalkānos;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Hermann Tertsch, 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atzinīgi vērtē Albānijas valdības nemitīgos centienus veicināt labas kaimiņattiecības;</w:t>
            </w:r>
          </w:p>
        </w:tc>
        <w:tc>
          <w:tcPr>
            <w:tcW w:w="4876" w:type="dxa"/>
            <w:tcBorders>
              <w:top w:val="nil"/>
              <w:left w:val="nil"/>
              <w:bottom w:val="nil"/>
              <w:right w:val="nil"/>
            </w:tcBorders>
          </w:tcPr>
          <w:p>
            <w:pPr>
              <w:pStyle w:val="Normal6a"/>
            </w:pPr>
            <w:r>
              <w:t>26.</w:t>
            </w:r>
            <w:r>
              <w:tab/>
            </w:r>
            <w:r>
              <w:t xml:space="preserve">atzinīgi vērtē Albānijas valdības nemitīgos centienus veicināt labas kaimiņattiecības; </w:t>
            </w:r>
            <w:r>
              <w:rPr>
                <w:b/>
                <w:i/>
              </w:rPr>
              <w:t>šajā sakarā atzinīgi vērtē 2023. gada 6. novembrī parakstīto un Albānijas parlamenta 2024. gada 22. februārī ratificēto patvēruma nolīgumu ar Itāliju kā vērtīgu instrumentu, kas palīdz pārvaldīt migrācijas plūsmas uz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atzinīgi vērtē</w:t>
            </w:r>
            <w:r>
              <w:t xml:space="preserve"> Albānijas valdības </w:t>
            </w:r>
            <w:r>
              <w:rPr>
                <w:b/>
                <w:i/>
              </w:rPr>
              <w:t>nemitīgos centienus veicināt</w:t>
            </w:r>
            <w:r>
              <w:t xml:space="preserve"> labas kaimiņattiecības;</w:t>
            </w:r>
          </w:p>
        </w:tc>
        <w:tc>
          <w:tcPr>
            <w:tcW w:w="4876" w:type="dxa"/>
            <w:tcBorders>
              <w:top w:val="nil"/>
              <w:left w:val="nil"/>
              <w:bottom w:val="nil"/>
              <w:right w:val="nil"/>
            </w:tcBorders>
          </w:tcPr>
          <w:p>
            <w:pPr>
              <w:pStyle w:val="Normal6a"/>
            </w:pPr>
            <w:r>
              <w:t>26.</w:t>
            </w:r>
            <w:r>
              <w:tab/>
            </w:r>
            <w:r>
              <w:rPr>
                <w:b/>
                <w:i/>
              </w:rPr>
              <w:t>norāda uz</w:t>
            </w:r>
            <w:r>
              <w:t xml:space="preserve"> Albānijas valdības </w:t>
            </w:r>
            <w:r>
              <w:rPr>
                <w:b/>
                <w:i/>
              </w:rPr>
              <w:t>pausto vēlmi veidot</w:t>
            </w:r>
            <w:r>
              <w:t xml:space="preserve"> labas kaimiņattiecības;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atzinīgi vērtē 2023. gada 6. novembrī starp Itāliju un Albāniju parakstīto divpusējo nolīgumu, kas ļauj pārvietot jūrā izglābtos neatbilstīgos migrantus uz diviem apstrādes centriem Albānijā, kur viņu patvēruma pieprasījumi tiks izvērtēti saskaņā ar starptautiskajiem standartiem;</w:t>
            </w:r>
            <w:r>
              <w:t xml:space="preserve"> </w:t>
            </w:r>
            <w:r>
              <w:rPr>
                <w:b/>
                <w:i/>
              </w:rPr>
              <w:t>atzīst, ka šis nolīgums ir konkrēts un pragmatisks reģionālās sadarbības piemērs neatbilstīgas migrācijas novēršanā un cilvēku kontrabandas tīklu apkarošanā;</w:t>
            </w:r>
            <w:r>
              <w:t xml:space="preserve"> </w:t>
            </w:r>
            <w:r>
              <w:rPr>
                <w:b/>
                <w:i/>
              </w:rPr>
              <w:t>mudina Komisiju atkārtot līdzīgus partnerības un ārējās sadarbības modeļus;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atbalsta pastiprinātu reģionālo sadarbību starp Rietumbalkānu valstīm nolūkā apmainīties ar paraugpraksi un izstrādāt kopīgas stratēģijas dezinformācijas un ārvalstu iejaukšanās apkarošanai;</w:t>
            </w:r>
            <w:r>
              <w:t xml:space="preserve"> </w:t>
            </w:r>
            <w:r>
              <w:rPr>
                <w:b/>
                <w:i/>
              </w:rPr>
              <w:t>uzsver Eiropas Savienības lomu šādu sadarbības centienu veicināšanā;</w:t>
            </w:r>
            <w:r>
              <w:t xml:space="preserve"> </w:t>
            </w:r>
            <w:r>
              <w:rPr>
                <w:b/>
                <w:i/>
              </w:rPr>
              <w:t>aicina turpināt un vēl vairāk pastiprināt IPA reģionālo kiberdrošības programmu;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atzinīgi vērtē Albānijas apņemšanos veicināt labas kaimiņattiecības un reģionālo sadarbību Rietumbalkānos;</w:t>
            </w:r>
            <w:r>
              <w:t xml:space="preserve"> </w:t>
            </w:r>
            <w:r>
              <w:rPr>
                <w:b/>
                <w:i/>
              </w:rPr>
              <w:t>atzinīgi vērtē Albānijas aktīvo ieguldījumu Berlīnes procesā un Rietumbalkānu izaugsmes plānā, kas veicina reģiona ekonomisko un politisko integrāciju;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atkārtoti norāda, ka tiesiskums, neatkarīgas iestādes, varas dalīšana un līdzsvarošana un politiskais plurālisms ir būtiski kritēriji, lai pievienotos ES;</w:t>
            </w:r>
            <w:r>
              <w:t xml:space="preserve"> </w:t>
            </w:r>
            <w:r>
              <w:rPr>
                <w:b/>
                <w:i/>
              </w:rPr>
              <w:t>aicina nekavējoties veikt pasākumus, lai aizsargātu opozīcijas tiesības, nodrošinātu arī tiesu varas neatkarību parlamentā un novērstu valsts iestāžu ļaunprātīgu izmantošanu politiska labuma gūšanai;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mudina Albāniju stiprināt izlūkdatu apmaiņas mehānismus ar ES aģentūrām, piemēram, Eiropolu un Frontex, lai uzlabotu reģionālo stabilitāti un robežu drošību;</w:t>
            </w:r>
            <w:r>
              <w:t xml:space="preserve"> </w:t>
            </w:r>
            <w:r>
              <w:rPr>
                <w:b/>
                <w:i/>
              </w:rPr>
              <w:t>aicina turpināt saskaņot Albānijas drošības politiku ar ES stratēģijām, veicinot integrētāku un noturīgāku reģionālo drošības satvaru.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atzinīgi vērtē Albānijas kā visaktīvākās trešās valsts statusu EMPACT attiecībā uz narkotiku tirdzniecību, nelikumīgi iegūtu līdzekļu legalizāciju un kibernoziedzību;</w:t>
            </w:r>
            <w:r>
              <w:t xml:space="preserve"> </w:t>
            </w:r>
            <w:r>
              <w:rPr>
                <w:b/>
                <w:i/>
              </w:rPr>
              <w:t>turklāt atzīst pastiprināto informācijas apmaiņu ar Interpolu, Eiropolu un ar CARIN tīkla starpniecību;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uzsver Grieķijas un Albānijas nolīguma par ekskluzīvo ekonomikas zonu (2009. gads) juridisko pamatotību, ko Albānijas Konstitucionālā tiesa atcēla pēc Edi Rama partijas pret iestādēm vērstas iejaukšanās;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atzinīgi vērtē to, ka Albānija ir ratificējusi divpusējus nolīgumus ar Horvātiju, Melnkalni un Bulgāriju par sociālā nodrošinājuma sistēmu koordinēšanu;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ļoti atzinīgi vērtē lēmumu atvērt Eiropas Parlamenta vietējo biroju Rietumbalkāniem Tirānā;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nosoda Eiropas Vietējo pašvaldību hartas un Albānijas konstitucionālo un tiesību normu par vietējo autonomiju pārkāpšanu pēc mēra Erion Veliaj aresta;</w:t>
            </w:r>
            <w:r>
              <w:t xml:space="preserve"> </w:t>
            </w:r>
            <w:r>
              <w:rPr>
                <w:b/>
                <w:i/>
              </w:rPr>
              <w:t>ar bažām norāda, ka premjerministrs Rama nelikumīgi pārņēma kontroli pār Tirānas pašvaldību un iecēla savu pēcteci, tādējādi centralizējot varu un ļaunprātīgi izmantojot pašvaldību resursus vēlēšanu vajadzībām;</w:t>
            </w:r>
            <w:r>
              <w:t xml:space="preserve"> </w:t>
            </w:r>
            <w:r>
              <w:rPr>
                <w:b/>
                <w:i/>
              </w:rPr>
              <w:t>uzsver, ka tas apdraud demokrātisku pārvaldību un vēlēšanu taisnīgumu;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uzsver Albānijas konstruktīvo lomu stabilitātes un sadarbības veicināšanā Rietumbalkānos, jo īpaši pateicoties tās divpusējam dialogam ar kaimiņvalstīm un iesaistei reģionālajās organizācijās;</w:t>
            </w:r>
            <w:r>
              <w:t xml:space="preserve"> </w:t>
            </w:r>
            <w:r>
              <w:rPr>
                <w:b/>
                <w:i/>
              </w:rPr>
              <w:t>aicina Albāniju turpināt centienus atrisināt visus neatrisinātos strīdus ar kaimiņvalstīm, īstenojot pieeju, kas balstīta uz starptautiskajām tiesībām un miera un drošības veicināšanu reģionā;</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atzinīgi vērtē Albānijas pilnīgo pieskaņošanos ES kopējai ārpolitikai un drošības politikai (KĀDP), tostarp tās atbalstu ES sankcijām pret trešām valstīm;</w:t>
            </w:r>
            <w:r>
              <w:t xml:space="preserve"> </w:t>
            </w:r>
            <w:r>
              <w:rPr>
                <w:b/>
                <w:i/>
              </w:rPr>
              <w:t>uzsver, ka ir svarīgi palielināt Albānijas dalību ES vadītās krīzes pārvarēšanas operācijās un kopējās drošības un aizsardzības politikas (KDAP) misijās;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Andreas Schieder, Marco Tarquinio, Marta Temido,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atzinīgi vērtē 18 Albānijas dalībnieku iesaistīšanos EESK izveidotajā paplašināšanās kandidātvalstu iniciatīvā, kuras mērķis ir veicināt ciešākas saites ar kandidātvalstīm un to pakāpenisku integrāciju Eiropas Savienībā;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26.c</w:t>
            </w:r>
            <w:r>
              <w:tab/>
            </w:r>
            <w:r>
              <w:rPr>
                <w:b/>
                <w:i/>
              </w:rPr>
              <w:t>atzīst Adrijas-Jonijas jūras reģiona stratēģisko nozīmi Eiropas drošībai un ekonomikas stabilitātei;</w:t>
            </w:r>
            <w:r>
              <w:t xml:space="preserve"> </w:t>
            </w:r>
            <w:r>
              <w:rPr>
                <w:b/>
                <w:i/>
              </w:rPr>
              <w:t>aicina Albāniju sadarbībā ar ES un NATO uzlabot savas jūras drošības spējas, tostarp stiprināt jūras infrastruktūru, uzlabot uzraudzības sistēmas un pastiprināt centienus apkarot nelikumīgas darbības, piemēram, kontrabandu un cilvēku tirdzniecību Adrijas un Joānijas jūrā;</w:t>
            </w:r>
            <w:r>
              <w:t xml:space="preserve"> </w:t>
            </w:r>
            <w:r>
              <w:rPr>
                <w:b/>
                <w:i/>
              </w:rPr>
              <w:t>mudina padziļināt sadarbību ar citām ES piekrastes valstīm, lai šajā reģionā nodrošinātu kritisko jūras maršrutu aizsardzību un vides ilgtspēju;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atzinīgi vērtē Eiropas Parlamenta Rietumbalkānu biroja izveidi Tirānā;</w:t>
            </w:r>
            <w:r>
              <w:t xml:space="preserve"> </w:t>
            </w:r>
            <w:r>
              <w:rPr>
                <w:b/>
                <w:i/>
              </w:rPr>
              <w:t>norāda, ka šis birojs būs galvenais kontaktpunkts starp Eiropas Parlamentu unbvisa Rietumbalkānu reģiona valstu parlamentiem, pilsonisko sabiedrību un vietējiem partneriem;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770.101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114</w:t>
    </w:r>
    <w:r>
      <w:fldChar w:fldCharType="end"/>
    </w:r>
    <w:r>
      <w:t>/</w:t>
    </w:r>
    <w:r>
      <w:fldChar w:fldCharType="begin"/>
    </w:r>
    <w:r>
      <w:instrText xml:space="preserve"> NUMPAGES </w:instrText>
    </w:r>
    <w:r>
      <w:fldChar w:fldCharType="separate"/>
    </w:r>
    <w:r>
      <w:t>114</w:t>
    </w:r>
    <w:r>
      <w:fldChar w:fldCharType="end"/>
    </w:r>
    <w:r>
      <w:tab/>
    </w:r>
    <w:r>
      <w:rPr>
        <w:rStyle w:val="HideTWBExt"/>
      </w:rPr>
      <w:t>&lt;PathFdR&gt;</w:t>
    </w:r>
    <w:r>
      <w:t>AM\1316349LV.docx</w:t>
    </w:r>
    <w:r>
      <w:rPr>
        <w:rStyle w:val="HideTWBExt"/>
      </w:rPr>
      <w:t>&lt;/PathFdR&gt;</w:t>
    </w:r>
  </w:p>
  <w:p>
    <w:pPr>
      <w:pStyle w:val="EPFooter2"/>
    </w:pPr>
    <w:r>
      <w:t>LV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AM\1316349LV.docx</w:t>
    </w:r>
    <w:r>
      <w:rPr>
        <w:rStyle w:val="HideTWBExt"/>
      </w:rPr>
      <w:t>&lt;/PathFdR&gt;</w:t>
    </w:r>
    <w:r>
      <w:tab/>
    </w:r>
    <w:r>
      <w:fldChar w:fldCharType="begin"/>
    </w:r>
    <w:r>
      <w:instrText xml:space="preserve"> PAGE </w:instrText>
    </w:r>
    <w:r>
      <w:fldChar w:fldCharType="separate"/>
    </w:r>
    <w:r>
      <w:t>113</w:t>
    </w:r>
    <w:r>
      <w:fldChar w:fldCharType="end"/>
    </w:r>
    <w:r>
      <w:t>/</w:t>
    </w:r>
    <w:r>
      <w:fldChar w:fldCharType="begin"/>
    </w:r>
    <w:r>
      <w:instrText xml:space="preserve"> NUMPAGES </w:instrText>
    </w:r>
    <w:r>
      <w:fldChar w:fldCharType="separate"/>
    </w:r>
    <w:r>
      <w:t>114</w:t>
    </w:r>
    <w:r>
      <w:fldChar w:fldCharType="end"/>
    </w:r>
    <w:r>
      <w:tab/>
    </w:r>
    <w:r>
      <w:t>PE</w:t>
    </w:r>
    <w:r>
      <w:rPr>
        <w:rStyle w:val="HideTWBExt"/>
      </w:rPr>
      <w:t>&lt;NoPE&gt;</w:t>
    </w:r>
    <w:r>
      <w:t>770.101</w:t>
    </w:r>
    <w:r>
      <w:rPr>
        <w:rStyle w:val="HideTWBExt"/>
      </w:rPr>
      <w:t>&lt;/NoPE&gt;</w:t>
    </w:r>
    <w:r>
      <w:rPr>
        <w:rStyle w:val="HideTWBExt"/>
      </w:rPr>
      <w:t>&lt;Version&gt;</w:t>
    </w:r>
    <w:r>
      <w:t>v01-00</w:t>
    </w:r>
    <w:r>
      <w:rPr>
        <w:rStyle w:val="HideTWBExt"/>
      </w:rPr>
      <w:t>&lt;/Version&gt;</w:t>
    </w:r>
  </w:p>
  <w:p>
    <w:pPr>
      <w:pStyle w:val="EPFooter2"/>
    </w:pPr>
    <w:r>
      <w:tab/>
    </w:r>
    <w:r>
      <w:tab/>
    </w:r>
    <w:r>
      <w:t>LV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AM\1316349LV.docx</w:t>
    </w:r>
    <w:r>
      <w:rPr>
        <w:rStyle w:val="HideTWBExt"/>
      </w:rPr>
      <w:t>&lt;/PathFdR&gt;</w:t>
    </w:r>
    <w:r>
      <w:tab/>
    </w:r>
    <w:r>
      <w:tab/>
    </w:r>
    <w:r>
      <w:t>PE</w:t>
    </w:r>
    <w:r>
      <w:rPr>
        <w:rStyle w:val="HideTWBExt"/>
      </w:rPr>
      <w:t>&lt;NoPE&gt;</w:t>
    </w:r>
    <w:r>
      <w:t>770.101</w:t>
    </w:r>
    <w:r>
      <w:rPr>
        <w:rStyle w:val="HideTWBExt"/>
      </w:rPr>
      <w:t>&lt;/NoPE&gt;</w:t>
    </w:r>
    <w:r>
      <w:rPr>
        <w:rStyle w:val="HideTWBExt"/>
      </w:rPr>
      <w:t>&lt;Version&gt;</w:t>
    </w:r>
    <w:r>
      <w:t>v01-00</w:t>
    </w:r>
    <w:r>
      <w:rPr>
        <w:rStyle w:val="HideTWBExt"/>
      </w:rPr>
      <w:t>&lt;/Version&gt;</w:t>
    </w:r>
  </w:p>
  <w:p>
    <w:pPr>
      <w:pStyle w:val="EPFooter2"/>
    </w:pPr>
    <w:r>
      <w:t>LV</w:t>
    </w:r>
    <w:r>
      <w:tab/>
    </w:r>
    <w:r>
      <w:rPr>
        <w:rStyle w:val="EPFooter2Motto"/>
      </w:rPr>
      <w:t>Vienoti daudzveidībā</w:t>
    </w:r>
    <w:r>
      <w:tab/>
    </w:r>
    <w:r>
      <w:t>LV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v-LV"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114</Pages>
  <Words>19026</Words>
  <Characters>132323</Characters>
  <Application>Microsoft Office Word</Application>
  <DocSecurity>0</DocSecurity>
  <Lines>1</Lines>
  <Paragraphs>2051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1316349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159524</vt:lpwstr>
  </property>
  <property fmtid="{D5CDD505-2E9C-101B-9397-08002B2CF9AE}" pid="7" name="dmxml.render.traceId">
    <vt:lpwstr>67f3aa6226ba6fe5ee76a0b34829075d</vt:lpwstr>
  </property>
  <property fmtid="{D5CDD505-2E9C-101B-9397-08002B2CF9AE}" pid="8" name="FooterPath">
    <vt:lpwstr>AM\1316349LV.docx</vt:lpwstr>
  </property>
  <property fmtid="{D5CDD505-2E9C-101B-9397-08002B2CF9AE}" pid="9" name="PE Number">
    <vt:lpwstr>770.101</vt:lpwstr>
  </property>
  <property fmtid="{D5CDD505-2E9C-101B-9397-08002B2CF9AE}" pid="10" name="UID">
    <vt:lpwstr>eu.europa.europarl-DIN1-2025-0000061388_01.00-lv-01.00_text-xml</vt:lpwstr>
  </property>
</Properties>
</file>