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2025/2020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{19/03/2025}</w:t>
      </w:r>
      <w:r>
        <w:t>19.3.2025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235</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Marjan Šarec</w:t>
      </w:r>
      <w:r>
        <w:rPr>
          <w:rStyle w:val="HideTWBExt"/>
        </w:rPr>
        <w:t>&lt;/Rapporteur&gt;</w:t>
      </w:r>
    </w:p>
    <w:p>
      <w:pPr>
        <w:pStyle w:val="CoverNormal24a"/>
      </w:pPr>
      <w:r>
        <w:rPr>
          <w:rStyle w:val="HideTWBExt"/>
        </w:rPr>
        <w:t>&lt;DocRefPE&gt;</w:t>
      </w:r>
      <w:r>
        <w:t>(PE769.896v01-00)</w:t>
      </w:r>
      <w:r>
        <w:rPr>
          <w:rStyle w:val="HideTWBExt"/>
        </w:rPr>
        <w:t>&lt;/DocRefPE&gt;</w:t>
      </w:r>
    </w:p>
    <w:p>
      <w:pPr>
        <w:pStyle w:val="CoverNormal"/>
      </w:pPr>
      <w:r>
        <w:rPr>
          <w:rStyle w:val="HideTWBExt"/>
        </w:rPr>
        <w:t>&lt;Titre&gt;</w:t>
      </w:r>
      <w:r>
        <w:t>2023 ir 2024 m. Komisijos ataskaitos dėl Montenegro</w:t>
      </w:r>
      <w:r>
        <w:rPr>
          <w:rStyle w:val="HideTWBExt"/>
        </w:rPr>
        <w:t>&lt;/Titre&gt;</w:t>
      </w:r>
    </w:p>
    <w:p>
      <w:pPr>
        <w:pStyle w:val="CoverNormal24a"/>
      </w:pPr>
      <w:r>
        <w:rPr>
          <w:rStyle w:val="HideTWBExt"/>
        </w:rPr>
        <w:t>&lt;DocRef&gt;</w:t>
      </w:r>
      <w:r>
        <w:t>(2025/2020(INI))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2018 m. gegužės 17 d. ES ir Vakarų Balkanų aukščiausiojo lygio susitikime paskelbtą Sofijos deklaraciją ir prie jos pridėtą Sofijos prioritetų darbotvarkę,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2013 m. Juodkalnijos ratifikuotą Europos Tarybos konvenciją dėl smurto prieš moteris ir smurto šeimoje prevencijos ir kovos su juo (Stambulo konvenciją) ir Europos Komisijos rekomendacijas dėl lyčių lygybės ir kovos su smurtu dėl lyties,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organizacijos „Žurnalistai be sienų“ kasmet skelbiamą pasaulio spaudos laisvės indeksą,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Jungtinių Tautų vyriausiojo pabėgėlių reikalų komisaro biuro 2025 m. kovo mėn. duomenis apie pabėgėlių padėtį Ukrainoje,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vasario 29 d. rezoliuciją dėl ES integracijos stiprinimo atsižvelgiant į būsimą plėtrą</w:t>
            </w:r>
            <w:r>
              <w:t xml:space="preserve"> </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Priimti tekstai, P9_TA(2024)0120.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naujas plėtros postūmis, kurį sukėlė pasikeitusi geopolitinė realybė ir kai kurių Rytų partnerystės šalių paraiškos dėl narystės ES, paskatino ES greičiau imtis žingsnių siekiant suteikti seniai atidėliojamą paramą Vakarų Balkanams;</w:t>
            </w:r>
            <w:r>
              <w:t xml:space="preserve"> </w:t>
            </w:r>
            <w:r>
              <w:rPr>
                <w:b/>
                <w:i/>
              </w:rPr>
              <w:t>kadangi Vakarų Balkanų šalių ateitis – Europos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kiekviena šalis vertinama pagal nuopelnus;</w:t>
            </w:r>
          </w:p>
        </w:tc>
        <w:tc>
          <w:tcPr>
            <w:tcW w:w="4876" w:type="dxa"/>
            <w:tcBorders>
              <w:top w:val="nil"/>
              <w:left w:val="nil"/>
              <w:bottom w:val="nil"/>
              <w:right w:val="nil"/>
            </w:tcBorders>
          </w:tcPr>
          <w:p>
            <w:pPr>
              <w:pStyle w:val="Normal6a"/>
            </w:pPr>
            <w:r>
              <w:t>B.</w:t>
            </w:r>
            <w:r>
              <w:tab/>
            </w:r>
            <w:r>
              <w:t xml:space="preserve">kadangi kiekviena šalis vertinama pagal </w:t>
            </w:r>
            <w:r>
              <w:rPr>
                <w:b/>
                <w:i/>
              </w:rPr>
              <w:t>savo</w:t>
            </w:r>
            <w:r>
              <w:t xml:space="preserve"> nuopelnus</w:t>
            </w:r>
            <w:r>
              <w:rPr>
                <w:b/>
                <w:i/>
              </w:rPr>
              <w:t>, įskaitant pagarbą Europos bendroms teisėms ir vertybėms bei nesvyruojantį įsipareigojimą jų laikytis bei suderinimą su ES užsienio ir saugumo politika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kiekviena šalis vertinama pagal nuopelnus;</w:t>
            </w:r>
          </w:p>
        </w:tc>
        <w:tc>
          <w:tcPr>
            <w:tcW w:w="4876" w:type="dxa"/>
            <w:tcBorders>
              <w:top w:val="nil"/>
              <w:left w:val="nil"/>
              <w:bottom w:val="nil"/>
              <w:right w:val="nil"/>
            </w:tcBorders>
          </w:tcPr>
          <w:p>
            <w:pPr>
              <w:pStyle w:val="Normal6a"/>
            </w:pPr>
            <w:r>
              <w:t>B.</w:t>
            </w:r>
            <w:r>
              <w:tab/>
            </w:r>
            <w:r>
              <w:t xml:space="preserve">kadangi kiekviena šalis vertinama pagal </w:t>
            </w:r>
            <w:r>
              <w:rPr>
                <w:b/>
                <w:i/>
              </w:rPr>
              <w:t>savo</w:t>
            </w:r>
            <w:r>
              <w:t xml:space="preserve"> nuopelnus </w:t>
            </w:r>
            <w:r>
              <w:rPr>
                <w:b/>
                <w:i/>
              </w:rPr>
              <w:t>įgyvendinant Kopenhagos kriterijus, įskaitant visapusišką pagarbą demokratijai, teisinei valstybei ir pagrindinėms ES vertybėms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kiekviena šalis vertinama pagal nuopelnus;</w:t>
            </w:r>
          </w:p>
        </w:tc>
        <w:tc>
          <w:tcPr>
            <w:tcW w:w="4876" w:type="dxa"/>
            <w:tcBorders>
              <w:top w:val="nil"/>
              <w:left w:val="nil"/>
              <w:bottom w:val="nil"/>
              <w:right w:val="nil"/>
            </w:tcBorders>
          </w:tcPr>
          <w:p>
            <w:pPr>
              <w:pStyle w:val="Normal6a"/>
            </w:pPr>
            <w:r>
              <w:t>B.</w:t>
            </w:r>
            <w:r>
              <w:tab/>
            </w:r>
            <w:r>
              <w:t xml:space="preserve">kadangi kiekviena šalis vertinama pagal nuopelnus; </w:t>
            </w:r>
            <w:r>
              <w:rPr>
                <w:b/>
                <w:i/>
              </w:rPr>
              <w:t>kadangi plėtros kriterijų įvykdymas, būtinų reformų įgyvendinimas, visų pirma pagrindinių principų srityje, demokratijos, teisinės valstybės, žmogaus teisių ir gero valdymo principų laikymasis, taip pat prisiderinimas prie ES acquis ir jos bendros užsienio politikos lemia stojimo proceso tvarkaraštį ir pažangą;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žmogaus teisės, demokratija ir teisinė valstybė yra pagrindinės vertybės, kuriomis grindžiama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Juodkalnija </w:t>
            </w:r>
            <w:r>
              <w:rPr>
                <w:b/>
                <w:i/>
              </w:rPr>
              <w:t>yra padariusi didžiausią pažangą stojimo procese ir šį procesą labai palaiko visuomenė</w:t>
            </w:r>
            <w:r>
              <w:t>;</w:t>
            </w:r>
          </w:p>
        </w:tc>
        <w:tc>
          <w:tcPr>
            <w:tcW w:w="4876" w:type="dxa"/>
            <w:tcBorders>
              <w:top w:val="nil"/>
              <w:left w:val="nil"/>
              <w:bottom w:val="nil"/>
              <w:right w:val="nil"/>
            </w:tcBorders>
          </w:tcPr>
          <w:p>
            <w:pPr>
              <w:pStyle w:val="Normal6a"/>
            </w:pPr>
            <w:r>
              <w:t>C.</w:t>
            </w:r>
            <w:r>
              <w:tab/>
            </w:r>
            <w:r>
              <w:t xml:space="preserve">kadangi Juodkalnija </w:t>
            </w:r>
            <w:r>
              <w:rPr>
                <w:b/>
                <w:i/>
              </w:rPr>
              <w:t>labiausiai nuveikė stojimo procese, atidariusi visus 33 ES acquis skyrius ir preliminariai uždariusi šešis skyrius, ir tam teikia didelę visuomenės paramą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ES yra didžiausia Juodkalnijos prekybos partnerė ir investuotoja;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ES ir toliau yra didžiausia prekybos partnerė ir didžiausia investicijų ir finansinės paramos Juodkalnijai teikėja;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Juodkalnija tebėra itin svarbi kovos su užsienio dezinformacijos kampanijomis ir kitų formų įtaka vieta, įskaitant ES nepriklausančių subjektų, visų pirma Kinijos ir Rusijos, investicijas, kurios gali daryti įtaką Juodkalnijos politinei, ekonominei ir strateginei trajektorijai;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tebesitęsianti piktavališka užsienio įtaka, kišimasis į rinkimus ir hibridinio karo strategijos ir jos mastas kelia grėsmę Juodkalnijos demokratiniams procesams, žiniasklaidos vientisumui ir kelia grėsmę Juodkalnijos stojimo į ES perspektyvoms;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Juodkalnijai gresia Rusijos vykdomas užsienio kišimasis ir kenkėjiškos dezinformacijos kampanijos;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2024 m. birželio 8 d. Belgrade įvyko „Visų asamblėjų asamblėja“, kurioje dalyvavo Juodkalnijos parlamento pirmininkė Andrija Mandić pagal šūkį „Viena tauta – viena asamblėja“;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2025 m. kovo 15 d. Belgrade buvo sulaikytas Juodkalnijos parlamento Europos integracijos komiteto pirmininkas ir Demokratinių socialistų partijos (DPS) pirmininko pavaduotojas Ivan Vuković;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2014 m. „Exim Bank“ suteikė paskolą Juodkalnijai 41 km ilgio greitkelio, jungiančio Adrijos jūros Baro uostą su Serbija, statybai, o projektas buvo laikomas pagrindine Kinijos iniciatyvos „Viena juosta, vienas kelias“ dalimi;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Matthieu Valet,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pripažįsta tvirtą Juodkalnijos įsipareigojimą siekti narystės ES ir patvirtina, kad visapusiškai remia būsimą šios šalies narystę ES</w:t>
            </w:r>
            <w:r>
              <w:t>;</w:t>
            </w:r>
          </w:p>
        </w:tc>
        <w:tc>
          <w:tcPr>
            <w:tcW w:w="4876" w:type="dxa"/>
            <w:tcBorders>
              <w:top w:val="nil"/>
              <w:left w:val="nil"/>
              <w:bottom w:val="nil"/>
              <w:right w:val="nil"/>
            </w:tcBorders>
          </w:tcPr>
          <w:p>
            <w:pPr>
              <w:pStyle w:val="Normal6a"/>
            </w:pPr>
            <w:r>
              <w:t>1.</w:t>
            </w:r>
            <w:r>
              <w:tab/>
            </w:r>
            <w:r>
              <w:rPr>
                <w:b/>
                <w:i/>
              </w:rPr>
              <w:t>Griežtai nepritaria tolesnei ES plėtrai, nes šalys kandidatės dar toli gražu neatitinka Kopenhagos kriterijuose nustatytų politinio ir socialinio stabilumo kriterijų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pripažįsta tvirtą Juodkalnijos įsipareigojimą siekti narystės ES </w:t>
            </w:r>
            <w:r>
              <w:rPr>
                <w:b/>
                <w:i/>
              </w:rPr>
              <w:t>ir</w:t>
            </w:r>
            <w:r>
              <w:t xml:space="preserve"> patvirtina, kad visapusiškai remia būsimą </w:t>
            </w:r>
            <w:r>
              <w:rPr>
                <w:b/>
                <w:i/>
              </w:rPr>
              <w:t>šios</w:t>
            </w:r>
            <w:r>
              <w:t xml:space="preserve"> šalies narystę ES;</w:t>
            </w:r>
          </w:p>
        </w:tc>
        <w:tc>
          <w:tcPr>
            <w:tcW w:w="4876" w:type="dxa"/>
            <w:tcBorders>
              <w:top w:val="nil"/>
              <w:left w:val="nil"/>
              <w:bottom w:val="nil"/>
              <w:right w:val="nil"/>
            </w:tcBorders>
          </w:tcPr>
          <w:p>
            <w:pPr>
              <w:pStyle w:val="Normal6a"/>
            </w:pPr>
            <w:r>
              <w:t>1.</w:t>
            </w:r>
            <w:r>
              <w:tab/>
            </w:r>
            <w:r>
              <w:t>pripažįsta tvirtą Juodkalnijos įsipareigojimą siekti narystės ES</w:t>
            </w:r>
            <w:r>
              <w:rPr>
                <w:b/>
                <w:i/>
              </w:rPr>
              <w:t>, visų pirma nuolatinę ir tvirtą savo piliečių paramą integracijai į ES, ir dar kartą</w:t>
            </w:r>
            <w:r>
              <w:t xml:space="preserve"> patvirtina, kad visapusiškai remia būsimą šalies narystę ES</w:t>
            </w:r>
            <w:r>
              <w:rPr>
                <w:b/>
                <w:i/>
              </w:rPr>
              <w:t>, kurią vis dar galima pasiekti dabartinės EP kadencijos metu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pripažįsta tvirtą Juodkalnijos įsipareigojimą siekti narystės ES ir patvirtina, kad visapusiškai remia būsimą </w:t>
            </w:r>
            <w:r>
              <w:rPr>
                <w:b/>
                <w:i/>
              </w:rPr>
              <w:t>šios</w:t>
            </w:r>
            <w:r>
              <w:t xml:space="preserve"> šalies narystę ES;</w:t>
            </w:r>
          </w:p>
        </w:tc>
        <w:tc>
          <w:tcPr>
            <w:tcW w:w="4876" w:type="dxa"/>
            <w:tcBorders>
              <w:top w:val="nil"/>
              <w:left w:val="nil"/>
              <w:bottom w:val="nil"/>
              <w:right w:val="nil"/>
            </w:tcBorders>
          </w:tcPr>
          <w:p>
            <w:pPr>
              <w:pStyle w:val="Normal6a"/>
            </w:pPr>
            <w:r>
              <w:t>1.</w:t>
            </w:r>
            <w:r>
              <w:tab/>
            </w:r>
            <w:r>
              <w:t>pripažįsta tvirtą Juodkalnijos įsipareigojimą siekti narystės ES</w:t>
            </w:r>
            <w:r>
              <w:rPr>
                <w:b/>
                <w:i/>
              </w:rPr>
              <w:t>, ypač nuolatinę ir tvirtą jos piliečių paramą integracijai į ES,</w:t>
            </w:r>
            <w:r>
              <w:t xml:space="preserve"> ir patvirtina, kad visapusiškai remia būsimą šalies narystę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pripažįsta tvirtą Juodkalnijos įsipareigojimą siekti narystės ES ir patvirtina, kad visapusiškai remia būsimą šios šalies narystę ES;</w:t>
            </w:r>
          </w:p>
        </w:tc>
        <w:tc>
          <w:tcPr>
            <w:tcW w:w="4876" w:type="dxa"/>
            <w:tcBorders>
              <w:top w:val="nil"/>
              <w:left w:val="nil"/>
              <w:bottom w:val="nil"/>
              <w:right w:val="nil"/>
            </w:tcBorders>
          </w:tcPr>
          <w:p>
            <w:pPr>
              <w:pStyle w:val="Normal6a"/>
            </w:pPr>
            <w:r>
              <w:t>1.</w:t>
            </w:r>
            <w:r>
              <w:tab/>
            </w:r>
            <w:r>
              <w:t xml:space="preserve">pripažįsta tvirtą Juodkalnijos įsipareigojimą siekti narystės ES ir patvirtina, kad visapusiškai remia būsimą šios šalies narystę ES; </w:t>
            </w:r>
            <w:r>
              <w:rPr>
                <w:b/>
                <w:i/>
              </w:rPr>
              <w:t>palankiai vertina Juodkalnijos prezidento pareiškimą, kuriame jis pareiškė, kad Juodkalnija siekia iki 2028 m. tapti 28-ąja valstybe 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Dan Barna, Lucia Yar, Marjan Šarec, Malik Azmani,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pripažįsta tvirtą Juodkalnijos įsipareigojimą siekti narystės ES ir patvirtina, kad visapusiškai remia būsimą šios šalies narystę ES;</w:t>
            </w:r>
          </w:p>
        </w:tc>
        <w:tc>
          <w:tcPr>
            <w:tcW w:w="4876" w:type="dxa"/>
            <w:tcBorders>
              <w:top w:val="nil"/>
              <w:left w:val="nil"/>
              <w:bottom w:val="nil"/>
              <w:right w:val="nil"/>
            </w:tcBorders>
          </w:tcPr>
          <w:p>
            <w:pPr>
              <w:pStyle w:val="Normal6a"/>
            </w:pPr>
            <w:r>
              <w:t>1.</w:t>
            </w:r>
            <w:r>
              <w:tab/>
            </w:r>
            <w:r>
              <w:t xml:space="preserve">pripažįsta tvirtą Juodkalnijos įsipareigojimą siekti narystės ES ir patvirtina, kad visapusiškai remia būsimą šios šalies narystę ES; </w:t>
            </w:r>
            <w:r>
              <w:rPr>
                <w:b/>
                <w:i/>
              </w:rPr>
              <w:t>palankiai vertina didžiulę Juodkalnijos piliečių ir daugumos politinių veikėjų paramą stojimui į ES 2028 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pripažįsta tvirtą Juodkalnijos įsipareigojimą siekti narystės ES ir patvirtina, kad visapusiškai remia būsimą šios šalies narystę ES;</w:t>
            </w:r>
          </w:p>
        </w:tc>
        <w:tc>
          <w:tcPr>
            <w:tcW w:w="4876" w:type="dxa"/>
            <w:tcBorders>
              <w:top w:val="nil"/>
              <w:left w:val="nil"/>
              <w:bottom w:val="nil"/>
              <w:right w:val="nil"/>
            </w:tcBorders>
          </w:tcPr>
          <w:p>
            <w:pPr>
              <w:pStyle w:val="Normal6a"/>
            </w:pPr>
            <w:r>
              <w:t>1.</w:t>
            </w:r>
            <w:r>
              <w:tab/>
            </w:r>
            <w:r>
              <w:t xml:space="preserve">pripažįsta tvirtą Juodkalnijos įsipareigojimą siekti narystės ES ir patvirtina, kad visapusiškai remia būsimą šios šalies narystę ES; </w:t>
            </w:r>
            <w:r>
              <w:rPr>
                <w:b/>
                <w:i/>
              </w:rPr>
              <w:t>palankiai vertina Juodkalnijos pirmaujančią regioninę poziciją stojimo į ES procese ir ragina Juodkalniją toliau vykdyti su ES susijusias reformas;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palankiai vertina teigiamą Juodkalnijos pažangą įgyvendinant su ES susijusias reformas ir </w:t>
            </w:r>
            <w:r>
              <w:rPr>
                <w:b/>
                <w:i/>
              </w:rPr>
              <w:t>priemones, grindžiamas</w:t>
            </w:r>
            <w:r>
              <w:t xml:space="preserve"> plataus užmojo tvarkaraščiu ir bendromis politinių veikėjų, pilietinės visuomenės ir piliečių pastangomis; džiaugiasi tuo, kad Juodkalniją įvykdė 23 ir 24 skyrių tarpinius kriterijus ir gavo teigiamą tarpinių kriterijų įvertinimo ataskaitą; palankiai vertina tai, kad uždaryti dar trys derybų skyriai, iš viso dabar uždaryti šeši;</w:t>
            </w:r>
          </w:p>
        </w:tc>
        <w:tc>
          <w:tcPr>
            <w:tcW w:w="4876" w:type="dxa"/>
            <w:tcBorders>
              <w:top w:val="nil"/>
              <w:left w:val="nil"/>
              <w:bottom w:val="nil"/>
              <w:right w:val="nil"/>
            </w:tcBorders>
          </w:tcPr>
          <w:p>
            <w:pPr>
              <w:pStyle w:val="Normal6a"/>
            </w:pPr>
            <w:r>
              <w:t>2.</w:t>
            </w:r>
            <w:r>
              <w:tab/>
            </w:r>
            <w:r>
              <w:t xml:space="preserve">palankiai vertina teigiamą Juodkalnijos pažangą įgyvendinant su ES susijusias reformas ir </w:t>
            </w:r>
            <w:r>
              <w:rPr>
                <w:b/>
                <w:i/>
              </w:rPr>
              <w:t>ragina imtis priemonių, grindžiamų</w:t>
            </w:r>
            <w:r>
              <w:t xml:space="preserve"> plataus užmojo tvarkaraščiu ir bendromis politinių veikėjų, pilietinės visuomenės ir piliečių pastangomis; džiaugiasi tuo, kad Juodkalniją įvykdė 23 ir 24 skyrių tarpinius kriterijus ir gavo teigiamą tarpinių kriterijų įvertinimo ataskaitą; palankiai vertina tai, kad uždaryti dar trys derybų skyriai, iš viso dabar uždaryti šeši;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palankiai vertina teigiamą Juodkalnijos pažangą įgyvendinant su ES susijusias reformas ir priemones, grindžiamas plataus užmojo tvarkaraščiu ir bendromis politinių veikėjų, pilietinės visuomenės ir piliečių pastangomis; džiaugiasi tuo, kad Juodkalniją įvykdė 23 ir 24 skyrių tarpinius kriterijus ir gavo teigiamą tarpinių kriterijų įvertinimo ataskaitą; palankiai vertina tai, kad uždaryti dar trys derybų skyriai, iš viso dabar uždaryti šeši;</w:t>
            </w:r>
          </w:p>
        </w:tc>
        <w:tc>
          <w:tcPr>
            <w:tcW w:w="4876" w:type="dxa"/>
            <w:tcBorders>
              <w:top w:val="nil"/>
              <w:left w:val="nil"/>
              <w:bottom w:val="nil"/>
              <w:right w:val="nil"/>
            </w:tcBorders>
          </w:tcPr>
          <w:p>
            <w:pPr>
              <w:pStyle w:val="Normal6a"/>
            </w:pPr>
            <w:r>
              <w:t>2.</w:t>
            </w:r>
            <w:r>
              <w:tab/>
            </w:r>
            <w:r>
              <w:t xml:space="preserve">palankiai vertina teigiamą Juodkalnijos pažangą įgyvendinant su ES susijusias reformas ir priemones, grindžiamas plataus užmojo tvarkaraščiu ir bendromis politinių veikėjų, pilietinės visuomenės ir piliečių pastangomis; džiaugiasi tuo, kad Juodkalniją įvykdė 23 ir 24 skyrių tarpinius kriterijus ir gavo teigiamą tarpinių kriterijų įvertinimo ataskaitą; </w:t>
            </w:r>
            <w:r>
              <w:rPr>
                <w:b/>
                <w:i/>
              </w:rPr>
              <w:t>vis dėlto reiškia susirūpinimą dėl kontroversiškų idėjų dėl teisėkūros pasiūlymų, susijusių su pilietybe ir užsienio agentais, apie kurias užsimenama viešai;</w:t>
            </w:r>
            <w:r>
              <w:t xml:space="preserve"> palankiai vertina tai, kad uždaryti dar trys derybų skyriai, iš viso dabar uždaryti šeši;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palankiai vertina teigiamą Juodkalnijos pažangą įgyvendinant su ES susijusias reformas ir priemones, grindžiamas plataus užmojo tvarkaraščiu ir bendromis politinių veikėjų, pilietinės visuomenės ir piliečių pastangomis; </w:t>
            </w:r>
            <w:r>
              <w:rPr>
                <w:b/>
                <w:i/>
              </w:rPr>
              <w:t>džiaugiasi tuo, kad Juodkalniją</w:t>
            </w:r>
            <w:r>
              <w:t xml:space="preserve"> įvykdė 23 ir 24 skyrių </w:t>
            </w:r>
            <w:r>
              <w:rPr>
                <w:b/>
                <w:i/>
              </w:rPr>
              <w:t>tarpinius kriterijus</w:t>
            </w:r>
            <w:r>
              <w:t xml:space="preserve"> ir gavo teigiamą </w:t>
            </w:r>
            <w:r>
              <w:rPr>
                <w:b/>
                <w:i/>
              </w:rPr>
              <w:t>tarpinių kriterijų įvertinimo</w:t>
            </w:r>
            <w:r>
              <w:t xml:space="preserve"> ataskaitą; palankiai vertina tai, kad uždaryti dar trys derybų skyriai, iš viso dabar uždaryti šeši;</w:t>
            </w:r>
          </w:p>
        </w:tc>
        <w:tc>
          <w:tcPr>
            <w:tcW w:w="4876" w:type="dxa"/>
            <w:tcBorders>
              <w:top w:val="nil"/>
              <w:left w:val="nil"/>
              <w:bottom w:val="nil"/>
              <w:right w:val="nil"/>
            </w:tcBorders>
          </w:tcPr>
          <w:p>
            <w:pPr>
              <w:pStyle w:val="Normal6a"/>
            </w:pPr>
            <w:r>
              <w:t>2.</w:t>
            </w:r>
            <w:r>
              <w:tab/>
            </w:r>
            <w:r>
              <w:t xml:space="preserve">palankiai vertina teigiamą Juodkalnijos pažangą įgyvendinant su ES susijusias reformas ir priemones, grindžiamas plataus užmojo tvarkaraščiu ir bendromis politinių veikėjų, pilietinės visuomenės ir piliečių pastangomis; </w:t>
            </w:r>
            <w:r>
              <w:rPr>
                <w:b/>
                <w:i/>
              </w:rPr>
              <w:t>giria Juodkalniją už tai, kad ji</w:t>
            </w:r>
            <w:r>
              <w:t xml:space="preserve"> įvykdė </w:t>
            </w:r>
            <w:r>
              <w:rPr>
                <w:b/>
                <w:i/>
              </w:rPr>
              <w:t>tarpinius kriterijus, pagal kuriuos ir toliau nustatomas bendras derybų dėl</w:t>
            </w:r>
            <w:r>
              <w:t xml:space="preserve"> 23 ir 24 skyrių </w:t>
            </w:r>
            <w:r>
              <w:rPr>
                <w:b/>
                <w:i/>
              </w:rPr>
              <w:t>tempas,</w:t>
            </w:r>
            <w:r>
              <w:t xml:space="preserve"> ir gavo teigiamą </w:t>
            </w:r>
            <w:r>
              <w:rPr>
                <w:b/>
                <w:i/>
              </w:rPr>
              <w:t>tarpinio lyginamojo vertinimo</w:t>
            </w:r>
            <w:r>
              <w:t xml:space="preserve"> ataskaitą; palankiai vertina tai, kad uždaryti dar trys derybų skyriai, iš viso dabar uždaryti šeši;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 Barna,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pabrėžia, kad, siekiant uždaryti papildomus skyrius, reikia politinio stabilumo, įsipareigojimo ir konstruktyvaus visų partijų dalyvavimo; pabrėžia, kad </w:t>
            </w:r>
            <w:r>
              <w:rPr>
                <w:b/>
                <w:i/>
              </w:rPr>
              <w:t>patvirtintos</w:t>
            </w:r>
            <w:r>
              <w:t xml:space="preserve"> reformos turi būti veiksmingai įgyvendinamos siekiant užtikrinti tikrą pažangą;</w:t>
            </w:r>
          </w:p>
        </w:tc>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pabrėžia, kad, siekiant uždaryti papildomus skyrius, reikia politinio stabilumo, įsipareigojimo ir konstruktyvaus visų partijų dalyvavimo; </w:t>
            </w:r>
            <w:r>
              <w:rPr>
                <w:b/>
                <w:i/>
              </w:rPr>
              <w:t>apgailestauja dėl priimtų reformų teisės aktų pakeitimų netrukus po to, kai jiems pritarė ES (visų pirma „IBAR“ teisės aktų rinkinys), ir</w:t>
            </w:r>
            <w:r>
              <w:t xml:space="preserve"> pabrėžia, kad </w:t>
            </w:r>
            <w:r>
              <w:rPr>
                <w:b/>
                <w:i/>
              </w:rPr>
              <w:t>priimtos</w:t>
            </w:r>
            <w:r>
              <w:t xml:space="preserve"> reformos turi būti veiksmingai </w:t>
            </w:r>
            <w:r>
              <w:rPr>
                <w:b/>
                <w:i/>
              </w:rPr>
              <w:t>ir nuosekliai</w:t>
            </w:r>
            <w:r>
              <w:t xml:space="preserve"> įgyvendinamos siekiant užtikrinti tikrą pažangą </w:t>
            </w:r>
            <w:r>
              <w:rPr>
                <w:b/>
                <w:i/>
              </w:rPr>
              <w:t>ir visišką suderinimą su Europos teisės aktais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skatina visus politinius veikėjus ir toliau daugiausia dėmesio skirti integracijai į ES ir reikalingoms reformoms; pabrėžia, kad</w:t>
            </w:r>
            <w:r>
              <w:rPr>
                <w:b/>
                <w:i/>
              </w:rPr>
              <w:t>, siekiant uždaryti papildomus skyrius,</w:t>
            </w:r>
            <w:r>
              <w:t xml:space="preserve"> reikia politinio stabilumo, įsipareigojimo ir konstruktyvaus </w:t>
            </w:r>
            <w:r>
              <w:rPr>
                <w:b/>
                <w:i/>
              </w:rPr>
              <w:t>visų partijų dalyvavimo</w:t>
            </w:r>
            <w:r>
              <w:t>; pabrėžia, kad patvirtintos reformos turi būti veiksmingai įgyvendinamos siekiant užtikrinti tikrą pažangą;</w:t>
            </w:r>
          </w:p>
        </w:tc>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pabrėžia, kad reikia politinio stabilumo, įsipareigojimo ir konstruktyvaus </w:t>
            </w:r>
            <w:r>
              <w:rPr>
                <w:b/>
                <w:i/>
              </w:rPr>
              <w:t>bendradarbiavimo visose partijose, kad dar 2025 m. būtų uždaryti papildomi skyriai, kad būtų pasiektas šalies plataus užmojo tikslas – iki 2026 m. pabaigos užbaigti stojimo derybas</w:t>
            </w:r>
            <w:r>
              <w:t>; pabrėžia, kad patvirtintos reformos turi būti veiksmingai įgyvendinamos siekiant užtikrinti tikrą pažangą;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skatina visus politinius veikėjus ir toliau daugiausia dėmesio skirti integracijai į ES ir reikalingoms reformoms; pabrėžia, kad, siekiant uždaryti papildomus skyrius, reikia politinio stabilumo, įsipareigojimo ir konstruktyvaus visų partijų dalyvavimo; pabrėžia, kad patvirtintos reformos turi būti veiksmingai įgyvendinamos siekiant užtikrinti tikrą pažangą;</w:t>
            </w:r>
          </w:p>
        </w:tc>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w:t>
            </w:r>
            <w:r>
              <w:rPr>
                <w:b/>
                <w:i/>
              </w:rPr>
              <w:t>apgailestauja dėl to, kad šalyje kilo politinės krizės, nukreipusios dėmesį nuo stojimo proceso;</w:t>
            </w:r>
            <w:r>
              <w:t xml:space="preserve"> pabrėžia, kad, siekiant uždaryti papildomus skyrius, reikia politinio stabilumo, įsipareigojimo ir konstruktyvaus visų partijų dalyvavimo; pabrėžia, kad patvirtintos reformos turi būti veiksmingai įgyvendinamos siekiant užtikrinti tikrą pažangą;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skatina visus politinius veikėjus ir toliau daugiausia dėmesio skirti integracijai į ES ir reikalingoms reformoms; pabrėžia, kad</w:t>
            </w:r>
            <w:r>
              <w:rPr>
                <w:b/>
                <w:i/>
              </w:rPr>
              <w:t>, siekiant uždaryti papildomus skyrius, reikia politinio stabilumo, įsipareigojimo ir konstruktyvaus visų partijų dalyvavimo</w:t>
            </w:r>
            <w:r>
              <w:t>; pabrėžia, kad patvirtintos reformos turi būti veiksmingai įgyvendinamos siekiant užtikrinti tikrą pažangą;</w:t>
            </w:r>
          </w:p>
        </w:tc>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pabrėžia, kad </w:t>
            </w:r>
            <w:r>
              <w:rPr>
                <w:b/>
                <w:i/>
              </w:rPr>
              <w:t>reikia užtikrinti politinį stabilumą, įsipareigojimą ir konstruktyvų visų partijų bendradarbiavimą, kad būtų galima veiksmingiau ir greičiau uždaryti papildomus skyrius</w:t>
            </w:r>
            <w:r>
              <w:t>; pabrėžia, kad patvirtintos reformos turi būti veiksmingai įgyvendinamos siekiant užtikrinti tikrą pažangą;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skatina visus politinius veikėjus ir toliau daugiausia dėmesio skirti integracijai į ES ir reikalingoms reformoms; pabrėžia, kad</w:t>
            </w:r>
            <w:r>
              <w:rPr>
                <w:b/>
                <w:i/>
              </w:rPr>
              <w:t>, siekiant uždaryti papildomus skyrius, reikia politinio stabilumo, įsipareigojimo ir konstruktyvaus visų partijų dalyvavimo</w:t>
            </w:r>
            <w:r>
              <w:t>; pabrėžia, kad patvirtintos reformos turi būti veiksmingai įgyvendinamos siekiant užtikrinti tikrą pažangą;</w:t>
            </w:r>
          </w:p>
        </w:tc>
        <w:tc>
          <w:tcPr>
            <w:tcW w:w="4876" w:type="dxa"/>
            <w:tcBorders>
              <w:top w:val="nil"/>
              <w:left w:val="nil"/>
              <w:bottom w:val="nil"/>
              <w:right w:val="nil"/>
            </w:tcBorders>
          </w:tcPr>
          <w:p>
            <w:pPr>
              <w:pStyle w:val="Normal6a"/>
            </w:pPr>
            <w:r>
              <w:t>3.</w:t>
            </w:r>
            <w:r>
              <w:tab/>
            </w:r>
            <w:r>
              <w:t xml:space="preserve">skatina visus politinius veikėjus ir toliau daugiausia dėmesio skirti integracijai į ES ir reikalingoms reformoms; pabrėžia, kad </w:t>
            </w:r>
            <w:r>
              <w:rPr>
                <w:b/>
                <w:i/>
              </w:rPr>
              <w:t>reikia užtikrinti politinį stabilumą, įsipareigojimą ir konstruktyvų dalyvavimą siekiant bendro sutarimo tarp partijų, kad būtų galima uždaryti papildomus skyrius</w:t>
            </w:r>
            <w:r>
              <w:t>; pabrėžia, kad patvirtintos reformos turi būti veiksmingai įgyvendinamos siekiant užtikrinti tikrą pažangą;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pabrėžia, kad Europos Sąjungos, įskaitant visą jos plėtros politiką, patikimumas gali labai sumažėti, jei tam tikrų Vakarų Balkanų šalių padaryta apčiuopiama pažanga nepadarys aiškios pažangos stojimo į ES procese;</w:t>
            </w:r>
            <w:r>
              <w:t xml:space="preserve"> </w:t>
            </w:r>
            <w:r>
              <w:rPr>
                <w:b/>
                <w:i/>
              </w:rPr>
              <w:t>pabrėžia, jog būtina skubiai užtikrinti, kad plėtros procesas objektyviai ir skaidriai atspindėtų tikrus šalių kandidačių pasiekimus ir reformas, kad nebūtų pakenkta visuomenės pasitikėjimui stojimo į ES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palankiai vertina nuolatinį ir visapusišką Juodkalnijos pozicijos suderinimą su ES bendra užsienio ir saugumo politika, įskaitant ES ribojamąsias priemones, tarp jų visas sankcijas, susijusias su Rusijos agresijos karu prieš Ukrainą;</w:t>
            </w:r>
            <w:r>
              <w:t xml:space="preserve"> </w:t>
            </w:r>
            <w:r>
              <w:rPr>
                <w:b/>
                <w:i/>
              </w:rPr>
              <w:t>skatina Juodkalniją stiprinti ribojamųjų priemonių vykdymo užtikrinimą ir vengti jų apėjimo;</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palankiai vertina nuolatinį ir visapusišką Juodkalnijos pozicijos suderinimą su ES bendra užsienio ir saugumo politika, įskaitant ES ribojamąsias priemones, tarp jų visas sankcijas, susijusias su Rusijos agresijos karu prieš Ukrainą; skatina Juodkalniją stiprinti ribojamųjų priemonių vykdymo užtikrinimą ir vengti jų apėjimo;</w:t>
            </w:r>
          </w:p>
        </w:tc>
        <w:tc>
          <w:tcPr>
            <w:tcW w:w="4876" w:type="dxa"/>
            <w:tcBorders>
              <w:top w:val="nil"/>
              <w:left w:val="nil"/>
              <w:bottom w:val="nil"/>
              <w:right w:val="nil"/>
            </w:tcBorders>
          </w:tcPr>
          <w:p>
            <w:pPr>
              <w:pStyle w:val="Normal6a"/>
            </w:pPr>
            <w:r>
              <w:t>4.</w:t>
            </w:r>
            <w:r>
              <w:tab/>
            </w:r>
            <w:r>
              <w:t xml:space="preserve">palankiai vertina nuolatinį ir visapusišką Juodkalnijos pozicijos suderinimą su ES bendra užsienio ir saugumo politika, įskaitant ES ribojamąsias priemones, tarp jų visas sankcijas, susijusias su Rusijos agresijos karu prieš Ukrainą; skatina Juodkalniją stiprinti ribojamųjų priemonių vykdymo užtikrinimą ir vengti jų apėjimo; </w:t>
            </w:r>
            <w:r>
              <w:rPr>
                <w:b/>
                <w:i/>
              </w:rPr>
              <w:t>ragina Juodkalnijos valdžios institucijas areštuoti asmenų, kuriems taikomos sankcijos, turtą;</w:t>
            </w:r>
            <w:r>
              <w:t xml:space="preserve"> </w:t>
            </w:r>
            <w:r>
              <w:rPr>
                <w:b/>
                <w:i/>
              </w:rPr>
              <w:t>ragina Komisiją apsvarstyti galimybę suteikti ES ekonominę ir finansinę pagalbą Vakarų Balkanų šalims, prisijungusioms prie visų ES sankcijų Rusijai, siekiant sušvelninti krizės, kilusios dėl Rusijos įsiveržimo į Ukrainą, padarinius;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palankiai vertina nuolatinį </w:t>
            </w:r>
            <w:r>
              <w:rPr>
                <w:b/>
                <w:i/>
              </w:rPr>
              <w:t>ir</w:t>
            </w:r>
            <w:r>
              <w:t xml:space="preserve"> visapusišką </w:t>
            </w:r>
            <w:r>
              <w:rPr>
                <w:b/>
                <w:i/>
              </w:rPr>
              <w:t>Juodkalnijos pozicijos</w:t>
            </w:r>
            <w:r>
              <w:t xml:space="preserve"> suderinimą su ES bendra užsienio ir saugumo politika, įskaitant ES ribojamąsias priemones, </w:t>
            </w:r>
            <w:r>
              <w:rPr>
                <w:b/>
                <w:i/>
              </w:rPr>
              <w:t>tarp jų visas sankcijas</w:t>
            </w:r>
            <w:r>
              <w:t>, susijusias su Rusijos agresijos karu prieš Ukrainą; skatina Juodkalniją stiprinti ribojamųjų priemonių vykdymo užtikrinimą ir vengti jų apėjimo;</w:t>
            </w:r>
          </w:p>
        </w:tc>
        <w:tc>
          <w:tcPr>
            <w:tcW w:w="4876" w:type="dxa"/>
            <w:tcBorders>
              <w:top w:val="nil"/>
              <w:left w:val="nil"/>
              <w:bottom w:val="nil"/>
              <w:right w:val="nil"/>
            </w:tcBorders>
          </w:tcPr>
          <w:p>
            <w:pPr>
              <w:pStyle w:val="Normal6a"/>
            </w:pPr>
            <w:r>
              <w:t>4.</w:t>
            </w:r>
            <w:r>
              <w:tab/>
            </w:r>
            <w:r>
              <w:t xml:space="preserve">palankiai vertina </w:t>
            </w:r>
            <w:r>
              <w:rPr>
                <w:b/>
                <w:i/>
              </w:rPr>
              <w:t>Juodkalnijos</w:t>
            </w:r>
            <w:r>
              <w:t xml:space="preserve"> nuolatinį visapusišką suderinimą su ES bendra užsienio ir saugumo politika, įskaitant ES ribojamąsias priemones, </w:t>
            </w:r>
            <w:r>
              <w:rPr>
                <w:b/>
                <w:i/>
              </w:rPr>
              <w:t>inter alia</w:t>
            </w:r>
            <w:r>
              <w:t>, susijusias su Rusijos agresijos karu prieš Ukrainą</w:t>
            </w:r>
            <w:r>
              <w:rPr>
                <w:b/>
                <w:i/>
              </w:rPr>
              <w:t>, taip pat jos paramą taisyklėmis grindžiamai tarptautinei tvarkai Jungtinių Tautų lygmeniu</w:t>
            </w:r>
            <w:r>
              <w:t>; skatina Juodkalniją stiprinti ribojamųjų priemonių vykdymo užtikrinimą ir vengti jų apėjimo;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palankiai vertina nuolatinį </w:t>
            </w:r>
            <w:r>
              <w:rPr>
                <w:b/>
                <w:i/>
              </w:rPr>
              <w:t>ir</w:t>
            </w:r>
            <w:r>
              <w:t xml:space="preserve"> visapusišką </w:t>
            </w:r>
            <w:r>
              <w:rPr>
                <w:b/>
                <w:i/>
              </w:rPr>
              <w:t>Juodkalnijos pozicijos</w:t>
            </w:r>
            <w:r>
              <w:t xml:space="preserve"> suderinimą su ES bendra užsienio ir saugumo politika, įskaitant ES ribojamąsias priemones, </w:t>
            </w:r>
            <w:r>
              <w:rPr>
                <w:b/>
                <w:i/>
              </w:rPr>
              <w:t>tarp jų visas sankcijas</w:t>
            </w:r>
            <w:r>
              <w:t>, susijusias su Rusijos agresijos karu prieš Ukrainą</w:t>
            </w:r>
            <w:r>
              <w:rPr>
                <w:b/>
                <w:i/>
              </w:rPr>
              <w:t>;</w:t>
            </w:r>
            <w:r>
              <w:t xml:space="preserve"> skatina Juodkalniją stiprinti ribojamųjų priemonių vykdymo užtikrinimą ir vengti jų apėjimo;</w:t>
            </w:r>
          </w:p>
        </w:tc>
        <w:tc>
          <w:tcPr>
            <w:tcW w:w="4876" w:type="dxa"/>
            <w:tcBorders>
              <w:top w:val="nil"/>
              <w:left w:val="nil"/>
              <w:bottom w:val="nil"/>
              <w:right w:val="nil"/>
            </w:tcBorders>
          </w:tcPr>
          <w:p>
            <w:pPr>
              <w:pStyle w:val="Normal6a"/>
            </w:pPr>
            <w:r>
              <w:t>4.</w:t>
            </w:r>
            <w:r>
              <w:tab/>
            </w:r>
            <w:r>
              <w:t xml:space="preserve">palankiai vertina </w:t>
            </w:r>
            <w:r>
              <w:rPr>
                <w:b/>
                <w:i/>
              </w:rPr>
              <w:t>Juodkalnijos</w:t>
            </w:r>
            <w:r>
              <w:t xml:space="preserve"> nuolatinį visapusišką suderinimą su ES bendra užsienio ir saugumo politika, įskaitant ES ribojamąsias priemones, </w:t>
            </w:r>
            <w:r>
              <w:rPr>
                <w:b/>
                <w:i/>
              </w:rPr>
              <w:t>inter alia</w:t>
            </w:r>
            <w:r>
              <w:t>, susijusias su Rusijos agresijos karu prieš Ukrainą</w:t>
            </w:r>
            <w:r>
              <w:rPr>
                <w:b/>
                <w:i/>
              </w:rPr>
              <w:t>, taip pat po 2023 ir 2024 m. kibernetinių išpuolių</w:t>
            </w:r>
            <w:r>
              <w:t xml:space="preserve"> skatina Juodkalniją stiprinti ribojamųjų priemonių vykdymo užtikrinimą ir vengti jų apėjimo;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palankiai vertina aktyvų Juodkalnijos dalyvavimą ES bendros saugumo ir gynybos politikos misijose ir operacijose, EU karinio laivyno pajėgų operacijoje ATALANTA, taip pat NATO ir kitose tarptautinėse ir daugiašalėse misijose;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palankiai vertina Juodkalnijos dalyvavimą ES bendros saugumo ir gynybos politikos misijose ir operacijose bei NATO ir kitose tarptautinėse įvairiašalėse misijose;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pabrėžia, kad visi valstybių atstovai turėtų gerbti ir skatinti BUSP derinimą, įsipareigojimą puoselėti ES vertybes ir Juodkalnijos nepriklausomybę;</w:t>
            </w:r>
            <w:r>
              <w:t xml:space="preserve"> </w:t>
            </w:r>
            <w:r>
              <w:rPr>
                <w:b/>
                <w:i/>
              </w:rPr>
              <w:t>šiomis aplinkybėmis yra labai susirūpinęs dėl aukšto rango valstybės pareigūnų pareiškimų, kuriais remiamas Serbų Respublikos (RS) subjekto prezidentas Milorad Dodik, kuris kenkia BIH suverenumui ir teritoriniam vientisumui, taip pat dėl jų dalyvavimo Visos Serbijos asamblėjoje;</w:t>
            </w:r>
            <w:r>
              <w:t xml:space="preserve"> </w:t>
            </w:r>
            <w:r>
              <w:rPr>
                <w:b/>
                <w:i/>
              </w:rPr>
              <w:t>pabrėžia, kad valdančiosios koalicijos nariai ir vyriausybių atstovai turėtų susilaikyti nuo bet kokios veiklos, kuri gali kelti grėsmę Juodkalnijos strateginiam keliui siekiant narystės ES ir šalies suverenitetui;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sveikina Juodkalniją už jos humanitarinę ir materialinę paramą Ukrainai; primena, kad Juodkalnija </w:t>
            </w:r>
            <w:r>
              <w:rPr>
                <w:b/>
                <w:i/>
              </w:rPr>
              <w:t>priima daug</w:t>
            </w:r>
            <w:r>
              <w:t xml:space="preserve"> Ukrainos pabėgėlių;</w:t>
            </w:r>
          </w:p>
        </w:tc>
        <w:tc>
          <w:tcPr>
            <w:tcW w:w="4876" w:type="dxa"/>
            <w:tcBorders>
              <w:top w:val="nil"/>
              <w:left w:val="nil"/>
              <w:bottom w:val="nil"/>
              <w:right w:val="nil"/>
            </w:tcBorders>
          </w:tcPr>
          <w:p>
            <w:pPr>
              <w:pStyle w:val="Normal6a"/>
            </w:pPr>
            <w:r>
              <w:t>5.</w:t>
            </w:r>
            <w:r>
              <w:tab/>
            </w:r>
            <w:r>
              <w:t xml:space="preserve">sveikina Juodkalniją už jos humanitarinę ir materialinę paramą Ukrainai; </w:t>
            </w:r>
            <w:r>
              <w:rPr>
                <w:b/>
                <w:i/>
              </w:rPr>
              <w:t>taip pat pratęsti laikinosios apsaugos mechanizmą, pagal kurį iš Ukrainos bėgantiems žmonėms suteikiama teisė būti Juodkalnijoje vieniems metams;</w:t>
            </w:r>
            <w:r>
              <w:t xml:space="preserve"> </w:t>
            </w:r>
            <w:r>
              <w:rPr>
                <w:b/>
                <w:i/>
              </w:rPr>
              <w:t>pažymi, kad, remiantis UNHCR statistiniais duomenimis, 2025 m. sausio 31 d. Juodkalnijoje užregistruota daugiau kaip 18,800 pabėgėlių iš Ukrainos, todėl</w:t>
            </w:r>
            <w:r>
              <w:t xml:space="preserve"> primena, kad Juodkalnija </w:t>
            </w:r>
            <w:r>
              <w:rPr>
                <w:b/>
                <w:i/>
              </w:rPr>
              <w:t>yra viena iš Vakarų Balkanų šalių, priimančių daugiausia</w:t>
            </w:r>
            <w:r>
              <w:t xml:space="preserve"> Ukrainos pabėgėlių;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palankiai vertina Juodkalnijos gynybos ir saugumo tarybos sprendimą patvirtinti ginkluotųjų pajėgų dalyvavimą tiek ES karinės pagalbos misijoje, tiek NATO teikiant saugumo pagalbą ir mokymą Ukrainai.</w:t>
            </w:r>
            <w:r>
              <w:t xml:space="preserve"> </w:t>
            </w:r>
            <w:r>
              <w:rPr>
                <w:b/>
                <w:i/>
              </w:rPr>
              <w:t>Ragina Juodkalnijos parlamentą priimti šiuos itin svarbius sprendimus, kuriais būtų sustiprintas šalies įsipareigojimas užtikrinti kolektyvinį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w:t>
            </w:r>
            <w:r>
              <w:t xml:space="preserve">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w:t>
            </w:r>
            <w:r>
              <w:rPr>
                <w:b/>
                <w:i/>
              </w:rPr>
              <w:t>, hibridinių grėsmių ir dezinformacijos kampanijų, kurias vykdo trečiųjų šalių subjektai,</w:t>
            </w:r>
            <w:r>
              <w:t xml:space="preserve">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w:t>
            </w:r>
            <w:r>
              <w:rPr>
                <w:b/>
                <w:i/>
              </w:rPr>
              <w:t>šalių</w:t>
            </w:r>
            <w:r>
              <w:t xml:space="preserve"> kišimosi, destabilizavimo pastangų, hibridinių grėsmių ir dezinformacijos kampanijų, </w:t>
            </w:r>
            <w:r>
              <w:rPr>
                <w:b/>
                <w:i/>
              </w:rPr>
              <w:t>kurias vykdo</w:t>
            </w:r>
            <w:r>
              <w:t xml:space="preserve"> trečiųjų šalių </w:t>
            </w:r>
            <w:r>
              <w:rPr>
                <w:b/>
                <w:i/>
              </w:rPr>
              <w:t>subjektai</w:t>
            </w:r>
            <w:r>
              <w:t xml:space="preserve">, ir primygtinai ragina Juodkalniją bendradarbiaujant su ES ir NATO </w:t>
            </w:r>
            <w:r>
              <w:rPr>
                <w:b/>
                <w:i/>
              </w:rPr>
              <w:t>patvirtinti</w:t>
            </w:r>
            <w:r>
              <w:t xml:space="preserve">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kišimosi, destabilizavimo pastangų, hibridinių grėsmių ir dezinformacijos kampanijų, </w:t>
            </w:r>
            <w:r>
              <w:rPr>
                <w:b/>
                <w:i/>
              </w:rPr>
              <w:t>įskaitant</w:t>
            </w:r>
            <w:r>
              <w:t xml:space="preserve"> trečiųjų šalių </w:t>
            </w:r>
            <w:r>
              <w:rPr>
                <w:b/>
                <w:i/>
              </w:rPr>
              <w:t>subjektų, pvz., Kinijos, Rusijos ir Serbijos, bandymus daryti įtaką politiniams procesams ir viešajai nuomonei</w:t>
            </w:r>
            <w:r>
              <w:t xml:space="preserve">, ir primygtinai ragina Juodkalniją bendradarbiaujant su ES ir NATO </w:t>
            </w:r>
            <w:r>
              <w:rPr>
                <w:b/>
                <w:i/>
              </w:rPr>
              <w:t>priimti</w:t>
            </w:r>
            <w:r>
              <w:t xml:space="preserve"> atsakomąsias priemones; </w:t>
            </w:r>
            <w:r>
              <w:rPr>
                <w:b/>
                <w:i/>
              </w:rPr>
              <w:t>smerkia Rusijos ir kaimyninių šalių bandymus pasinaudoti etnine įtampa Juodkalnijoje siekiant kurstyti konfliktus ir suskaldyti bendruomenes;</w:t>
            </w:r>
            <w:r>
              <w:t xml:space="preserve"> </w:t>
            </w:r>
            <w:r>
              <w:rPr>
                <w:b/>
                <w:i/>
              </w:rPr>
              <w:t>pažymi, kad Serbijos stačiatikių bažnyčia naudojama kaip išorės įtakos priemonė, ir smerkia jos kišimąsi šiuo atžvilgiu;</w:t>
            </w:r>
            <w:r>
              <w:t xml:space="preserve"> primygtinai ragina ES ir Juodkalnijos valdžios institucijas stiprinti Juodkalnijos piliečiams skirtą strateginę komunikaciją apie plėtros proceso ir narystės ES naudą; </w:t>
            </w:r>
            <w:r>
              <w:rPr>
                <w:b/>
                <w:i/>
              </w:rPr>
              <w:t>primygtinai ragina Juodkalnijos valdžios institucijas stiprinti atsparumą tokiam kišimuisi stiprinant kibernetinio saugumo priemones ir skatinant piliečių gebėjimą naudotis žiniasklaidos priemonėmis;</w:t>
            </w:r>
            <w:r>
              <w:t xml:space="preserve"> </w:t>
            </w:r>
            <w:r>
              <w:rPr>
                <w:b/>
                <w:i/>
              </w:rPr>
              <w:t>ragina stiprinti Europos bendradarbiavimą su Juodkalnija kovojant su dezinformacija, užsienio kišimuisi ir kibernetinėmis bei hibridinėmis grėsmėmis, kuriomis siekiama pakenkti europinei šalies ir regiono perspektyvai;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w:t>
            </w:r>
            <w:r>
              <w:rPr>
                <w:b/>
                <w:i/>
              </w:rPr>
              <w:t>pažymi, kad religinės institucijos gali būti naudojamos kaip išorės įtakos priemonė, ir smerkia bet kokį netinkamą Serbijos stačiatikių bažnyčios kišimąsi šiuo klausimu;</w:t>
            </w:r>
            <w:r>
              <w:t xml:space="preserve"> </w:t>
            </w:r>
            <w:r>
              <w:rPr>
                <w:b/>
                <w:i/>
              </w:rPr>
              <w:t>ragina Juodkalniją dėti dideles ir sistemines pastangas siekiant nustatyti ir išardyti dezinformacijos fabrikus ir pabrėžia žiniasklaidos laisvės ir nepriklausomumo, kokybiško reportažų rengimo ir gebėjimo naudotis žiniasklaidos priemonėmis gerinimo svarbą, nes tai labai svarbu kovojant su dezinformacija;</w:t>
            </w:r>
            <w:r>
              <w:t xml:space="preserve"> 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w:t>
            </w:r>
            <w:r>
              <w:rPr>
                <w:b/>
                <w:i/>
              </w:rPr>
              <w:t>rekomenduoja Juodkalnijai įsteigti specialią hibridinių grėsmių darbo grupę, kuri koordinuotų atsaką į kišimąsi į rinkimus ir dezinformaciją;</w:t>
            </w:r>
            <w:r>
              <w:t xml:space="preserve"> </w:t>
            </w:r>
            <w:r>
              <w:rPr>
                <w:b/>
                <w:i/>
              </w:rPr>
              <w:t>taip pat ragina Juodkalniją stiprinti kibernetinę gynybą pasinaudojant dalijimosi žvalgybos informacija ir pajėgumų stiprinimo programomis pagal NATO kovos su hibridinėmis grėsmėmis paramos grupės sistemą;</w:t>
            </w:r>
            <w:r>
              <w:t xml:space="preserve"> </w:t>
            </w:r>
            <w:r>
              <w:rPr>
                <w:b/>
                <w:i/>
              </w:rPr>
              <w:t>pabrėžia visuomenės informavimo kampanijų ir gebėjimo naudotis žiniasklaidos priemonėmis programų svarbą siekiant didinti visuomenės atsparumą piktavališkiems naratyvams;</w:t>
            </w:r>
            <w:r>
              <w:t xml:space="preserve"> primygtinai ragina ES ir Juodkalnijos valdžios institucijas stiprinti Juodkalnijos piliečiams skirtą strateginę komunikaciją apie plėtros proceso ir narystės ES naudą; </w:t>
            </w:r>
            <w:r>
              <w:rPr>
                <w:b/>
                <w:i/>
              </w:rPr>
              <w:t>ragina Europos Komisiją toliau remti EIVT ir Vakarų Balkanų darbo grupės pastangas plėsti savo informavimo veiklą didinant matomumą vietos žiniasklaidoje, dažnai skelbiant faktų tikrinimo ataskaitas ir bendradarbiaujant su pilietinės visuomenės organizacijomis, kad būtų veiksmingiau kovojama su melagingais naratyvais;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w:t>
            </w:r>
            <w:r>
              <w:rPr>
                <w:b/>
                <w:i/>
              </w:rPr>
              <w:t>Juodkalnijos piliečiams skirtą strateginę komunikaciją</w:t>
            </w:r>
            <w:r>
              <w:t xml:space="preserve">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w:t>
            </w:r>
            <w:r>
              <w:rPr>
                <w:b/>
                <w:i/>
              </w:rPr>
              <w:t>ragina užtikrinti didesnę žiniasklaidos aplinkos priežiūrą, siekiant kovoti su melagingomis naujienomis ir kita dezinformacijos veikla, visų pirma susijusia su žalinga užsienio įtaka;</w:t>
            </w:r>
            <w:r>
              <w:t xml:space="preserve"> primygtinai ragina ES ir Juodkalnijos valdžios institucijas stiprinti </w:t>
            </w:r>
            <w:r>
              <w:rPr>
                <w:b/>
                <w:i/>
              </w:rPr>
              <w:t>strateginę komunikaciją su Juodkalnijos piliečiais</w:t>
            </w:r>
            <w:r>
              <w:t xml:space="preserve"> apie plėtros proceso </w:t>
            </w:r>
            <w:r>
              <w:rPr>
                <w:b/>
                <w:i/>
              </w:rPr>
              <w:t>esmę</w:t>
            </w:r>
            <w:r>
              <w:t xml:space="preserve">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 Barna, Lucia Yar,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w:t>
            </w:r>
            <w:r>
              <w:rPr>
                <w:b/>
                <w:i/>
              </w:rPr>
              <w:t>skirtą strateginę komunikaciją</w:t>
            </w:r>
            <w:r>
              <w:t xml:space="preserve">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w:t>
            </w:r>
            <w:r>
              <w:rPr>
                <w:b/>
                <w:i/>
              </w:rPr>
              <w:t>strateginę komunikaciją</w:t>
            </w:r>
            <w:r>
              <w:t xml:space="preserve"> Juodkalnijos piliečiams apie plėtros proceso ir narystės ES naudą</w:t>
            </w:r>
            <w:r>
              <w:rPr>
                <w:b/>
                <w:i/>
              </w:rPr>
              <w:t>, taip pat apie konkrečius kriterijus, kuriuos dar reikia įvykdyti, kad Juodkalnija atitiktų ES reikalavimus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w:t>
            </w:r>
            <w:r>
              <w:rPr>
                <w:b/>
                <w:i/>
              </w:rPr>
              <w:t>ir</w:t>
            </w:r>
            <w:r>
              <w:t xml:space="preserve"> primygtinai ragina Juodkalniją bendradarbiaujant su ES ir NATO </w:t>
            </w:r>
            <w:r>
              <w:rPr>
                <w:b/>
                <w:i/>
              </w:rPr>
              <w:t>patvirtinti atsakomąsias priemones</w:t>
            </w:r>
            <w:r>
              <w:t>;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w:t>
            </w:r>
            <w:r>
              <w:rPr>
                <w:b/>
                <w:i/>
              </w:rPr>
              <w:t>iškraipantys Europos vaidmenį ir kenkiantys Juodkalnijos pažangai kelyje į Europą;</w:t>
            </w:r>
            <w:r>
              <w:t xml:space="preserve"> primygtinai ragina Juodkalniją </w:t>
            </w:r>
            <w:r>
              <w:rPr>
                <w:b/>
                <w:i/>
              </w:rPr>
              <w:t>priimti atsakomąsias priemones</w:t>
            </w:r>
            <w:r>
              <w:t xml:space="preserve"> bendradarbiaujant su ES ir NATO; 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w:t>
            </w:r>
            <w:r>
              <w:rPr>
                <w:b/>
                <w:i/>
              </w:rPr>
              <w:t>patvirtinti atsakomąsias priemones</w:t>
            </w:r>
            <w:r>
              <w:t xml:space="preserve">; primygtinai ragina ES ir Juodkalnijos valdžios institucijas stiprinti </w:t>
            </w:r>
            <w:r>
              <w:rPr>
                <w:b/>
                <w:i/>
              </w:rPr>
              <w:t>Juodkalnijos piliečiams skirtą strateginę komunikaciją</w:t>
            </w:r>
            <w:r>
              <w:t xml:space="preserve">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w:t>
            </w:r>
            <w:r>
              <w:rPr>
                <w:b/>
                <w:i/>
              </w:rPr>
              <w:t>kibernetinių išpuolių,</w:t>
            </w:r>
            <w:r>
              <w:t xml:space="preserve"> hibridinių grėsmių ir dezinformacijos kampanijų, kurias vykdo trečiųjų šalių subjektai, </w:t>
            </w:r>
            <w:r>
              <w:rPr>
                <w:b/>
                <w:i/>
              </w:rPr>
              <w:t>visų pirma iš Rusijos ir Serbijos,</w:t>
            </w:r>
            <w:r>
              <w:t xml:space="preserve"> ir primygtinai ragina Juodkalniją </w:t>
            </w:r>
            <w:r>
              <w:rPr>
                <w:b/>
                <w:i/>
              </w:rPr>
              <w:t>imtis atsakomųjų priemonių</w:t>
            </w:r>
            <w:r>
              <w:t xml:space="preserve"> bendradarbiaujant su ES ir NATO; primygtinai ragina ES ir Juodkalnijos valdžios institucijas stiprinti </w:t>
            </w:r>
            <w:r>
              <w:rPr>
                <w:b/>
                <w:i/>
              </w:rPr>
              <w:t>strateginę komunikaciją su Juodkalnijos piliečiais</w:t>
            </w:r>
            <w:r>
              <w:t xml:space="preserve"> apie plėtros proceso </w:t>
            </w:r>
            <w:r>
              <w:rPr>
                <w:b/>
                <w:i/>
              </w:rPr>
              <w:t>esmę</w:t>
            </w:r>
            <w:r>
              <w:t xml:space="preserve">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hibridinių grėsmių ir dezinformacijos kampanijų, kurias vykdo trečiųjų šalių</w:t>
            </w:r>
            <w:r>
              <w:rPr>
                <w:b/>
                <w:i/>
              </w:rPr>
              <w:t>, tokių kaip Rusija,</w:t>
            </w:r>
            <w:r>
              <w:t xml:space="preserve">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patvirtinti atsakomąsias priemones; primygtinai ragina ES ir Juodkalnijos valdžios institucijas stiprinti Juodkalnijos piliečiams skirtą strateginę komunikaciją apie plėtros proceso ir narystės ES naudą; </w:t>
            </w:r>
            <w:r>
              <w:rPr>
                <w:b/>
                <w:i/>
              </w:rPr>
              <w:t>pakartoja, kad svarbu stiprinti atsparumo kovai su užsienio vykdomu manipuliavimu informacija ir kišimusi pajėgumus;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ir primygtinai ragina Juodkalniją bendradarbiaujant su ES ir NATO </w:t>
            </w:r>
            <w:r>
              <w:rPr>
                <w:b/>
                <w:i/>
              </w:rPr>
              <w:t>patvirtinti atsakomąsias priemones</w:t>
            </w:r>
            <w:r>
              <w:t>; primygtinai ragina ES ir Juodkalnijos valdžios institucijas stiprinti Juodkalnijos piliečiams skirtą strateginę komunikaciją apie plėtros proceso ir narystės ES naudą;</w:t>
            </w:r>
          </w:p>
        </w:tc>
        <w:tc>
          <w:tcPr>
            <w:tcW w:w="4876" w:type="dxa"/>
            <w:tcBorders>
              <w:top w:val="nil"/>
              <w:left w:val="nil"/>
              <w:bottom w:val="nil"/>
              <w:right w:val="nil"/>
            </w:tcBorders>
          </w:tcPr>
          <w:p>
            <w:pPr>
              <w:pStyle w:val="Normal6a"/>
            </w:pPr>
            <w:r>
              <w:t>6.</w:t>
            </w:r>
            <w:r>
              <w:tab/>
            </w:r>
            <w:r>
              <w:t xml:space="preserve">tebėra labai susirūpinęs dėl piktavališko užsienio šalių kišimosi, destabilizavimo pastangų, hibridinių grėsmių ir dezinformacijos kampanijų, kurias vykdo trečiųjų šalių subjektai, </w:t>
            </w:r>
            <w:r>
              <w:rPr>
                <w:b/>
                <w:i/>
              </w:rPr>
              <w:t>pabrėžia strateginę Juodkalnijos narystės NATO svarbą</w:t>
            </w:r>
            <w:r>
              <w:t xml:space="preserve"> ir primygtinai ragina Juodkalniją </w:t>
            </w:r>
            <w:r>
              <w:rPr>
                <w:b/>
                <w:i/>
              </w:rPr>
              <w:t>imtis atsakomųjų priemonių</w:t>
            </w:r>
            <w:r>
              <w:t xml:space="preserve"> bendradarbiaujant su ES ir NATO; primygtinai ragina ES ir Juodkalnijos valdžios institucijas stiprinti Juodkalnijos piliečiams skirtą strateginę komunikaciją apie plėtros proceso ir narystės ES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ragina stiprinti Europos bendradarbiavimą su Juodkalnija kovojant su dezinformacija ir kibernetinėmis bei hibridinėmis grėsmėmis, kuriomis siekiama pakenkti europinei regiono perspektyvai;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ragina Komisiją, Europos išorės veiksmų tarnybą ir ES delegaciją Juodkalnijoje dėti daugiau pastangų siekiant padidinti ES matomumą šalyje ir vykdyti aktyvią ir veiksmingą komunikacijos kampaniją apie glaudžios Juodkalnijos ir ES partnerystės svarbą ir naudą, įskaitant ES finansuojamus projektus ir Juodkalnijos ateitį Europoje;</w:t>
            </w:r>
            <w:r>
              <w:t xml:space="preserve"> </w:t>
            </w:r>
            <w:r>
              <w:rPr>
                <w:b/>
                <w:i/>
              </w:rPr>
              <w:t>ragina išplėsti Strateginės komunikacijos stebėseną ir susitelkti į tarpvalstybines dezinformacijos grėsmes Vakarų Balkanų šalims ir jų kaimynėms;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palankiai vertina atnaujintą Juodkalnijos parlamento dalyvavimą Stabilizacijos ir asociacijos parlamentiniame komitete;</w:t>
            </w:r>
          </w:p>
        </w:tc>
        <w:tc>
          <w:tcPr>
            <w:tcW w:w="4876" w:type="dxa"/>
            <w:tcBorders>
              <w:top w:val="nil"/>
              <w:left w:val="nil"/>
              <w:bottom w:val="nil"/>
              <w:right w:val="nil"/>
            </w:tcBorders>
          </w:tcPr>
          <w:p>
            <w:pPr>
              <w:pStyle w:val="Normal6a"/>
            </w:pPr>
            <w:r>
              <w:t>7.</w:t>
            </w:r>
            <w:r>
              <w:tab/>
            </w:r>
            <w:r>
              <w:t xml:space="preserve">palankiai vertina atnaujintą Juodkalnijos parlamento dalyvavimą Stabilizacijos ir asociacijos parlamentiniame komitete; </w:t>
            </w:r>
            <w:r>
              <w:rPr>
                <w:b/>
                <w:i/>
              </w:rPr>
              <w:t>atkreipia dėmesį į svarbų Juodkalnijos parlamento vaidmenį priimant su stojimu susijusius teisės aktus;</w:t>
            </w:r>
            <w:r>
              <w:t xml:space="preserve"> </w:t>
            </w:r>
            <w:r>
              <w:rPr>
                <w:b/>
                <w:i/>
              </w:rPr>
              <w:t>pabrėžia parlamentinio bendradarbiavimo svarbą Juodkalnijos stojimo į ES procesui;</w:t>
            </w:r>
            <w:r>
              <w:t xml:space="preserve"> </w:t>
            </w:r>
            <w:r>
              <w:rPr>
                <w:b/>
                <w:i/>
              </w:rPr>
              <w:t>pakartoja, kad Europos Parlamentas yra pasirengęs panaudoti savo politinius ir techninius išteklius su ES susijusių reformų darbotvarkei įgyvendinti, be kita ko, sudarant palankesnes sąlygas paramos demokratijai veiklai;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w:t>
            </w:r>
            <w:r>
              <w:rPr>
                <w:b/>
                <w:i/>
              </w:rPr>
              <w:t>politinius boikotus ir blokadas, taip pat į</w:t>
            </w:r>
            <w:r>
              <w:t xml:space="preserve">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c>
          <w:tcPr>
            <w:tcW w:w="4876" w:type="dxa"/>
            <w:tcBorders>
              <w:top w:val="nil"/>
              <w:left w:val="nil"/>
              <w:bottom w:val="nil"/>
              <w:right w:val="nil"/>
            </w:tcBorders>
          </w:tcPr>
          <w:p>
            <w:pPr>
              <w:pStyle w:val="Normal6a"/>
            </w:pPr>
            <w:r>
              <w:t>8.</w:t>
            </w:r>
            <w:r>
              <w:tab/>
            </w:r>
            <w:r>
              <w:t>pripažįsta, kad Juodkalnijos parlamentas atlieka esminį vaidmenį stojimo procese; susirūpinęs atkreipia dėmesį į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 Barna, Lucia Yar, Marjan Šarec,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w:t>
            </w:r>
            <w:r>
              <w:rPr>
                <w:b/>
                <w:i/>
              </w:rPr>
              <w:t>politinius boikotus ir blokadas, taip pat į</w:t>
            </w:r>
            <w:r>
              <w:t xml:space="preserve">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c>
          <w:tcPr>
            <w:tcW w:w="4876" w:type="dxa"/>
            <w:tcBorders>
              <w:top w:val="nil"/>
              <w:left w:val="nil"/>
              <w:bottom w:val="nil"/>
              <w:right w:val="nil"/>
            </w:tcBorders>
          </w:tcPr>
          <w:p>
            <w:pPr>
              <w:pStyle w:val="Normal6a"/>
            </w:pPr>
            <w:r>
              <w:t>8.</w:t>
            </w:r>
            <w:r>
              <w:tab/>
            </w:r>
            <w:r>
              <w:t>pripažįsta, kad Juodkalnijos parlamentas atlieka esminį vaidmenį stojimo procese; susirūpinęs atkreipia dėmesį į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pripažįsta, kad Juodkalnijos parlamentas atlieka esminį vaidmenį stojimo procese; susirūpinęs atkreipia dėmesį į politinius boikotus ir blokadas, taip pat į vėl kylančią įtampą ir etninę poliarizaciją;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politinius boikotus ir blokadas, taip pat į vėl kylančią įtampą </w:t>
            </w:r>
            <w:r>
              <w:rPr>
                <w:b/>
                <w:i/>
              </w:rPr>
              <w:t>tarp vykdomosios ir įstatymų leidžiamosios valdžios ir jų viduje, nes tai toliau lėtina reformų procesą</w:t>
            </w:r>
            <w:r>
              <w:t xml:space="preserve"> ir etninę poliarizaciją; </w:t>
            </w:r>
            <w:r>
              <w:rPr>
                <w:b/>
                <w:i/>
              </w:rPr>
              <w:t>palankiai vertina Ministro Pirmininko ir opozicijos lyderių susitarimą prašyti Venecijos komisijos pateikti nuomonę dėl Konstitucinio Teismo teisėjos Dragana DJURANOVIC įgaliojimų nutraukimo ir opozicijos grįžti į parlamentą;</w:t>
            </w:r>
            <w:r>
              <w:t xml:space="preserve"> </w:t>
            </w:r>
            <w:r>
              <w:rPr>
                <w:b/>
                <w:i/>
              </w:rPr>
              <w:t>pakartoja, kad siekiant esminės pažangos vykdant pagrindines su ES susijusias reformas, ypač rinkimų ir teismų reformas bei kovą su organizuotu nusikalstamumu ir korupcija, būtinas įvairių partijų politinis įsipareigojimas ir veikiantis parlamentas;</w:t>
            </w:r>
            <w:r>
              <w:t xml:space="preserve"> ragina vesti konstruktyvų dialogą ir siekti konsensuso visose politinėse partijose, pirmenybę teikiant teisėkūros kokybei; primygtinai ragina </w:t>
            </w:r>
            <w:r>
              <w:rPr>
                <w:b/>
                <w:i/>
              </w:rPr>
              <w:t>Parlamentą veiksmingai atlikti savo priežiūros vaidmenį, o parlamentinę daugumą – parodyti didesnį atvirumą opozicijai ir jos iniciatyvoms;</w:t>
            </w:r>
            <w:r>
              <w:t xml:space="preserve"> </w:t>
            </w:r>
            <w:r>
              <w:rPr>
                <w:b/>
                <w:i/>
              </w:rPr>
              <w:t>toliau ragina</w:t>
            </w:r>
            <w:r>
              <w:t xml:space="preserve"> priimant sprendimus rengti įtraukias ir skaidrias viešas konsultacijas ir reguliariai </w:t>
            </w:r>
            <w:r>
              <w:rPr>
                <w:b/>
                <w:i/>
              </w:rPr>
              <w:t>prasmingai</w:t>
            </w:r>
            <w:r>
              <w:t xml:space="preserve"> bendradarbiauti su pilietine visuomene;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politinius boikotus ir blokadas, taip pat į vėl kylančią įtampą ir </w:t>
            </w:r>
            <w:r>
              <w:rPr>
                <w:b/>
                <w:i/>
              </w:rPr>
              <w:t>etninę</w:t>
            </w:r>
            <w:r>
              <w:t xml:space="preserve"> poliarizaciją; ragina vesti konstruktyvų dialogą ir siekti konsensuso visose politinėse partijose, pirmenybę teikiant teisėkūros kokybei; </w:t>
            </w:r>
            <w:r>
              <w:rPr>
                <w:b/>
                <w:i/>
              </w:rPr>
              <w:t>primygtinai ragina priimant sprendimus rengti</w:t>
            </w:r>
            <w:r>
              <w:t xml:space="preserve"> įtraukias ir skaidrias viešas konsultacijas ir </w:t>
            </w:r>
            <w:r>
              <w:rPr>
                <w:b/>
                <w:i/>
              </w:rPr>
              <w:t>reguliariai bendradarbiauti</w:t>
            </w:r>
            <w:r>
              <w:t xml:space="preserve"> su pilietine visuomene;</w:t>
            </w:r>
          </w:p>
        </w:tc>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politinius boikotus ir blokadas, taip pat į vėl kylančią įtampą ir poliarizaciją; </w:t>
            </w:r>
            <w:r>
              <w:rPr>
                <w:b/>
                <w:i/>
              </w:rPr>
              <w:t>primygtinai ragina tiek valdančiąją daugumą, tiek opozicines partijas pirmenybę teikti tinkamo konstitucinės krizės sprendimo paieškai pasitelkiant parlamentinį dialogą;</w:t>
            </w:r>
            <w:r>
              <w:t xml:space="preserve"> ragina vesti konstruktyvų dialogą ir siekti konsensuso visose politinėse partijose, pirmenybę teikiant teisėkūros kokybei; </w:t>
            </w:r>
            <w:r>
              <w:rPr>
                <w:b/>
                <w:i/>
              </w:rPr>
              <w:t>tvirtai skatina</w:t>
            </w:r>
            <w:r>
              <w:t xml:space="preserve"> įtraukias ir skaidrias viešas konsultacijas ir </w:t>
            </w:r>
            <w:r>
              <w:rPr>
                <w:b/>
                <w:i/>
              </w:rPr>
              <w:t>reguliarų ir prasmingą bendradarbiavimą</w:t>
            </w:r>
            <w:r>
              <w:t xml:space="preserve"> su pilietine visuomene </w:t>
            </w:r>
            <w:r>
              <w:rPr>
                <w:b/>
                <w:i/>
              </w:rPr>
              <w:t>priimant sprendimus nuo pat teisėkūros proceso pradžios ir vėliau, visų pirma dėl pagrindinių ES reformų proceso teisės aktų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susirūpinęs atkreipia dėmesį į </w:t>
            </w:r>
            <w:r>
              <w:rPr>
                <w:b/>
                <w:i/>
              </w:rPr>
              <w:t>politinius boikotus ir blokadas</w:t>
            </w:r>
            <w:r>
              <w:t xml:space="preserve">, taip pat </w:t>
            </w:r>
            <w:r>
              <w:rPr>
                <w:b/>
                <w:i/>
              </w:rPr>
              <w:t>į vėl kylančią įtampą ir etninę poliarizaciją</w:t>
            </w:r>
            <w:r>
              <w:t>;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c>
          <w:tcPr>
            <w:tcW w:w="4876" w:type="dxa"/>
            <w:tcBorders>
              <w:top w:val="nil"/>
              <w:left w:val="nil"/>
              <w:bottom w:val="nil"/>
              <w:right w:val="nil"/>
            </w:tcBorders>
          </w:tcPr>
          <w:p>
            <w:pPr>
              <w:pStyle w:val="Normal6a"/>
            </w:pPr>
            <w:r>
              <w:t>8.</w:t>
            </w:r>
            <w:r>
              <w:tab/>
            </w:r>
            <w:r>
              <w:t xml:space="preserve">pripažįsta, kad Juodkalnijos parlamentas atlieka esminį vaidmenį stojimo procese; </w:t>
            </w:r>
            <w:r>
              <w:rPr>
                <w:b/>
                <w:i/>
              </w:rPr>
              <w:t>atkreipia dėmesį į iki šiol dedamas pastangas įveikti politines krizes, tačiau</w:t>
            </w:r>
            <w:r>
              <w:t xml:space="preserve"> susirūpinęs atkreipia dėmesį į </w:t>
            </w:r>
            <w:r>
              <w:rPr>
                <w:b/>
                <w:i/>
              </w:rPr>
              <w:t>tebesitęsiantį politinį boikotą ir blokadą ir ragina visas šalis dėti visas pastangas siekiant įveikti šias krizes</w:t>
            </w:r>
            <w:r>
              <w:t xml:space="preserve">, taip pat </w:t>
            </w:r>
            <w:r>
              <w:rPr>
                <w:b/>
                <w:i/>
              </w:rPr>
              <w:t>vėl kilti įtampai ir etninei poliarizacijai</w:t>
            </w:r>
            <w:r>
              <w:t>; ragina vesti konstruktyvų dialogą ir siekti konsensuso visose politinėse partijose, pirmenybę teikiant teisėkūros kokybei; primygtinai ragina priimant sprendimus rengti įtraukias ir skaidrias viešas konsultacijas ir reguliariai bendradarbiauti su pilietine visuomene;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on behalf of the Greens/EFA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primygtinai ragina Juodkalnijos parlamentą ir vyriausybę užkirsti kelią tam, kad tapatybės politika nukreiptų dėmesį į ES darbotvarkę arba apsunkintų santykius su kaimyninėmis šalimis, užtikrinant, kad Juodkalnija ir toliau tvirtai laikytųsi ES kelio, kartu pabrėžiant, kad bet kokios diskusijos dėl tapatybės politikos turi būti nagrinėjamos itin atsargiai, kad būtų išvengta tolesnės poliarizacijos, ir jomis turėtų būti siekiama plataus visuomenės sutarimo;</w:t>
            </w:r>
            <w:r>
              <w:t xml:space="preserve"> </w:t>
            </w:r>
            <w:r>
              <w:rPr>
                <w:b/>
                <w:i/>
              </w:rPr>
              <w:t>atsižvelgdamas į tai, reiškia didelį susirūpinimą dėl prieštaringų pasiūlymų dėl pilietybės ir kalbos;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pabrėžia, kad siūlomas įstatymas dėl užsienio agentų Juodkalnijoje neatitinka Europos Sąjungos ir NATO vertybių ir standartų;</w:t>
            </w:r>
            <w:r>
              <w:t xml:space="preserve"> </w:t>
            </w:r>
            <w:r>
              <w:rPr>
                <w:b/>
                <w:i/>
              </w:rPr>
              <w:t>pažymi, kad tokie įstatymai, atspindintys ribojančius įstatymus tokiose šalyse kaip Rusija ir Sakartvelas, gali pakenkti pagrindinėms laisvėms, pvz., saviraiškos, asociacijų ir gyvybingos pilietinės visuomenės veikimui;</w:t>
            </w:r>
            <w:r>
              <w:t xml:space="preserve"> </w:t>
            </w:r>
            <w:r>
              <w:rPr>
                <w:b/>
                <w:i/>
              </w:rPr>
              <w:t>ragina Juodkalniją užtikrinti, kad jos politika ir teisės aktai visiškai atitiktų ES acquis ir tarptautinius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reiškia susirūpinimą dėl to, kad bet kokie Pilietybės įstatymo pakeitimai, ypač tie, kuriais suteikiama dviguba pilietybė, gali turėti rimtų ir ilgalaikių pasekmių šalies sprendimų priėmimo procesams ir nacionalinei tapatybei;</w:t>
            </w:r>
            <w:r>
              <w:t xml:space="preserve"> </w:t>
            </w:r>
            <w:r>
              <w:rPr>
                <w:b/>
                <w:i/>
              </w:rPr>
              <w:t>pabrėžia, kad Juodkalnija, kaip šalis kandidatė, turėtų susilaikyti nuo bet kokių priemonių, kurios galėtų kelti pavojų šalies strateginiam keliui į ES arba ES saugumui, be kita ko, naudodamasi savo prerogatyvomis suteikti pilietybę;</w:t>
            </w:r>
            <w:r>
              <w:t xml:space="preserve"> </w:t>
            </w:r>
            <w:r>
              <w:rPr>
                <w:b/>
                <w:i/>
              </w:rPr>
              <w:t>primygtinai ragina Juodkalniją užtikrinti, kad visi nauji teisės aktai būtų visiškai suderinti su ES acquis ir jais būtų gerbiamos pagrindinės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apgailestauja dėl Juodkalnijos parlamento pirmininkės Andrijos Mandić dalyvavimo Visų Serbų asamblėjoje Belgrade ir jo paramos deklaracijai, priimtai ta proga, kuria kenkiama Juodkalnijos, Bosnijos ir Hercegovinos ir Kosovo suverenitetui;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reiškia susirūpinimą dėl to, kad Juodkalnijos parlamento pirmininkė Andrija Mandić ir kiti valdančiosios koalicijos nariai remia Serbų Respublikos subjekto prezidento Milorado Dodik separatistinę ir destabilizuojančią politiką po jo teismo proceso kaimyninėje Bosnijoje ir Hercegovinoje;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skatina aktyvesnį Parlamentinio moterų klubo vaidmenį vadovaujantis teigiamu ankstesnės kadencijos pavyzdžiu, kai jis parodė vienijančią galią propaguojant bendros gerovės klausimus, kurie yra platesni nei partijos interesai;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Juodkalniją visiškai suderinti savo rinkimų </w:t>
            </w:r>
            <w:r>
              <w:rPr>
                <w:b/>
                <w:i/>
              </w:rPr>
              <w:t>teisės aktus</w:t>
            </w:r>
            <w:r>
              <w:t xml:space="preserve"> su ES standartais ir įgyvendinti Europos saugumo ir bendradarbiavimo organizacijos Demokratinių institucijų ir žmogaus teisių biuro rekomendacijas</w:t>
            </w:r>
            <w:r>
              <w:rPr>
                <w:vertAlign w:val="superscript"/>
              </w:rPr>
              <w:t>5</w:t>
            </w:r>
            <w:r>
              <w:t xml:space="preserve">; primygtinai ragina Juodkalniją </w:t>
            </w:r>
            <w:r>
              <w:rPr>
                <w:b/>
                <w:i/>
              </w:rPr>
              <w:t>didinti</w:t>
            </w:r>
            <w:r>
              <w:t xml:space="preserve"> politinių partijų išlaidų skaidrumą ir </w:t>
            </w:r>
            <w:r>
              <w:rPr>
                <w:b/>
                <w:i/>
              </w:rPr>
              <w:t>priežiūrą ir, remiantis ES standartais,</w:t>
            </w:r>
            <w:r>
              <w:t xml:space="preserve"> užkirsti kelią piktnaudžiavimui valstybės ištekliais;</w:t>
            </w:r>
          </w:p>
        </w:tc>
        <w:tc>
          <w:tcPr>
            <w:tcW w:w="4876" w:type="dxa"/>
            <w:tcBorders>
              <w:top w:val="nil"/>
              <w:left w:val="nil"/>
              <w:bottom w:val="nil"/>
              <w:right w:val="nil"/>
            </w:tcBorders>
          </w:tcPr>
          <w:p>
            <w:pPr>
              <w:pStyle w:val="Normal6a"/>
            </w:pPr>
            <w:r>
              <w:t>9.</w:t>
            </w:r>
            <w:r>
              <w:tab/>
            </w:r>
            <w:r>
              <w:t xml:space="preserve">ragina Juodkalniją </w:t>
            </w:r>
            <w:r>
              <w:rPr>
                <w:b/>
                <w:i/>
              </w:rPr>
              <w:t>iki 2027 m. parlamento rinkimų</w:t>
            </w:r>
            <w:r>
              <w:t xml:space="preserve"> visiškai suderinti savo rinkimų </w:t>
            </w:r>
            <w:r>
              <w:rPr>
                <w:b/>
                <w:i/>
              </w:rPr>
              <w:t>teisinę sistemą</w:t>
            </w:r>
            <w:r>
              <w:t xml:space="preserve"> su ES standartais ir įgyvendinti Europos saugumo ir bendradarbiavimo organizacijos Demokratinių institucijų ir žmogaus teisių biuro rekomendacijas</w:t>
            </w:r>
            <w:r>
              <w:rPr>
                <w:vertAlign w:val="superscript"/>
              </w:rPr>
              <w:t>5</w:t>
            </w:r>
            <w:r>
              <w:rPr>
                <w:b/>
                <w:i/>
              </w:rPr>
              <w:t>, taip pat JT Konvencijos dėl visų formų diskriminacijos panaikinimo moterims komiteto rekomendacijas dėl lyčių lygybės rinkimų sąrašuose (taikant 50–50 užtrauktuko sistemą)</w:t>
            </w:r>
            <w:r>
              <w:t xml:space="preserve">; primygtinai ragina Juodkalniją </w:t>
            </w:r>
            <w:r>
              <w:rPr>
                <w:b/>
                <w:i/>
              </w:rPr>
              <w:t>padidinti</w:t>
            </w:r>
            <w:r>
              <w:t xml:space="preserve"> politinių partijų išlaidų skaidrumą ir </w:t>
            </w:r>
            <w:r>
              <w:rPr>
                <w:b/>
                <w:i/>
              </w:rPr>
              <w:t>kontrolę ir</w:t>
            </w:r>
            <w:r>
              <w:t xml:space="preserve"> užkirsti kelią piktnaudžiavimui valstybės ištekliais </w:t>
            </w:r>
            <w:r>
              <w:rPr>
                <w:b/>
                <w:i/>
              </w:rPr>
              <w:t>laikantis ES standartų, visų pirma nustatant atsakomybę už baudžiamuosius nusižengimus politinėms partijoms, kurios netinkamai naudoja biudžeto asignavimus savo moterų asociacijoms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Juodkalniją visiškai suderinti savo rinkimų </w:t>
            </w:r>
            <w:r>
              <w:rPr>
                <w:b/>
                <w:i/>
              </w:rPr>
              <w:t>teisės aktus</w:t>
            </w:r>
            <w:r>
              <w:t xml:space="preserve"> su ES standartais ir įgyvendinti Europos saugumo ir bendradarbiavimo organizacijos Demokratinių institucijų ir žmogaus teisių biuro rekomendacijas</w:t>
            </w:r>
            <w:r>
              <w:rPr>
                <w:vertAlign w:val="superscript"/>
              </w:rPr>
              <w:t>5</w:t>
            </w:r>
            <w:r>
              <w:t>; primygtinai ragina Juodkalniją didinti politinių partijų išlaidų skaidrumą ir priežiūrą ir, remiantis ES standartais, užkirsti kelią piktnaudžiavimui valstybės ištekliais;</w:t>
            </w:r>
          </w:p>
        </w:tc>
        <w:tc>
          <w:tcPr>
            <w:tcW w:w="4876" w:type="dxa"/>
            <w:tcBorders>
              <w:top w:val="nil"/>
              <w:left w:val="nil"/>
              <w:bottom w:val="nil"/>
              <w:right w:val="nil"/>
            </w:tcBorders>
          </w:tcPr>
          <w:p>
            <w:pPr>
              <w:pStyle w:val="Normal6a"/>
            </w:pPr>
            <w:r>
              <w:t>9.</w:t>
            </w:r>
            <w:r>
              <w:tab/>
            </w:r>
            <w:r>
              <w:t xml:space="preserve">ragina Juodkalniją visiškai suderinti savo rinkimų </w:t>
            </w:r>
            <w:r>
              <w:rPr>
                <w:b/>
                <w:i/>
              </w:rPr>
              <w:t>teisinę sistemą</w:t>
            </w:r>
            <w:r>
              <w:t xml:space="preserve"> su ES standartais</w:t>
            </w:r>
            <w:r>
              <w:rPr>
                <w:b/>
                <w:i/>
              </w:rPr>
              <w:t>, visų pirma susijusiais su rinkimų teisės aktų derinimu, balsavimo ir kandidatavimo teisių apribojimais, skaidrumu, ginčų sprendimo mechanizmu ir kampanijų bei žiniasklaidos priežiūra,</w:t>
            </w:r>
            <w:r>
              <w:t xml:space="preserve"> ir įgyvendinti Europos saugumo ir bendradarbiavimo organizacijos Demokratinių institucijų ir žmogaus teisių biuro rekomendacijas; </w:t>
            </w:r>
            <w:r>
              <w:rPr>
                <w:vertAlign w:val="superscript"/>
              </w:rPr>
              <w:t>5</w:t>
            </w:r>
            <w:r>
              <w:t xml:space="preserve"> primygtinai ragina Juodkalniją didinti politinių partijų išlaidų skaidrumą ir priežiūrą ir, remiantis ES standartais, užkirsti kelią piktnaudžiavimui valstybės ištekliais</w:t>
            </w:r>
            <w:r>
              <w:rPr>
                <w:b/>
                <w:i/>
              </w:rPr>
              <w:t>, priimant atitinkamus teisės aktus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Juodkalniją visiškai suderinti savo rinkimų teisės aktus su ES standartais ir įgyvendinti Europos saugumo ir bendradarbiavimo organizacijos Demokratinių institucijų ir žmogaus teisių biuro rekomendacijas</w:t>
            </w:r>
            <w:r>
              <w:rPr>
                <w:vertAlign w:val="superscript"/>
              </w:rPr>
              <w:t>5</w:t>
            </w:r>
            <w:r>
              <w:t xml:space="preserve">; primygtinai ragina Juodkalniją didinti politinių partijų išlaidų skaidrumą ir </w:t>
            </w:r>
            <w:r>
              <w:rPr>
                <w:b/>
                <w:i/>
              </w:rPr>
              <w:t>priežiūrą ir</w:t>
            </w:r>
            <w:r>
              <w:t>, remiantis ES standartais, užkirsti kelią piktnaudžiavimui valstybės ištekliais;</w:t>
            </w:r>
          </w:p>
        </w:tc>
        <w:tc>
          <w:tcPr>
            <w:tcW w:w="4876" w:type="dxa"/>
            <w:tcBorders>
              <w:top w:val="nil"/>
              <w:left w:val="nil"/>
              <w:bottom w:val="nil"/>
              <w:right w:val="nil"/>
            </w:tcBorders>
          </w:tcPr>
          <w:p>
            <w:pPr>
              <w:pStyle w:val="Normal6a"/>
            </w:pPr>
            <w:r>
              <w:t>9.</w:t>
            </w:r>
            <w:r>
              <w:tab/>
            </w:r>
            <w:r>
              <w:t xml:space="preserve">ragina Juodkalniją visiškai suderinti savo rinkimų teisės aktus su ES standartais ir įgyvendinti Europos saugumo ir bendradarbiavimo organizacijos Demokratinių institucijų ir žmogaus teisių biuro rekomendacijas; </w:t>
            </w:r>
            <w:r>
              <w:rPr>
                <w:vertAlign w:val="superscript"/>
              </w:rPr>
              <w:t>5</w:t>
            </w:r>
            <w:r>
              <w:t xml:space="preserve"> primygtinai ragina Juodkalniją didinti politinių partijų išlaidų skaidrumą ir </w:t>
            </w:r>
            <w:r>
              <w:rPr>
                <w:b/>
                <w:i/>
              </w:rPr>
              <w:t>kontrolę bei</w:t>
            </w:r>
            <w:r>
              <w:t>, remiantis ES standartais, užkirsti kelią piktnaudžiavimui valstybės ištekliais;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Juodkalniją visiškai suderinti savo rinkimų teisės aktus su ES standartais ir įgyvendinti Europos saugumo ir bendradarbiavimo organizacijos Demokratinių institucijų ir žmogaus teisių biuro rekomendacijas</w:t>
            </w:r>
            <w:r>
              <w:rPr>
                <w:vertAlign w:val="superscript"/>
              </w:rPr>
              <w:t>5</w:t>
            </w:r>
            <w:r>
              <w:rPr>
                <w:b/>
                <w:i/>
              </w:rPr>
              <w:t>;</w:t>
            </w:r>
            <w:r>
              <w:t xml:space="preserve"> primygtinai ragina Juodkalniją didinti politinių partijų išlaidų skaidrumą ir priežiūrą ir, remiantis ES standartais, užkirsti kelią piktnaudžiavimui valstybės ištekliais;</w:t>
            </w:r>
          </w:p>
        </w:tc>
        <w:tc>
          <w:tcPr>
            <w:tcW w:w="4876" w:type="dxa"/>
            <w:tcBorders>
              <w:top w:val="nil"/>
              <w:left w:val="nil"/>
              <w:bottom w:val="nil"/>
              <w:right w:val="nil"/>
            </w:tcBorders>
          </w:tcPr>
          <w:p>
            <w:pPr>
              <w:pStyle w:val="Normal6a"/>
            </w:pPr>
            <w:r>
              <w:t>9.</w:t>
            </w:r>
            <w:r>
              <w:tab/>
            </w:r>
            <w:r>
              <w:t>ragina Juodkalniją visiškai suderinti savo rinkimų teisės aktus su ES standartais ir įgyvendinti Europos saugumo ir bendradarbiavimo organizacijos Demokratinių institucijų ir žmogaus teisių biuro rekomendacijas</w:t>
            </w:r>
            <w:r>
              <w:rPr>
                <w:b/>
                <w:i/>
              </w:rPr>
              <w:t>;</w:t>
            </w:r>
            <w:r>
              <w:t xml:space="preserve"> </w:t>
            </w:r>
            <w:r>
              <w:rPr>
                <w:vertAlign w:val="superscript"/>
              </w:rPr>
              <w:t>5</w:t>
            </w:r>
            <w:r>
              <w:t xml:space="preserve"> primygtinai ragina Juodkalniją didinti politinių partijų išlaidų skaidrumą ir priežiūrą ir, remiantis ES standartais, užkirsti kelią piktnaudžiavimui valstybės ištekliais; </w:t>
            </w:r>
            <w:r>
              <w:rPr>
                <w:b/>
                <w:i/>
              </w:rPr>
              <w:t>ragina persvarstyti įstatymą dėl politinių subjektų finansavimo ir rinkimų kampanijų, kad jis būtų visiškai suderintas su Europos standartais;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Dan Barna, Marjan Šarec, Petras Auštrevičius,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ragina Juodkalniją visiškai suderinti savo rinkimų teisės aktus su ES standartais ir įgyvendinti Europos saugumo ir bendradarbiavimo organizacijos Demokratinių institucijų ir žmogaus teisių biuro rekomendacijas</w:t>
            </w:r>
            <w:r>
              <w:rPr>
                <w:vertAlign w:val="superscript"/>
              </w:rPr>
              <w:t>5</w:t>
            </w:r>
            <w:r>
              <w:t>; primygtinai ragina Juodkalniją didinti politinių partijų išlaidų skaidrumą ir priežiūrą ir, remiantis ES standartais, užkirsti kelią piktnaudžiavimui valstybės ištekliais;</w:t>
            </w:r>
          </w:p>
        </w:tc>
        <w:tc>
          <w:tcPr>
            <w:tcW w:w="4876" w:type="dxa"/>
            <w:tcBorders>
              <w:top w:val="nil"/>
              <w:left w:val="nil"/>
              <w:bottom w:val="nil"/>
              <w:right w:val="nil"/>
            </w:tcBorders>
          </w:tcPr>
          <w:p>
            <w:pPr>
              <w:pStyle w:val="Normal6a"/>
            </w:pPr>
            <w:r>
              <w:t>9.</w:t>
            </w:r>
            <w:r>
              <w:tab/>
            </w:r>
            <w:r>
              <w:t xml:space="preserve">ragina Juodkalniją visiškai suderinti savo rinkimų teisės aktus su ES standartais ir įgyvendinti Europos saugumo ir bendradarbiavimo organizacijos Demokratinių institucijų ir žmogaus teisių biuro rekomendacijas; </w:t>
            </w:r>
            <w:r>
              <w:rPr>
                <w:vertAlign w:val="superscript"/>
              </w:rPr>
              <w:t>5</w:t>
            </w:r>
            <w:r>
              <w:t xml:space="preserve"> primygtinai ragina Juodkalniją didinti politinių partijų išlaidų skaidrumą ir priežiūrą ir, remiantis ES standartais, užkirsti kelią piktnaudžiavimui valstybės ištekliais; </w:t>
            </w:r>
            <w:r>
              <w:rPr>
                <w:b/>
                <w:i/>
              </w:rPr>
              <w:t>reiškia susirūpinimą dėl bandymų iš dalies pakeisti Juodkalnijos pilietybės įstatymą parlamente.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c>
          <w:tcPr>
            <w:tcW w:w="4876" w:type="dxa"/>
            <w:tcBorders>
              <w:top w:val="nil"/>
              <w:left w:val="nil"/>
              <w:bottom w:val="nil"/>
              <w:right w:val="nil"/>
            </w:tcBorders>
          </w:tcPr>
          <w:p>
            <w:pPr>
              <w:pStyle w:val="Normal6a"/>
            </w:pPr>
            <w:r>
              <w:rPr>
                <w:vertAlign w:val="superscript"/>
              </w:rPr>
              <w:t>5</w:t>
            </w:r>
            <w:r>
              <w:t xml:space="preserve"> </w:t>
            </w:r>
            <w:r>
              <w:t>https://www.osce.org/odihr/elections/montenegro/542637.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ragina Juodkalniją visiškai suderinti savo rinkimų teisinę sistemą su ES standartais ir įgyvendinti ESBO Demokratinių institucijų ir žmogaus teisių biuro rekomendacijas;</w:t>
            </w:r>
            <w:r>
              <w:t xml:space="preserve"> </w:t>
            </w:r>
            <w:r>
              <w:rPr>
                <w:b/>
                <w:i/>
              </w:rPr>
              <w:t>primygtinai ragina Juodkalniją didinti politinių partijų išlaidų skaidrumą ir priežiūrą ir, remiantis ES standartais, užkirsti kelią piktnaudžiavimui valstybės ištekliais;</w:t>
            </w:r>
            <w:r>
              <w:t xml:space="preserve"> </w:t>
            </w:r>
            <w:r>
              <w:rPr>
                <w:b/>
                <w:i/>
              </w:rPr>
              <w:t>pabrėžia Korupcijos prevencijos agentūros (APC) vaidmenį stebint politinius finansus;</w:t>
            </w:r>
            <w:r>
              <w:t xml:space="preserve"> </w:t>
            </w:r>
            <w:r>
              <w:rPr>
                <w:b/>
                <w:i/>
              </w:rPr>
              <w:t>rekomenduoja Juodkalnijai stiprinti trečiųjų šalių finansavimo taisyklių vykdymą, griežtinti sankcijas už pažeidimus ir didinti internetinės politinės reklamos skaidrumą;</w:t>
            </w:r>
            <w:r>
              <w:t xml:space="preserve"> </w:t>
            </w:r>
            <w:r>
              <w:rPr>
                <w:b/>
                <w:i/>
              </w:rPr>
              <w:t>ragina APC ir finansinės žvalgybos institucijas glaudžiau bendradarbiauti siekiant nustatyti užsienio įtaką politinėse kampanijose ir užkirsti jai kelią;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ragina</w:t>
            </w:r>
            <w:r>
              <w:t xml:space="preserve"> Juodkalnijos valdžios </w:t>
            </w:r>
            <w:r>
              <w:rPr>
                <w:b/>
                <w:i/>
              </w:rPr>
              <w:t>institucijas</w:t>
            </w:r>
            <w:r>
              <w:t xml:space="preserve"> visoje šalyje nustatyti vieną vietos savivaldos rinkimų dieną, kad būtų padidintas valdymo veiksmingumas, sumažinta politinė įtampa ir sustiprintas savivaldybių ir valstybės institucijų stabilumas ir veiksmingumas;</w:t>
            </w:r>
          </w:p>
        </w:tc>
        <w:tc>
          <w:tcPr>
            <w:tcW w:w="4876" w:type="dxa"/>
            <w:tcBorders>
              <w:top w:val="nil"/>
              <w:left w:val="nil"/>
              <w:bottom w:val="nil"/>
              <w:right w:val="nil"/>
            </w:tcBorders>
          </w:tcPr>
          <w:p>
            <w:pPr>
              <w:pStyle w:val="Normal6a"/>
            </w:pPr>
            <w:r>
              <w:t>10.</w:t>
            </w:r>
            <w:r>
              <w:tab/>
            </w:r>
            <w:r>
              <w:rPr>
                <w:b/>
                <w:i/>
              </w:rPr>
              <w:t>pataria</w:t>
            </w:r>
            <w:r>
              <w:t xml:space="preserve"> Juodkalnijos valdžios </w:t>
            </w:r>
            <w:r>
              <w:rPr>
                <w:b/>
                <w:i/>
              </w:rPr>
              <w:t>institucijoms</w:t>
            </w:r>
            <w:r>
              <w:t xml:space="preserve"> visoje šalyje nustatyti vieną vietos savivaldos rinkimų dieną, kad būtų padidintas valdymo veiksmingumas, sumažinta politinė įtampa ir sustiprintas savivaldybių ir valstybės institucijų stabilumas ir veiksmingumas;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Juodkalnijos valdžios institucijas visoje šalyje nustatyti vieną vietos savivaldos rinkimų dieną, kad būtų padidintas valdymo veiksmingumas, sumažinta politinė įtampa ir sustiprintas savivaldybių ir valstybės institucijų stabilumas ir veiksmingumas;</w:t>
            </w:r>
          </w:p>
        </w:tc>
        <w:tc>
          <w:tcPr>
            <w:tcW w:w="4876" w:type="dxa"/>
            <w:tcBorders>
              <w:top w:val="nil"/>
              <w:left w:val="nil"/>
              <w:bottom w:val="nil"/>
              <w:right w:val="nil"/>
            </w:tcBorders>
          </w:tcPr>
          <w:p>
            <w:pPr>
              <w:pStyle w:val="Normal6a"/>
            </w:pPr>
            <w:r>
              <w:t>10.</w:t>
            </w:r>
            <w:r>
              <w:tab/>
            </w:r>
            <w:r>
              <w:rPr>
                <w:b/>
                <w:i/>
              </w:rPr>
              <w:t>dar kartą primygtinai</w:t>
            </w:r>
            <w:r>
              <w:t xml:space="preserve"> ragina Juodkalnijos valdžios institucijas visoje šalyje nustatyti vieną vietos savivaldos rinkimų dieną, kad būtų padidintas valdymo veiksmingumas, sumažinta politinė įtampa ir sustiprintas savivaldybių ir valstybės institucijų stabilumas ir veiksmingumas; </w:t>
            </w:r>
            <w:r>
              <w:rPr>
                <w:b/>
                <w:i/>
              </w:rPr>
              <w:t>primena, kad šis reformų etapas yra būsimų lėšų išmokėjimo pagal Reformų ir ekonomikos augimo priemonę sąlyga ir jo turėtų būti siekiama teikiant didžiausią prioritetą;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ragina</w:t>
            </w:r>
            <w:r>
              <w:t xml:space="preserve"> Juodkalnijos valdžios </w:t>
            </w:r>
            <w:r>
              <w:rPr>
                <w:b/>
                <w:i/>
              </w:rPr>
              <w:t>institucijas visoje šalyje nustatyti vieną</w:t>
            </w:r>
            <w:r>
              <w:t xml:space="preserve"> vietos savivaldos </w:t>
            </w:r>
            <w:r>
              <w:rPr>
                <w:b/>
                <w:i/>
              </w:rPr>
              <w:t>rinkimų dieną, kad būtų padidintas</w:t>
            </w:r>
            <w:r>
              <w:t xml:space="preserve"> valdymo </w:t>
            </w:r>
            <w:r>
              <w:rPr>
                <w:b/>
                <w:i/>
              </w:rPr>
              <w:t>veiksmingumas, sumažinta politinė įtampa ir sustiprintas</w:t>
            </w:r>
            <w:r>
              <w:t xml:space="preserve"> savivaldybių ir valstybės institucijų </w:t>
            </w:r>
            <w:r>
              <w:rPr>
                <w:b/>
                <w:i/>
              </w:rPr>
              <w:t>stabilumas ir veiksmingumas</w:t>
            </w:r>
            <w:r>
              <w:t>;</w:t>
            </w:r>
          </w:p>
        </w:tc>
        <w:tc>
          <w:tcPr>
            <w:tcW w:w="4876" w:type="dxa"/>
            <w:tcBorders>
              <w:top w:val="nil"/>
              <w:left w:val="nil"/>
              <w:bottom w:val="nil"/>
              <w:right w:val="nil"/>
            </w:tcBorders>
          </w:tcPr>
          <w:p>
            <w:pPr>
              <w:pStyle w:val="Normal6a"/>
            </w:pPr>
            <w:r>
              <w:t>10.</w:t>
            </w:r>
            <w:r>
              <w:tab/>
            </w:r>
            <w:r>
              <w:rPr>
                <w:b/>
                <w:i/>
              </w:rPr>
              <w:t>pakartoja savo raginimą</w:t>
            </w:r>
            <w:r>
              <w:t xml:space="preserve"> Juodkalnijos valdžios </w:t>
            </w:r>
            <w:r>
              <w:rPr>
                <w:b/>
                <w:i/>
              </w:rPr>
              <w:t>institucijoms nustatyti vieną nacionalinę savivaldybių rinkimų dieną, kaip numatyta</w:t>
            </w:r>
            <w:r>
              <w:t xml:space="preserve"> Vietos savivaldos </w:t>
            </w:r>
            <w:r>
              <w:rPr>
                <w:b/>
                <w:i/>
              </w:rPr>
              <w:t>įstatyme, kuris jau buvo iš dalies pakeistas 2022 m., kuriame nustatyta, kad tą pačią dieną 14 savivaldybių turi būti surengti vietos rinkimai, siekiant padidinti</w:t>
            </w:r>
            <w:r>
              <w:t xml:space="preserve"> valdymo </w:t>
            </w:r>
            <w:r>
              <w:rPr>
                <w:b/>
                <w:i/>
              </w:rPr>
              <w:t>veiksmingumą, sumažinti politinę įtampą ir sustiprinti</w:t>
            </w:r>
            <w:r>
              <w:t xml:space="preserve"> savivaldybių ir valstybės institucijų </w:t>
            </w:r>
            <w:r>
              <w:rPr>
                <w:b/>
                <w:i/>
              </w:rPr>
              <w:t>stabilumą ir veiksmingumą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ragina Juodkalnijos valdžios institucijas visoje šalyje nustatyti vieną vietos savivaldos rinkimų dieną, kad būtų padidintas valdymo veiksmingumas, sumažinta politinė įtampa ir sustiprintas savivaldybių ir valstybės institucijų stabilumas ir veiksmingumas;</w:t>
            </w:r>
          </w:p>
        </w:tc>
        <w:tc>
          <w:tcPr>
            <w:tcW w:w="4876" w:type="dxa"/>
            <w:tcBorders>
              <w:top w:val="nil"/>
              <w:left w:val="nil"/>
              <w:bottom w:val="nil"/>
              <w:right w:val="nil"/>
            </w:tcBorders>
          </w:tcPr>
          <w:p>
            <w:pPr>
              <w:pStyle w:val="Normal6a"/>
            </w:pPr>
            <w:r>
              <w:t>10.</w:t>
            </w:r>
            <w:r>
              <w:tab/>
            </w:r>
            <w:r>
              <w:t xml:space="preserve">ragina Juodkalnijos valdžios institucijas visoje šalyje nustatyti vieną vietos savivaldos rinkimų dieną, kad būtų padidintas valdymo veiksmingumas, sumažinta politinė įtampa ir sustiprintas savivaldybių ir valstybės institucijų stabilumas ir veiksmingumas; </w:t>
            </w:r>
            <w:r>
              <w:rPr>
                <w:b/>
                <w:i/>
              </w:rPr>
              <w:t>palankiai vertina tai, kad 2022 m. spalio mėn. 14 savivaldybių rinkimai buvo rengiami tą pačią dieną;</w:t>
            </w:r>
            <w:r>
              <w:t xml:space="preserve"> </w:t>
            </w:r>
            <w:r>
              <w:rPr>
                <w:b/>
                <w:i/>
              </w:rPr>
              <w:t>ragina sukurti tvirtą teisės aktų sistemą šiuo klausimu;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yra rimtai susirūpinęs dėl netinkamo rinkimų proceso Šavniko savivaldybėje, per kurį rinkimai buvo kartojami daugiau kaip dvejus su puse metų, be galutinių rezultatų;</w:t>
            </w:r>
            <w:r>
              <w:t xml:space="preserve"> </w:t>
            </w:r>
            <w:r>
              <w:rPr>
                <w:b/>
                <w:i/>
              </w:rPr>
              <w:t>apgailestauja dėl rinkimų pažeidimų, įskaitant rinkėjų teisinių adresų, kuriais galima balsuoti Šavnike, pakeitimą ir tai, kad DPS organizavo rinkėjų atvežimą autobusais balsuoti rinkimų dieną;</w:t>
            </w:r>
            <w:r>
              <w:t xml:space="preserve"> </w:t>
            </w:r>
            <w:r>
              <w:rPr>
                <w:b/>
                <w:i/>
              </w:rPr>
              <w:t>ragina Juodkalnijos valstybinę rinkimų komisiją ir vyriausybę užtikrinti, kad rinkimų procesas būtų užbaigtas;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ragina Juodkalnijos valdžios institucijas priimti vyriausybės įstatymą, kuris buvo parengtas bendradarbiaujant su Europos Taryba ir suderintas su Europos Komisijos gairėmis;</w:t>
            </w:r>
            <w:r>
              <w:t xml:space="preserve"> </w:t>
            </w:r>
            <w:r>
              <w:rPr>
                <w:b/>
                <w:i/>
              </w:rPr>
              <w:t>primena, kad šis įstatymas sudarys sąlygas geresnei valdymo sistemai, geresniam viešojo administravimo optimizavimui ir sudarys sąlygas mažesniam ministerijų skaičiui, mažesniems politikos portfeliams, didesniam skaidrumui ir būtų prevencijos mechanizmas, kad šios pozicijos būtų naudojamos kaip politinių derybų priemonė;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 Barna, Malik Azmani, Marjan Šarec,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p>
        </w:tc>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r>
              <w:rPr>
                <w:b/>
                <w:i/>
              </w:rPr>
              <w:t>, įskaitant procedūrines apsaugos priemones nuo politiškai motyvuotų sprendimų dėl skyrimo ir atleidimo iš darbo;</w:t>
            </w:r>
            <w:r>
              <w:t xml:space="preserve"> </w:t>
            </w:r>
            <w:r>
              <w:rPr>
                <w:b/>
                <w:i/>
              </w:rPr>
              <w:t>apgailestauja, kad nepadaryta didelės pažangos priimant ir veiksmingai įgyvendinant tokius teisės aktus, ir pabrėžia, kad tai leidžia ir toliau daryti politinę įtaką įdarbinant valstybės tarnyboje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p>
        </w:tc>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r>
              <w:rPr>
                <w:b/>
                <w:i/>
              </w:rPr>
              <w:t>, kad būtų sukurta valstybės administravimo profesionalumo didinimo, optimizavimo ir racionalizavimo sistema;</w:t>
            </w:r>
            <w:r>
              <w:t xml:space="preserve"> </w:t>
            </w:r>
            <w:r>
              <w:rPr>
                <w:b/>
                <w:i/>
              </w:rPr>
              <w:t>be to, pabrėžia, kad reikia nustatyti aukštus vadovaujamų pareigų standartus, kad būtų užtikrinta kompetencija ir atskaitomybė viešojoje tarnyboje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p>
        </w:tc>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r>
              <w:rPr>
                <w:b/>
                <w:i/>
              </w:rPr>
              <w:t>, kad būtų sukurta valstybės administravimo profesionalumo didinimo, optimizavimo ir racionalizavimo sistema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pabrėžia profesionalios, nuopelnais grindžiamos ir skaidrios valstybės tarnybos svarbą; ragina Juodkalniją iš dalies pakeisti ir įgyvendinti atitinkamus teisės aktus;</w:t>
            </w:r>
          </w:p>
        </w:tc>
        <w:tc>
          <w:tcPr>
            <w:tcW w:w="4876" w:type="dxa"/>
            <w:tcBorders>
              <w:top w:val="nil"/>
              <w:left w:val="nil"/>
              <w:bottom w:val="nil"/>
              <w:right w:val="nil"/>
            </w:tcBorders>
          </w:tcPr>
          <w:p>
            <w:pPr>
              <w:pStyle w:val="Normal6a"/>
            </w:pPr>
            <w:r>
              <w:t>11.</w:t>
            </w:r>
            <w:r>
              <w:tab/>
            </w:r>
            <w:r>
              <w:t xml:space="preserve">pabrėžia profesionalios, nuopelnais grindžiamos ir skaidrios valstybės tarnybos svarbą </w:t>
            </w:r>
            <w:r>
              <w:rPr>
                <w:b/>
                <w:i/>
              </w:rPr>
              <w:t>ir valstybės tarnybos depolitizavimo svarbą</w:t>
            </w:r>
            <w:r>
              <w:t>; ragina Juodkalniją iš dalies pakeisti ir įgyvendinti atitinkamus teisės aktus;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palankiai vertina tai, kad Juodkalnija įtraukta į Komisijos 2024 m. teisinės valstybės principo taikymo ataskaitą;</w:t>
            </w:r>
          </w:p>
        </w:tc>
        <w:tc>
          <w:tcPr>
            <w:tcW w:w="4876" w:type="dxa"/>
            <w:tcBorders>
              <w:top w:val="nil"/>
              <w:left w:val="nil"/>
              <w:bottom w:val="nil"/>
              <w:right w:val="nil"/>
            </w:tcBorders>
          </w:tcPr>
          <w:p>
            <w:pPr>
              <w:pStyle w:val="Normal6a"/>
            </w:pPr>
            <w:r>
              <w:t>12.</w:t>
            </w:r>
            <w:r>
              <w:tab/>
            </w:r>
            <w:r>
              <w:t xml:space="preserve">palankiai vertina tai, kad Juodkalnija įtraukta į Komisijos 2024 m. teisinės valstybės principo taikymo ataskaitą; </w:t>
            </w:r>
            <w:r>
              <w:rPr>
                <w:b/>
                <w:i/>
              </w:rPr>
              <w:t>susirūpinęs atkreipia dėmesį į nustatytus trūkumus, įskaitant teisėjų skyrimą ir prokuratūros nepriklausomumą;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palankiai vertina pažangą, pasiektą</w:t>
            </w:r>
            <w:r>
              <w:t xml:space="preserve"> įgyvendinant pagrindines teismų reformas</w:t>
            </w:r>
            <w:r>
              <w:rPr>
                <w:b/>
                <w:i/>
              </w:rPr>
              <w:t>, priimant naują strateginę programą ir užbaigiant ilgai trunkančius teisėjų paskyrimus</w:t>
            </w:r>
            <w:r>
              <w:t>;</w:t>
            </w:r>
          </w:p>
        </w:tc>
        <w:tc>
          <w:tcPr>
            <w:tcW w:w="4876" w:type="dxa"/>
            <w:tcBorders>
              <w:top w:val="nil"/>
              <w:left w:val="nil"/>
              <w:bottom w:val="nil"/>
              <w:right w:val="nil"/>
            </w:tcBorders>
          </w:tcPr>
          <w:p>
            <w:pPr>
              <w:pStyle w:val="Normal6a"/>
            </w:pPr>
            <w:r>
              <w:t>13.</w:t>
            </w:r>
            <w:r>
              <w:tab/>
            </w:r>
            <w:r>
              <w:rPr>
                <w:b/>
                <w:i/>
              </w:rPr>
              <w:t>atkreipia dėmesį į pastangas, dedamas</w:t>
            </w:r>
            <w:r>
              <w:t xml:space="preserve"> įgyvendinant pagrindines teismų reformas</w:t>
            </w:r>
            <w:r>
              <w:rPr>
                <w:b/>
                <w:i/>
              </w:rPr>
              <w:t>;</w:t>
            </w:r>
            <w:r>
              <w:t xml:space="preserve"> </w:t>
            </w:r>
            <w:r>
              <w:rPr>
                <w:b/>
                <w:i/>
              </w:rPr>
              <w:t>yra rimtai susirūpinęs dėl Konstitucinio Teismo skyrimo proceso ir primygtinai ragina Juodkalnijos valdžios institucijas pritarti Venecijos komisijos tarpininkavimui, kad būtų užtikrintas proceso aiškumas ir teisinis tikrumas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palankiai vertina pažangą, pasiektą įgyvendinant pagrindines teismų reformas, priimant naują strateginę programą ir užbaigiant ilgai trunkančius teisėjų paskyrimus;</w:t>
            </w:r>
          </w:p>
        </w:tc>
        <w:tc>
          <w:tcPr>
            <w:tcW w:w="4876" w:type="dxa"/>
            <w:tcBorders>
              <w:top w:val="nil"/>
              <w:left w:val="nil"/>
              <w:bottom w:val="nil"/>
              <w:right w:val="nil"/>
            </w:tcBorders>
          </w:tcPr>
          <w:p>
            <w:pPr>
              <w:pStyle w:val="Normal6a"/>
            </w:pPr>
            <w:r>
              <w:t>13.</w:t>
            </w:r>
            <w:r>
              <w:tab/>
            </w:r>
            <w:r>
              <w:t xml:space="preserve">palankiai vertina pažangą, pasiektą įgyvendinant pagrindines teismų reformas, priimant naują strateginę programą ir užbaigiant ilgai trunkančius teisėjų paskyrimus; </w:t>
            </w:r>
            <w:r>
              <w:rPr>
                <w:b/>
                <w:i/>
              </w:rPr>
              <w:t>ragina Juodkalniją paskirti likusias aukšto lygio teisėjų pareigas;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palankiai vertina pažangą, pasiektą įgyvendinant pagrindines teismų reformas, priimant naują strateginę programą ir užbaigiant ilgai trunkančius teisėjų paskyrimus;</w:t>
            </w:r>
          </w:p>
        </w:tc>
        <w:tc>
          <w:tcPr>
            <w:tcW w:w="4876" w:type="dxa"/>
            <w:tcBorders>
              <w:top w:val="nil"/>
              <w:left w:val="nil"/>
              <w:bottom w:val="nil"/>
              <w:right w:val="nil"/>
            </w:tcBorders>
          </w:tcPr>
          <w:p>
            <w:pPr>
              <w:pStyle w:val="Normal6a"/>
            </w:pPr>
            <w:r>
              <w:t>13.</w:t>
            </w:r>
            <w:r>
              <w:tab/>
            </w:r>
            <w:r>
              <w:t xml:space="preserve">palankiai vertina pažangą, pasiektą įgyvendinant pagrindines teismų reformas, priimant naują strateginę programą ir užbaigiant ilgai trunkančius teisėjų paskyrimus; </w:t>
            </w:r>
            <w:r>
              <w:rPr>
                <w:b/>
                <w:i/>
              </w:rPr>
              <w:t>ragina Juodkalniją paskirti likusias teisėjų pareigas;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primygtinai ragina Juodkalniją toliau derinti savo teisės aktus</w:t>
            </w:r>
            <w:r>
              <w:rPr>
                <w:b/>
                <w:i/>
              </w:rPr>
              <w:t>, įskaitant Konstituciją,</w:t>
            </w:r>
            <w:r>
              <w:t xml:space="preserve">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tc>
        <w:tc>
          <w:tcPr>
            <w:tcW w:w="4876" w:type="dxa"/>
            <w:tcBorders>
              <w:top w:val="nil"/>
              <w:left w:val="nil"/>
              <w:bottom w:val="nil"/>
              <w:right w:val="nil"/>
            </w:tcBorders>
          </w:tcPr>
          <w:p>
            <w:pPr>
              <w:pStyle w:val="Normal6a"/>
            </w:pPr>
            <w:r>
              <w:t>14.</w:t>
            </w:r>
            <w:r>
              <w:tab/>
            </w:r>
            <w:r>
              <w:t xml:space="preserve">primygtinai ragina Juodkalniją toliau derinti savo teisės aktus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 </w:t>
            </w:r>
            <w:r>
              <w:rPr>
                <w:b/>
                <w:i/>
              </w:rPr>
              <w:t>rekomenduoja priimti Konstitucijos pakeitimus galutiniame šalies stojimo į ES derybų etape;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primygtinai ragina Juodkalniją toliau derinti savo teisės aktus, įskaitant Konstituciją,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tc>
        <w:tc>
          <w:tcPr>
            <w:tcW w:w="4876" w:type="dxa"/>
            <w:tcBorders>
              <w:top w:val="nil"/>
              <w:left w:val="nil"/>
              <w:bottom w:val="nil"/>
              <w:right w:val="nil"/>
            </w:tcBorders>
          </w:tcPr>
          <w:p>
            <w:pPr>
              <w:pStyle w:val="Normal6a"/>
            </w:pPr>
            <w:r>
              <w:t>14.</w:t>
            </w:r>
            <w:r>
              <w:tab/>
            </w:r>
            <w:r>
              <w:t xml:space="preserve">primygtinai ragina Juodkalniją toliau derinti savo teisės aktus, įskaitant Konstituciją, </w:t>
            </w:r>
            <w:r>
              <w:rPr>
                <w:b/>
                <w:i/>
              </w:rPr>
              <w:t>visų pirma dėl Teisėjų tarybos sudėties ir sprendimų priėmimo proceso,</w:t>
            </w:r>
            <w:r>
              <w:t xml:space="preserve">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primygtinai ragina Juodkalniją toliau derinti savo teisės aktus, įskaitant Konstituciją,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tc>
        <w:tc>
          <w:tcPr>
            <w:tcW w:w="4876" w:type="dxa"/>
            <w:tcBorders>
              <w:top w:val="nil"/>
              <w:left w:val="nil"/>
              <w:bottom w:val="nil"/>
              <w:right w:val="nil"/>
            </w:tcBorders>
          </w:tcPr>
          <w:p>
            <w:pPr>
              <w:pStyle w:val="Normal6a"/>
            </w:pPr>
            <w:r>
              <w:t>14.</w:t>
            </w:r>
            <w:r>
              <w:tab/>
            </w:r>
            <w:r>
              <w:t xml:space="preserve">primygtinai ragina Juodkalniją toliau derinti savo teisės aktus, įskaitant Konstituciją, su ES teisės aktais ir standartais dėl teisminių institucijų nepriklausomumo, atskaitomybės, nešališkumo, sąžiningumo ir profesionalumo, </w:t>
            </w:r>
            <w:r>
              <w:rPr>
                <w:b/>
                <w:i/>
              </w:rPr>
              <w:t>be kita ko, toliau depolitizuojant paskyrimus, kad būtų sustiprintas nepriklausomumas,</w:t>
            </w:r>
            <w:r>
              <w:t xml:space="preserve"> įgyvendinti likusias tarptautines rekomendacijas ir pagal Europos standartus nustatyti teisėjų ir prokurorų išėjimo į pensiją kriterijus</w:t>
            </w:r>
            <w:r>
              <w:rPr>
                <w:b/>
                <w:i/>
              </w:rPr>
              <w:t>, visapusiškai laikantis konstitucijos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primygtinai ragina Juodkalniją toliau derinti savo teisės aktus, įskaitant Konstituciją,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w:t>
            </w:r>
          </w:p>
        </w:tc>
        <w:tc>
          <w:tcPr>
            <w:tcW w:w="4876" w:type="dxa"/>
            <w:tcBorders>
              <w:top w:val="nil"/>
              <w:left w:val="nil"/>
              <w:bottom w:val="nil"/>
              <w:right w:val="nil"/>
            </w:tcBorders>
          </w:tcPr>
          <w:p>
            <w:pPr>
              <w:pStyle w:val="Normal6a"/>
            </w:pPr>
            <w:r>
              <w:t>14.</w:t>
            </w:r>
            <w:r>
              <w:tab/>
            </w:r>
            <w:r>
              <w:t xml:space="preserve">primygtinai ragina Juodkalniją toliau derinti savo teisės aktus, įskaitant Konstituciją, su ES teisės aktais ir standartais dėl teisminių institucijų nepriklausomumo, atskaitomybės, nešališkumo, sąžiningumo ir profesionalumo, įgyvendinti likusias tarptautines rekomendacijas ir pagal Europos standartus nustatyti teisėjų ir prokurorų išėjimo į pensiją kriterijus; </w:t>
            </w:r>
            <w:r>
              <w:rPr>
                <w:b/>
                <w:i/>
              </w:rPr>
              <w:t>apgailestauja dėl neišnagrinėtų bylų skaičiaus ir ragina Juodkalniją imtis priemonių, kad būtų sutrumpinta teismo procesų trukmė, ypač sunkių formų ir organizuoto nusikalstamumo bylose, visų pirma susijusiose su pinigų plovimu;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apgailestauja dėl neišnagrinėtų bylų ir ragina Juodkalniją imtis priemonių, kad būtų sutrumpintas teismo procesų laikas, visų pirma sunkių formų ir organizuoto nusikalstamumo, ypač pinigų plovimo, bylose;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ragina stiprinti valstybės institucijų veikimą ir koordinavimą siekiant politinio stabilumo ir daryti didelę pažangą įgyvendinant pagrindines su ES susijusias reformas, visų pirma rinkimų ir teismų reformas bei kovą su organizuotu nusikalstamumu ir korupcija;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atkreipia dėmesį į veiksmus, kurių buvo imtasi kovojant su korupcija, </w:t>
            </w:r>
            <w:r>
              <w:rPr>
                <w:b/>
                <w:i/>
              </w:rPr>
              <w:t>įskaitant naujus įstatymus ir kitus teisės aktus dėl informatorių apsaugos;</w:t>
            </w:r>
            <w:r>
              <w:t xml:space="preserve"> ragina Juodkalniją toliau derinti teisės aktus su ES acquis ir ES standartais ir imtis veiksmų dėl Komisijos, Venecijos komisijos ir Kovos su korupcija valstybių grupės (GRECO) rekomendacijų;</w:t>
            </w:r>
          </w:p>
        </w:tc>
        <w:tc>
          <w:tcPr>
            <w:tcW w:w="4876" w:type="dxa"/>
            <w:tcBorders>
              <w:top w:val="nil"/>
              <w:left w:val="nil"/>
              <w:bottom w:val="nil"/>
              <w:right w:val="nil"/>
            </w:tcBorders>
          </w:tcPr>
          <w:p>
            <w:pPr>
              <w:pStyle w:val="Normal6a"/>
            </w:pPr>
            <w:r>
              <w:t>15.</w:t>
            </w:r>
            <w:r>
              <w:tab/>
            </w:r>
            <w:r>
              <w:t>atkreipia dėmesį į veiksmus, kurių buvo imtasi kovojant su korupcija,</w:t>
            </w:r>
            <w:r>
              <w:rPr>
                <w:b/>
                <w:i/>
              </w:rPr>
              <w:t> </w:t>
            </w:r>
            <w:r>
              <w:t xml:space="preserve"> ragina Juodkalniją toliau derinti teisės aktus su ES acquis ir ES standartais ir imtis veiksmų dėl Komisijos, Venecijos komisijos ir Kovos su korupcija valstybių grupės (GRECO) rekomendacijų;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atkreipia dėmesį į veiksmus, kurių buvo imtasi kovojant su korupcija, įskaitant naujus įstatymus ir kitus teisės aktus dėl informatorių apsaugos; ragina Juodkalniją toliau derinti teisės aktus su ES acquis ir ES standartais ir imtis veiksmų dėl Komisijos, Venecijos komisijos ir Kovos su korupcija valstybių grupės (GRECO) rekomendacijų;</w:t>
            </w:r>
          </w:p>
        </w:tc>
        <w:tc>
          <w:tcPr>
            <w:tcW w:w="4876" w:type="dxa"/>
            <w:tcBorders>
              <w:top w:val="nil"/>
              <w:left w:val="nil"/>
              <w:bottom w:val="nil"/>
              <w:right w:val="nil"/>
            </w:tcBorders>
          </w:tcPr>
          <w:p>
            <w:pPr>
              <w:pStyle w:val="Normal6a"/>
            </w:pPr>
            <w:r>
              <w:t>15.</w:t>
            </w:r>
            <w:r>
              <w:tab/>
            </w:r>
            <w:r>
              <w:t xml:space="preserve">atkreipia dėmesį į veiksmus, kurių buvo imtasi kovojant su korupcija, </w:t>
            </w:r>
            <w:r>
              <w:rPr>
                <w:b/>
                <w:i/>
              </w:rPr>
              <w:t>taikant strategines ir teisines sistemas,</w:t>
            </w:r>
            <w:r>
              <w:t xml:space="preserve"> įskaitant naujus įstatymus ir kitus teisės aktus dėl informatorių apsaugos; </w:t>
            </w:r>
            <w:r>
              <w:rPr>
                <w:b/>
                <w:i/>
              </w:rPr>
              <w:t>primygtinai ragina Juodkalniją sustiprinti baudžiamosios teisenos atsaką į aukšto lygio korupciją ir sudaryti sąlygas teisminėms institucijoms ir nepriklausomoms institucijoms, sprendžiančioms korupcijos klausimus, veiksmingai veikti be politinės įtakos;</w:t>
            </w:r>
            <w:r>
              <w:t xml:space="preserve"> ragina Juodkalniją toliau derinti teisės aktus su ES acquis ir ES standartais ir imtis veiksmų dėl Komisijos, Venecijos komisijos ir Kovos su korupcija valstybių grupės (GRECO) rekomendacijų; </w:t>
            </w:r>
            <w:r>
              <w:rPr>
                <w:b/>
                <w:i/>
              </w:rPr>
              <w:t>ragina Juodkalnijos valdžios institucijas toliau šalinti esamus organizuoto nusikalstamumo bylų nagrinėjimo ir nusikalstamu būdu įgyto turto arešto bei konfiskavimo trūkumus;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atkreipia dėmesį į veiksmus, kurių </w:t>
            </w:r>
            <w:r>
              <w:rPr>
                <w:b/>
                <w:i/>
              </w:rPr>
              <w:t>buvo</w:t>
            </w:r>
            <w:r>
              <w:t xml:space="preserve"> imtasi kovojant su korupcija, įskaitant naujus įstatymus ir </w:t>
            </w:r>
            <w:r>
              <w:rPr>
                <w:b/>
                <w:i/>
              </w:rPr>
              <w:t>kitus teisės aktus</w:t>
            </w:r>
            <w:r>
              <w:t xml:space="preserve"> dėl informatorių apsaugos; ragina Juodkalniją toliau derinti teisės aktus su ES acquis ir ES standartais ir imtis veiksmų dėl Komisijos, Venecijos komisijos ir Kovos su korupcija valstybių grupės (GRECO) rekomendacijų;</w:t>
            </w:r>
          </w:p>
        </w:tc>
        <w:tc>
          <w:tcPr>
            <w:tcW w:w="4876" w:type="dxa"/>
            <w:tcBorders>
              <w:top w:val="nil"/>
              <w:left w:val="nil"/>
              <w:bottom w:val="nil"/>
              <w:right w:val="nil"/>
            </w:tcBorders>
          </w:tcPr>
          <w:p>
            <w:pPr>
              <w:pStyle w:val="Normal6a"/>
            </w:pPr>
            <w:r>
              <w:t>15.</w:t>
            </w:r>
            <w:r>
              <w:tab/>
            </w:r>
            <w:r>
              <w:t xml:space="preserve">atkreipia dėmesį į veiksmus, kurių imtasi kovojant su korupcija, įskaitant naujus įstatymus ir </w:t>
            </w:r>
            <w:r>
              <w:rPr>
                <w:b/>
                <w:i/>
              </w:rPr>
              <w:t>nuostatas</w:t>
            </w:r>
            <w:r>
              <w:t xml:space="preserve"> dėl informatorių apsaugos</w:t>
            </w:r>
            <w:r>
              <w:rPr>
                <w:b/>
                <w:i/>
              </w:rPr>
              <w:t>, naujos Nacionalinės kovos su korupcija tarybos sukūrimą ir naują 2024–2028 m. strategiją</w:t>
            </w:r>
            <w:r>
              <w:t>; ragina Juodkalniją toliau derinti teisės aktus su ES acquis ir ES standartais ir imtis veiksmų dėl Komisijos, Venecijos komisijos ir Kovos su korupcija valstybių grupės (GRECO) rekomendacijų;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atkreipia dėmesį į Korupcijos prevencijos agentūros </w:t>
            </w:r>
            <w:r>
              <w:rPr>
                <w:b/>
                <w:i/>
              </w:rPr>
              <w:t>atliekamą darbą</w:t>
            </w:r>
            <w:r>
              <w:t xml:space="preserve"> ir ragina jai skirti pakankamą finansavimą; ragina sukurti tvirtesnę korupcijos prevencijos sistemą;</w:t>
            </w:r>
          </w:p>
        </w:tc>
        <w:tc>
          <w:tcPr>
            <w:tcW w:w="4876" w:type="dxa"/>
            <w:tcBorders>
              <w:top w:val="nil"/>
              <w:left w:val="nil"/>
              <w:bottom w:val="nil"/>
              <w:right w:val="nil"/>
            </w:tcBorders>
          </w:tcPr>
          <w:p>
            <w:pPr>
              <w:pStyle w:val="Normal6a"/>
            </w:pPr>
            <w:r>
              <w:t>16.</w:t>
            </w:r>
            <w:r>
              <w:tab/>
            </w:r>
            <w:r>
              <w:t xml:space="preserve">atkreipia dėmesį į Korupcijos prevencijos agentūros </w:t>
            </w:r>
            <w:r>
              <w:rPr>
                <w:b/>
                <w:i/>
              </w:rPr>
              <w:t>dedamas pastangas</w:t>
            </w:r>
            <w:r>
              <w:t xml:space="preserve"> ir ragina jai skirti pakankamą finansavimą</w:t>
            </w:r>
            <w:r>
              <w:rPr>
                <w:b/>
                <w:i/>
              </w:rPr>
              <w:t>;</w:t>
            </w:r>
            <w:r>
              <w:t xml:space="preserve"> </w:t>
            </w:r>
            <w:r>
              <w:rPr>
                <w:b/>
                <w:i/>
              </w:rPr>
              <w:t>pabrėžia, kad reikia skubiai depolitizuoti Korupcijos prevencijos agentūrą;</w:t>
            </w:r>
            <w:r>
              <w:t xml:space="preserve"> </w:t>
            </w:r>
            <w:r>
              <w:rPr>
                <w:b/>
                <w:i/>
              </w:rPr>
              <w:t>tikisi, kad Agentūra pasieks apčiuopiamų rezultatų ir elgsis neselektyviai, kad sustiprintų savo sąžiningumą ir savo įgaliojimus veiksmingai vykdyti savo kompetenciją</w:t>
            </w:r>
            <w:r>
              <w:t>; ragina sukurti tvirtesnę korupcijos prevencijos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atkreipia dėmesį į Korupcijos prevencijos agentūros atliekamą darbą ir ragina jai skirti pakankamą finansavimą; ragina sukurti tvirtesnę korupcijos prevencijos sistemą;</w:t>
            </w:r>
          </w:p>
        </w:tc>
        <w:tc>
          <w:tcPr>
            <w:tcW w:w="4876" w:type="dxa"/>
            <w:tcBorders>
              <w:top w:val="nil"/>
              <w:left w:val="nil"/>
              <w:bottom w:val="nil"/>
              <w:right w:val="nil"/>
            </w:tcBorders>
          </w:tcPr>
          <w:p>
            <w:pPr>
              <w:pStyle w:val="Normal6a"/>
            </w:pPr>
            <w:r>
              <w:t>16.</w:t>
            </w:r>
            <w:r>
              <w:tab/>
            </w:r>
            <w:r>
              <w:t xml:space="preserve">atkreipia dėmesį į Korupcijos prevencijos agentūros atliekamą darbą ir ragina jai skirti pakankamą finansavimą; </w:t>
            </w:r>
            <w:r>
              <w:rPr>
                <w:b/>
                <w:i/>
              </w:rPr>
              <w:t>primygtinai ragina Juodkalniją toliau gerinti rezultatus korupcijos, įskaitant aukšto lygio korupciją, srityje stiprinant veiksmingą prokuratūros ir teismų vykdomą galiojančių baudžiamosios teisės aktų vykdymą, be kita ko, nustatant veiksmingas ir atgrasomas sankcijas;</w:t>
            </w:r>
            <w:r>
              <w:t xml:space="preserve"> ragina sukurti tvirtesnę korupcijos prevencijos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atkreipia dėmesį į Korupcijos prevencijos agentūros atliekamą darbą ir ragina jai skirti pakankamą finansavimą; ragina sukurti tvirtesnę korupcijos prevencijos sistemą;</w:t>
            </w:r>
          </w:p>
        </w:tc>
        <w:tc>
          <w:tcPr>
            <w:tcW w:w="4876" w:type="dxa"/>
            <w:tcBorders>
              <w:top w:val="nil"/>
              <w:left w:val="nil"/>
              <w:bottom w:val="nil"/>
              <w:right w:val="nil"/>
            </w:tcBorders>
          </w:tcPr>
          <w:p>
            <w:pPr>
              <w:pStyle w:val="Normal6a"/>
            </w:pPr>
            <w:r>
              <w:t>16.</w:t>
            </w:r>
            <w:r>
              <w:tab/>
            </w:r>
            <w:r>
              <w:t xml:space="preserve">atkreipia dėmesį į Korupcijos prevencijos agentūros atliekamą darbą ir ragina jai skirti pakankamą finansavimą; ragina sukurti tvirtesnę korupcijos prevencijos sistemą; </w:t>
            </w:r>
            <w:r>
              <w:rPr>
                <w:b/>
                <w:i/>
              </w:rPr>
              <w:t>tikisi, kad Agentūra pasieks apčiuopiamų rezultatų ir elgsis neselektyviai, kad sustiprintų savo sąžiningumą ir savo įgaliojimus veiksmingai vykdyti savo kompetenciją;</w:t>
            </w:r>
            <w:r>
              <w:t xml:space="preserve"> </w:t>
            </w:r>
            <w:r>
              <w:rPr>
                <w:b/>
                <w:i/>
              </w:rPr>
              <w:t>ragina Juodkalniją imtis daugiau veiksmų siekiant užkirsti kelią pinigų plovimui;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w:t>
            </w:r>
            <w:r>
              <w:rPr>
                <w:b/>
                <w:i/>
              </w:rPr>
              <w:t>tarptautiniais standartais</w:t>
            </w:r>
            <w:r>
              <w:t>; yra sukrėstas tragiškų masinių šaudynių Cetinėje ir reiškia užuojautą aukų šeimoms;</w:t>
            </w:r>
          </w:p>
        </w:tc>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w:t>
            </w:r>
            <w:r>
              <w:rPr>
                <w:b/>
                <w:i/>
              </w:rPr>
              <w:t>imtis priemonių prieš neteisėtai turimus ginklus pagal tarptautinius standartus</w:t>
            </w:r>
            <w:r>
              <w:t>; yra sukrėstas tragiškų masinių šaudynių Cetinėje ir reiškia užuojautą aukų šeimoms;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tarptautiniais standartais; yra </w:t>
            </w:r>
            <w:r>
              <w:rPr>
                <w:b/>
                <w:i/>
              </w:rPr>
              <w:t>sukrėstas tragiškų masinių šaudynių</w:t>
            </w:r>
            <w:r>
              <w:t xml:space="preserve"> Cetinėje ir reiškia užuojautą aukų šeimoms;</w:t>
            </w:r>
          </w:p>
        </w:tc>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tarptautiniais standartais; yra </w:t>
            </w:r>
            <w:r>
              <w:rPr>
                <w:b/>
                <w:i/>
              </w:rPr>
              <w:t>pasibaisėjęs tragišku masiniu šaudymu</w:t>
            </w:r>
            <w:r>
              <w:t xml:space="preserve"> Cetinėje</w:t>
            </w:r>
            <w:r>
              <w:rPr>
                <w:b/>
                <w:i/>
              </w:rPr>
              <w:t>, dėl kurio žuvo 10 žmonių, įskaitant du vaikus,</w:t>
            </w:r>
            <w:r>
              <w:t xml:space="preserve"> ir reiškia užuojautą aukų šeimoms; </w:t>
            </w:r>
            <w:r>
              <w:rPr>
                <w:b/>
                <w:i/>
              </w:rPr>
              <w:t>reiškia susirūpinimą dėl šios tragedijos išnaudojimo dezinformacijai ir etninei poliarizacijai;</w:t>
            </w:r>
            <w:r>
              <w:t xml:space="preserve"> </w:t>
            </w:r>
            <w:r>
              <w:rPr>
                <w:b/>
                <w:i/>
              </w:rPr>
              <w:t>atkreipia dėmesį į tam tikros regioninės žiniasklaidos vaidmenį skleidžiant nesantaiką kurstančius naratyvus ir ragina vykdyti griežtesnę neapykantą kurstančių kalbų bei kurstančio turinio reguliavimo priežiūrą;</w:t>
            </w:r>
            <w:r>
              <w:t xml:space="preserve"> </w:t>
            </w:r>
            <w:r>
              <w:rPr>
                <w:b/>
                <w:i/>
              </w:rPr>
              <w:t>primygtinai ragina Juodkalniją stiprinti komunikacijos krizės atveju strategijas siekiant kovoti su dezinformacija ir užtikrinti atsakingus žiniasklaidos pranešimus po smurtinių incidentų;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primygtinai ragina Juodkalniją suderinti savo teisės aktus dėl ginklų su ES teise ir tarptautiniais standartais; yra sukrėstas tragiškų masinių šaudynių Cetinėje ir reiškia užuojautą aukų šeimoms;</w:t>
            </w:r>
          </w:p>
        </w:tc>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tarptautiniais standartais; yra sukrėstas tragiškų masinių šaudynių Cetinėje ir reiškia užuojautą aukų šeimoms; </w:t>
            </w:r>
            <w:r>
              <w:rPr>
                <w:b/>
                <w:i/>
              </w:rPr>
              <w:t>ragina ištirti saugumo ir policijos sistemos valdymą, kuris po ankstesnės 2022 m. tragedijos veikė Cetinėje ir aplink ją;</w:t>
            </w:r>
            <w:r>
              <w:t xml:space="preserve"> </w:t>
            </w:r>
            <w:r>
              <w:rPr>
                <w:b/>
                <w:i/>
              </w:rPr>
              <w:t>ragina imtis sistemingų veiksmų saugumo, psichikos sveikatos ir institucijų skaidrumo srityse, taip pat dar kartą patvirtinti pilietinį ugdymą, atsižvelgiant į piliečių lūkesčius ir visuomenės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primygtinai ragina Juodkalniją suderinti savo teisės aktus dėl ginklų su ES teise ir tarptautiniais standartais; yra sukrėstas tragiškų masinių šaudynių Cetinėje ir reiškia užuojautą aukų šeimoms;</w:t>
            </w:r>
          </w:p>
        </w:tc>
        <w:tc>
          <w:tcPr>
            <w:tcW w:w="4876" w:type="dxa"/>
            <w:tcBorders>
              <w:top w:val="nil"/>
              <w:left w:val="nil"/>
              <w:bottom w:val="nil"/>
              <w:right w:val="nil"/>
            </w:tcBorders>
          </w:tcPr>
          <w:p>
            <w:pPr>
              <w:pStyle w:val="Normal6a"/>
            </w:pPr>
            <w:r>
              <w:t>17.</w:t>
            </w:r>
            <w:r>
              <w:tab/>
            </w:r>
            <w:r>
              <w:t xml:space="preserve">primygtinai ragina Juodkalniją suderinti savo teisės aktus dėl ginklų su ES teise ir tarptautiniais standartais; yra sukrėstas tragiškų masinių šaudynių Cetinėje ir reiškia užuojautą aukų šeimoms; </w:t>
            </w:r>
            <w:r>
              <w:rPr>
                <w:b/>
                <w:i/>
              </w:rPr>
              <w:t>ragina imtis sistemingų veiksmų saugumo, psichikos sveikatos ir institucijų skaidrumo srityse, taip pat dar kartą patvirtinti pilietinį ugdymą, atsižvelgiant į piliečių lūkesčius ir visuomenės poreikius;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palankiai vertina tai, kad 2023 m. gruodžio mėn. Juodkalnija priėmė savo baudžiamojo kodekso pakeitimus, kuriais jis visų pirma suderintas su JT šaunamųjų ginklų protokolu, aiškiai kriminalizuojant neteisėtą prekybą šaunamaisiais ginklais, neteisėtą šaunamųjų ginklų nešiojimą ir šaunamųjų ginklų ženklų klastojimą;</w:t>
            </w:r>
            <w:r>
              <w:t xml:space="preserve"> </w:t>
            </w:r>
            <w:r>
              <w:rPr>
                <w:b/>
                <w:i/>
              </w:rPr>
              <w:t>primygtinai ragina Juodkalniją skubiai iš dalies pakeisti savo Ginklų įstatymą, kad jis būtų visiškai suderintas su ES acquis, visų pirma kiek tai susiję su techniniais šaunamųjų ginklų ženklinimo standartais, šaunamųjų ginklų deaktyvavimo procedūromis ir taisyklėmis dėl dujinių ir signalinių ginklų.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ragina Juodkalniją sukurti standartizuotą ir veiksmingą duomenų apie šaunamuosius ginklus rinkimo ir pranešimo apie juos sistemą;</w:t>
            </w:r>
            <w:r>
              <w:t xml:space="preserve"> </w:t>
            </w:r>
            <w:r>
              <w:rPr>
                <w:b/>
                <w:i/>
              </w:rPr>
              <w:t>pabrėžia, kad būtina dėti daugiau pastangų, susijusių su visuomenės informuotumu, informavimu ir švietimo iniciatyvomis, pabrėžiant pavojus ir pavojus, susijusius su netinkamu šaunamųjų ginklų naudojimu, neteisėtu laikymu ir prekyba jais;</w:t>
            </w:r>
            <w:r>
              <w:t xml:space="preserve"> </w:t>
            </w:r>
            <w:r>
              <w:rPr>
                <w:b/>
                <w:i/>
              </w:rPr>
              <w:t>pabrėžia, kad reikia įgyvendinti konkrečias priemones neteisėtiems šaunamiesiems ginklams mažinti taikant legalizavimo sistemas, savanoriško perdavimo programas ir sistemingus deaktyvavimo bei naikinimo procesus, laikantis ES kovos su neteisėta prekyba šaunamaisiais ginklais veiksmų plano.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ragina Juodkalniją </w:t>
            </w:r>
            <w:r>
              <w:rPr>
                <w:b/>
                <w:i/>
              </w:rPr>
              <w:t>visiškai suderinti</w:t>
            </w:r>
            <w:r>
              <w:t xml:space="preserve"> savo vizų politiką su ES vizų politika</w:t>
            </w:r>
            <w:r>
              <w:rPr>
                <w:b/>
                <w:i/>
              </w:rPr>
              <w:t>, ypač dėl saugumo riziką keliančių šalių</w:t>
            </w:r>
            <w:r>
              <w:t>;</w:t>
            </w:r>
          </w:p>
        </w:tc>
        <w:tc>
          <w:tcPr>
            <w:tcW w:w="4876" w:type="dxa"/>
            <w:tcBorders>
              <w:top w:val="nil"/>
              <w:left w:val="nil"/>
              <w:bottom w:val="nil"/>
              <w:right w:val="nil"/>
            </w:tcBorders>
          </w:tcPr>
          <w:p>
            <w:pPr>
              <w:pStyle w:val="Normal6a"/>
            </w:pPr>
            <w:r>
              <w:t>18.</w:t>
            </w:r>
            <w:r>
              <w:tab/>
            </w:r>
            <w:r>
              <w:t xml:space="preserve">ragina Juodkalniją </w:t>
            </w:r>
            <w:r>
              <w:rPr>
                <w:b/>
                <w:i/>
              </w:rPr>
              <w:t>visapusiškai derinti</w:t>
            </w:r>
            <w:r>
              <w:t xml:space="preserve"> savo vizų politiką su ES vizų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ragina Juodkalniją visiškai suderinti savo vizų politiką su ES vizų politika, ypač dėl saugumo riziką keliančių šalių;</w:t>
            </w:r>
          </w:p>
        </w:tc>
        <w:tc>
          <w:tcPr>
            <w:tcW w:w="4876" w:type="dxa"/>
            <w:tcBorders>
              <w:top w:val="nil"/>
              <w:left w:val="nil"/>
              <w:bottom w:val="nil"/>
              <w:right w:val="nil"/>
            </w:tcBorders>
          </w:tcPr>
          <w:p>
            <w:pPr>
              <w:pStyle w:val="Normal6a"/>
            </w:pPr>
            <w:r>
              <w:t>18.</w:t>
            </w:r>
            <w:r>
              <w:tab/>
            </w:r>
            <w:r>
              <w:t xml:space="preserve">ragina Juodkalniją visiškai suderinti savo vizų politiką su ES vizų politika, ypač dėl </w:t>
            </w:r>
            <w:r>
              <w:rPr>
                <w:b/>
                <w:i/>
              </w:rPr>
              <w:t>neteisėtą migraciją arba</w:t>
            </w:r>
            <w:r>
              <w:t xml:space="preserve"> saugumo riziką keliančių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ragina Juodkalniją</w:t>
            </w:r>
            <w:r>
              <w:t xml:space="preserve"> visiškai </w:t>
            </w:r>
            <w:r>
              <w:rPr>
                <w:b/>
                <w:i/>
              </w:rPr>
              <w:t>suderinti</w:t>
            </w:r>
            <w:r>
              <w:t xml:space="preserve"> savo vizų politiką su ES vizų politika, ypač dėl saugumo riziką keliančių šalių;</w:t>
            </w:r>
          </w:p>
        </w:tc>
        <w:tc>
          <w:tcPr>
            <w:tcW w:w="4876" w:type="dxa"/>
            <w:tcBorders>
              <w:top w:val="nil"/>
              <w:left w:val="nil"/>
              <w:bottom w:val="nil"/>
              <w:right w:val="nil"/>
            </w:tcBorders>
          </w:tcPr>
          <w:p>
            <w:pPr>
              <w:pStyle w:val="Normal6a"/>
            </w:pPr>
            <w:r>
              <w:t>18.</w:t>
            </w:r>
            <w:r>
              <w:tab/>
            </w:r>
            <w:r>
              <w:rPr>
                <w:b/>
                <w:i/>
              </w:rPr>
              <w:t>reikalauja, kad Juodkalnija</w:t>
            </w:r>
            <w:r>
              <w:t xml:space="preserve"> visiškai </w:t>
            </w:r>
            <w:r>
              <w:rPr>
                <w:b/>
                <w:i/>
              </w:rPr>
              <w:t>suderintų</w:t>
            </w:r>
            <w:r>
              <w:t xml:space="preserve"> savo vizų politiką su ES vizų politika, ypač dėl saugumo riziką keliančių šalių;</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ragina Juodkalniją visiškai suderinti savo vizų politiką su ES vizų politika, ypač dėl saugumo riziką keliančių šalių;</w:t>
            </w:r>
          </w:p>
        </w:tc>
        <w:tc>
          <w:tcPr>
            <w:tcW w:w="4876" w:type="dxa"/>
            <w:tcBorders>
              <w:top w:val="nil"/>
              <w:left w:val="nil"/>
              <w:bottom w:val="nil"/>
              <w:right w:val="nil"/>
            </w:tcBorders>
          </w:tcPr>
          <w:p>
            <w:pPr>
              <w:pStyle w:val="Normal6a"/>
            </w:pPr>
            <w:r>
              <w:t>18.</w:t>
            </w:r>
            <w:r>
              <w:tab/>
            </w:r>
            <w:r>
              <w:t xml:space="preserve">ragina Juodkalniją </w:t>
            </w:r>
            <w:r>
              <w:rPr>
                <w:b/>
                <w:i/>
              </w:rPr>
              <w:t>nedelsiant ir</w:t>
            </w:r>
            <w:r>
              <w:t xml:space="preserve"> visiškai suderinti savo vizų politiką su ES vizų politika, ypač dėl saugumo riziką keliančių šalių; </w:t>
            </w:r>
            <w:r>
              <w:rPr>
                <w:b/>
                <w:i/>
              </w:rPr>
              <w:t>apgailestauja, kad Rusijos ir Baltarusijos pasų turėtojai vis dar gali keliauti be vizų į Juodkalniją, o tai kelia didelį pavojų šalies ir viso regiono saugumui;</w:t>
            </w:r>
            <w:r>
              <w:t xml:space="preserve"> </w:t>
            </w:r>
            <w:r>
              <w:rPr>
                <w:b/>
                <w:i/>
              </w:rPr>
              <w:t>reiškia susirūpinimą dėl to, kad, priešingai nei tikėtasi, į sąrašą įtrauktos dvi šalys, ir pažymi, kad trūksta aiškumo dėl dinamikos ir metodikos, kuriomis bus reglamentuojamas bevizio režimo netaikymo šalims procesas;</w:t>
            </w:r>
            <w:r>
              <w:t xml:space="preserve"> </w:t>
            </w:r>
            <w:r>
              <w:rPr>
                <w:b/>
                <w:i/>
              </w:rPr>
              <w:t>pažymi, kad vizų politikos suderinimas su ES taip pat yra viena iš šių metų sąlygų, kad būtų galima gauti papildomų lėšų pagal Ekonomikos augimo priemonę;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ragina Juodkalniją visiškai suderinti savo vizų politiką su ES vizų politika, ypač dėl saugumo riziką keliančių šalių;</w:t>
            </w:r>
          </w:p>
        </w:tc>
        <w:tc>
          <w:tcPr>
            <w:tcW w:w="4876" w:type="dxa"/>
            <w:tcBorders>
              <w:top w:val="nil"/>
              <w:left w:val="nil"/>
              <w:bottom w:val="nil"/>
              <w:right w:val="nil"/>
            </w:tcBorders>
          </w:tcPr>
          <w:p>
            <w:pPr>
              <w:pStyle w:val="Normal6a"/>
            </w:pPr>
            <w:r>
              <w:t>18.</w:t>
            </w:r>
            <w:r>
              <w:tab/>
            </w:r>
            <w:r>
              <w:t xml:space="preserve">ragina Juodkalniją visiškai suderinti savo vizų politiką su ES vizų politika, ypač dėl saugumo riziką keliančių šalių; </w:t>
            </w:r>
            <w:r>
              <w:rPr>
                <w:b/>
                <w:i/>
              </w:rPr>
              <w:t>reiškia susirūpinimą dėl to, kad, priešingai nei tikėtasi, į bevizio režimo sąrašą įtrauktos dvi papildomos šalys, ir pažymi, kad trūksta aiškumo dėl dinamikos ir metodikos, kuriomis bus reglamentuojamas bevizio režimo netaikymo šalims procesas;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ragina Juodkalniją visiškai suderinti savo vizų politiką su ES vizų politika, ypač dėl saugumo riziką keliančių šalių;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palankiai vertina tai, kad 2023 m. liepos 1 d. įsigaliojo atnaujintas susitarimas su Europos sienų ir pakrančių apsaugos agentūra (FRONTEX) dėl operatyvinio bendradarbiavimo sienų valdymo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ragina Juodkalniją ir FRONTEX toliau bendradarbiauti siekiant stiprinti sienų valdymą, remti prieglobsčio procedūras, kovoti su neteisėtu žmonių gabenimu ir stiprinti readmisiją;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palankiai vertina nuolatinį Juodkalnijos bendradarbiavimą su FRONTEX, Europolu, Eurojustu ir CEPOL ir atkreipia dėmesį į šio bendradarbiavimo svarbą kovojant su tarpvalstybiniu nusikalstamumu, įskaitant prekybą ginklais, narkotikais ir žmonėmis, ir kovojant su terorizmu ir ekstremizmu;</w:t>
            </w:r>
            <w:r>
              <w:t xml:space="preserve"> </w:t>
            </w:r>
            <w:r>
              <w:rPr>
                <w:b/>
                <w:i/>
              </w:rPr>
              <w:t>pabrėžia, kad reikia stiprinti bendradarbiavimą narkotikų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Jaroslav Bžoch,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apgailestauja dėl to, kad pažeidžiamiausios visuomenės grupės vis dar patiria diskriminaciją; ragina Juodkalniją priimti naują kovos su diskriminacija įstatymą siekiant pagerinti pažeidžiamų grupių galimybes naudotis savo teisėmis; pabrėžia, kad tautinių mažumų teisių paisymas yra neatsiejama ES acquis dalis;</w:t>
            </w:r>
          </w:p>
        </w:tc>
        <w:tc>
          <w:tcPr>
            <w:tcW w:w="4876" w:type="dxa"/>
            <w:tcBorders>
              <w:top w:val="nil"/>
              <w:left w:val="nil"/>
              <w:bottom w:val="nil"/>
              <w:right w:val="nil"/>
            </w:tcBorders>
          </w:tcPr>
          <w:p>
            <w:pPr>
              <w:pStyle w:val="Normal6a"/>
            </w:pPr>
            <w:r>
              <w:t>19.</w:t>
            </w:r>
            <w:r>
              <w:tab/>
            </w:r>
            <w:r>
              <w:t xml:space="preserve">apgailestauja dėl to, kad pažeidžiamiausios visuomenės grupės </w:t>
            </w:r>
            <w:r>
              <w:rPr>
                <w:b/>
                <w:i/>
              </w:rPr>
              <w:t>ir mažumos</w:t>
            </w:r>
            <w:r>
              <w:t xml:space="preserve"> vis dar patiria diskriminaciją; ragina Juodkalniją priimti naują kovos su diskriminacija įstatymą siekiant pagerinti pažeidžiamų grupių </w:t>
            </w:r>
            <w:r>
              <w:rPr>
                <w:b/>
                <w:i/>
              </w:rPr>
              <w:t>ir mažumų</w:t>
            </w:r>
            <w:r>
              <w:t xml:space="preserve"> galimybes naudotis savo teisėmis; pabrėžia, kad tautinių mažumų teisių paisymas yra neatsiejama ES acquis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siekiant pagerinti pažeidžiamų grupių galimybes naudotis </w:t>
            </w:r>
            <w:r>
              <w:rPr>
                <w:b/>
                <w:i/>
              </w:rPr>
              <w:t>savo</w:t>
            </w:r>
            <w:r>
              <w:t xml:space="preserve"> teisėmis; pabrėžia, kad tautinių mažumų teisių paisymas yra neatsiejama ES acquis dalis;</w:t>
            </w:r>
          </w:p>
        </w:tc>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w:t>
            </w:r>
            <w:r>
              <w:rPr>
                <w:b/>
                <w:i/>
              </w:rPr>
              <w:t>vykdant įtraukų, skaidrų ir prasmingą procesą, kuriame aktyviai dalyvautų labiausiai nukentėję asmenys,</w:t>
            </w:r>
            <w:r>
              <w:t xml:space="preserve"> siekiant pagerinti pažeidžiamų grupių galimybes naudotis teisėmis; pabrėžia, kad tautinių mažumų teisių paisymas yra neatsiejama ES acquis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siekiant pagerinti pažeidžiamų grupių galimybes naudotis </w:t>
            </w:r>
            <w:r>
              <w:rPr>
                <w:b/>
                <w:i/>
              </w:rPr>
              <w:t>savo teisėmis</w:t>
            </w:r>
            <w:r>
              <w:t>; pabrėžia, kad tautinių mažumų teisių paisymas yra neatsiejama ES acquis dalis;</w:t>
            </w:r>
          </w:p>
        </w:tc>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siekiant pagerinti pažeidžiamų grupių galimybes naudotis </w:t>
            </w:r>
            <w:r>
              <w:rPr>
                <w:b/>
                <w:i/>
              </w:rPr>
              <w:t>teisėmis vykdant įtraukų procesą, kuriame aktyviai dalyvautų labiausiai nukentėję asmenys</w:t>
            </w:r>
            <w:r>
              <w:t>; pabrėžia, kad tautinių mažumų teisių paisymas yra neatsiejama ES acquis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apgailestauja dėl to, kad pažeidžiamiausios visuomenės grupės vis dar patiria diskriminaciją; ragina Juodkalniją priimti naują kovos su diskriminacija įstatymą siekiant pagerinti pažeidžiamų grupių galimybes naudotis savo teisėmis; pabrėžia, kad tautinių mažumų teisių paisymas yra neatsiejama ES acquis dalis;</w:t>
            </w:r>
          </w:p>
        </w:tc>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siekiant pagerinti pažeidžiamų grupių galimybes naudotis savo teisėmis; pabrėžia, kad </w:t>
            </w:r>
            <w:r>
              <w:rPr>
                <w:b/>
                <w:i/>
              </w:rPr>
              <w:t>visų</w:t>
            </w:r>
            <w:r>
              <w:t xml:space="preserve"> tautinių mažumų teisių paisymas yra neatsiejama ES acquis dalis; </w:t>
            </w:r>
            <w:r>
              <w:rPr>
                <w:b/>
                <w:i/>
              </w:rPr>
              <w:t>ragina labiau gerbti visas vietos bendruomenių ir tautinių mažumų kalbas, tradicijas ir kultūros paveldą;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apgailestauja dėl to, kad pažeidžiamiausios visuomenės grupės vis dar patiria diskriminaciją; ragina Juodkalniją priimti naują kovos su diskriminacija įstatymą siekiant pagerinti pažeidžiamų grupių galimybes naudotis savo teisėmis; pabrėžia, kad tautinių mažumų teisių paisymas yra neatsiejama ES acquis dalis;</w:t>
            </w:r>
          </w:p>
        </w:tc>
        <w:tc>
          <w:tcPr>
            <w:tcW w:w="4876" w:type="dxa"/>
            <w:tcBorders>
              <w:top w:val="nil"/>
              <w:left w:val="nil"/>
              <w:bottom w:val="nil"/>
              <w:right w:val="nil"/>
            </w:tcBorders>
          </w:tcPr>
          <w:p>
            <w:pPr>
              <w:pStyle w:val="Normal6a"/>
            </w:pPr>
            <w:r>
              <w:t>19.</w:t>
            </w:r>
            <w:r>
              <w:tab/>
            </w:r>
            <w:r>
              <w:t xml:space="preserve">apgailestauja dėl to, kad pažeidžiamiausios visuomenės grupės vis dar patiria diskriminaciją; ragina Juodkalniją priimti naują kovos su diskriminacija įstatymą </w:t>
            </w:r>
            <w:r>
              <w:rPr>
                <w:b/>
                <w:i/>
              </w:rPr>
              <w:t>ir naujas strategijas,</w:t>
            </w:r>
            <w:r>
              <w:t xml:space="preserve"> siekiant pagerinti pažeidžiamų grupių galimybes naudotis savo teisėmis; pabrėžia, kad tautinių mažumų teisių paisymas yra neatsiejama ES acquis dalis;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griežčiau taikyti vienodą požiūrį į mažumas, užtikrinant, kad visoms etninėms, religinėms ir socialinėms grupėms būtų užtikrintos lygios teisės ir galimybės ir kad jos galėtų visapusiškai ir veiksmingai dalyvauti socialiniame, politiniame ir ekonominiame gyvenime;</w:t>
            </w:r>
            <w:r>
              <w:t xml:space="preserve"> </w:t>
            </w:r>
            <w:r>
              <w:rPr>
                <w:b/>
                <w:i/>
              </w:rPr>
              <w:t>pripažįsta, kad mažumų teisių apsauga yra labai svarbi skatinant socialinę sanglaudą, demokratinį valdymą ir puoselėjant Europos vertybes;</w:t>
            </w:r>
            <w:r>
              <w:t xml:space="preserve"> </w:t>
            </w:r>
            <w:r>
              <w:rPr>
                <w:b/>
                <w:i/>
              </w:rPr>
              <w:t>primygtinai ragina Juodkalniją priimti išsamius teisės aktus ir politiką, kuriais užkertamas kelias diskriminacijai ir skatinama įtrauktis visuose visuomenės sektoriuose, ir užtikrinti jų vykdymą;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Juodkalnijos valdžios institucijas spręsti sudėtingų romų gyvenimo sąlygų Juodkalnijoje ir diskriminacijos, su kuria jie susiduria visuomenėje, problemą;</w:t>
            </w:r>
            <w:r>
              <w:t xml:space="preserve"> </w:t>
            </w:r>
            <w:r>
              <w:rPr>
                <w:b/>
                <w:i/>
              </w:rPr>
              <w:t>ragina imtis daugiau priemonių, kuriomis mokykloje būtų skatinamas kultūrų tarpusavio supratimas;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ragina Juodkalnijos valdžios institucijas ir toliau gerinti visuomeninės įtraukties ir tolerancijos atmosferą ir imtis veiksmingų priemonių kovojant su neapykantą kurstančia kalba, socialine atskirtimi ir mažumų, įskaitant LGBTI asmenų, diskriminacija;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palankiai vertina šalies daugiatautę tapatybę ir ragina toliau skatinti ir gerbti visas kalbas, kultūros paveldą ir vietos bendruomenių bei nacionalinių mažumų tradicijas;</w:t>
            </w:r>
            <w:r>
              <w:t xml:space="preserve"> </w:t>
            </w:r>
            <w:r>
              <w:rPr>
                <w:b/>
                <w:i/>
              </w:rPr>
              <w:t>apgailestauja dėl to, kad sustiprėjo visuomenės poliarizacija ir susiskaldymas;</w:t>
            </w:r>
            <w:r>
              <w:t xml:space="preserve"> </w:t>
            </w:r>
            <w:r>
              <w:rPr>
                <w:b/>
                <w:i/>
              </w:rPr>
              <w:t>pabrėžia, kad reikia saugoti visų šalies mažumų teises, įskaitant jų politines, socialines ir ekonomines teises, ir primygtinai ragina stiprinti, taikyti ir įgyvendinti su tuo susijusias institucines ir teisines sistemas, įskaitant naują kovos su diskriminacija įstatymą;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gerbti daugiatautį Kotoro įlankos daugiatautę tapatybę;</w:t>
            </w:r>
            <w:r>
              <w:t xml:space="preserve"> </w:t>
            </w:r>
            <w:r>
              <w:rPr>
                <w:b/>
                <w:i/>
              </w:rPr>
              <w:t>pabrėžia, kad Juodkalnijos europinė perspektyva glaudžiai susijusi su mažumų ir jų kultūros paveldo apsauga;</w:t>
            </w:r>
            <w:r>
              <w:t xml:space="preserve"> </w:t>
            </w:r>
            <w:r>
              <w:rPr>
                <w:b/>
                <w:i/>
              </w:rPr>
              <w:t>ragina Juodkalnijos valdžios institucijas pripažinti Kotoro įlankos kroatų bendruomenės tradicijas ir kultūros paveldą;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pabrėžia, kad Kotoro įlankos tapatybė yra daugiatautė;</w:t>
            </w:r>
            <w:r>
              <w:t xml:space="preserve"> </w:t>
            </w:r>
            <w:r>
              <w:rPr>
                <w:b/>
                <w:i/>
              </w:rPr>
              <w:t>pabrėžia, kad Juodkalnijos europinė perspektyva glaudžiai susijusi su mažumų ir jų kultūros paveldo apsauga;</w:t>
            </w:r>
            <w:r>
              <w:t xml:space="preserve"> </w:t>
            </w:r>
            <w:r>
              <w:rPr>
                <w:b/>
                <w:i/>
              </w:rPr>
              <w:t>ragina Juodkalnijos valdžios institucijas puoselėti daugiatautį valstybės pobūdį, įskaitant Kroatijos bendruomenės tradicijas ir kultūros paveldą Kotoro įlankoje;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ragina Juodkalniją dėti daugiau pastangų siekiant nediskriminacinio mažumų kalbų vartojimo švietimo srityje, specialiose žiniasklaidos erdvėse valstybinėse ir vietos žiniasklaidos priemonėse;</w:t>
            </w:r>
            <w:r>
              <w:t xml:space="preserve"> </w:t>
            </w:r>
            <w:r>
              <w:rPr>
                <w:b/>
                <w:i/>
              </w:rPr>
              <w:t>pabrėžia, kad svarbu užtikrinti vienodą atstovavimą tautinėms mažumoms žiniasklaidoje, teismuose, teisėsaugos ir viešosiose institucijose;</w:t>
            </w:r>
            <w:r>
              <w:t xml:space="preserve"> </w:t>
            </w:r>
            <w:r>
              <w:rPr>
                <w:b/>
                <w:i/>
              </w:rPr>
              <w:t>pabrėžia, kad reikia saugoti visas tautinių mažumų politines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ragina valdžios institucijas konsultuotis ir koordinuoti su ES visus galimus pilietybės įstatymo pakeitimus, pabrėžia, kad svarbu pasiekti valdančiosios ir opozicijos partijų sutarimą šiuo klausimu, kuris yra itin svarbus Juodkalnijos tapatybei ir nepriklausomumui;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smerkia visas neapykantą kurstančias kalbas ir neapykantos nusikaltimus; palankiai vertina rasizmo ir neapykantą kurstančių kalbų kriminalizavimą;</w:t>
            </w:r>
          </w:p>
        </w:tc>
        <w:tc>
          <w:tcPr>
            <w:tcW w:w="4876" w:type="dxa"/>
            <w:tcBorders>
              <w:top w:val="nil"/>
              <w:left w:val="nil"/>
              <w:bottom w:val="nil"/>
              <w:right w:val="nil"/>
            </w:tcBorders>
          </w:tcPr>
          <w:p>
            <w:pPr>
              <w:pStyle w:val="Normal6a"/>
            </w:pPr>
            <w:r>
              <w:t>20.</w:t>
            </w:r>
            <w:r>
              <w:tab/>
            </w:r>
            <w:r>
              <w:t>smerkia visas neapykantą kurstančias kalbas</w:t>
            </w:r>
            <w:r>
              <w:rPr>
                <w:b/>
                <w:i/>
              </w:rPr>
              <w:t>, įskaitant neapykantą dėl lyties kurstančias kalbas, įskaitant neapykantą kurstančias kalbas internete,</w:t>
            </w:r>
            <w:r>
              <w:t xml:space="preserve"> ir neapykantos nusikaltimus; palankiai vertina rasizmo ir neapykantą kurstančių kalbų kriminalizavimą;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pažymi, kad daugėja netolerantiškų ir neapykantą kurstančių kalbų, visų pirma internete, kurios didina susiskaidymą etniniais, religiniais ir politiniais požiūriais ir ypač neigiamai veikia kelias socialines grupes, visų pirma romus, LGBTI asmenis ir moteris, einančias viešąsias pareigas;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palankiai vertina tai, kad Juodkalnija iš esmės suderino savo teisinę ir institucinę sistemą su ES acquis ir tarptautiniais žmogaus teisių standartais, susijusiais su JT vaiko teisių konvencijos ir jos fakultatyvinių protokolų laikymusi;</w:t>
            </w:r>
            <w:r>
              <w:t xml:space="preserve"> </w:t>
            </w:r>
            <w:r>
              <w:rPr>
                <w:b/>
                <w:i/>
              </w:rPr>
              <w:t>tačiau pabrėžia didelį susirūpinimą dėl nuolatinių iššūkių, susijusių su veiksmingu šios sistemos įgyvendinimu;</w:t>
            </w:r>
            <w:r>
              <w:t xml:space="preserve"> </w:t>
            </w:r>
            <w:r>
              <w:rPr>
                <w:b/>
                <w:i/>
              </w:rPr>
              <w:t>primygtinai ragina kompetentingas institucijas šalinti trūkumus, susijusius su atskaitomybės mechanizmais, stiprinti institucinius ir administracinius gebėjimus, įgyvendinti patikimas ir sistemingas stebėsenos procedūras, skirti tinkamą ir tvarų finansavimą ir užtikrinti visapusišką kokybės užtikrinimą vykdant galiojančius teisės aktus, strategijas ir veiksmų planus, kad būtų kuo geriau apsaugoti vaikai ir gerbiamos jų teisės;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ragina Juodkalnijos valdžios institucijas spręsti vyrų ir moterų darbo užmokesčio skirtumo problemą, gerinti moterų dalyvavimą priimant sprendimus ir kovoti su lyčių stereotipais; yra labai susirūpinęs dėl didelio smurto dėl lyties atvejų skaičiaus;</w:t>
            </w:r>
          </w:p>
        </w:tc>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ir kovoti su lyčių stereotipais; yra labai susirūpinęs dėl didelio smurto dėl lyties atvejų skaičiaus; </w:t>
            </w:r>
            <w:r>
              <w:rPr>
                <w:b/>
                <w:i/>
              </w:rPr>
              <w:t>ragina Juodkalniją visapusiškai suderinti smurto dėl lyties ir smurto šeimoje apibrėžtis su Stambulo konvencija, sukurti veiksmingą apsaugos mechanizmą, paramos centrus ir užtikrinti veiksmingus tolesnius teisminius veiksmus smurto šeimoje ir seksualinio smurto aukoms;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ir kovoti su lyčių stereotipais; yra labai susirūpinęs dėl didelio smurto dėl lyties </w:t>
            </w:r>
            <w:r>
              <w:rPr>
                <w:b/>
                <w:i/>
              </w:rPr>
              <w:t>atvejų skaičiaus</w:t>
            </w:r>
            <w:r>
              <w:t>;</w:t>
            </w:r>
          </w:p>
        </w:tc>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w:t>
            </w:r>
            <w:r>
              <w:rPr>
                <w:b/>
                <w:i/>
              </w:rPr>
              <w:t>tiek viešuoju lygmeniu, tiek verslo subjektuose</w:t>
            </w:r>
            <w:r>
              <w:t xml:space="preserve"> ir kovoti su lyčių stereotipais; yra labai susirūpinęs dėl didelio smurto dėl lyties</w:t>
            </w:r>
            <w:r>
              <w:rPr>
                <w:b/>
                <w:i/>
              </w:rPr>
              <w:t>, įskaitant smurtą šeimoje ir moterų žudymą dėl lyties, lygio;</w:t>
            </w:r>
            <w:r>
              <w:t xml:space="preserve"> </w:t>
            </w:r>
            <w:r>
              <w:rPr>
                <w:b/>
                <w:i/>
              </w:rPr>
              <w:t>ragina pradėti taikyti griežtesnę baudžiamąją politiką, kuri atgrasytų nusikaltėlius nuo smurtinio elgesio kartojimo, ir ragina aukas siekti teisingumo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ragina Juodkalnijos valdžios institucijas spręsti vyrų ir moterų darbo užmokesčio skirtumo problemą, gerinti moterų dalyvavimą priimant sprendimus ir kovoti su lyčių stereotipais; yra labai susirūpinęs dėl didelio smurto dėl lyties atvejų skaičiaus;</w:t>
            </w:r>
          </w:p>
        </w:tc>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ir kovoti su lyčių stereotipais; yra labai susirūpinęs dėl didelio smurto dėl lyties atvejų skaičiaus; </w:t>
            </w:r>
            <w:r>
              <w:rPr>
                <w:b/>
                <w:i/>
              </w:rPr>
              <w:t>ragina valdžios institucijas užtikrinti, kad būtų visapusiškai įgyvendinami kovos su smurtu dėl lyties standartai, kaip nustatyta tarptautinių institucijų rekomendacijose;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ir kovoti su lyčių stereotipais; yra labai susirūpinęs dėl didelio smurto dėl lyties </w:t>
            </w:r>
            <w:r>
              <w:rPr>
                <w:b/>
                <w:i/>
              </w:rPr>
              <w:t>atvejų skaičiaus</w:t>
            </w:r>
            <w:r>
              <w:t>;</w:t>
            </w:r>
          </w:p>
        </w:tc>
        <w:tc>
          <w:tcPr>
            <w:tcW w:w="4876" w:type="dxa"/>
            <w:tcBorders>
              <w:top w:val="nil"/>
              <w:left w:val="nil"/>
              <w:bottom w:val="nil"/>
              <w:right w:val="nil"/>
            </w:tcBorders>
          </w:tcPr>
          <w:p>
            <w:pPr>
              <w:pStyle w:val="Normal6a"/>
            </w:pPr>
            <w:r>
              <w:t>21.</w:t>
            </w:r>
            <w:r>
              <w:tab/>
            </w:r>
            <w:r>
              <w:t xml:space="preserve">ragina Juodkalnijos valdžios institucijas spręsti vyrų ir moterų darbo užmokesčio skirtumo problemą, gerinti moterų dalyvavimą priimant sprendimus ir kovoti su lyčių stereotipais; yra labai susirūpinęs dėl didelio smurto dėl lyties </w:t>
            </w:r>
            <w:r>
              <w:rPr>
                <w:b/>
                <w:i/>
              </w:rPr>
              <w:t>lygio ir ragina būti budresniems ir sukurti paramos sistemas smurto dėl lyties ir smurto šeimoje aukoms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pabrėžia, kad Juodkalnijoje reikia stiprinti institucinius lyčių lygybės mechanizmus, užtikrinant visapusišką ir veiksmingą galiojančių įstatymų ir strategijų įgyvendinimą;</w:t>
            </w:r>
            <w:r>
              <w:t xml:space="preserve"> </w:t>
            </w:r>
            <w:r>
              <w:rPr>
                <w:b/>
                <w:i/>
              </w:rPr>
              <w:t>ragina Juodkalniją stiprinti smurto dėl lyties aukų teisinę apsaugą ir padidinti prieglaudų, paramos paslaugų ir prevencinių priemonių finansavimą;</w:t>
            </w:r>
            <w:r>
              <w:t xml:space="preserve"> </w:t>
            </w:r>
            <w:r>
              <w:rPr>
                <w:b/>
                <w:i/>
              </w:rPr>
              <w:t>pabrėžia, kad svarbu integruoti lyčių aspektą į visas politikos sritis, visų pirma viešojo administravimo, teismų ir saugumo sektoriuose;</w:t>
            </w:r>
            <w:r>
              <w:t xml:space="preserve"> </w:t>
            </w:r>
            <w:r>
              <w:rPr>
                <w:b/>
                <w:i/>
              </w:rPr>
              <w:t>ragina rinkti suskirstytus duomenis apie smurtą dėl lyties ir lyčių skirtumus, kad būtų pagerintas politinis atsakas;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ragina Juodkalniją toliau derinti savo lyčių lygybės politiką su ES standartais, sprendžiant lyčių nelygybės politinio ir ekonominio dalyvavimo srityje problemą;</w:t>
            </w:r>
            <w:r>
              <w:t xml:space="preserve"> </w:t>
            </w:r>
            <w:r>
              <w:rPr>
                <w:b/>
                <w:i/>
              </w:rPr>
              <w:t>ragina patvirtinti politiką, kuria būtų skatinama profesinio ir asmeninio gyvenimo pusiausvyra ir lygios galimybės einant vadovaujamas pareigas;</w:t>
            </w:r>
            <w:r>
              <w:t xml:space="preserve"> </w:t>
            </w:r>
            <w:r>
              <w:rPr>
                <w:b/>
                <w:i/>
              </w:rPr>
              <w:t>primygtinai ragina Juodkalniją dėti daugiau pastangų kovojant su moterų diskriminacija, ypač kaimo vietovėse, ir įgyvendinti informuotumo didinimo kampanijas lyčių lygybės ir moterų teisių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raginti Juodkalniją pagaliau priimti Įstatymo dėl apsaugos nuo smurto šeimoje pakeitimus ir toliau derinti teisinę ir politikos sistemą su Stambulo konvencija ir 2024 m. Europos Tarybos GREVIO ataskaita;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ragina Juodkalnijos valdžios institucijas užtikrinti aktyvesnį moterų dalyvavimą politiniame gyvenime: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apgailestauja, kad Biudžeto ir fiskalinės atsakomybės įstatymas vėl buvo priimtas neįvedus biudžeto sudarymo atsižvelgiant į lyčių aspektą;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ragina Juodkalnijos valdžios institucijas spręsti vyrų ir moterų darbo užmokesčio skirtumo problemą ir didinti moterų dalyvavimą priimant sprendimus;</w:t>
            </w:r>
            <w:r>
              <w:t xml:space="preserve"> </w:t>
            </w:r>
            <w:r>
              <w:rPr>
                <w:b/>
                <w:i/>
              </w:rPr>
              <w:t>yra labai susirūpinęs dėl didelio smurto dėl lyties atvejų skaičiaus;</w:t>
            </w:r>
            <w:r>
              <w:t xml:space="preserve"> </w:t>
            </w:r>
            <w:r>
              <w:rPr>
                <w:b/>
                <w:i/>
              </w:rPr>
              <w:t>palankiai vertina naujausias iniciatyvas, kuriomis siekiama didinti moterų atstovavimą gamtos mokslų, technologijų, inžinerijos ir matematikos srityse, ir ragina toliau dėti pastangas, įskaitant mentorystės programas, tikslines dotacijas moterims verslininkėms technologijų sektoriuose ir institucinius lyčių lygybės planus, kad būtų užtikrintas subalansuotas dalyvavimas mokslinių tyrimų ir inovacijų veikloje;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apgailestauja, kad 2024 m. nebuvo priimtas įstatymo dėl teisinio lyties pripažinimo projektas, nepaisant to, kad jis yra priemonė pagal Juodkalnijos 2023 ir 2024 m. stojimo į ES programą;</w:t>
            </w:r>
            <w:r>
              <w:t xml:space="preserve"> </w:t>
            </w:r>
            <w:r>
              <w:rPr>
                <w:b/>
                <w:i/>
              </w:rPr>
              <w:t>primygtinai ragina Juodkalniją nedelsiant priimti įstatymą, visapusiškai laikantis EŽTT praktikos ir Europos komiteto prieš kankinimą ir kitokį žiaurų, nežmonišką ar žeminantį elgesį ir baudimą rekomendacijų, nes tai yra 23 skyriaus uždarymo sąlyga;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apgailestauja, kad 2024 m. nebuvo priimtas įstatymo dėl teisinio lyties pripažinimo projektas, nepaisant to, kad jis yra priemonė pagal Juodkalnijos stojimo į ES programą;</w:t>
            </w:r>
            <w:r>
              <w:t xml:space="preserve"> </w:t>
            </w:r>
            <w:r>
              <w:rPr>
                <w:b/>
                <w:i/>
              </w:rPr>
              <w:t>primygtinai ragina Juodkalniją nedelsiant priimti įstatymą, atsižvelgiant į poreikį laikytis EŽTT praktikos ir Europos komiteto prieš kankinimą ir kitokį žiaurų, nežmonišką ar žeminantį elgesį ir baudimą rekomendacijų, nes tai yra 23 skyriaus uždarymo sąlyga;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ragina veiksmingai įgyvendinti strategijas, kuriomis būtų šalinamos spragos, susijusios su neįgaliųjų teisių užtikrinimu visuose sektoriuose ir politikos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palankiai vertina</w:t>
            </w:r>
            <w:r>
              <w:t xml:space="preserve"> naujus Juodkalnijos žiniasklaidos įstatymus ir jos žiniasklaidos politikos strategiją; primygtinai ragina vykdyti visiško žurnalistų, įskaitant visuomenės veikėjus, spaudimo ar jų persekiojimo netoleravimo politiką; pabrėžia, kad reikia imtis veiksmingų tolesnių veiksmų dėl ankstesnių atvejų;</w:t>
            </w:r>
          </w:p>
        </w:tc>
        <w:tc>
          <w:tcPr>
            <w:tcW w:w="4876" w:type="dxa"/>
            <w:tcBorders>
              <w:top w:val="nil"/>
              <w:left w:val="nil"/>
              <w:bottom w:val="nil"/>
              <w:right w:val="nil"/>
            </w:tcBorders>
          </w:tcPr>
          <w:p>
            <w:pPr>
              <w:pStyle w:val="Normal6a"/>
            </w:pPr>
            <w:r>
              <w:t>22.</w:t>
            </w:r>
            <w:r>
              <w:tab/>
            </w:r>
            <w:r>
              <w:rPr>
                <w:b/>
                <w:i/>
              </w:rPr>
              <w:t>atkreipia dėmesį į</w:t>
            </w:r>
            <w:r>
              <w:t xml:space="preserve"> naujus Juodkalnijos žiniasklaidos įstatymus ir jos žiniasklaidos politikos strategiją; primygtinai ragina vykdyti visiško žurnalistų, įskaitant visuomenės veikėjus, spaudimo ar jų persekiojimo netoleravimo politiką; pabrėžia, kad reikia imtis veiksmingų tolesnių veiksmų dėl ankstesnių atvejų;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palankiai vertina naujus Juodkalnijos žiniasklaidos įstatymus ir jos žiniasklaidos politikos </w:t>
            </w:r>
            <w:r>
              <w:rPr>
                <w:b/>
                <w:i/>
              </w:rPr>
              <w:t>strategiją</w:t>
            </w:r>
            <w:r>
              <w:t xml:space="preserve">; primygtinai ragina vykdyti visiško žurnalistų, </w:t>
            </w:r>
            <w:r>
              <w:rPr>
                <w:b/>
                <w:i/>
              </w:rPr>
              <w:t>įskaitant</w:t>
            </w:r>
            <w:r>
              <w:t xml:space="preserve"> visuomenės </w:t>
            </w:r>
            <w:r>
              <w:rPr>
                <w:b/>
                <w:i/>
              </w:rPr>
              <w:t>veikėjus</w:t>
            </w:r>
            <w:r>
              <w:t>, spaudimo ar jų persekiojimo netoleravimo politiką; pabrėžia, kad reikia imtis veiksmingų tolesnių veiksmų dėl ankstesnių atvejų;</w:t>
            </w:r>
          </w:p>
        </w:tc>
        <w:tc>
          <w:tcPr>
            <w:tcW w:w="4876" w:type="dxa"/>
            <w:tcBorders>
              <w:top w:val="nil"/>
              <w:left w:val="nil"/>
              <w:bottom w:val="nil"/>
              <w:right w:val="nil"/>
            </w:tcBorders>
          </w:tcPr>
          <w:p>
            <w:pPr>
              <w:pStyle w:val="Normal6a"/>
            </w:pPr>
            <w:r>
              <w:t>22.</w:t>
            </w:r>
            <w:r>
              <w:tab/>
            </w:r>
            <w:r>
              <w:t xml:space="preserve">palankiai vertina naujus Juodkalnijos žiniasklaidos įstatymus ir jos </w:t>
            </w:r>
            <w:r>
              <w:rPr>
                <w:b/>
                <w:i/>
              </w:rPr>
              <w:t>strategiją dėl</w:t>
            </w:r>
            <w:r>
              <w:t xml:space="preserve"> žiniasklaidos politikos </w:t>
            </w:r>
            <w:r>
              <w:rPr>
                <w:b/>
                <w:i/>
              </w:rPr>
              <w:t>stiprinimo siekiant veiksmingai apsaugoti žurnalistus ir kitus žiniasklaidos darbuotojus</w:t>
            </w:r>
            <w:r>
              <w:t>; primygtinai ragina vykdyti visiško žurnalistų,</w:t>
            </w:r>
            <w:r>
              <w:rPr>
                <w:b/>
                <w:i/>
              </w:rPr>
              <w:t>ypač</w:t>
            </w:r>
            <w:r>
              <w:t xml:space="preserve"> visuomenės </w:t>
            </w:r>
            <w:r>
              <w:rPr>
                <w:b/>
                <w:i/>
              </w:rPr>
              <w:t>veikėjų</w:t>
            </w:r>
            <w:r>
              <w:t xml:space="preserve">, spaudimo ar jų persekiojimo netoleravimo politiką; pabrėžia, kad reikia imtis veiksmingų tolesnių veiksmų dėl ankstesnių atvejų; </w:t>
            </w:r>
            <w:r>
              <w:rPr>
                <w:b/>
                <w:i/>
              </w:rPr>
              <w:t>pabrėžia, kad reikia užtikrinti žurnalistų teisę gauti informaciją ir išlaikyti kritišką poziciją;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palankiai vertina naujus Juodkalnijos žiniasklaidos įstatymus ir jos žiniasklaidos politikos strategiją; primygtinai ragina vykdyti visiško žurnalistų, įskaitant visuomenės veikėjus, spaudimo ar jų persekiojimo netoleravimo politiką; pabrėžia, kad reikia imtis veiksmingų tolesnių veiksmų dėl ankstesnių atvejų;</w:t>
            </w:r>
          </w:p>
        </w:tc>
        <w:tc>
          <w:tcPr>
            <w:tcW w:w="4876" w:type="dxa"/>
            <w:tcBorders>
              <w:top w:val="nil"/>
              <w:left w:val="nil"/>
              <w:bottom w:val="nil"/>
              <w:right w:val="nil"/>
            </w:tcBorders>
          </w:tcPr>
          <w:p>
            <w:pPr>
              <w:pStyle w:val="Normal6a"/>
            </w:pPr>
            <w:r>
              <w:t>22.</w:t>
            </w:r>
            <w:r>
              <w:tab/>
            </w:r>
            <w:r>
              <w:t xml:space="preserve">palankiai vertina naujus Juodkalnijos žiniasklaidos įstatymus ir jos žiniasklaidos politikos strategiją; primygtinai ragina vykdyti visiško žurnalistų, įskaitant visuomenės veikėjus, spaudimo ar jų persekiojimo netoleravimo politiką; pabrėžia, kad reikia imtis veiksmingų tolesnių veiksmų dėl ankstesnių atvejų; </w:t>
            </w:r>
            <w:r>
              <w:rPr>
                <w:b/>
                <w:i/>
              </w:rPr>
              <w:t>yra susirūpinęs dėl to, kad pranešama, jog vis dažniau naudojamasi strateginiais ieškiniais dėl visuomenės dalyvavimo (SLAPP);</w:t>
            </w:r>
            <w:r>
              <w:t xml:space="preserve"> </w:t>
            </w:r>
            <w:r>
              <w:rPr>
                <w:b/>
                <w:i/>
              </w:rPr>
              <w:t>ragina Juodkalnijos valdžios institucijas imtis konkrečių priemonių siekiant užkirsti kelią nepagrįstiems skundams prieš žurnalistus, žmogaus teisių gynėjus, rašytojus ir aktyvistus;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palankiai vertina naujus Juodkalnijos žiniasklaidos įstatymus ir jos žiniasklaidos politikos strategiją; primygtinai ragina vykdyti visiško žurnalistų, įskaitant visuomenės veikėjus, spaudimo </w:t>
            </w:r>
            <w:r>
              <w:rPr>
                <w:b/>
                <w:i/>
              </w:rPr>
              <w:t>ar jų persekiojimo</w:t>
            </w:r>
            <w:r>
              <w:t xml:space="preserve"> netoleravimo politiką; pabrėžia, kad reikia imtis veiksmingų tolesnių veiksmų dėl ankstesnių atvejų;</w:t>
            </w:r>
          </w:p>
        </w:tc>
        <w:tc>
          <w:tcPr>
            <w:tcW w:w="4876" w:type="dxa"/>
            <w:tcBorders>
              <w:top w:val="nil"/>
              <w:left w:val="nil"/>
              <w:bottom w:val="nil"/>
              <w:right w:val="nil"/>
            </w:tcBorders>
          </w:tcPr>
          <w:p>
            <w:pPr>
              <w:pStyle w:val="Normal6a"/>
            </w:pPr>
            <w:r>
              <w:t>22.</w:t>
            </w:r>
            <w:r>
              <w:tab/>
            </w:r>
            <w:r>
              <w:t>palankiai vertina naujus Juodkalnijos žiniasklaidos įstatymus ir jos žiniasklaidos politikos strategiją; primygtinai ragina vykdyti visiško žurnalistų, įskaitant visuomenės veikėjus, spaudimo</w:t>
            </w:r>
            <w:r>
              <w:rPr>
                <w:b/>
                <w:i/>
              </w:rPr>
              <w:t>, jų persekiojimo ar prievartos jų atžvilgiu</w:t>
            </w:r>
            <w:r>
              <w:t xml:space="preserve"> netoleravimo politiką; pabrėžia, kad reikia imtis veiksmingų tolesnių veiksmų dėl ankstesnių atvejų; </w:t>
            </w:r>
            <w:r>
              <w:rPr>
                <w:b/>
                <w:i/>
              </w:rPr>
              <w:t>atkreipia dėmesį į reikšmingą Juodkalnijos spaudos laisvės pagerėjimą, kaip matyti iš jos pažangos pasaulio spaudos laisvės indekso reitinguose.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reiškia susirūpinimą dėl atvejų, kai žurnalistai, akademinės bendruomenės atstovai ir pilietinės visuomenės organizacijos susidūrė su spaudimu dėl žodžio laisvės, įskaitant atvejus, kai policija prieš juos pradėjo baudžiamojo nusižengimo procedūras;</w:t>
            </w:r>
            <w:r>
              <w:t xml:space="preserve"> </w:t>
            </w:r>
            <w:r>
              <w:rPr>
                <w:b/>
                <w:i/>
              </w:rPr>
              <w:t>ragina valdžios institucijas ištirti visus neapykantą kurstančių kalbų, šmeižto kampanijų ir strateginių ieškinių prieš žurnalistus atvejus ir patraukti už juos baudžiamojon atsakomybėn;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reiškia susirūpinimą dėl atvejų, kai žurnalistai, akademinės bendruomenės atstovai ir pilietinės visuomenės organizacijos susidūrė su spaudimu dėl žodžio laisvės, įskaitant atvejus, kai policija prieš juos pradėjo baudžiamojo nusižengimo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apgailestauja dėl besitęsiančio nebaudžiamumo garsaus žurnalisto ir DAN vadovo ir redaktoriaus Duško Jovanovićiaus nužudymo atveju;</w:t>
            </w:r>
            <w:r>
              <w:t xml:space="preserve"> </w:t>
            </w:r>
            <w:r>
              <w:rPr>
                <w:b/>
                <w:i/>
              </w:rPr>
              <w:t>pakartoja savo raginimą peržiūrėti tyrimą ir bendradarbiauti su užsienio ekspertais, kad būtų užtikrintas visapusiškas ir veiksmingas bylos tyrimas;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c.</w:t>
            </w:r>
            <w:r>
              <w:tab/>
            </w:r>
            <w:r>
              <w:rPr>
                <w:b/>
                <w:i/>
              </w:rPr>
              <w:t>primygtinai ragina Juodkalnijos valdžios institucijas gerbti saviraiškos laisvę ir susilaikyti nuo šmeižto kampanijų prieš studentų protestų grupę „Kamo śutra“, kad būtų nutrauktas žurnalistų, ypač žurnalistių, baudžiamasis persekiojimas ir užtikrintas jų saugumas;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apgailestauja dėl vyraujančio aukšto žiniasklaidos poliarizacijos lygio ir jos pažeidžiamumo turint mintyje politinę </w:t>
            </w:r>
            <w:r>
              <w:rPr>
                <w:b/>
                <w:i/>
              </w:rPr>
              <w:t>ir užsienio</w:t>
            </w:r>
            <w:r>
              <w:t xml:space="preserve">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įtaką; ragina Juodkalnijos valdžios institucijas užtikrinti visuomeninio transliuotojo redakcinį, institucinį ir finansinį nepriklausomumą;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w:t>
            </w:r>
            <w:r>
              <w:rPr>
                <w:b/>
                <w:i/>
              </w:rPr>
              <w:t>, o taip pat užsienio ir vidaus dezinformacijos kampanijas, kuriomis skleidžiami etnonacionalistiniai naratyvai, kurie daro neigiamą poveikį demokratiniams procesams šalyje ir taip kelia pavojų jos europinei perspektyvai</w:t>
            </w:r>
            <w:r>
              <w:t>; ragina Juodkalnijos valdžios institucijas užtikrinti visuomeninio transliuotojo redakcinį, institucinį ir finansinį nepriklausomumą;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 xml:space="preserve">apgailestauja dėl vyraujančio aukšto žiniasklaidos poliarizacijos lygio ir jos pažeidžiamumo turint mintyje politinę ir užsienio įtaką; ragina Juodkalnijos valdžios institucijas užtikrinti visuomeninio transliuotojo </w:t>
            </w:r>
            <w:r>
              <w:rPr>
                <w:b/>
                <w:i/>
              </w:rPr>
              <w:t>RTCG</w:t>
            </w:r>
            <w:r>
              <w:t xml:space="preserve"> redakcinį, institucinį ir finansinį nepriklausomumą</w:t>
            </w:r>
            <w:r>
              <w:rPr>
                <w:b/>
                <w:i/>
              </w:rPr>
              <w:t>, taip pat jo vadovybės paskyrimo teisėtumą ir visišką galutinių teismo sprendimų dėl RTCG laikymąsi</w:t>
            </w:r>
            <w:r>
              <w:t>;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 xml:space="preserve">apgailestauja dėl vyraujančio aukšto žiniasklaidos poliarizacijos lygio ir jos pažeidžiamumo turint mintyje politinę ir užsienio įtaką; ragina Juodkalnijos valdžios institucijas užtikrinti visuomeninio transliuotojo </w:t>
            </w:r>
            <w:r>
              <w:rPr>
                <w:b/>
                <w:i/>
              </w:rPr>
              <w:t>RTCG</w:t>
            </w:r>
            <w:r>
              <w:t xml:space="preserve"> redakcinį, institucinį ir finansinį nepriklausomumą</w:t>
            </w:r>
            <w:r>
              <w:rPr>
                <w:b/>
                <w:i/>
              </w:rPr>
              <w:t>, taip pat jo vadovybės paskyrimo teisėtumą ir visišką galutinių teismo sprendimų dėl RTCG laikymąsi</w:t>
            </w:r>
            <w:r>
              <w:t>;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 xml:space="preserve">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w:t>
            </w:r>
            <w:r>
              <w:rPr>
                <w:b/>
                <w:i/>
              </w:rPr>
              <w:t>primena, kad ji turi laikytis teisės aktų ir aukščiausių atskaitomybės ir sąžiningumo standartų;</w:t>
            </w:r>
            <w:r>
              <w:t xml:space="preserve">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Dan Barna, Petras Auštrevičius, Malik Azmani, Lucia Yar,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ragina visus žiniasklaidos subjektus laikytis teisinių reikalavimų dėl viešojo finansavimo skaidrumo;</w:t>
            </w:r>
          </w:p>
        </w:tc>
        <w:tc>
          <w:tcPr>
            <w:tcW w:w="4876" w:type="dxa"/>
            <w:tcBorders>
              <w:top w:val="nil"/>
              <w:left w:val="nil"/>
              <w:bottom w:val="nil"/>
              <w:right w:val="nil"/>
            </w:tcBorders>
          </w:tcPr>
          <w:p>
            <w:pPr>
              <w:pStyle w:val="Normal6a"/>
            </w:pPr>
            <w:r>
              <w:t>23.</w:t>
            </w:r>
            <w:r>
              <w:tab/>
            </w:r>
            <w:r>
              <w:t xml:space="preserve">apgailestauja dėl vyraujančio aukšto žiniasklaidos poliarizacijos lygio ir jos pažeidžiamumo turint mintyje politinę ir užsienio įtaką; ragina Juodkalnijos valdžios institucijas užtikrinti visuomeninio transliuotojo redakcinį, institucinį ir finansinį nepriklausomumą; </w:t>
            </w:r>
            <w:r>
              <w:rPr>
                <w:b/>
                <w:i/>
              </w:rPr>
              <w:t>apgailestauja, kad viešosios žiniasklaidos nepriklausomumas yra pakankamai susilpnintas ir mažinamas;</w:t>
            </w:r>
            <w:r>
              <w:t xml:space="preserve"> ragina visus žiniasklaidos subjektus laikytis teisinių reikalavimų dėl viešojo finansavimo skaidrumo;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yra labai susirūpinęs dėl to, kad žiniasklaidos aplinkai Juodkalnijoje didelę įtaką daro politiniai interesai, nes dešiniojo sparno tabloidų portalai veikia kaip valdančiosios koalicijos ir opozicinių partijų ruporai;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reiškia susirūpinimą dėl užsienio subjektų, pvz., Rusijos, skleidžiančių dezinformacijos kampanijas ir hibridines grėsmes, taip keliančių pavojų Juodkalnijai kelyje į Europą;</w:t>
            </w:r>
            <w:r>
              <w:t xml:space="preserve"> </w:t>
            </w:r>
            <w:r>
              <w:rPr>
                <w:b/>
                <w:i/>
              </w:rPr>
              <w:t>pabrėžia, kad kovojant su manipuliacine dezinformacija labai svarbu užtikrinti žiniasklaidos laisvę ir nepriklausomybę, informavimo kokybę ir didinti žiniasklaidos priemonių naudojimo raštingumą bei išsilavinimą;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pakartoja, kad reikia parengti išsamias ir integruotas gebėjimo naudotis žiniasklaidos priemonėmis programas visais švietimo lygmenimis, o ne pavienius intervencinius veiksmus;</w:t>
            </w:r>
            <w:r>
              <w:t xml:space="preserve"> </w:t>
            </w:r>
            <w:r>
              <w:rPr>
                <w:b/>
                <w:i/>
              </w:rPr>
              <w:t>primygtinai ragina Juodkalniją plėsti žiniasklaidos priemonių naudojimo raštingumą kaip pagrindinį mokyklų mokymo programų dalyką, kartu užtikrinant, kad mokytojams būtų rengiami specialūs mokymai ir šiuolaikiniai ištekliai aukštos kokybės programoms įgyvendinti;</w:t>
            </w:r>
            <w:r>
              <w:t xml:space="preserve"> </w:t>
            </w:r>
            <w:r>
              <w:rPr>
                <w:b/>
                <w:i/>
              </w:rPr>
              <w:t>ragina bendradarbiauti su ES švietimo iniciatyvomis ir regioniniais tinklais, pvz., Vakarų Balkanų gebėjimo naudotis žiniasklaidos priemonėmis observatorija, siekiant įgyvendinti geriausią kritinio mąstymo ir skaitmeninio raštingumo ugdymo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palankiai vertina paskelbtus 2023 m. gyventojų surašymo rezultatus; ragina suinteresuotuosius subjektus jais naudotis nediskriminuojant;</w:t>
            </w:r>
          </w:p>
        </w:tc>
        <w:tc>
          <w:tcPr>
            <w:tcW w:w="4876" w:type="dxa"/>
            <w:tcBorders>
              <w:top w:val="nil"/>
              <w:left w:val="nil"/>
              <w:bottom w:val="nil"/>
              <w:right w:val="nil"/>
            </w:tcBorders>
          </w:tcPr>
          <w:p>
            <w:pPr>
              <w:pStyle w:val="Normal6a"/>
            </w:pPr>
            <w:r>
              <w:t>24.</w:t>
            </w:r>
            <w:r>
              <w:tab/>
            </w:r>
            <w:r>
              <w:t xml:space="preserve">palankiai vertina paskelbtus 2023 m. gyventojų surašymo rezultatus; ragina </w:t>
            </w:r>
            <w:r>
              <w:rPr>
                <w:b/>
                <w:i/>
              </w:rPr>
              <w:t>valdžios institucijas vengti bet kokio šio proceso politizavimo;</w:t>
            </w:r>
            <w:r>
              <w:t xml:space="preserve"> </w:t>
            </w:r>
            <w:r>
              <w:rPr>
                <w:b/>
                <w:i/>
              </w:rPr>
              <w:t>ragina</w:t>
            </w:r>
            <w:r>
              <w:t xml:space="preserve"> suinteresuotuosius subjektus jais naudotis nediskriminuojant;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palankiai vertina paskelbtus 2023 m. gyventojų surašymo rezultatus; ragina suinteresuotuosius subjektus jais naudotis nediskriminuojant;</w:t>
            </w:r>
          </w:p>
        </w:tc>
        <w:tc>
          <w:tcPr>
            <w:tcW w:w="4876" w:type="dxa"/>
            <w:tcBorders>
              <w:top w:val="nil"/>
              <w:left w:val="nil"/>
              <w:bottom w:val="nil"/>
              <w:right w:val="nil"/>
            </w:tcBorders>
          </w:tcPr>
          <w:p>
            <w:pPr>
              <w:pStyle w:val="Normal6a"/>
            </w:pPr>
            <w:r>
              <w:t>24.</w:t>
            </w:r>
            <w:r>
              <w:tab/>
            </w:r>
            <w:r>
              <w:t xml:space="preserve">palankiai vertina paskelbtus 2023 m. gyventojų surašymo rezultatus; ragina suinteresuotuosius subjektus jais naudotis nediskriminuojant </w:t>
            </w:r>
            <w:r>
              <w:rPr>
                <w:b/>
                <w:i/>
              </w:rPr>
              <w:t>ir toliau rinkti pagal lytį suskirstytus duomenis pagal Lyčių lygybės įstatymą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pripažįsta teigiamą Juodkalnijos pilietinės visuomenės sektoriaus suvokimą, nes piliečiai tikisi, kad pilietinės visuomenės organizacijos bus ryžtingos kritikos ir demokratizacijos varomoji jėga;</w:t>
            </w:r>
            <w:r>
              <w:t xml:space="preserve"> </w:t>
            </w:r>
            <w:r>
              <w:rPr>
                <w:b/>
                <w:i/>
              </w:rPr>
              <w:t>reiškia susirūpinimą dėl mažėjančios erdvės kritiškai orientuotoms pilietinės visuomenės organizacijoms, ypač atsižvelgiant į siūlomą „užsienio agentų“ įstatymą ir bandymus diskredituoti JAV finansuojamas organizacijas;</w:t>
            </w:r>
            <w:r>
              <w:t xml:space="preserve"> </w:t>
            </w:r>
            <w:r>
              <w:rPr>
                <w:b/>
                <w:i/>
              </w:rPr>
              <w:t>ragina sukurti palankią teisinę sistemą, įskaitant pagrindinius teisės aktus dėl laisvos prieigos prie informacijos, savanoriškos veiklos, socialinio verslumo, informavimo apie pažeidimus ir NVO, kad būtų sustiprintas jų vaidmuo;</w:t>
            </w:r>
            <w:r>
              <w:t xml:space="preserve"> </w:t>
            </w:r>
            <w:r>
              <w:rPr>
                <w:b/>
                <w:i/>
              </w:rPr>
              <w:t>pabrėžia, kad PVO turi būti prasmingai įtrauktos į politikos formavimą, ypač Europos integracijos procese, ir primygtinai ragina vyriausybę vykdyti įtraukias konsultacijas su 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ragina Vyriausybės ir NVO bendradarbiavimo tarybą atnaujinti </w:t>
            </w:r>
            <w:r>
              <w:rPr>
                <w:b/>
                <w:i/>
              </w:rPr>
              <w:t>savo darbą</w:t>
            </w:r>
            <w:r>
              <w:t>;</w:t>
            </w:r>
          </w:p>
        </w:tc>
        <w:tc>
          <w:tcPr>
            <w:tcW w:w="4876" w:type="dxa"/>
            <w:tcBorders>
              <w:top w:val="nil"/>
              <w:left w:val="nil"/>
              <w:bottom w:val="nil"/>
              <w:right w:val="nil"/>
            </w:tcBorders>
          </w:tcPr>
          <w:p>
            <w:pPr>
              <w:pStyle w:val="Normal6a"/>
            </w:pPr>
            <w:r>
              <w:t>25.</w:t>
            </w:r>
            <w:r>
              <w:tab/>
            </w:r>
            <w:r>
              <w:rPr>
                <w:b/>
                <w:i/>
              </w:rPr>
              <w:t>teigiamai vertina gyvybingą ir konstruktyvią Juodkalnijos pilietinę visuomenę, kuri atlieka svarbų teigiamą vaidmenį reformų procese;</w:t>
            </w:r>
            <w:r>
              <w:t xml:space="preserve"> </w:t>
            </w:r>
            <w:r>
              <w:rPr>
                <w:b/>
                <w:i/>
              </w:rPr>
              <w:t>ragina vyriausybę stiprinti bendradarbiavimą su pilietine visuomene, ypač su moterų teisių organizacijomis, sprendimų priėmimo srityje ir</w:t>
            </w:r>
            <w:r>
              <w:t xml:space="preserve"> ragina vyriausybės ir NVO bendradarbiavimo tarybą atnaujinti </w:t>
            </w:r>
            <w:r>
              <w:rPr>
                <w:b/>
                <w:i/>
              </w:rPr>
              <w:t>darbą siekiant užmegzti bendradarbiavimo santykius ir nuo pat pradžių iš tikrųjų įtraukti pilietinę visuomenę į skaidrų teisėkūros procesą;</w:t>
            </w:r>
            <w:r>
              <w:t xml:space="preserve"> </w:t>
            </w:r>
            <w:r>
              <w:rPr>
                <w:b/>
                <w:i/>
              </w:rPr>
              <w:t>pabrėžia, kad pilietinė visuomenė yra labai svarbi skatinant demokratiją ir pliuralizmą bei propaguojant gerą valdymą ir socialinę pažangą;</w:t>
            </w:r>
            <w:r>
              <w:t xml:space="preserve"> </w:t>
            </w:r>
            <w:r>
              <w:rPr>
                <w:b/>
                <w:i/>
              </w:rPr>
              <w:t>ragina valdžios institucijas nustatyti aiškius ir sąžiningus atrankos kriterijus, susijusius su viešuoju pilietinės visuomenės organizacijų finansavimu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ragina Vyriausybės ir NVO bendradarbiavimo tarybą atnaujinti savo darbą;</w:t>
            </w:r>
          </w:p>
        </w:tc>
        <w:tc>
          <w:tcPr>
            <w:tcW w:w="4876" w:type="dxa"/>
            <w:tcBorders>
              <w:top w:val="nil"/>
              <w:left w:val="nil"/>
              <w:bottom w:val="nil"/>
              <w:right w:val="nil"/>
            </w:tcBorders>
          </w:tcPr>
          <w:p>
            <w:pPr>
              <w:pStyle w:val="Normal6a"/>
            </w:pPr>
            <w:r>
              <w:t>25.</w:t>
            </w:r>
            <w:r>
              <w:tab/>
            </w:r>
            <w:r>
              <w:t xml:space="preserve">ragina Vyriausybės ir NVO bendradarbiavimo tarybą atnaujinti savo darbą; </w:t>
            </w:r>
            <w:r>
              <w:rPr>
                <w:b/>
                <w:i/>
              </w:rPr>
              <w:t>pabrėžia, kad svarbu konsultuotis su pilietine visuomene dėl teisės aktų projektų;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ragina sukurti visapusišką ir palankią teisinę sistemą, įskaitant pagrindinius teisės aktus dėl laisvos prieigos prie informacijos, savanoriškos veiklos, socialinio verslumo, informavimo apie pažeidimus ir NVO, kad būtų sustiprintas jų vaidmuo;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w:t>
            </w:r>
            <w:r>
              <w:tab/>
            </w:r>
            <w:r>
              <w:rPr>
                <w:b/>
                <w:i/>
              </w:rPr>
              <w:t>griežtai smerkia nuolatines šmeižto kampanijas, bauginimą ir išpuolius prieš pilietinės visuomenės organizacijas, kurias vykdo valdantieji koalicijos pareigūnai, pasitelkdami priešišką retoriką, siekdami delegitimizuoti aktyvistus, vaizduojant juos kaip valstybės išdavikus ir priešus;</w:t>
            </w:r>
            <w:r>
              <w:t xml:space="preserve"> </w:t>
            </w:r>
            <w:r>
              <w:rPr>
                <w:b/>
                <w:i/>
              </w:rPr>
              <w:t>yra labai susirūpinęs dėl pasiūlymo dėl teisėkūros procedūra priimamo akto dėl „užsienio agentų teisės“, kurį pateikė koalicija „Za Budućnost Crne Gore“ (ZBCG), kuriai vadovauja parlamento pirmininkė Andrija Mandić, ir tikisi, kad Juodkalnijos vyriausybė aiškiai atsiribos ir nesiims tolesnių veiksmų dėl šių pasiūlymų;</w:t>
            </w:r>
            <w:r>
              <w:t xml:space="preserve"> </w:t>
            </w:r>
            <w:r>
              <w:rPr>
                <w:b/>
                <w:i/>
              </w:rPr>
              <w:t>primygtinai ragina Juodkalniją užtikrinti, kad visi nauji teisės aktai būtų visiškai suderinti su ES acquis ir jais būtų gerbiamos pagrindinės teisės, įskaitant asociacijų ir saviraiškos laisvę;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c.</w:t>
            </w:r>
            <w:r>
              <w:tab/>
            </w:r>
            <w:r>
              <w:rPr>
                <w:b/>
                <w:i/>
              </w:rPr>
              <w:t>reiškia didelį susirūpinimą dėl nykstančių paveldo objektų, pvz., Kotoro įlankos ir Sveti Stefano;</w:t>
            </w:r>
            <w:r>
              <w:t xml:space="preserve"> </w:t>
            </w:r>
            <w:r>
              <w:rPr>
                <w:b/>
                <w:i/>
              </w:rPr>
              <w:t>pabrėžia, kad Sveti Stefan kartu su Miločer parku 2023 m. buvo įtrauktas į „7 labiausiai nykstančias paveldo vietas Europoje“;</w:t>
            </w:r>
            <w:r>
              <w:t xml:space="preserve"> </w:t>
            </w:r>
            <w:r>
              <w:rPr>
                <w:b/>
                <w:i/>
              </w:rPr>
              <w:t>primygtinai ragina Juodkalnijos vyriausybę skubiai užtikrinti tinkamą Kotoro įlankos kultūrinio kraštovaizdžio ir Sveti Stefano su Miločerio parku teisinę ir aplinkos apsaugą nuo per didelio vystymosi;</w:t>
            </w:r>
            <w:r>
              <w:t xml:space="preserve"> </w:t>
            </w:r>
            <w:r>
              <w:rPr>
                <w:b/>
                <w:i/>
              </w:rPr>
              <w:t>primygtinai ragina Juodkalnijos vyriausybę užtikrinti prieigą prie Sveti Stefano salos Juodkalnijai ir ES piliečiams, lankantis Juodkalnijoje kaip turistai, laikantis pagrindinių žmogaus teisių, susijusių su dalyvavimu kultūros pavelduose, paskelbtų JT Visuotinėje žmogaus teisių deklaracijoje, Faro pagrindų konvencijoje dėl kultūros paveldo vertės visuomenei ir daugeliui kitų;</w:t>
            </w:r>
            <w:r>
              <w:t xml:space="preserve"> </w:t>
            </w:r>
            <w:r>
              <w:rPr>
                <w:b/>
                <w:i/>
              </w:rPr>
              <w:t>reiškia susirūpinimą dėl senų alyvmedžių Juodkalnijoje, kurie masiškai neteisėtai išvežami ir todėl naikinami dėl per didelio vystymosi ir nepakankamos tikrinimo kontrolės;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4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Susitaikymas </w:t>
            </w:r>
            <w:r>
              <w:rPr>
                <w:b/>
                <w:i/>
              </w:rPr>
              <w:t>ir</w:t>
            </w:r>
            <w:r>
              <w:t xml:space="preserve"> geri kaimyniniai santykiai</w:t>
            </w:r>
          </w:p>
        </w:tc>
        <w:tc>
          <w:tcPr>
            <w:tcW w:w="4876" w:type="dxa"/>
            <w:tcBorders>
              <w:top w:val="nil"/>
              <w:left w:val="nil"/>
              <w:bottom w:val="nil"/>
              <w:right w:val="nil"/>
            </w:tcBorders>
          </w:tcPr>
          <w:p>
            <w:pPr>
              <w:pStyle w:val="Normal6a"/>
            </w:pPr>
            <w:r>
              <w:t>Susitaikymas</w:t>
            </w:r>
            <w:r>
              <w:rPr>
                <w:b/>
                <w:i/>
              </w:rPr>
              <w:t>,</w:t>
            </w:r>
            <w:r>
              <w:t xml:space="preserve"> geri kaimyniniai santykiai </w:t>
            </w:r>
            <w:r>
              <w:rPr>
                <w:b/>
                <w:i/>
              </w:rPr>
              <w:t>ir regioninis bendradarbiavimas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primena, kad geri kaimyniniai santykiai ir regioninis bendradarbiavimas yra esminiai plėtros proceso elementai. palankiai vertina aktyvų Juodkalnijos dalyvavimą regioninio bendradarbiavimo iniciatyvose;</w:t>
            </w:r>
          </w:p>
        </w:tc>
        <w:tc>
          <w:tcPr>
            <w:tcW w:w="4876" w:type="dxa"/>
            <w:tcBorders>
              <w:top w:val="nil"/>
              <w:left w:val="nil"/>
              <w:bottom w:val="nil"/>
              <w:right w:val="nil"/>
            </w:tcBorders>
          </w:tcPr>
          <w:p>
            <w:pPr>
              <w:pStyle w:val="Normal6a"/>
            </w:pPr>
            <w:r>
              <w:t>26.</w:t>
            </w:r>
            <w:r>
              <w:tab/>
            </w:r>
            <w:r>
              <w:t xml:space="preserve">primena, kad geri kaimyniniai santykiai ir regioninis bendradarbiavimas yra esminiai plėtros proceso elementai. </w:t>
            </w:r>
            <w:r>
              <w:rPr>
                <w:b/>
                <w:i/>
              </w:rPr>
              <w:t>Primena, kad geri kaimyniniai santykiai yra vienas iš pagrindinių kriterijų vertinant Juodkalnijos stojimo proceso pažangą pagal ES derybų programą;</w:t>
            </w:r>
            <w:r>
              <w:t xml:space="preserve"> </w:t>
            </w:r>
            <w:r>
              <w:rPr>
                <w:b/>
                <w:i/>
              </w:rPr>
              <w:t>yra tvirtai įsitikinęs, kad vienašaliai veiksmai ir istorinių klausimų politizavimas yra nesuderinami su Juodkalnijos pastangomis integruotis į ES;</w:t>
            </w:r>
            <w:r>
              <w:t xml:space="preserve"> palankiai vertina aktyvų Juodkalnijos dalyvavimą regioninio bendradarbiavimo iniciatyvose;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ragina stiprinti Vakarų Balkanų šalių regioninį bendradarbiavimą siekiant dalytis geriausia patirtimi ir parengti bendras kovos su dezinformacija ir užsienio kišimusi strategijas;</w:t>
            </w:r>
            <w:r>
              <w:t xml:space="preserve"> </w:t>
            </w:r>
            <w:r>
              <w:rPr>
                <w:b/>
                <w:i/>
              </w:rPr>
              <w:t>pabrėžia Europos Sąjungos vaidmenį sudarant palankesnes sąlygas tokioms bendradarbiavimo pastangoms;</w:t>
            </w:r>
            <w:r>
              <w:t xml:space="preserve"> </w:t>
            </w:r>
            <w:r>
              <w:rPr>
                <w:b/>
                <w:i/>
              </w:rPr>
              <w:t>ragina tęsti ir toliau stiprinti PNPP regioninę kibernetinio saugumo programą;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apgailestauja dėl to, kad 31 skyrius negalėjo būti užbaigtas 2024 m. gruodžio mėn.;</w:t>
            </w:r>
            <w:r>
              <w:t xml:space="preserve"> </w:t>
            </w:r>
            <w:r>
              <w:rPr>
                <w:b/>
                <w:i/>
              </w:rPr>
              <w:t>ragina visas susijusias šalis rasti neišspręstų dvišalių klausimų sprendimus ir teikti pirmenybę būsimiems Vakarų Balkanų piliečių interesams;</w:t>
            </w:r>
            <w:r>
              <w:t xml:space="preserve"> </w:t>
            </w:r>
            <w:r>
              <w:rPr>
                <w:b/>
                <w:i/>
              </w:rPr>
              <w:t>primena, kad turėtų būti vengiama neišspręstus dvišalius ir regioninius ginčus naudoti šalių kandidačių stojimo procesams blokuoti;</w:t>
            </w:r>
          </w:p>
        </w:tc>
        <w:tc>
          <w:tcPr>
            <w:tcW w:w="4876" w:type="dxa"/>
            <w:tcBorders>
              <w:top w:val="nil"/>
              <w:left w:val="nil"/>
              <w:bottom w:val="nil"/>
              <w:right w:val="nil"/>
            </w:tcBorders>
          </w:tcPr>
          <w:p>
            <w:pPr>
              <w:pStyle w:val="Normal6a"/>
            </w:pPr>
            <w:r>
              <w:t>27.</w:t>
            </w:r>
            <w:r>
              <w:tab/>
            </w:r>
            <w:r>
              <w:rPr>
                <w:b/>
                <w:i/>
              </w:rPr>
              <w:t>palankiai vertina vyriausybės pradėtą dialogą su ES valstybėmis narėmis, visų pirma susijusį su 31 skyriaus uždarymu, ir ragina valdžios institucijas toliau taikyti pasitikėjimo stiprinimo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apgailestauja dėl to</w:t>
            </w:r>
            <w:r>
              <w:t xml:space="preserve">, kad 31 skyrius negalėjo būti užbaigtas 2024 m. gruodžio mėn.; ragina </w:t>
            </w:r>
            <w:r>
              <w:rPr>
                <w:b/>
                <w:i/>
              </w:rPr>
              <w:t>visas susijusias šalis rasti neišspręstų dvišalių klausimų sprendimus ir teikti</w:t>
            </w:r>
            <w:r>
              <w:t xml:space="preserve"> pirmenybę </w:t>
            </w:r>
            <w:r>
              <w:rPr>
                <w:b/>
                <w:i/>
              </w:rPr>
              <w:t>būsimiems Vakarų Balkanų</w:t>
            </w:r>
            <w:r>
              <w:t xml:space="preserve"> piliečių interesams; </w:t>
            </w:r>
            <w:r>
              <w:rPr>
                <w:b/>
                <w:i/>
              </w:rPr>
              <w:t>primena, kad turėtų būti vengiama neišspręstus dvišalius ir regioninius ginčus naudoti šalių kandidačių stojimo procesams blokuoti</w:t>
            </w:r>
            <w:r>
              <w:t>;</w:t>
            </w:r>
          </w:p>
        </w:tc>
        <w:tc>
          <w:tcPr>
            <w:tcW w:w="4876" w:type="dxa"/>
            <w:tcBorders>
              <w:top w:val="nil"/>
              <w:left w:val="nil"/>
              <w:bottom w:val="nil"/>
              <w:right w:val="nil"/>
            </w:tcBorders>
          </w:tcPr>
          <w:p>
            <w:pPr>
              <w:pStyle w:val="Normal6a"/>
            </w:pPr>
            <w:r>
              <w:t>27.</w:t>
            </w:r>
            <w:r>
              <w:tab/>
            </w:r>
            <w:r>
              <w:rPr>
                <w:b/>
                <w:i/>
              </w:rPr>
              <w:t>pastebi</w:t>
            </w:r>
            <w:r>
              <w:t xml:space="preserve">, kad 31 skyrius negalėjo būti užbaigtas 2024 m. gruodžio mėn.; </w:t>
            </w:r>
            <w:r>
              <w:rPr>
                <w:b/>
                <w:i/>
              </w:rPr>
              <w:t>yra susirūpinęs dėl neigiamos retorikos, kurią kai kurie valdančiosios koalicijos nariai vartoja kaimyninių šalių atžvilgiu;</w:t>
            </w:r>
            <w:r>
              <w:t xml:space="preserve"> </w:t>
            </w:r>
            <w:r>
              <w:rPr>
                <w:b/>
                <w:i/>
              </w:rPr>
              <w:t>smerkia istorinių įvykių politizavimą ir rezoliucijų, kurios didina poliarizaciją šalyje ir neprisideda prie gerų kaimyninių santykių, priėmimą;</w:t>
            </w:r>
            <w:r>
              <w:t xml:space="preserve"> ragina </w:t>
            </w:r>
            <w:r>
              <w:rPr>
                <w:b/>
                <w:i/>
              </w:rPr>
              <w:t>Juodkalniją laikytis nuostatų dėl buvusios Jugoslavijos Socialistinės Federacinės Respublikos palikimo, ypač dėl karinių išteklių;</w:t>
            </w:r>
            <w:r>
              <w:t xml:space="preserve"> </w:t>
            </w:r>
            <w:r>
              <w:rPr>
                <w:b/>
                <w:i/>
              </w:rPr>
              <w:t>ragina Juodkalniją ir jos kaimynes kuo anksčiau stojimo proceso metu imtis konkrečių veiksmų siekiant konstruktyviai ir kaimyniškai išspręsti ilgalaikius dvišalius ginčus, įskaitant neišspręstus sienų demarkacijos klausimus, taip</w:t>
            </w:r>
            <w:r>
              <w:t xml:space="preserve"> pirmenybę </w:t>
            </w:r>
            <w:r>
              <w:rPr>
                <w:b/>
                <w:i/>
              </w:rPr>
              <w:t>teikiant savo</w:t>
            </w:r>
            <w:r>
              <w:t xml:space="preserve"> piliečių interesams; </w:t>
            </w:r>
            <w:r>
              <w:rPr>
                <w:b/>
                <w:i/>
              </w:rPr>
              <w:t>atsižvelgdamas į tai, palankiai vertina 2025 m. sausio 27 d. surengtas dvišales Kroatijos Respublikos ir Juodkalnijos konsultacijas dėl neišspręstų dvišalių klausimų statuso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apgailestauja dėl to, kad 31 skyrius negalėjo būti užbaigtas 2024 m. gruodžio mėn.; ragina visas susijusias šalis rasti neišspręstų dvišalių klausimų sprendimus ir teikti pirmenybę būsimiems Vakarų Balkanų piliečių interesams; primena, kad turėtų būti vengiama neišspręstus dvišalius ir regioninius ginčus naudoti šalių kandidačių stojimo procesams blokuoti;</w:t>
            </w:r>
          </w:p>
        </w:tc>
        <w:tc>
          <w:tcPr>
            <w:tcW w:w="4876" w:type="dxa"/>
            <w:tcBorders>
              <w:top w:val="nil"/>
              <w:left w:val="nil"/>
              <w:bottom w:val="nil"/>
              <w:right w:val="nil"/>
            </w:tcBorders>
          </w:tcPr>
          <w:p>
            <w:pPr>
              <w:pStyle w:val="Normal6a"/>
            </w:pPr>
            <w:r>
              <w:t>27.</w:t>
            </w:r>
            <w:r>
              <w:tab/>
            </w:r>
            <w:r>
              <w:t xml:space="preserve">apgailestauja dėl to, kad 31 skyrius negalėjo būti užbaigtas 2024 m. gruodžio mėn.; ragina visas susijusias šalis </w:t>
            </w:r>
            <w:r>
              <w:rPr>
                <w:b/>
                <w:i/>
              </w:rPr>
              <w:t>kuo anksčiau stojimo proceso metu</w:t>
            </w:r>
            <w:r>
              <w:t xml:space="preserve"> rasti neišspręstų dvišalių klausimų sprendimus ir teikti pirmenybę būsimiems Vakarų Balkanų piliečių interesams</w:t>
            </w:r>
            <w:r>
              <w:rPr>
                <w:b/>
                <w:i/>
              </w:rPr>
              <w:t>, įskaitant neišspręstus sienų su Kroatija demarkacijos klausimus</w:t>
            </w:r>
            <w:r>
              <w:t>; primena, kad turėtų būti vengiama neišspręstus dvišalius ir regioninius ginčus naudoti šalių kandidačių stojimo procesams blokuoti;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apgailestauja dėl to, kad 31 skyrius negalėjo būti užbaigtas 2024 m. gruodžio mėn.; ragina visas susijusias šalis rasti neišspręstų dvišalių klausimų sprendimus ir teikti pirmenybę būsimiems Vakarų Balkanų piliečių interesams; primena, kad turėtų būti vengiama neišspręstus dvišalius ir regioninius ginčus naudoti šalių kandidačių stojimo procesams blokuoti;</w:t>
            </w:r>
          </w:p>
        </w:tc>
        <w:tc>
          <w:tcPr>
            <w:tcW w:w="4876" w:type="dxa"/>
            <w:tcBorders>
              <w:top w:val="nil"/>
              <w:left w:val="nil"/>
              <w:bottom w:val="nil"/>
              <w:right w:val="nil"/>
            </w:tcBorders>
          </w:tcPr>
          <w:p>
            <w:pPr>
              <w:pStyle w:val="Normal6a"/>
            </w:pPr>
            <w:r>
              <w:t>27.</w:t>
            </w:r>
            <w:r>
              <w:tab/>
            </w:r>
            <w:r>
              <w:t xml:space="preserve">apgailestauja dėl to, kad 31 skyrius negalėjo būti užbaigtas 2024 m. gruodžio mėn.; ragina visas susijusias šalis rasti neišspręstų dvišalių klausimų sprendimus ir teikti pirmenybę būsimiems Vakarų Balkanų piliečių interesams; primena, kad turėtų būti vengiama neišspręstus dvišalius ir regioninius ginčus naudoti šalių kandidačių stojimo procesams blokuoti; </w:t>
            </w:r>
            <w:r>
              <w:rPr>
                <w:b/>
                <w:i/>
              </w:rPr>
              <w:t>vis dėlto pabrėžia, kad vieningas visų valstybių narių sprendimas dėl faktinio Juodkalnijos prisijungimo ir toliau turi būti pagrindinis plėtros procedūros elementas pagal SESV 49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Davor Ivo Stier,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mano, kad prezidento Jakovo Milatovićiaus pareiškimas, kuriame apgailestaujama dėl Juodkalnijos pajėgų dalyvavimo Dubrovniko miesto bombardavime, buvo vertingas indėlis į taiką ir susitaikymą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smerkia tai, kad 2024 m. birželio mėn. Juodkalnijos parlamentas priėmė rezoliuciją dėl Jasenovaco, Mauthauseno ir Dachau, ir pabrėžia, kad tai kenkia Juodkalnijos santykiams su Kroatija;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skatina</w:t>
            </w:r>
            <w:r>
              <w:t xml:space="preserve"> Juodkalniją </w:t>
            </w:r>
            <w:r>
              <w:rPr>
                <w:b/>
                <w:i/>
              </w:rPr>
              <w:t>laikytis aktyvaus požiūrio</w:t>
            </w:r>
            <w:r>
              <w:t xml:space="preserve"> tiriant karo nusikaltimų bylas </w:t>
            </w:r>
            <w:r>
              <w:rPr>
                <w:b/>
                <w:i/>
              </w:rPr>
              <w:t>ir užtikrinti nukentėjusiesiems</w:t>
            </w:r>
            <w:r>
              <w:t xml:space="preserve"> teisę </w:t>
            </w:r>
            <w:r>
              <w:rPr>
                <w:b/>
                <w:i/>
              </w:rPr>
              <w:t>kreiptis į teismą ir gauti</w:t>
            </w:r>
            <w:r>
              <w:t xml:space="preserve"> žalos atlyginimą;</w:t>
            </w:r>
          </w:p>
        </w:tc>
        <w:tc>
          <w:tcPr>
            <w:tcW w:w="4876" w:type="dxa"/>
            <w:tcBorders>
              <w:top w:val="nil"/>
              <w:left w:val="nil"/>
              <w:bottom w:val="nil"/>
              <w:right w:val="nil"/>
            </w:tcBorders>
          </w:tcPr>
          <w:p>
            <w:pPr>
              <w:pStyle w:val="Normal6a"/>
            </w:pPr>
            <w:r>
              <w:t>28.</w:t>
            </w:r>
            <w:r>
              <w:tab/>
            </w:r>
            <w:r>
              <w:rPr>
                <w:b/>
                <w:i/>
              </w:rPr>
              <w:t>primygtinai ragina Juodkalniją dėti daugiau pastangų siekiant nustatyti karo nusikaltimus ir jų šlovinimą, patraukti už juos baudžiamojon atsakomybėn ir už juos bausti, kartu išsiaiškinant dingusių asmenų likimą;</w:t>
            </w:r>
            <w:r>
              <w:t xml:space="preserve"> </w:t>
            </w:r>
            <w:r>
              <w:rPr>
                <w:b/>
                <w:i/>
              </w:rPr>
              <w:t>ragina</w:t>
            </w:r>
            <w:r>
              <w:t xml:space="preserve"> Juodkalniją </w:t>
            </w:r>
            <w:r>
              <w:rPr>
                <w:b/>
                <w:i/>
              </w:rPr>
              <w:t>aktyviai tirti visus įtarimus karo nusikaltimais ir kelti vadovavimo atsakomybės klausimus;</w:t>
            </w:r>
            <w:r>
              <w:t xml:space="preserve"> </w:t>
            </w:r>
            <w:r>
              <w:rPr>
                <w:b/>
                <w:i/>
              </w:rPr>
              <w:t>atsižvelgdamas į tai, ragina užtikrinti veiksmingą regioninį bendradarbiavimą</w:t>
            </w:r>
            <w:r>
              <w:t xml:space="preserve"> tiriant </w:t>
            </w:r>
            <w:r>
              <w:rPr>
                <w:b/>
                <w:i/>
              </w:rPr>
              <w:t>asmenis, kuriems pareikšti kaltinimai dėl</w:t>
            </w:r>
            <w:r>
              <w:t xml:space="preserve"> karo nusikaltimų</w:t>
            </w:r>
            <w:r>
              <w:rPr>
                <w:b/>
                <w:i/>
              </w:rPr>
              <w:t>, ir vykdant baudžiamąjį persekiojimą;</w:t>
            </w:r>
            <w:r>
              <w:t xml:space="preserve"> </w:t>
            </w:r>
            <w:r>
              <w:rPr>
                <w:b/>
                <w:i/>
              </w:rPr>
              <w:t>ragina valdžios institucijas peržiūrėti senas</w:t>
            </w:r>
            <w:r>
              <w:t xml:space="preserve"> bylas</w:t>
            </w:r>
            <w:r>
              <w:rPr>
                <w:b/>
                <w:i/>
              </w:rPr>
              <w:t>, kuriose baudžiamasis persekiojimas nebuvo vykdomas pagal tarptautinę humanitarinę</w:t>
            </w:r>
            <w:r>
              <w:t xml:space="preserve"> teisę </w:t>
            </w:r>
            <w:r>
              <w:rPr>
                <w:b/>
                <w:i/>
              </w:rPr>
              <w:t>ar vidaus teisę, ir užtikrinti, kad visos aukos ir jų šeimos nariai gautų</w:t>
            </w:r>
            <w:r>
              <w:t xml:space="preserve"> žalos atlyginimą </w:t>
            </w:r>
            <w:r>
              <w:rPr>
                <w:b/>
                <w:i/>
              </w:rPr>
              <w:t>ir (arba) administracinę kompensaciją už patirtas kančias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skatina</w:t>
            </w:r>
            <w:r>
              <w:t xml:space="preserve"> Juodkalniją </w:t>
            </w:r>
            <w:r>
              <w:rPr>
                <w:b/>
                <w:i/>
              </w:rPr>
              <w:t>laikytis aktyvaus požiūrio tiriant</w:t>
            </w:r>
            <w:r>
              <w:t xml:space="preserve"> karo nusikaltimų bylas ir užtikrinti </w:t>
            </w:r>
            <w:r>
              <w:rPr>
                <w:b/>
                <w:i/>
              </w:rPr>
              <w:t>nukentėjusiesiems teisę kreiptis į teismą ir gauti žalos atlyginimą</w:t>
            </w:r>
            <w:r>
              <w:t>;</w:t>
            </w:r>
          </w:p>
        </w:tc>
        <w:tc>
          <w:tcPr>
            <w:tcW w:w="4876" w:type="dxa"/>
            <w:tcBorders>
              <w:top w:val="nil"/>
              <w:left w:val="nil"/>
              <w:bottom w:val="nil"/>
              <w:right w:val="nil"/>
            </w:tcBorders>
          </w:tcPr>
          <w:p>
            <w:pPr>
              <w:pStyle w:val="Normal6a"/>
            </w:pPr>
            <w:r>
              <w:t>28.</w:t>
            </w:r>
            <w:r>
              <w:tab/>
            </w:r>
            <w:r>
              <w:rPr>
                <w:b/>
                <w:i/>
              </w:rPr>
              <w:t>ragina</w:t>
            </w:r>
            <w:r>
              <w:t xml:space="preserve"> Juodkalniją </w:t>
            </w:r>
            <w:r>
              <w:rPr>
                <w:b/>
                <w:i/>
              </w:rPr>
              <w:t>taikyti proaktyvų požiūrį nagrinėjant</w:t>
            </w:r>
            <w:r>
              <w:t xml:space="preserve"> karo nusikaltimų bylas</w:t>
            </w:r>
            <w:r>
              <w:rPr>
                <w:b/>
                <w:i/>
              </w:rPr>
              <w:t>, patraukti baudžiamojon atsakomybėn nusikaltėlius</w:t>
            </w:r>
            <w:r>
              <w:t xml:space="preserve"> ir užtikrinti </w:t>
            </w:r>
            <w:r>
              <w:rPr>
                <w:b/>
                <w:i/>
              </w:rPr>
              <w:t>teisingumą bei užtikrinti žalos atlyginimą aukoms, visų pirma Bukovica, Kalu darerski Laz, Morinj sulaikymo stovykloje ir neteisėto išsiuntimo iš šalies atvejais;</w:t>
            </w:r>
            <w:r>
              <w:t xml:space="preserve"> </w:t>
            </w:r>
            <w:r>
              <w:rPr>
                <w:b/>
                <w:i/>
              </w:rPr>
              <w:t>griežtai smerkia karo nusikaltėlių šlovinimą ir plačiai paplitusius viešus tarptautinių nuosprendžių už karo nusikaltimus neigimą, įskaitant Srebrenicos genocido neigimą, be kita ko, tai daro Parlamento pirmininkės Andrijos Mandić vadovaujamos ZBCG valdančiosios koalicijos nariai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skatina Juodkalniją laikytis aktyvaus požiūrio tiriant karo nusikaltimų bylas ir užtikrinti nukentėjusiesiems teisę kreiptis į teismą ir gauti žalos atlyginimą;</w:t>
            </w:r>
          </w:p>
        </w:tc>
        <w:tc>
          <w:tcPr>
            <w:tcW w:w="4876" w:type="dxa"/>
            <w:tcBorders>
              <w:top w:val="nil"/>
              <w:left w:val="nil"/>
              <w:bottom w:val="nil"/>
              <w:right w:val="nil"/>
            </w:tcBorders>
          </w:tcPr>
          <w:p>
            <w:pPr>
              <w:pStyle w:val="Normal6a"/>
            </w:pPr>
            <w:r>
              <w:t>28.</w:t>
            </w:r>
            <w:r>
              <w:tab/>
            </w:r>
            <w:r>
              <w:rPr>
                <w:b/>
                <w:i/>
              </w:rPr>
              <w:t>atkreipia dėmesį į Juodkalnijos baudžiamojo proceso kodekso pakeitimus, kuriais siekiama pašalinti teisines ir praktines kliūtis veiksmingam karo nusikaltimų tyrimui, baudžiamajam persekiojimui, teismo procesui ir baudimui už juos, laikantis atitinkamų rekomendacijų;</w:t>
            </w:r>
            <w:r>
              <w:t xml:space="preserve"> skatina Juodkalniją laikytis aktyvaus požiūrio tiriant karo nusikaltimų bylas</w:t>
            </w:r>
            <w:r>
              <w:rPr>
                <w:b/>
                <w:i/>
              </w:rPr>
              <w:t>, laikantis tarptautinės teisės ir standartų,</w:t>
            </w:r>
            <w:r>
              <w:t xml:space="preserve"> ir užtikrinti nukentėjusiesiems teisę kreiptis į teismą ir gauti žalos atlyginimą;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skatina Juodkalniją laikytis aktyvaus požiūrio tiriant karo nusikaltimų bylas ir užtikrinti nukentėjusiesiems teisę kreiptis į teismą ir gauti žalos atlyginimą;</w:t>
            </w:r>
          </w:p>
        </w:tc>
        <w:tc>
          <w:tcPr>
            <w:tcW w:w="4876" w:type="dxa"/>
            <w:tcBorders>
              <w:top w:val="nil"/>
              <w:left w:val="nil"/>
              <w:bottom w:val="nil"/>
              <w:right w:val="nil"/>
            </w:tcBorders>
          </w:tcPr>
          <w:p>
            <w:pPr>
              <w:pStyle w:val="Normal6a"/>
            </w:pPr>
            <w:r>
              <w:t>28.</w:t>
            </w:r>
            <w:r>
              <w:tab/>
            </w:r>
            <w:r>
              <w:t xml:space="preserve">skatina Juodkalniją laikytis aktyvaus požiūrio tiriant karo nusikaltimų bylas ir užtikrinti nukentėjusiesiems teisę kreiptis į teismą ir gauti žalos atlyginimą; </w:t>
            </w:r>
            <w:r>
              <w:rPr>
                <w:b/>
                <w:i/>
              </w:rPr>
              <w:t>pabrėžia, kad reikia vykdyti veiksmingus tyrimus ir baudžiamąjį persekiojimą siekiant užtikrinti teisingumą, skatinti gynimą, nustatyti atskaitomybę ir užkirsti kelią nebaudžiamumui už šiurkščius žmogaus teisių pažeidimus;</w:t>
            </w:r>
            <w:r>
              <w:t xml:space="preserve"> </w:t>
            </w:r>
            <w:r>
              <w:rPr>
                <w:b/>
                <w:i/>
              </w:rPr>
              <w:t>ragina Juodkalniją skirti pakankamai išteklių specializuotiems prokurorams ir teismams bei stiprinti regioninį bendradarbiavimą kovojant su nebaudžiamumu;</w:t>
            </w:r>
            <w:r>
              <w:t xml:space="preserve"> </w:t>
            </w:r>
            <w:r>
              <w:rPr>
                <w:b/>
                <w:i/>
              </w:rPr>
              <w:t>pabrėžia, kad svarbu teikti teisingą kompensaciją karo aukoms, nes tai žingsnis siekiant susitaikymo ir ilgalaikės taikos regione;</w:t>
            </w:r>
            <w:r>
              <w:t xml:space="preserve"> </w:t>
            </w:r>
            <w:r>
              <w:rPr>
                <w:b/>
                <w:i/>
              </w:rPr>
              <w:t>primygtinai ragina Juodkalniją išspręsti neišspręstus klausimus, įskaitant dingusių asmenų bylas, baudžiamąjį persekiojimą už karo nusikaltimus, teisingą kompensaciją, ginčus dėl sienų, griežtesnį vienodo požiūrio į mažumas įgyvendinimą ir esamų sutarčių vykdymą palaikant konstruktyvų dialogą ir laikantis geros valios principo;</w:t>
            </w:r>
            <w:r>
              <w:t xml:space="preserve"> </w:t>
            </w:r>
            <w:r>
              <w:rPr>
                <w:b/>
                <w:i/>
              </w:rPr>
              <w:t>pripažįsta, kad šių klausimų sprendimas yra labai svarbus stiprinant pasitikėjimą, skatinant susitaikymą ir stiprinant dvišalius santykius su kaimyninėmis šalimis;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skatina Juodkalniją laikytis aktyvaus požiūrio tiriant karo nusikaltimų bylas ir užtikrinti nukentėjusiesiems teisę kreiptis į teismą ir gauti žalos atlyginimą;</w:t>
            </w:r>
          </w:p>
        </w:tc>
        <w:tc>
          <w:tcPr>
            <w:tcW w:w="4876" w:type="dxa"/>
            <w:tcBorders>
              <w:top w:val="nil"/>
              <w:left w:val="nil"/>
              <w:bottom w:val="nil"/>
              <w:right w:val="nil"/>
            </w:tcBorders>
          </w:tcPr>
          <w:p>
            <w:pPr>
              <w:pStyle w:val="Normal6a"/>
            </w:pPr>
            <w:r>
              <w:t>28.</w:t>
            </w:r>
            <w:r>
              <w:tab/>
            </w:r>
            <w:r>
              <w:t xml:space="preserve">skatina Juodkalniją laikytis aktyvaus požiūrio tiriant karo nusikaltimų bylas ir užtikrinti nukentėjusiesiems teisę kreiptis į teismą ir gauti žalos atlyginimą; </w:t>
            </w:r>
            <w:r>
              <w:rPr>
                <w:b/>
                <w:i/>
              </w:rPr>
              <w:t>primygtinai ragina Juodkalniją dėti daugiau pastangų baudžiant už karo nusikaltimus ir smerkia jų šlovinimą, taip pat siekti išsiaiškinti dingusių asmenų likimą;</w:t>
            </w:r>
            <w:r>
              <w:t xml:space="preserve"> </w:t>
            </w:r>
            <w:r>
              <w:rPr>
                <w:b/>
                <w:i/>
              </w:rPr>
              <w:t>ragina Juodkalniją kovoti su Rusijos naratyvu ir jį remiančiomis vietos radikaliomis organizacijomis;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skatina Juodkalniją laikytis aktyvaus požiūrio tiriant karo nusikaltimų bylas ir užtikrinti nukentėjusiesiems teisę kreiptis į teismą ir gauti žalos atlyginimą;</w:t>
            </w:r>
          </w:p>
        </w:tc>
        <w:tc>
          <w:tcPr>
            <w:tcW w:w="4876" w:type="dxa"/>
            <w:tcBorders>
              <w:top w:val="nil"/>
              <w:left w:val="nil"/>
              <w:bottom w:val="nil"/>
              <w:right w:val="nil"/>
            </w:tcBorders>
          </w:tcPr>
          <w:p>
            <w:pPr>
              <w:pStyle w:val="Normal6a"/>
            </w:pPr>
            <w:r>
              <w:t>28.</w:t>
            </w:r>
            <w:r>
              <w:tab/>
            </w:r>
            <w:r>
              <w:t xml:space="preserve">skatina Juodkalniją laikytis aktyvaus požiūrio tiriant karo nusikaltimų bylas ir užtikrinti nukentėjusiesiems teisę kreiptis į teismą ir gauti žalos atlyginimą; </w:t>
            </w:r>
            <w:r>
              <w:rPr>
                <w:b/>
                <w:i/>
              </w:rPr>
              <w:t>ragina Juodkalnijos valdžios institucijas susilaikyti nuo asmenų, dalyvavusių karo nusikaltimuose dešimtajame dešimtmetyje, šlovinimo;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skatina Juodkalniją laikytis aktyvaus požiūrio tiriant karo nusikaltimų bylas ir užtikrinti nukentėjusiesiems teisę kreiptis į teismą ir gauti žalos atlyginimą;</w:t>
            </w:r>
          </w:p>
        </w:tc>
        <w:tc>
          <w:tcPr>
            <w:tcW w:w="4876" w:type="dxa"/>
            <w:tcBorders>
              <w:top w:val="nil"/>
              <w:left w:val="nil"/>
              <w:bottom w:val="nil"/>
              <w:right w:val="nil"/>
            </w:tcBorders>
          </w:tcPr>
          <w:p>
            <w:pPr>
              <w:pStyle w:val="Normal6a"/>
            </w:pPr>
            <w:r>
              <w:t>28.</w:t>
            </w:r>
            <w:r>
              <w:tab/>
            </w:r>
            <w:r>
              <w:t xml:space="preserve">skatina Juodkalniją laikytis aktyvaus požiūrio tiriant karo nusikaltimų bylas ir užtikrinti nukentėjusiesiems teisę kreiptis į teismą ir gauti žalos atlyginimą; </w:t>
            </w:r>
            <w:r>
              <w:rPr>
                <w:b/>
                <w:i/>
              </w:rPr>
              <w:t>ragina Juodkalniją dėti daugiau susitaikymo pastangų ir ieškoti ankstesnių ginčų sprendimų;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įspėja dėl politinio revizionizmo, kuris iškreipia istorinius faktus politiniais tikslais, kenkia atskaitomybei ir didina visuomenės susiskaidymą, pavojų;</w:t>
            </w:r>
            <w:r>
              <w:t xml:space="preserve"> </w:t>
            </w:r>
            <w:r>
              <w:rPr>
                <w:b/>
                <w:i/>
              </w:rPr>
              <w:t>pabrėžia, kad svarbu išsaugoti istorinę tiesą kaip demokratinių vertybių ir susitaikymo pagrindą.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pakartoja, kad remia iniciatyvą įsteigti faktų apie karo nusikaltimus ir kitus sunkius žmogaus teisių pažeidimus buvusiosios Jugoslavijos teritorijoje nustatymo regioninę komisiją (RECOM);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įspėja dėl politinio revizionizmo, kuris iškreipia istorinius faktus politiniais tikslais, kenkia atskaitomybei ir didina visuomenės susiskaidymą, pavojų;</w:t>
            </w:r>
            <w:r>
              <w:t xml:space="preserve"> </w:t>
            </w:r>
            <w:r>
              <w:rPr>
                <w:b/>
                <w:i/>
              </w:rPr>
              <w:t>pabrėžia, kad svarbu apsaugoti teismo procesais pagrįstus faktus kaip susitaikymo pagrindą;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pakartoja savo raginimą paviešinti buvusių Jugoslavijos respublikų archyvus ir suteikti galimybę susipažinti su buvusios Jugoslavijos slaptosios tarnybos (UDBA) ir Jugoslavijos liaudies armijos slaptosios tarnybos (KOS) dokumentais, kad būtų galima nuodugniai ištirti ir išnagrinėti komunistinio laikotarpio nusikaltimus;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Andrey Kovatchev,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ragina Serbiją atidaryti visus karo laiko archyvus ir suteikti galimybę susipažinti su buvusiosios Jugoslavijos slaptosios tarnybos (UDBA) ir Jugoslavijos liaudies armijos slaptosios tarnybos (KOS) bylomis, užtikrinant, kad paprašius jie būtų grąžinti atitinkamoms vyriausybėms;</w:t>
            </w:r>
            <w:r>
              <w:t xml:space="preserve"> </w:t>
            </w:r>
            <w:r>
              <w:rPr>
                <w:b/>
                <w:i/>
              </w:rPr>
              <w:t>pabrėžia, kad šiuos archyvus reikia atverti visam regionui, siekiant ištirti komunistinių laikų nusikaltimus ir stiprinti demokratiją, atskaitomybę ir institucijas Vakarų Balkanuose;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palankiai vertina Juodkalnijos įtraukimą į SEPA mokėjimo schemas, sumažinant piliečiams ir įmonėms tenkančias išlaidas;</w:t>
            </w:r>
          </w:p>
        </w:tc>
        <w:tc>
          <w:tcPr>
            <w:tcW w:w="4876" w:type="dxa"/>
            <w:tcBorders>
              <w:top w:val="nil"/>
              <w:left w:val="nil"/>
              <w:bottom w:val="nil"/>
              <w:right w:val="nil"/>
            </w:tcBorders>
          </w:tcPr>
          <w:p>
            <w:pPr>
              <w:pStyle w:val="Normal6a"/>
            </w:pPr>
            <w:r>
              <w:t>29.</w:t>
            </w:r>
            <w:r>
              <w:tab/>
            </w:r>
            <w:r>
              <w:t xml:space="preserve">palankiai vertina Juodkalnijos įtraukimą į SEPA mokėjimo schemas, sumažinant piliečiams ir įmonėms tenkančias išlaidas; </w:t>
            </w:r>
            <w:r>
              <w:rPr>
                <w:b/>
                <w:i/>
              </w:rPr>
              <w:t>pabrėžia, kad tai atveria verslo plėtros, didesnio konkurencingumo, inovacijų ir geresnių galimybių naudotis tiesioginėmis užsienio investicijomis galimybių;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palankiai vertina Vakarų Balkanų ekonomikos augimo planą </w:t>
            </w:r>
            <w:r>
              <w:rPr>
                <w:b/>
                <w:i/>
              </w:rPr>
              <w:t>ir</w:t>
            </w:r>
            <w:r>
              <w:t xml:space="preserve"> Vakarų Balkanų reformų ir ekonomikos augimo priemonę; palankiai vertina tai, kad Juodkalnija patvirtino reformų darbotvarkę, ir ragina ją visiškai įgyvendinti; pabrėžia įtraukių konsultacijų su suinteresuotaisiais subjektais svarbą rengimo, įgyvendinimo, stebėsenos ir vertinimo etapais;</w:t>
            </w:r>
          </w:p>
        </w:tc>
        <w:tc>
          <w:tcPr>
            <w:tcW w:w="4876" w:type="dxa"/>
            <w:tcBorders>
              <w:top w:val="nil"/>
              <w:left w:val="nil"/>
              <w:bottom w:val="nil"/>
              <w:right w:val="nil"/>
            </w:tcBorders>
          </w:tcPr>
          <w:p>
            <w:pPr>
              <w:pStyle w:val="Normal6a"/>
            </w:pPr>
            <w:r>
              <w:t>30.</w:t>
            </w:r>
            <w:r>
              <w:tab/>
            </w:r>
            <w:r>
              <w:t>palankiai vertina Vakarų Balkanų ekonomikos augimo planą</w:t>
            </w:r>
            <w:r>
              <w:rPr>
                <w:b/>
                <w:i/>
              </w:rPr>
              <w:t>, kuriuo siekiama integruoti regioną į ES bendrąją rinką, skatinti regioninį ekonominį bendradarbiavimą, stiprinti su ES susijusias reformas ir įtraukti 6 mlrd. EUR vertės</w:t>
            </w:r>
            <w:r>
              <w:t xml:space="preserve"> Vakarų Balkanų reformų ir ekonomikos augimo priemonę; palankiai vertina tai, kad Juodkalnija patvirtino reformų darbotvarkę, ir ragina ją visiškai įgyvendinti; pabrėžia įtraukių konsultacijų su suinteresuotaisiais subjektais svarbą rengimo, įgyvendinimo, stebėsenos ir vertinimo etapais;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Lucia Yar, Dan Barna, Malik Azmani, Marjan Šarec, Ľubica Karvašová,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palankiai vertina Vakarų Balkanų ekonomikos augimo planą ir Vakarų Balkanų reformų ir ekonomikos augimo priemonę; palankiai vertina tai, kad Juodkalnija patvirtino reformų darbotvarkę, ir ragina ją visiškai įgyvendinti; pabrėžia įtraukių konsultacijų su suinteresuotaisiais subjektais svarbą rengimo, įgyvendinimo, stebėsenos ir vertinimo etapais;</w:t>
            </w:r>
          </w:p>
        </w:tc>
        <w:tc>
          <w:tcPr>
            <w:tcW w:w="4876" w:type="dxa"/>
            <w:tcBorders>
              <w:top w:val="nil"/>
              <w:left w:val="nil"/>
              <w:bottom w:val="nil"/>
              <w:right w:val="nil"/>
            </w:tcBorders>
          </w:tcPr>
          <w:p>
            <w:pPr>
              <w:pStyle w:val="Normal6a"/>
            </w:pPr>
            <w:r>
              <w:t>30.</w:t>
            </w:r>
            <w:r>
              <w:tab/>
            </w:r>
            <w:r>
              <w:t xml:space="preserve">palankiai vertina Vakarų Balkanų ekonomikos augimo planą ir Vakarų Balkanų reformų ir ekonomikos augimo priemonę; palankiai vertina tai, kad Juodkalnija patvirtino reformų darbotvarkę, ir ragina ją visiškai įgyvendinti; </w:t>
            </w:r>
            <w:r>
              <w:rPr>
                <w:b/>
                <w:i/>
              </w:rPr>
              <w:t>pažymi, kad įgyvendinus nustatytas reformų priemones pagal Juodkalnijos ekonomikos augimo plano reformų darbotvarkę, su sąlyga, kad jos bus sėkmingai įgyvendintos, būtų galima gauti daugiau kaip 380 mln. EUR dotacijų ir palankių paskolų;</w:t>
            </w:r>
            <w:r>
              <w:t xml:space="preserve"> pabrėžia įtraukių konsultacijų su suinteresuotaisiais subjektais svarbą rengimo, įgyvendinimo, stebėsenos ir vertinimo etapais;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palankiai vertina Vakarų Balkanų ekonomikos augimo planą ir Vakarų Balkanų reformų ir ekonomikos augimo priemonę; palankiai vertina tai, kad Juodkalnija patvirtino reformų darbotvarkę, ir ragina ją visiškai įgyvendinti; pabrėžia įtraukių konsultacijų su suinteresuotaisiais subjektais svarbą rengimo, įgyvendinimo, stebėsenos ir vertinimo etapais;</w:t>
            </w:r>
          </w:p>
        </w:tc>
        <w:tc>
          <w:tcPr>
            <w:tcW w:w="4876" w:type="dxa"/>
            <w:tcBorders>
              <w:top w:val="nil"/>
              <w:left w:val="nil"/>
              <w:bottom w:val="nil"/>
              <w:right w:val="nil"/>
            </w:tcBorders>
          </w:tcPr>
          <w:p>
            <w:pPr>
              <w:pStyle w:val="Normal6a"/>
            </w:pPr>
            <w:r>
              <w:t>30.</w:t>
            </w:r>
            <w:r>
              <w:tab/>
            </w:r>
            <w:r>
              <w:t xml:space="preserve">palankiai vertina Vakarų Balkanų ekonomikos augimo planą ir Vakarų Balkanų reformų ir ekonomikos augimo priemonę; palankiai vertina tai, kad Juodkalnija patvirtino reformų darbotvarkę, ir ragina ją visiškai įgyvendinti; </w:t>
            </w:r>
            <w:r>
              <w:rPr>
                <w:b/>
                <w:i/>
              </w:rPr>
              <w:t>ragina Juodkalniją kuo geriau pasinaudoti ES lėšomis, prieinamomis pagal PNPP III ir Vakarų Balkanų priemonę;</w:t>
            </w:r>
            <w:r>
              <w:t xml:space="preserve"> pabrėžia įtraukių konsultacijų su suinteresuotaisiais subjektais svarbą rengimo, įgyvendinimo, stebėsenos ir vertinimo etapais;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palankiai vertina Vakarų Balkanų ekonomikos augimo planą ir Vakarų Balkanų reformų ir ekonomikos augimo priemonę; palankiai vertina tai, kad Juodkalnija patvirtino reformų darbotvarkę, ir ragina ją visiškai įgyvendinti; pabrėžia įtraukių </w:t>
            </w:r>
            <w:r>
              <w:rPr>
                <w:b/>
                <w:i/>
              </w:rPr>
              <w:t>konsultacijų su suinteresuotaisiais subjektais</w:t>
            </w:r>
            <w:r>
              <w:t xml:space="preserve"> svarbą </w:t>
            </w:r>
            <w:r>
              <w:rPr>
                <w:b/>
                <w:i/>
              </w:rPr>
              <w:t>rengimo, įgyvendinimo, stebėsenos ir vertinimo etapais</w:t>
            </w:r>
            <w:r>
              <w:t>;</w:t>
            </w:r>
          </w:p>
        </w:tc>
        <w:tc>
          <w:tcPr>
            <w:tcW w:w="4876" w:type="dxa"/>
            <w:tcBorders>
              <w:top w:val="nil"/>
              <w:left w:val="nil"/>
              <w:bottom w:val="nil"/>
              <w:right w:val="nil"/>
            </w:tcBorders>
          </w:tcPr>
          <w:p>
            <w:pPr>
              <w:pStyle w:val="Normal6a"/>
            </w:pPr>
            <w:r>
              <w:t>30.</w:t>
            </w:r>
            <w:r>
              <w:tab/>
            </w:r>
            <w:r>
              <w:t xml:space="preserve">palankiai vertina Vakarų Balkanų ekonomikos augimo planą ir Vakarų Balkanų reformų ir ekonomikos augimo priemonę; palankiai vertina tai, kad Juodkalnija patvirtino reformų darbotvarkę, ir ragina ją visiškai įgyvendinti; pabrėžia įtraukių </w:t>
            </w:r>
            <w:r>
              <w:rPr>
                <w:b/>
                <w:i/>
              </w:rPr>
              <w:t>suinteresuotųjų subjektų, įskaitant vietos ir regionų valdžios institucijas, socialinius partnerius ir pilietinę visuomenę,</w:t>
            </w:r>
            <w:r>
              <w:t xml:space="preserve"> svarbą </w:t>
            </w:r>
            <w:r>
              <w:rPr>
                <w:b/>
                <w:i/>
              </w:rPr>
              <w:t>rengiant, įgyvendinant, stebint ir vertinant konsultacijas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ragina Juodkalniją kuo geriau pasinaudoti visomis ES lėšomis ir toliau derinti savo teisės aktus su ES sukčiavimo prevencijos srityje; primena, kad esama ES finansavimo sąlygų;</w:t>
            </w:r>
          </w:p>
        </w:tc>
        <w:tc>
          <w:tcPr>
            <w:tcW w:w="4876" w:type="dxa"/>
            <w:tcBorders>
              <w:top w:val="nil"/>
              <w:left w:val="nil"/>
              <w:bottom w:val="nil"/>
              <w:right w:val="nil"/>
            </w:tcBorders>
          </w:tcPr>
          <w:p>
            <w:pPr>
              <w:pStyle w:val="Normal6a"/>
            </w:pPr>
            <w:r>
              <w:t>31.</w:t>
            </w:r>
            <w:r>
              <w:tab/>
            </w:r>
            <w:r>
              <w:t xml:space="preserve">ragina Juodkalniją kuo geriau pasinaudoti visomis ES lėšomis ir toliau derinti savo teisės aktus su ES sukčiavimo prevencijos </w:t>
            </w:r>
            <w:r>
              <w:rPr>
                <w:b/>
                <w:i/>
              </w:rPr>
              <w:t>ir lėšų plovimo</w:t>
            </w:r>
            <w:r>
              <w:t xml:space="preserve"> srityje; primena, kad esama ES finansavimo sąlygų; </w:t>
            </w:r>
            <w:r>
              <w:rPr>
                <w:b/>
                <w:i/>
              </w:rPr>
              <w:t>pabrėžia, kad ES lėšų naudojimas turi būti tinkamai stebimas ir veiksmingai vertinamas, kad būtų užkirstas kelias netinkamam jų naudojimui.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ragina Juodkalniją kuo geriau pasinaudoti </w:t>
            </w:r>
            <w:r>
              <w:rPr>
                <w:b/>
                <w:i/>
              </w:rPr>
              <w:t>visomis ES lėšomis</w:t>
            </w:r>
            <w:r>
              <w:t xml:space="preserve"> ir toliau derinti savo teisės aktus su ES sukčiavimo prevencijos </w:t>
            </w:r>
            <w:r>
              <w:rPr>
                <w:b/>
                <w:i/>
              </w:rPr>
              <w:t>srityje</w:t>
            </w:r>
            <w:r>
              <w:t>; primena, kad esama ES finansavimo sąlygų;</w:t>
            </w:r>
          </w:p>
        </w:tc>
        <w:tc>
          <w:tcPr>
            <w:tcW w:w="4876" w:type="dxa"/>
            <w:tcBorders>
              <w:top w:val="nil"/>
              <w:left w:val="nil"/>
              <w:bottom w:val="nil"/>
              <w:right w:val="nil"/>
            </w:tcBorders>
          </w:tcPr>
          <w:p>
            <w:pPr>
              <w:pStyle w:val="Normal6a"/>
            </w:pPr>
            <w:r>
              <w:t>31.</w:t>
            </w:r>
            <w:r>
              <w:tab/>
            </w:r>
            <w:r>
              <w:t xml:space="preserve">ragina Juodkalniją kuo geriau pasinaudoti </w:t>
            </w:r>
            <w:r>
              <w:rPr>
                <w:b/>
                <w:i/>
              </w:rPr>
              <w:t>visu ES finansavimu, teikiamu pagal Pasirengimo narystei priemonę (PNPP III), Vakarų Balkanų ekonomikos ir investicijų planą, IPARD programą ir Vakarų Balkanų reformų ir ekonomikos augimo priemonę, siekiant paspartinti socialinę ir ekonominę konvergenciją su ES</w:t>
            </w:r>
            <w:r>
              <w:t xml:space="preserve"> ir toliau derinti savo teisės aktus su ES </w:t>
            </w:r>
            <w:r>
              <w:rPr>
                <w:b/>
                <w:i/>
              </w:rPr>
              <w:t>dėl</w:t>
            </w:r>
            <w:r>
              <w:t xml:space="preserve"> sukčiavimo prevencijos; primena, kad esama ES finansavimo sąlygų;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ragina Juodkalniją kuo geriau pasinaudoti visomis ES lėšomis ir toliau derinti savo teisės aktus su ES sukčiavimo prevencijos srityje; primena, kad esama ES finansavimo sąlygų;</w:t>
            </w:r>
          </w:p>
        </w:tc>
        <w:tc>
          <w:tcPr>
            <w:tcW w:w="4876" w:type="dxa"/>
            <w:tcBorders>
              <w:top w:val="nil"/>
              <w:left w:val="nil"/>
              <w:bottom w:val="nil"/>
              <w:right w:val="nil"/>
            </w:tcBorders>
          </w:tcPr>
          <w:p>
            <w:pPr>
              <w:pStyle w:val="Normal6a"/>
            </w:pPr>
            <w:r>
              <w:t>31.</w:t>
            </w:r>
            <w:r>
              <w:tab/>
            </w:r>
            <w:r>
              <w:t xml:space="preserve">ragina Juodkalniją kuo geriau pasinaudoti visomis ES lėšomis ir toliau derinti savo teisės aktus su ES sukčiavimo prevencijos srityje; primena, kad esama ES finansavimo sąlygų; </w:t>
            </w:r>
            <w:r>
              <w:rPr>
                <w:b/>
                <w:i/>
              </w:rPr>
              <w:t>kurie gali būti moduliuojami arba sustabdomi, jei pastebimas didelis regresas arba nuolat trūksta pažangos pagrindinių principų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ragina ES ir narystės siekiančias šalis sukurti veiksmingo Europos prokuratūros ir narystės siekiančių šalių bendradarbiavimo sistemą;</w:t>
            </w:r>
            <w:r>
              <w:t xml:space="preserve"> </w:t>
            </w:r>
            <w:r>
              <w:rPr>
                <w:b/>
                <w:i/>
              </w:rPr>
              <w:t>ragina Juodkalniją visapusiškai įgyvendinti darbo susitarimus su Europos prokuratūra, siekiant palengvinti glaudų bendradarbiavimą ir baudžiamąjį persekiojimą už netinkamą ES lėšų naudojimą;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ragina ES ir Vakarų Balkanų šalis sukurti veiksmingo bendradarbiavimo su Europos prokuratūra sistemą;</w:t>
            </w:r>
            <w:r>
              <w:t xml:space="preserve"> </w:t>
            </w:r>
            <w:r>
              <w:rPr>
                <w:b/>
                <w:i/>
              </w:rPr>
              <w:t>ragina Komisiją imtis reikiamų teisinių ir politinių priemonių siekiant išplėsti Europos prokuratūros jurisdikciją ES lėšoms, skirtoms Juodkalnijai kaip šaliai kandidatei;</w:t>
            </w:r>
            <w:r>
              <w:t xml:space="preserve"> </w:t>
            </w:r>
            <w:r>
              <w:rPr>
                <w:b/>
                <w:i/>
              </w:rPr>
              <w:t>skatina Vakarų Balkanų šalis skubiai sudaryti dvišalius darbo susitarimus su Europos prokuratūra, siekiant palengvinti glaudų bendradarbiavimą ir baudžiamąjį persekiojimą už netinkamą ES lėšų naudojimą, be kita ko, komandiruojant nacionalinius ryšių palaikymo pareigūnus į Europos prokuratūrą;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ragina ES ir Vakarų Balkanų šalis sukurti veiksmingo Europos prokuratūros ir narystės siekiančių šalių bendradarbiavimo sistemą, kad būtų sudarytos palankios sąlygos glaudžiai bendradarbiauti ir vykdyti baudžiamąjį persekiojimą netinkamo ES lėšų panaudojimo atvejais;</w:t>
            </w:r>
            <w:r>
              <w:t xml:space="preserve"> </w:t>
            </w:r>
            <w:r>
              <w:rPr>
                <w:b/>
                <w:i/>
              </w:rPr>
              <w:t>palankiai vertina tai, kad Juodkalnija sudarė dvišalį darbo susitarimą su Europos prokuratūra;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Jaroslav Bžoch,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teigiamai vertina Juodkalnijos ekonomikos augimą; ragina imtis daugiau veiksmų siekiant sumažinti biudžeto deficitą ir valstybės skolą ir toliau naikinti su ES acquis nesuderintas netiesioginių mokesčių lengvatas;</w:t>
            </w:r>
          </w:p>
        </w:tc>
        <w:tc>
          <w:tcPr>
            <w:tcW w:w="4876" w:type="dxa"/>
            <w:tcBorders>
              <w:top w:val="nil"/>
              <w:left w:val="nil"/>
              <w:bottom w:val="nil"/>
              <w:right w:val="nil"/>
            </w:tcBorders>
          </w:tcPr>
          <w:p>
            <w:pPr>
              <w:pStyle w:val="Normal6a"/>
            </w:pPr>
            <w:r>
              <w:t>32.</w:t>
            </w:r>
            <w:r>
              <w:tab/>
            </w:r>
            <w:r>
              <w:t xml:space="preserve">teigiamai vertina Juodkalnijos ekonomikos augimą; ragina imtis daugiau veiksmų siekiant sumažinti biudžeto deficitą ir valstybės skolą ir toliau naikinti su ES acquis nesuderintas netiesioginių mokesčių lengvatas; </w:t>
            </w:r>
            <w:r>
              <w:rPr>
                <w:b/>
                <w:i/>
              </w:rPr>
              <w:t>ir veiksmingai kovoti su mokestiniu sukčiavimu, mokesčių slėpimu ir vengimu siekiant padidinti biudžeto pajamas.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teigiamai vertina Juodkalnijos ekonomikos augimą; ragina imtis daugiau veiksmų siekiant sumažinti biudžeto deficitą ir valstybės skolą ir toliau naikinti su ES acquis nesuderintas netiesioginių mokesčių lengvatas;</w:t>
            </w:r>
          </w:p>
        </w:tc>
        <w:tc>
          <w:tcPr>
            <w:tcW w:w="4876" w:type="dxa"/>
            <w:tcBorders>
              <w:top w:val="nil"/>
              <w:left w:val="nil"/>
              <w:bottom w:val="nil"/>
              <w:right w:val="nil"/>
            </w:tcBorders>
          </w:tcPr>
          <w:p>
            <w:pPr>
              <w:pStyle w:val="Normal6a"/>
            </w:pPr>
            <w:r>
              <w:t>32.</w:t>
            </w:r>
            <w:r>
              <w:tab/>
            </w:r>
            <w:r>
              <w:t xml:space="preserve">teigiamai vertina Juodkalnijos ekonomikos augimą; ragina imtis daugiau veiksmų siekiant sumažinti biudžeto deficitą ir valstybės skolą ir toliau naikinti su ES acquis nesuderintas netiesioginių mokesčių lengvatas; </w:t>
            </w:r>
            <w:r>
              <w:rPr>
                <w:b/>
                <w:i/>
              </w:rPr>
              <w:t>pakartoja, kad siekiant tvaraus socialinio ir ekonominio vystymosi reikia didinti viešąsias investicijas į švietimo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teigiamai vertina Juodkalnijos ekonomikos augimą; ragina imtis daugiau veiksmų siekiant sumažinti biudžeto deficitą ir valstybės skolą ir toliau naikinti su ES acquis nesuderintas netiesioginių mokesčių lengvatas;</w:t>
            </w:r>
          </w:p>
        </w:tc>
        <w:tc>
          <w:tcPr>
            <w:tcW w:w="4876" w:type="dxa"/>
            <w:tcBorders>
              <w:top w:val="nil"/>
              <w:left w:val="nil"/>
              <w:bottom w:val="nil"/>
              <w:right w:val="nil"/>
            </w:tcBorders>
          </w:tcPr>
          <w:p>
            <w:pPr>
              <w:pStyle w:val="Normal6a"/>
            </w:pPr>
            <w:r>
              <w:t>32.</w:t>
            </w:r>
            <w:r>
              <w:tab/>
            </w:r>
            <w:r>
              <w:t xml:space="preserve">teigiamai vertina Juodkalnijos ekonomikos augimą; ragina imtis daugiau veiksmų siekiant sumažinti biudžeto deficitą ir valstybės skolą ir toliau naikinti su ES acquis nesuderintas netiesioginių mokesčių lengvatas; </w:t>
            </w:r>
            <w:r>
              <w:rPr>
                <w:b/>
                <w:i/>
              </w:rPr>
              <w:t>palankiai vertina pastangas mažinti šį fiskalinį pažeidžiamumą, įskaitant su Kinija susijusį pažeidžiamumą;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atkreipia dėmesį į Juodkalnijos valstybės skolą užsienio finansų įstaigoms ir įmonėms, kuri gali būti naudojama kaip priemonė daryti įtaką jos užsienio politikos sprendimams, ypač tiems, kurie susiję su Kinija;</w:t>
            </w:r>
            <w:r>
              <w:t xml:space="preserve"> </w:t>
            </w:r>
            <w:r>
              <w:rPr>
                <w:b/>
                <w:i/>
              </w:rPr>
              <w:t>ragina valdžios institucijas toliau mažinti ekonominę priklausomybę nuo Kinijos;</w:t>
            </w:r>
            <w:r>
              <w:t xml:space="preserve"> </w:t>
            </w:r>
            <w:r>
              <w:rPr>
                <w:b/>
                <w:i/>
              </w:rPr>
              <w:t>ragina Juodkalniją toliau naudotis Vakarų Balkanų ekonomikos ir investicijų planu, ES strategija „Global Gateway“ ir Vakarų Balkanų priemone, kad būtų rasta žalesnių ir skaidresnių alternatyvų infrastruktūros projektams finansuoti;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ragina Juodkalnijos valdžios institucijas imtis priemonių siekiant kovoti su gyventojų skaičiaus mažėjimu ir emigracija, visų pirma, investuojant į švietimą ir sveikatos priežiūrą šalies šiaurėje, taip pat decentralizuojant šalį per investicijas į vidutinio dydžio miestus;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reiškia susirūpinimą dėl nuolat aukšto nedarbo lygio, ypač moterų ir jaunimo, ir ragina valdžios institucijas dėti daugiau pastangų, kad būtų pagerintas šių grupių dalyvavimas darbo rinkoje, ir skubiai spręsti protų nutekėjimo problemą;</w:t>
            </w:r>
            <w:r>
              <w:t xml:space="preserve"> </w:t>
            </w:r>
            <w:r>
              <w:rPr>
                <w:b/>
                <w:i/>
              </w:rPr>
              <w:t>palankiai vertina Jaunimo garantijų sistemos kūrimo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ragina Juodkalnijos valdžios institucijas skatinti skaitmeninę transformaciją ir </w:t>
            </w:r>
            <w:r>
              <w:rPr>
                <w:b/>
                <w:i/>
              </w:rPr>
              <w:t>toliau</w:t>
            </w:r>
            <w:r>
              <w:t xml:space="preserve"> vykdyti įrodymais grindžiamą darbo rinkos politiką;</w:t>
            </w:r>
          </w:p>
        </w:tc>
        <w:tc>
          <w:tcPr>
            <w:tcW w:w="4876" w:type="dxa"/>
            <w:tcBorders>
              <w:top w:val="nil"/>
              <w:left w:val="nil"/>
              <w:bottom w:val="nil"/>
              <w:right w:val="nil"/>
            </w:tcBorders>
          </w:tcPr>
          <w:p>
            <w:pPr>
              <w:pStyle w:val="Normal6a"/>
            </w:pPr>
            <w:r>
              <w:t>33.</w:t>
            </w:r>
            <w:r>
              <w:tab/>
            </w:r>
            <w:r>
              <w:t>ragina Juodkalnijos valdžios institucijas skatinti skaitmeninę transformaciją ir vykdyti įrodymais grindžiamą darbo rinkos politiką</w:t>
            </w:r>
            <w:r>
              <w:rPr>
                <w:b/>
                <w:i/>
              </w:rPr>
              <w:t>, kartu stiprinant institucinius gebėjimus ir stiprinant pagrindinę skaitmeninės politikos sistemą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ragina Juodkalnijos valdžios institucijas skatinti skaitmeninę transformaciją ir toliau vykdyti įrodymais grindžiamą darbo rinkos politiką;</w:t>
            </w:r>
          </w:p>
        </w:tc>
        <w:tc>
          <w:tcPr>
            <w:tcW w:w="4876" w:type="dxa"/>
            <w:tcBorders>
              <w:top w:val="nil"/>
              <w:left w:val="nil"/>
              <w:bottom w:val="nil"/>
              <w:right w:val="nil"/>
            </w:tcBorders>
          </w:tcPr>
          <w:p>
            <w:pPr>
              <w:pStyle w:val="Normal6a"/>
            </w:pPr>
            <w:r>
              <w:t>33.</w:t>
            </w:r>
            <w:r>
              <w:tab/>
            </w:r>
            <w:r>
              <w:t xml:space="preserve">ragina Juodkalnijos valdžios institucijas skatinti skaitmeninę transformaciją ir toliau vykdyti įrodymais grindžiamą darbo rinkos politiką; </w:t>
            </w:r>
            <w:r>
              <w:rPr>
                <w:b/>
                <w:i/>
              </w:rPr>
              <w:t>skatina rengti tikslines prevencines priemones ir paskatas įteisinti neoficialų verslą ir darbuotojus, nes didelis neoficialus sektorius ir toliau trukdo Juodkalnijos ekonominiam ir socialiniam vystymuisi;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ragina Juodkalnijos valdžios institucijas skatinti skaitmeninę transformaciją ir toliau vykdyti įrodymais grindžiamą darbo rinkos politiką;</w:t>
            </w:r>
          </w:p>
        </w:tc>
        <w:tc>
          <w:tcPr>
            <w:tcW w:w="4876" w:type="dxa"/>
            <w:tcBorders>
              <w:top w:val="nil"/>
              <w:left w:val="nil"/>
              <w:bottom w:val="nil"/>
              <w:right w:val="nil"/>
            </w:tcBorders>
          </w:tcPr>
          <w:p>
            <w:pPr>
              <w:pStyle w:val="Normal6a"/>
            </w:pPr>
            <w:r>
              <w:t>33.</w:t>
            </w:r>
            <w:r>
              <w:tab/>
            </w:r>
            <w:r>
              <w:t xml:space="preserve">ragina Juodkalnijos valdžios institucijas skatinti skaitmeninę transformaciją ir toliau vykdyti įrodymais grindžiamą darbo rinkos politiką; </w:t>
            </w:r>
            <w:r>
              <w:rPr>
                <w:b/>
                <w:i/>
              </w:rPr>
              <w:t>veiksmingai įgyvendinti Jaunimo garantijų iniciatyvą ir naująją jaunimo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palankiai vertina raginimus skubiai integruoti visus Vakarų Balkanus į ES bendrąją skaitmeninę rinką iki faktinės narystės ES, nes tai būtų labai naudinga kuriant skaitmeniniu požiūriu saugią aplinką;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ragina užtikrinti didesnį viešųjų pirkimų skaidrumą, visų pirma procedūras, vykdomas sudarant tarpvyriausybinius susitarimus, ir visiškai laikytis ES taisyklių ir principų;</w:t>
            </w:r>
          </w:p>
        </w:tc>
        <w:tc>
          <w:tcPr>
            <w:tcW w:w="4876" w:type="dxa"/>
            <w:tcBorders>
              <w:top w:val="nil"/>
              <w:left w:val="nil"/>
              <w:bottom w:val="nil"/>
              <w:right w:val="nil"/>
            </w:tcBorders>
          </w:tcPr>
          <w:p>
            <w:pPr>
              <w:pStyle w:val="Normal6a"/>
            </w:pPr>
            <w:r>
              <w:t>34.</w:t>
            </w:r>
            <w:r>
              <w:tab/>
            </w:r>
            <w:r>
              <w:t xml:space="preserve">ragina užtikrinti didesnį viešųjų pirkimų skaidrumą, visų pirma procedūras, vykdomas sudarant tarpvyriausybinius susitarimus, ir visiškai laikytis ES taisyklių ir principų; </w:t>
            </w:r>
            <w:r>
              <w:rPr>
                <w:b/>
                <w:i/>
              </w:rPr>
              <w:t>reiškia susirūpinimą dėl finansinės naštos ir nepakankamo skaidrumo, susijusio su Juodkalnijos Baro-Boljare greitkelio, finansuojamo Kinijos paskola, tiesimu;</w:t>
            </w:r>
            <w:r>
              <w:t xml:space="preserve"> </w:t>
            </w:r>
            <w:r>
              <w:rPr>
                <w:b/>
                <w:i/>
              </w:rPr>
              <w:t>pabrėžia, kad su paskolų susitarimais ir statybos sutartimis susijęs slaptumas kelia susirūpinimą dėl atskaitomybės;</w:t>
            </w:r>
            <w:r>
              <w:t xml:space="preserve"> </w:t>
            </w:r>
            <w:r>
              <w:rPr>
                <w:b/>
                <w:i/>
              </w:rPr>
              <w:t>ragina Juodkalniją didinti būsimų infrastruktūros projektų skaidrumą, užtikrinti konkurencinius konkursus ir vengti pernelyg didelės skolos priklausomybės nuo užsienio kreditorių;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ragina užtikrinti didesnį viešųjų pirkimų skaidrumą, visų pirma procedūras, vykdomas sudarant tarpvyriausybinius susitarimus, ir visiškai laikytis ES taisyklių ir principų;</w:t>
            </w:r>
          </w:p>
        </w:tc>
        <w:tc>
          <w:tcPr>
            <w:tcW w:w="4876" w:type="dxa"/>
            <w:tcBorders>
              <w:top w:val="nil"/>
              <w:left w:val="nil"/>
              <w:bottom w:val="nil"/>
              <w:right w:val="nil"/>
            </w:tcBorders>
          </w:tcPr>
          <w:p>
            <w:pPr>
              <w:pStyle w:val="Normal6a"/>
            </w:pPr>
            <w:r>
              <w:t>34.</w:t>
            </w:r>
            <w:r>
              <w:tab/>
            </w:r>
            <w:r>
              <w:t xml:space="preserve">ragina užtikrinti didesnį viešųjų pirkimų skaidrumą, visų pirma procedūras, vykdomas sudarant tarpvyriausybinius susitarimus, ir visiškai laikytis ES taisyklių ir principų; </w:t>
            </w:r>
            <w:r>
              <w:rPr>
                <w:b/>
                <w:i/>
              </w:rPr>
              <w:t>ragina Juodkalniją sumažinti viešųjų pirkimų procedūrų skaičių be skelbimų;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yra labai susirūpinęs dėl visų piktavališkų trečiųjų šalių, įskaitant Rusiją, investicijų į strateginius sektorius Juodkalnijoje;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6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Energetika, aplinka ir susisiekimas</w:t>
            </w:r>
          </w:p>
        </w:tc>
        <w:tc>
          <w:tcPr>
            <w:tcW w:w="4876" w:type="dxa"/>
            <w:tcBorders>
              <w:top w:val="nil"/>
              <w:left w:val="nil"/>
              <w:bottom w:val="nil"/>
              <w:right w:val="nil"/>
            </w:tcBorders>
          </w:tcPr>
          <w:p>
            <w:pPr>
              <w:pStyle w:val="Normal6a"/>
            </w:pPr>
            <w:r>
              <w:t>Energetika, aplinka</w:t>
            </w:r>
            <w:r>
              <w:rPr>
                <w:b/>
                <w:i/>
              </w:rPr>
              <w:t>, biologinė įvairovė</w:t>
            </w:r>
            <w:r>
              <w:t xml:space="preserve"> ir susisiekimas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tc>
        <w:tc>
          <w:tcPr>
            <w:tcW w:w="4876" w:type="dxa"/>
            <w:tcBorders>
              <w:top w:val="nil"/>
              <w:left w:val="nil"/>
              <w:bottom w:val="nil"/>
              <w:right w:val="nil"/>
            </w:tcBorders>
          </w:tcPr>
          <w:p>
            <w:pPr>
              <w:pStyle w:val="Normal6a"/>
            </w:pPr>
            <w:r>
              <w:t>35.</w:t>
            </w:r>
            <w:r>
              <w:tab/>
            </w:r>
            <w:r>
              <w:t xml:space="preserve">primygtinai ragina Juodkalniją siekti pažangos žaliosios pertvarkos srityje </w:t>
            </w:r>
            <w:r>
              <w:rPr>
                <w:b/>
                <w:i/>
              </w:rPr>
              <w:t>padedant ES</w:t>
            </w:r>
            <w:r>
              <w:t>,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tc>
        <w:tc>
          <w:tcPr>
            <w:tcW w:w="4876" w:type="dxa"/>
            <w:tcBorders>
              <w:top w:val="nil"/>
              <w:left w:val="nil"/>
              <w:bottom w:val="nil"/>
              <w:right w:val="nil"/>
            </w:tcBorders>
          </w:tcPr>
          <w:p>
            <w:pPr>
              <w:pStyle w:val="Normal6a"/>
            </w:pPr>
            <w:r>
              <w:t>35.</w:t>
            </w:r>
            <w:r>
              <w:tab/>
            </w:r>
            <w:r>
              <w:t xml:space="preserve">primygtinai ragina Juodkalniją siekti pažangos žaliosios pertvarkos srityje, gerinti savo institucinę ir reguliavimo sistemą ir didinti energetinį atsparumą </w:t>
            </w:r>
            <w:r>
              <w:rPr>
                <w:b/>
                <w:i/>
              </w:rPr>
              <w:t>galiausiai</w:t>
            </w:r>
            <w:r>
              <w:t xml:space="preserve"> priimant ir įgyvendinant </w:t>
            </w:r>
            <w:r>
              <w:rPr>
                <w:b/>
                <w:i/>
              </w:rPr>
              <w:t>ilgai uždelstą</w:t>
            </w:r>
            <w:r>
              <w:t xml:space="preserve"> nacionalinį energetikos ir klimato srities veiksmų planą, priimant energijos vartojimo efektyvumo teisės aktus ir toliau integruojantis į ES energijos rinkas;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tc>
        <w:tc>
          <w:tcPr>
            <w:tcW w:w="4876" w:type="dxa"/>
            <w:tcBorders>
              <w:top w:val="nil"/>
              <w:left w:val="nil"/>
              <w:bottom w:val="nil"/>
              <w:right w:val="nil"/>
            </w:tcBorders>
          </w:tcPr>
          <w:p>
            <w:pPr>
              <w:pStyle w:val="Normal6a"/>
            </w:pPr>
            <w:r>
              <w:t>35.</w:t>
            </w:r>
            <w:r>
              <w:tab/>
            </w:r>
            <w:r>
              <w:t xml:space="preserve">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 </w:t>
            </w:r>
            <w:r>
              <w:rPr>
                <w:b/>
                <w:i/>
              </w:rPr>
              <w:t>ragina užtikrinti, kad visi nauji žaliosios pertvarkos projektai atitiktų ES aplinkosaugos, valstybės pagalbos ir koncesijų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w:t>
            </w:r>
          </w:p>
        </w:tc>
        <w:tc>
          <w:tcPr>
            <w:tcW w:w="4876" w:type="dxa"/>
            <w:tcBorders>
              <w:top w:val="nil"/>
              <w:left w:val="nil"/>
              <w:bottom w:val="nil"/>
              <w:right w:val="nil"/>
            </w:tcBorders>
          </w:tcPr>
          <w:p>
            <w:pPr>
              <w:pStyle w:val="Normal6a"/>
            </w:pPr>
            <w:r>
              <w:t>35.</w:t>
            </w:r>
            <w:r>
              <w:tab/>
            </w:r>
            <w:r>
              <w:t xml:space="preserve">primygtinai ragina Juodkalniją siekti pažangos žaliosios pertvarkos srityje, gerinti savo institucinę ir reguliavimo sistemą ir didinti energetinį atsparumą priimant ir įgyvendinant nacionalinį energetikos ir klimato srities veiksmų planą, priimant energijos vartojimo efektyvumo teisės aktus ir toliau integruojantis į ES energijos rinkas; </w:t>
            </w:r>
            <w:r>
              <w:rPr>
                <w:b/>
                <w:i/>
              </w:rPr>
              <w:t>atsižvelgdamas į tai, palankiai vertina neseniai priimtą Energetikos įstatymą;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primygtinai ragina Juodkalniją dėti daugiau pastangų siekiant uždaryti Pljevlja anglimis kūrenamą elektrinę, kad būtų laikomasi ES išmetamųjų teršalų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Jaroslav Bžoch,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pažymi, kad svarbu daryti pažangą finansuojant infrastruktūros projektus, kad būtų plėtojamos Juodkalnijos jungtys, taip pat stiprinami ir toliau plėtojami šalies energetikos, turizmo ir pramonės sektoriai;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ragina Juodkalnijos valdžios institucijas suderinti savo transporto plėtrą su Vakarų Balkanų darnaus ir išmanaus judumo strategija, daugiausia dėmesio skiriant geležinkeliams, daugiarūšiškumui ir išmetamo CO2 kiekio bei kito poveikio aplinkai mažinimui;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apgailestauja, kad nepadaryta pažangos vykdant pagrindines sektoriaus reformas transporto politikos srityje;</w:t>
            </w:r>
            <w:r>
              <w:t xml:space="preserve"> </w:t>
            </w:r>
            <w:r>
              <w:rPr>
                <w:b/>
                <w:i/>
              </w:rPr>
              <w:t>ragina Juodkalniją toliau įgyvendinti savo transporto plėtros strategiją ir stiprinti administracinius gebėjimus įgyvendinant transeuropinius transporto tinklus;</w:t>
            </w:r>
            <w:r>
              <w:t xml:space="preserve"> </w:t>
            </w:r>
            <w:r>
              <w:rPr>
                <w:b/>
                <w:i/>
              </w:rPr>
              <w:t>pabrėžia, kad investicijos į infrastruktūrą turi atitikti ES standartus bei sąnaudų ir naudos analizę;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Costas Mavrides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ragina patvirtinti sektorines atliekų tvarkymo, oro ir vandens kokybės, gamtos apsaugos ir klimato kaitos strategijas, užtikrinant strateginį investicijų planavimą;</w:t>
            </w:r>
          </w:p>
        </w:tc>
        <w:tc>
          <w:tcPr>
            <w:tcW w:w="4876" w:type="dxa"/>
            <w:tcBorders>
              <w:top w:val="nil"/>
              <w:left w:val="nil"/>
              <w:bottom w:val="nil"/>
              <w:right w:val="nil"/>
            </w:tcBorders>
          </w:tcPr>
          <w:p>
            <w:pPr>
              <w:pStyle w:val="Normal6a"/>
            </w:pPr>
            <w:r>
              <w:t>36.</w:t>
            </w:r>
            <w:r>
              <w:tab/>
            </w:r>
            <w:r>
              <w:t xml:space="preserve">ragina patvirtinti sektorines atliekų tvarkymo, oro ir vandens kokybės, gamtos apsaugos ir klimato kaitos strategijas, užtikrinant strateginį investicijų planavimą; </w:t>
            </w:r>
            <w:r>
              <w:rPr>
                <w:b/>
                <w:i/>
              </w:rPr>
              <w:t>atkreipia dėmesį į tai, kad septyniose savivaldybėse trūksta pažangos ir didėja išlaidos statant būtiniausius nuotekų valymo įrenginius, kad būtų išvengta upių ir jūros taršos nuotekomis;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ragina Juodkalniją vykdyti privalomą ekologinių tinklų teritorijų priimtinumo vertinimą pagal Gamtos apsaugos įstatymą, kad būtų įvertintas planuojamų infrastruktūros projektų poveikis saugomoms rūšims ir buveinėms, siekiant užtikrinti, kad jie nepakenktų šių teritorijų apsaugos tikslams ar ekologiniam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primygtinai ragina Juodkalniją nedelsiant sustabdyti visus hidroenergijos projektus, ypač projektus saugomose teritorijose, įskaitant projektus Komarnicoje ir Kruševo upėse;</w:t>
            </w:r>
            <w:r>
              <w:t xml:space="preserve"> </w:t>
            </w:r>
            <w:r>
              <w:rPr>
                <w:b/>
                <w:i/>
              </w:rPr>
              <w:t>atkreipia dėmesį į Komarnicos atvejį, dėl kurio svarstomas UNESCO gamtos paveldo statusas;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ragina Juodkalniją užbaigti teisinę teritorijų, kurios pagal Berno konvenciją laikomos „Emerald“ teritorijomis, apsaugą, taip užtikrinant, kad šie ekologiniu požiūriu svarbūs regionai būtų apsaugoti nuo aplinkai žalingų pokyčių;</w:t>
            </w:r>
            <w:r>
              <w:t xml:space="preserve"> </w:t>
            </w:r>
            <w:r>
              <w:rPr>
                <w:b/>
                <w:i/>
              </w:rPr>
              <w:t>ragina Juodkalniją gerokai išplėsti savo saugomų teritorijų tinklą, kad būtų pasiektas Kunmingo ir Monrealio pasaulinės biologinės įvairovės strategijos tikslas;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36d.</w:t>
            </w:r>
            <w:r>
              <w:tab/>
            </w:r>
            <w:r>
              <w:rPr>
                <w:b/>
                <w:i/>
              </w:rPr>
              <w:t>pabrėžia, kad Juodkalnija turi visapusiškai laikytis ES Paukščių ir Buveinių direktyvų, be kita ko, Solana Ulcinj paskelbti specialia apsaugos teritorija (SAT) pagal Paukščių direktyvą ir Bendrijos svarbos teritorija (BST) pagal Buveinių direktyvą, atsižvelgiant į jos ypatingą biologinės įvairovės vertę;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36e.</w:t>
            </w:r>
            <w:r>
              <w:tab/>
            </w:r>
            <w:r>
              <w:rPr>
                <w:b/>
                <w:i/>
              </w:rPr>
              <w:t>ragina skubiai įsteigti planuojamą specialų Solana Ulcinj valdymo subjektą, kaip anksčiau buvo numačiusi Juodkalnijos valdžios institucijos po to, kai 2019 m. paskelbė gamtos parką;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36f.</w:t>
            </w:r>
            <w:r>
              <w:tab/>
            </w:r>
            <w:r>
              <w:rPr>
                <w:b/>
                <w:i/>
              </w:rPr>
              <w:t>primygtinai ragina Komisiją atidžiai stebėti Juodkalnijos pažangą Solana Ulcinj apsaugos ir valdymo srityje, kuri yra stojimo į ES derybų dalis, ir laikytis apčiuopiamų Solana Ulcinj išsaugojimo rezultatų, kurie yra būtina 27 skyriaus uždarymo sąlyga, laikantis sutartų kriterijų;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{Greens/EFA}</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36g.</w:t>
            </w:r>
            <w:r>
              <w:tab/>
            </w:r>
            <w:r>
              <w:rPr>
                <w:b/>
                <w:i/>
              </w:rPr>
              <w:t>palankiai vertina Turizmo, ekologijos ir darnaus vystymosi ministerijos iniciatyvą daryti pažangą kovojant su nusikaltimais laukinei gamtai;</w:t>
            </w:r>
            <w:r>
              <w:t xml:space="preserve"> </w:t>
            </w:r>
            <w:r>
              <w:rPr>
                <w:b/>
                <w:i/>
              </w:rPr>
              <w:t>ragina Juodkalnijos valdžios institucijas taikyti veiksmingas, atgrasančias ir proporcingas sankcijas už visus nusikaltimus aplinkai ir išgyvendinti korupciją šiame sektoriuje;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palankiai vertina Tiranos aukščiausiojo lygio susitikime pasiektą susitarimą dėl tarptinklinio ryšio kainų mažinimo;</w:t>
            </w:r>
            <w:r>
              <w:t xml:space="preserve"> </w:t>
            </w:r>
            <w:r>
              <w:rPr>
                <w:b/>
                <w:i/>
              </w:rPr>
              <w:t>šiuo atžvilgiu ragina valdžios institucijas, privačiojo sektoriaus subjektus ir visus suinteresuotuosius subjektus padėti pasiekti sutartus tikslus, kad būtų gerokai sumažintos tarptinklinio ryšio kainos, o iki 2027 m. kainos tarp ES ir Vakarų Balkanų šalių būtų toliau mažinamos ir priartėtų prie vidaus kainų;</w:t>
            </w:r>
            <w:r>
              <w:t xml:space="preserve"> </w:t>
            </w:r>
            <w:r>
              <w:rPr>
                <w:b/>
                <w:i/>
              </w:rPr>
              <w:t>palankiai vertina tai, kad įsigaliojo pirmasis Vakarų Balkanų ir ES tarptinklinio ryšio veiksmų plano įgyvendinimo etapas;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Marjan Šarec, Lucia Yar, Petras Auštrevičius, Dan Barna, Ilhan Kyuchyuk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palankiai vertina tai, kad sumažinti tarptinklinio ryšio tarp ES ir Vakarų Balkanų šalių mokesčiai, ir ragina imtis visų būtinų veiksmų siekiant tikslo iki 2028 m. duomenų perdavimo tarptinkliniu ryšiu kainas priartinti prie savojoje šalyje taikomų kainų;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37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paveda </w:t>
            </w:r>
            <w:r>
              <w:rPr>
                <w:b/>
                <w:i/>
              </w:rPr>
              <w:t>Pirmininkei</w:t>
            </w:r>
            <w:r>
              <w:t xml:space="preserve"> perduoti šią rezoliuciją Tarybai, Komisijai, Komisijos </w:t>
            </w:r>
            <w:r>
              <w:rPr>
                <w:b/>
                <w:i/>
              </w:rPr>
              <w:t>Pirmininkės pavaduotojai</w:t>
            </w:r>
            <w:r>
              <w:t xml:space="preserve"> ir Sąjungos </w:t>
            </w:r>
            <w:r>
              <w:rPr>
                <w:b/>
                <w:i/>
              </w:rPr>
              <w:t>vyriausiajai įgaliotinei</w:t>
            </w:r>
            <w:r>
              <w:t xml:space="preserve"> užsienio reikalams ir saugumo politikai, valstybių narių vyriausybėms ir parlamentams </w:t>
            </w:r>
            <w:r>
              <w:rPr>
                <w:b/>
                <w:i/>
              </w:rPr>
              <w:t>bei</w:t>
            </w:r>
            <w:r>
              <w:t xml:space="preserve"> Juodkalnijos prezidentui, vyriausybei ir parlamentui.</w:t>
            </w:r>
          </w:p>
        </w:tc>
        <w:tc>
          <w:tcPr>
            <w:tcW w:w="4876" w:type="dxa"/>
            <w:tcBorders>
              <w:top w:val="nil"/>
              <w:left w:val="nil"/>
              <w:bottom w:val="nil"/>
              <w:right w:val="nil"/>
            </w:tcBorders>
          </w:tcPr>
          <w:p>
            <w:pPr>
              <w:pStyle w:val="Normal6a"/>
            </w:pPr>
            <w:r>
              <w:t>37.</w:t>
            </w:r>
            <w:r>
              <w:tab/>
            </w:r>
            <w:r>
              <w:t xml:space="preserve">paveda </w:t>
            </w:r>
            <w:r>
              <w:rPr>
                <w:b/>
                <w:i/>
              </w:rPr>
              <w:t>Pirmininkui</w:t>
            </w:r>
            <w:r>
              <w:t xml:space="preserve"> perduoti šią rezoliuciją Tarybai, Komisijai, Komisijos </w:t>
            </w:r>
            <w:r>
              <w:rPr>
                <w:b/>
                <w:i/>
              </w:rPr>
              <w:t>pirmininko pavaduotojui</w:t>
            </w:r>
            <w:r>
              <w:t xml:space="preserve"> ir Sąjungos </w:t>
            </w:r>
            <w:r>
              <w:rPr>
                <w:b/>
                <w:i/>
              </w:rPr>
              <w:t>vyriausiajam įgaliotiniui</w:t>
            </w:r>
            <w:r>
              <w:t xml:space="preserve"> užsienio reikalams ir saugumo politikai, </w:t>
            </w:r>
            <w:r>
              <w:rPr>
                <w:b/>
                <w:i/>
              </w:rPr>
              <w:t>už plėtrą atsakingam Komisijos nariui, už Viduržemio jūros regioną atsakingam Komisijos nariui,</w:t>
            </w:r>
            <w:r>
              <w:t xml:space="preserve"> valstybių narių vyriausybėms ir parlamentams</w:t>
            </w:r>
            <w:r>
              <w:rPr>
                <w:b/>
                <w:i/>
              </w:rPr>
              <w:t>, taip pat</w:t>
            </w:r>
            <w:r>
              <w:t xml:space="preserve"> Juodkalnijos prezidentui, vyriausybei ir parlamentui </w:t>
            </w:r>
            <w:r>
              <w:rPr>
                <w:b/>
                <w:i/>
              </w:rPr>
              <w:t>ir pasirūpinti, kad ji būtų išversta ir paskelbta Juodkalnijoje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771.847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116</w:t>
    </w:r>
    <w:r>
      <w:fldChar w:fldCharType="end"/>
    </w:r>
    <w:r>
      <w:t>/</w:t>
    </w:r>
    <w:r>
      <w:fldChar w:fldCharType="begin"/>
    </w:r>
    <w:r>
      <w:instrText xml:space="preserve"> NUMPAGES </w:instrText>
    </w:r>
    <w:r>
      <w:fldChar w:fldCharType="separate"/>
    </w:r>
    <w:r>
      <w:t>117</w:t>
    </w:r>
    <w:r>
      <w:fldChar w:fldCharType="end"/>
    </w:r>
    <w:r>
      <w:tab/>
    </w:r>
    <w:r>
      <w:rPr>
        <w:rStyle w:val="HideTWBExt"/>
      </w:rPr>
      <w:t>&lt;PathFdR&gt;</w:t>
    </w:r>
    <w:r>
      <w:t>AM\1317491LT.docx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AM\1317491LT.docx</w:t>
    </w:r>
    <w:r>
      <w:rPr>
        <w:rStyle w:val="HideTWBExt"/>
      </w:rPr>
      <w:t>&lt;/PathFdR&gt;</w:t>
    </w:r>
    <w:r>
      <w:tab/>
    </w:r>
    <w:r>
      <w:fldChar w:fldCharType="begin"/>
    </w:r>
    <w:r>
      <w:instrText xml:space="preserve"> PAGE </w:instrText>
    </w:r>
    <w:r>
      <w:fldChar w:fldCharType="separate"/>
    </w:r>
    <w:r>
      <w:t>117</w:t>
    </w:r>
    <w:r>
      <w:fldChar w:fldCharType="end"/>
    </w:r>
    <w:r>
      <w:t>/</w:t>
    </w:r>
    <w:r>
      <w:fldChar w:fldCharType="begin"/>
    </w:r>
    <w:r>
      <w:instrText xml:space="preserve"> NUMPAGES </w:instrText>
    </w:r>
    <w:r>
      <w:fldChar w:fldCharType="separate"/>
    </w:r>
    <w:r>
      <w:t>117</w:t>
    </w:r>
    <w:r>
      <w:fldChar w:fldCharType="end"/>
    </w:r>
    <w:r>
      <w:tab/>
    </w:r>
    <w:r>
      <w:t>PE</w:t>
    </w:r>
    <w:r>
      <w:rPr>
        <w:rStyle w:val="HideTWBExt"/>
      </w:rPr>
      <w:t>&lt;NoPE&gt;</w:t>
    </w:r>
    <w:r>
      <w:t>771.847</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AM\1317491LT.docx</w:t>
    </w:r>
    <w:r>
      <w:rPr>
        <w:rStyle w:val="HideTWBExt"/>
      </w:rPr>
      <w:t>&lt;/PathFdR&gt;</w:t>
    </w:r>
    <w:r>
      <w:tab/>
    </w:r>
    <w:r>
      <w:tab/>
    </w:r>
    <w:r>
      <w:t>PE</w:t>
    </w:r>
    <w:r>
      <w:rPr>
        <w:rStyle w:val="HideTWBExt"/>
      </w:rPr>
      <w:t>&lt;NoPE&gt;</w:t>
    </w:r>
    <w:r>
      <w:t>771.847</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117</Pages>
  <Words>20382</Words>
  <Characters>144261</Characters>
  <Application>Microsoft Office Word</Application>
  <DocSecurity>0</DocSecurity>
  <Lines>1</Lines>
  <Paragraphs>2107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1317491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157293</vt:lpwstr>
  </property>
  <property fmtid="{D5CDD505-2E9C-101B-9397-08002B2CF9AE}" pid="7" name="dmxml.render.traceId">
    <vt:lpwstr>67ed58035926a50af841c5f188d37858</vt:lpwstr>
  </property>
  <property fmtid="{D5CDD505-2E9C-101B-9397-08002B2CF9AE}" pid="8" name="FooterPath">
    <vt:lpwstr>AM\1317491LT.docx</vt:lpwstr>
  </property>
  <property fmtid="{D5CDD505-2E9C-101B-9397-08002B2CF9AE}" pid="9" name="PE Number">
    <vt:lpwstr>771.847</vt:lpwstr>
  </property>
  <property fmtid="{D5CDD505-2E9C-101B-9397-08002B2CF9AE}" pid="10" name="UID">
    <vt:lpwstr>eu.europa.europarl-DIN1-2025-0000053300_02.00-lt-01.00_text-xml</vt:lpwstr>
  </property>
</Properties>
</file>