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Europees Parlement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{AFET}</w:t>
      </w:r>
      <w:r>
        <w:t>Commissie buitenlandse zaken</w:t>
      </w:r>
      <w:r>
        <w:rPr>
          <w:rStyle w:val="HideTWBExt"/>
        </w:rPr>
        <w:t>&lt;/Commission&gt;</w:t>
      </w:r>
    </w:p>
    <w:p>
      <w:pPr>
        <w:pStyle w:val="LineBottom"/>
      </w:pPr>
      <w:r>
        <w:t xml:space="preserve"> </w:t>
      </w:r>
    </w:p>
    <w:p>
      <w:pPr>
        <w:pStyle w:val="CoverReference"/>
      </w:pPr>
      <w:r>
        <w:rPr>
          <w:rStyle w:val="HideTWBExt"/>
        </w:rPr>
        <w:t>&lt;RefProc&gt;</w:t>
      </w:r>
      <w:r>
        <w:t>2025/2020</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{19/03/2025}</w:t>
      </w:r>
      <w:r>
        <w:t>19.3.2025</w:t>
      </w:r>
      <w:r>
        <w:rPr>
          <w:rStyle w:val="HideTWBExt"/>
        </w:rPr>
        <w:t>&lt;/Date&gt;</w:t>
      </w:r>
    </w:p>
    <w:p>
      <w:pPr>
        <w:pStyle w:val="CoverDocType"/>
      </w:pPr>
      <w:r>
        <w:rPr>
          <w:rStyle w:val="HideTWBExt"/>
        </w:rPr>
        <w:t>&lt;TypeAM&gt;</w:t>
      </w:r>
      <w:r>
        <w:t>AMENDEMENTEN</w:t>
      </w:r>
      <w:r>
        <w:rPr>
          <w:rStyle w:val="HideTWBExt"/>
        </w:rPr>
        <w:t>&lt;/TypeAM&gt;</w:t>
      </w:r>
    </w:p>
    <w:p>
      <w:pPr>
        <w:pStyle w:val="CoverDocType24a"/>
      </w:pPr>
      <w:r>
        <w:rPr>
          <w:rStyle w:val="HideTWBExt"/>
        </w:rPr>
        <w:t>&lt;RangeAM&gt;</w:t>
      </w:r>
      <w:r>
        <w:t>1</w:t>
      </w:r>
      <w:r>
        <w:t xml:space="preserve"> - </w:t>
      </w:r>
      <w:r>
        <w:t>235</w:t>
      </w:r>
      <w:r>
        <w:rPr>
          <w:rStyle w:val="HideTWBExt"/>
        </w:rPr>
        <w:t>&lt;/RangeAM&gt;</w:t>
      </w:r>
    </w:p>
    <w:p>
      <w:pPr>
        <w:pStyle w:val="CoverBold"/>
      </w:pPr>
      <w:r>
        <w:rPr>
          <w:rStyle w:val="HideTWBExt"/>
        </w:rPr>
        <w:t>&lt;TitreType&gt;</w:t>
      </w:r>
      <w:r>
        <w:t>Ontwerpverslag</w:t>
      </w:r>
      <w:r>
        <w:rPr>
          <w:rStyle w:val="HideTWBExt"/>
        </w:rPr>
        <w:t>&lt;/TitreType&gt;</w:t>
      </w:r>
    </w:p>
    <w:p>
      <w:pPr>
        <w:pStyle w:val="CoverBold"/>
      </w:pPr>
      <w:r>
        <w:rPr>
          <w:rStyle w:val="HideTWBExt"/>
        </w:rPr>
        <w:t>&lt;Rapporteur&gt;</w:t>
      </w:r>
      <w:r>
        <w:t>Marjan Šarec</w:t>
      </w:r>
      <w:r>
        <w:rPr>
          <w:rStyle w:val="HideTWBExt"/>
        </w:rPr>
        <w:t>&lt;/Rapporteur&gt;</w:t>
      </w:r>
    </w:p>
    <w:p>
      <w:pPr>
        <w:pStyle w:val="CoverNormal24a"/>
      </w:pPr>
      <w:r>
        <w:rPr>
          <w:rStyle w:val="HideTWBExt"/>
        </w:rPr>
        <w:t>&lt;DocRefPE&gt;</w:t>
      </w:r>
      <w:r>
        <w:t>(PE769.896v01-00)</w:t>
      </w:r>
      <w:r>
        <w:rPr>
          <w:rStyle w:val="HideTWBExt"/>
        </w:rPr>
        <w:t>&lt;/DocRefPE&gt;</w:t>
      </w:r>
    </w:p>
    <w:p>
      <w:pPr>
        <w:pStyle w:val="CoverNormal"/>
      </w:pPr>
      <w:r>
        <w:rPr>
          <w:rStyle w:val="HideTWBExt"/>
        </w:rPr>
        <w:t>&lt;Titre&gt;</w:t>
      </w:r>
      <w:r>
        <w:t>Commissieverslagen van 2023 en 2024 over Montenegro</w:t>
      </w:r>
      <w:r>
        <w:rPr>
          <w:rStyle w:val="HideTWBExt"/>
        </w:rPr>
        <w:t>&lt;/Titre&gt;</w:t>
      </w:r>
    </w:p>
    <w:p>
      <w:pPr>
        <w:pStyle w:val="CoverNormal24a"/>
      </w:pPr>
      <w:r>
        <w:rPr>
          <w:rStyle w:val="HideTWBExt"/>
        </w:rPr>
        <w:t>&lt;DocRef&gt;</w:t>
      </w:r>
      <w:r>
        <w:t>(2025/2020(INI))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Amendement</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7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de verklaring van Sofia naar aanleiding van de top EU-Westelijke Balkan van 17 mei 2018 en de hieraan gehechte Verklaring van Sofia,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20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het Verdrag van de Raad van Europa inzake het voorkomen en bestrijden van geweld tegen vrouwen en huiselijk geweld (Verdrag van Istanbul), dat Montenegro in 2013 heeft geratificeerd, en de aanbevelingen van de Europese Commissie inzake gendergelijkheid en de bestrijding van gendergerelateerd geweld,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Lucia Yar, Dan Barna, Malik Azmani, Marjan Šarec, Ľubica Karvašová,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20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het jaarlijks gepubliceerde rapport “World Press Freedom Index” van Verslaggevers zonder Grenzen,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Lucia Yar, Dan Barna, Malik Azmani, Marjan Šarec, Ľubica Karvašová,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20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de gegevens van UNHCR over de situatie van Oekraïense vluchtelingen (Ukraine Refugee Situation) volgens de stand van zaken in maart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Marjan Šarec, Lucia Yar, Petras Auštrevičius, Dan Barna, Ilhan Kyuchyuk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22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zijn resolutie van 29 februari 2024 over de verdieping van de EU-integratie met het oog op toekomstige uitbreiding</w:t>
            </w:r>
            <w:r>
              <w:rPr>
                <w:b/>
                <w:i/>
                <w:vertAlign w:val="superscript"/>
              </w:rPr>
              <w:t>1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Aangenomen teksten, P9_TA(2024)0120.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A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bis.</w:t>
            </w:r>
            <w:r>
              <w:tab/>
            </w:r>
            <w:r>
              <w:rPr>
                <w:b/>
                <w:i/>
              </w:rPr>
              <w:t>overwegende dat het nieuwe momentum voor uitbreiding dat is ontstaan door de veranderde geopolitieke realiteit en de verzoeken om toetreding tot de EU van een aantal landen van het Oostelijk Partnerschap, de EU ertoe heeft aangezet om nu snel werk te maken van haar beloften aan de Westelijke Balkan, die al lang hadden moeten zijn ingelost;</w:t>
            </w:r>
            <w:r>
              <w:t xml:space="preserve"> </w:t>
            </w:r>
            <w:r>
              <w:rPr>
                <w:b/>
                <w:i/>
              </w:rPr>
              <w:t>overwegende dat de toekomst van de landen van de Westelijke Balkan in de EU ligt;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overwegende dat elk land op zijn eigen merites wordt beoordeeld;</w:t>
            </w:r>
          </w:p>
        </w:tc>
        <w:tc>
          <w:tcPr>
            <w:tcW w:w="4876" w:type="dxa"/>
            <w:tcBorders>
              <w:top w:val="nil"/>
              <w:left w:val="nil"/>
              <w:bottom w:val="nil"/>
              <w:right w:val="nil"/>
            </w:tcBorders>
          </w:tcPr>
          <w:p>
            <w:pPr>
              <w:pStyle w:val="Normal6a"/>
            </w:pPr>
            <w:r>
              <w:t>B.</w:t>
            </w:r>
            <w:r>
              <w:tab/>
            </w:r>
            <w:r>
              <w:t>overwegende dat elk land op zijn eigen merites wordt beoordeeld</w:t>
            </w:r>
            <w:r>
              <w:rPr>
                <w:b/>
                <w:i/>
              </w:rPr>
              <w:t>, onder meer wat betreft de eerbiediging en vastberaden inzet die wordt getoond ten aanzien van de gemeenschappelijke Europese rechten en waarden en afstemming van het beleid op het buitenlands en veiligheidsbeleid van de EU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Marjan Šarec, Lucia Yar, Petras Auštrevičius, Dan Barna, Ilhan Kyuchyuk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overwegende dat elk land op zijn eigen merites wordt beoordeeld;</w:t>
            </w:r>
          </w:p>
        </w:tc>
        <w:tc>
          <w:tcPr>
            <w:tcW w:w="4876" w:type="dxa"/>
            <w:tcBorders>
              <w:top w:val="nil"/>
              <w:left w:val="nil"/>
              <w:bottom w:val="nil"/>
              <w:right w:val="nil"/>
            </w:tcBorders>
          </w:tcPr>
          <w:p>
            <w:pPr>
              <w:pStyle w:val="Normal6a"/>
            </w:pPr>
            <w:r>
              <w:t>B.</w:t>
            </w:r>
            <w:r>
              <w:tab/>
            </w:r>
            <w:r>
              <w:t xml:space="preserve">overwegende dat elk land op zijn eigen merites wordt beoordeeld </w:t>
            </w:r>
            <w:r>
              <w:rPr>
                <w:b/>
                <w:i/>
              </w:rPr>
              <w:t>wat de vervulling van de criteria van Kopenhagen betreft, waaronder de volledige eerbiediging van de democratie, de rechtsstaat en de fundamentele waarden van de EU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overwegende dat elk land op zijn eigen merites wordt beoordeeld;</w:t>
            </w:r>
          </w:p>
        </w:tc>
        <w:tc>
          <w:tcPr>
            <w:tcW w:w="4876" w:type="dxa"/>
            <w:tcBorders>
              <w:top w:val="nil"/>
              <w:left w:val="nil"/>
              <w:bottom w:val="nil"/>
              <w:right w:val="nil"/>
            </w:tcBorders>
          </w:tcPr>
          <w:p>
            <w:pPr>
              <w:pStyle w:val="Normal6a"/>
            </w:pPr>
            <w:r>
              <w:t>B.</w:t>
            </w:r>
            <w:r>
              <w:tab/>
            </w:r>
            <w:r>
              <w:t xml:space="preserve">overwegende dat elk land op zijn eigen merites wordt beoordeeld; </w:t>
            </w:r>
            <w:r>
              <w:rPr>
                <w:b/>
                <w:i/>
              </w:rPr>
              <w:t>overwegende dat het vervullen van de uitbreidingscriteria, het doorvoeren van noodzakelijke hervormingen, met name op het gebied van de cluster fundamentele kwesties, de naleving van de beginselen van democratie, de rechtsstaat, de mensenrechten en goed bestuur, en de afstemming van het beleid op het EU-acquis en het gemeenschappelijk buitenlands beleid van de EU, bepalend zijn voor de tijdlijn van het toetredingsproces en de vorderingen die hierbij worden gemaakt;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B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overwegende dat mensenrechten, democratie en de rechtsstaat de fundamentele waarden zijn waarop de EU berust;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Marjan Šarec, Lucia Yar, Petras Auštrevičius, Dan Barna, Ilhan Kyuchyuk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overwegende dat Montenegro het verst gevorderd is in het toetredingsproces </w:t>
            </w:r>
            <w:r>
              <w:rPr>
                <w:b/>
                <w:i/>
              </w:rPr>
              <w:t>en</w:t>
            </w:r>
            <w:r>
              <w:t xml:space="preserve"> hiervoor aanzienlijke publieke steun geniet;</w:t>
            </w:r>
          </w:p>
        </w:tc>
        <w:tc>
          <w:tcPr>
            <w:tcW w:w="4876" w:type="dxa"/>
            <w:tcBorders>
              <w:top w:val="nil"/>
              <w:left w:val="nil"/>
              <w:bottom w:val="nil"/>
              <w:right w:val="nil"/>
            </w:tcBorders>
          </w:tcPr>
          <w:p>
            <w:pPr>
              <w:pStyle w:val="Normal6a"/>
            </w:pPr>
            <w:r>
              <w:t>C.</w:t>
            </w:r>
            <w:r>
              <w:tab/>
            </w:r>
            <w:r>
              <w:t>overwegende dat Montenegro het verst gevorderd is in het toetredingsproces</w:t>
            </w:r>
            <w:r>
              <w:rPr>
                <w:b/>
                <w:i/>
              </w:rPr>
              <w:t>, dat alle 33 hoofdstukken van het EU-acquis zijn geopend en zes hoofdstukken voorlopig zijn afgesloten, en dat het land</w:t>
            </w:r>
            <w:r>
              <w:t xml:space="preserve"> hiervoor aanzienlijke publieke steun geniet;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C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bis.</w:t>
            </w:r>
            <w:r>
              <w:tab/>
            </w:r>
            <w:r>
              <w:rPr>
                <w:b/>
                <w:i/>
              </w:rPr>
              <w:t>overwegende dat de EU voor Montenegro de grootste handelspartner en investeerder 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C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bis.</w:t>
            </w:r>
            <w:r>
              <w:tab/>
            </w:r>
            <w:r>
              <w:rPr>
                <w:b/>
                <w:i/>
              </w:rPr>
              <w:t>overwegende dat de EU voor Montenegro de grootste handelspartner en grootste verstrekker van investeringen en financiële bijstand blijft;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C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ter.</w:t>
            </w:r>
            <w:r>
              <w:tab/>
            </w:r>
            <w:r>
              <w:rPr>
                <w:b/>
                <w:i/>
              </w:rPr>
              <w:t>overwegende dat Montenegro een cruciaal strijdtoneel voor buitenlandse desinformatiecampagnes en andere vormen van beïnvloeding blijft, waaronder investeringen van niet-EU-actoren, met name China en Rusland, die het politieke, economische en strategische traject van Montenegro kunnen beïnvloeden;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C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bis.</w:t>
            </w:r>
            <w:r>
              <w:tab/>
            </w:r>
            <w:r>
              <w:rPr>
                <w:b/>
                <w:i/>
              </w:rPr>
              <w:t>overwegende dat de hardnekkigheid en omvang van buitenlandse kwaadwillige beïnvloeding, inmenging in verkiezingen en strategieën voor hybride oorlogvoering een bedreiging vormen voor de democratische processen en de integriteit van de media in Montenegro en de vooruitzichten van Montenegro op toetreding tot de EU in gevaar brengen;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C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bis.</w:t>
            </w:r>
            <w:r>
              <w:tab/>
            </w:r>
            <w:r>
              <w:rPr>
                <w:b/>
                <w:i/>
              </w:rPr>
              <w:t>overwegende dat Montenegro wordt blootgesteld aan buitenlandse inmenging en kwaadwillige desinformatiecampagnes die hun oorsprong hebben in Rusland;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Davor Ivo Stier, Tomislav Sokol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C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bis.</w:t>
            </w:r>
            <w:r>
              <w:tab/>
            </w:r>
            <w:r>
              <w:rPr>
                <w:b/>
                <w:i/>
              </w:rPr>
              <w:t>overwegende dat op 8 juni 2024 in Belgrado een “pan-Servische vergadering” onder het motto “Eén volk, één vergadering” heeft plaatsgevonden die is bijgewoond door Andrija Mandić, voorzitter van het parlement van Montenegro;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Davor Ivo Stier, Tomislav Sokol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C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ter.</w:t>
            </w:r>
            <w:r>
              <w:tab/>
            </w:r>
            <w:r>
              <w:rPr>
                <w:b/>
                <w:i/>
              </w:rPr>
              <w:t>overwegende dat Ivan Vuković, voorzitter van de Commissie Europese integratie van het parlement van Montenegro en ondervoorzitter van de Democratische Partij van Socialisten (DPS), op 15 maart 2025 in Belgrado is aangehouden;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C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quater.</w:t>
            </w:r>
            <w:r>
              <w:tab/>
            </w:r>
            <w:r>
              <w:rPr>
                <w:b/>
                <w:i/>
              </w:rPr>
              <w:t>overwegende dat EXIM Bank in 2014 een lening aan Montenegro heeft verstrekt voor de aanleg van een snelweg over een traject van 41 km om de Adriatische haven van Bar te verbinden met Servië en dat het project werd beschouwd als een essentieel onderdeel van China’s Nieuwe Zijderoute;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Matthieu Valet,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erkent de vastberaden inzet van Montenegro voor toetreding tot de EU en bevestigt zijn volledige steun voor het toekomstige EU-lidmaatschap van het land</w:t>
            </w:r>
            <w:r>
              <w:t>;</w:t>
            </w:r>
          </w:p>
        </w:tc>
        <w:tc>
          <w:tcPr>
            <w:tcW w:w="4876" w:type="dxa"/>
            <w:tcBorders>
              <w:top w:val="nil"/>
              <w:left w:val="nil"/>
              <w:bottom w:val="nil"/>
              <w:right w:val="nil"/>
            </w:tcBorders>
          </w:tcPr>
          <w:p>
            <w:pPr>
              <w:pStyle w:val="Normal6a"/>
            </w:pPr>
            <w:r>
              <w:t>1.</w:t>
            </w:r>
            <w:r>
              <w:tab/>
            </w:r>
            <w:r>
              <w:rPr>
                <w:b/>
                <w:i/>
              </w:rPr>
              <w:t>is fel gekant tegen een verdere uitbreiding van de EU, aangezien de kandidaat-lidstaten nog lang niet voldoen aan de criteria voor politieke en sociale stabiliteit die in de criteria van Kopenhagen zijn vastgelegd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erkent de vastberaden inzet van Montenegro voor toetreding tot de EU en bevestigt zijn volledige steun voor het toekomstige EU-lidmaatschap van het land;</w:t>
            </w:r>
          </w:p>
        </w:tc>
        <w:tc>
          <w:tcPr>
            <w:tcW w:w="4876" w:type="dxa"/>
            <w:tcBorders>
              <w:top w:val="nil"/>
              <w:left w:val="nil"/>
              <w:bottom w:val="nil"/>
              <w:right w:val="nil"/>
            </w:tcBorders>
          </w:tcPr>
          <w:p>
            <w:pPr>
              <w:pStyle w:val="Normal6a"/>
            </w:pPr>
            <w:r>
              <w:t>1.</w:t>
            </w:r>
            <w:r>
              <w:tab/>
            </w:r>
            <w:r>
              <w:t>erkent de vastberaden inzet van Montenegro voor toetreding tot de EU</w:t>
            </w:r>
            <w:r>
              <w:rPr>
                <w:b/>
                <w:i/>
              </w:rPr>
              <w:t>, met name de aanhoudende en krachtige steun voor EU-integratie onder de burgers,</w:t>
            </w:r>
            <w:r>
              <w:t xml:space="preserve"> en bevestigt </w:t>
            </w:r>
            <w:r>
              <w:rPr>
                <w:b/>
                <w:i/>
              </w:rPr>
              <w:t>nogmaals</w:t>
            </w:r>
            <w:r>
              <w:t xml:space="preserve"> zijn volledige steun voor het toekomstige EU-lidmaatschap van het land</w:t>
            </w:r>
            <w:r>
              <w:rPr>
                <w:b/>
                <w:i/>
              </w:rPr>
              <w:t>, dat nog tijdens het huidige mandaat van het Europees Parlement kan worden bereikt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erkent de vastberaden inzet van Montenegro voor toetreding tot de EU en bevestigt zijn volledige steun voor het toekomstige EU-lidmaatschap van het land;</w:t>
            </w:r>
          </w:p>
        </w:tc>
        <w:tc>
          <w:tcPr>
            <w:tcW w:w="4876" w:type="dxa"/>
            <w:tcBorders>
              <w:top w:val="nil"/>
              <w:left w:val="nil"/>
              <w:bottom w:val="nil"/>
              <w:right w:val="nil"/>
            </w:tcBorders>
          </w:tcPr>
          <w:p>
            <w:pPr>
              <w:pStyle w:val="Normal6a"/>
            </w:pPr>
            <w:r>
              <w:t>1.</w:t>
            </w:r>
            <w:r>
              <w:tab/>
            </w:r>
            <w:r>
              <w:t>erkent de vastberaden inzet van Montenegro voor toetreding tot de EU</w:t>
            </w:r>
            <w:r>
              <w:rPr>
                <w:b/>
                <w:i/>
              </w:rPr>
              <w:t>, met name de aanhoudende en krachtige steun voor EU-integratie onder de burgers,</w:t>
            </w:r>
            <w:r>
              <w:t xml:space="preserve"> en bevestigt zijn volledige steun voor het toekomstige EU-lidmaatschap van het land;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Jaroslav Bžoch, Kinga Gál,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erkent de vastberaden inzet van Montenegro voor toetreding tot de EU en bevestigt zijn volledige steun voor het toekomstige EU-lidmaatschap van het land;</w:t>
            </w:r>
          </w:p>
        </w:tc>
        <w:tc>
          <w:tcPr>
            <w:tcW w:w="4876" w:type="dxa"/>
            <w:tcBorders>
              <w:top w:val="nil"/>
              <w:left w:val="nil"/>
              <w:bottom w:val="nil"/>
              <w:right w:val="nil"/>
            </w:tcBorders>
          </w:tcPr>
          <w:p>
            <w:pPr>
              <w:pStyle w:val="Normal6a"/>
            </w:pPr>
            <w:r>
              <w:t>1.</w:t>
            </w:r>
            <w:r>
              <w:tab/>
            </w:r>
            <w:r>
              <w:t xml:space="preserve">erkent de vastberaden inzet van Montenegro voor toetreding tot de EU en bevestigt zijn volledige steun voor het toekomstige EU-lidmaatschap van het land; </w:t>
            </w:r>
            <w:r>
              <w:rPr>
                <w:b/>
                <w:i/>
              </w:rPr>
              <w:t>is ingenomen met de verklaring van de president van Montenegro waarin hij aankondigde dat Montenegro ernaar streeft om in 2028 de 28e lidstaat te worden;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Dan Barna, Lucia Yar, Marjan Šarec, Malik Azmani,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erkent de vastberaden inzet van Montenegro voor toetreding tot de EU en bevestigt zijn volledige steun voor het toekomstige EU-lidmaatschap van het land;</w:t>
            </w:r>
          </w:p>
        </w:tc>
        <w:tc>
          <w:tcPr>
            <w:tcW w:w="4876" w:type="dxa"/>
            <w:tcBorders>
              <w:top w:val="nil"/>
              <w:left w:val="nil"/>
              <w:bottom w:val="nil"/>
              <w:right w:val="nil"/>
            </w:tcBorders>
          </w:tcPr>
          <w:p>
            <w:pPr>
              <w:pStyle w:val="Normal6a"/>
            </w:pPr>
            <w:r>
              <w:t>1.</w:t>
            </w:r>
            <w:r>
              <w:tab/>
            </w:r>
            <w:r>
              <w:t xml:space="preserve">erkent de vastberaden inzet van Montenegro voor toetreding tot de EU en bevestigt zijn volledige steun voor het toekomstige EU-lidmaatschap van het land; </w:t>
            </w:r>
            <w:r>
              <w:rPr>
                <w:b/>
                <w:i/>
              </w:rPr>
              <w:t>is ingenomen met de overweldigende steun onder de burgers en de meerderheid van de politieke actoren in Montenegro voor toetreding tot de EU in 2028;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Lucia Yar, Dan Barna, Malik Azmani, Marjan Šarec, Ľubica Karvašová,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erkent de vastberaden inzet van Montenegro voor toetreding tot de EU en bevestigt zijn volledige steun voor het toekomstige EU-lidmaatschap van het land;</w:t>
            </w:r>
          </w:p>
        </w:tc>
        <w:tc>
          <w:tcPr>
            <w:tcW w:w="4876" w:type="dxa"/>
            <w:tcBorders>
              <w:top w:val="nil"/>
              <w:left w:val="nil"/>
              <w:bottom w:val="nil"/>
              <w:right w:val="nil"/>
            </w:tcBorders>
          </w:tcPr>
          <w:p>
            <w:pPr>
              <w:pStyle w:val="Normal6a"/>
            </w:pPr>
            <w:r>
              <w:t>1.</w:t>
            </w:r>
            <w:r>
              <w:tab/>
            </w:r>
            <w:r>
              <w:t xml:space="preserve">erkent de vastberaden inzet van Montenegro voor toetreding tot de EU en bevestigt zijn volledige steun voor het toekomstige EU-lidmaatschap van het land; </w:t>
            </w:r>
            <w:r>
              <w:rPr>
                <w:b/>
                <w:i/>
              </w:rPr>
              <w:t>is ingenomen met de regionale leiderspositie van Montenegro in het EU-toetredingsproces en moedigt Montenegro aan door te gaan met het doorvoeren van EU-gerelateerde hervormingen;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is verheugd over de positieve vooruitgang die Montenegro heeft geboekt bij het doorvoeren van EU-gerelateerde hervormingen en maatregelen, geschraagd door een ambitieus tijdschema </w:t>
            </w:r>
            <w:r>
              <w:rPr>
                <w:b/>
                <w:i/>
              </w:rPr>
              <w:t>en</w:t>
            </w:r>
            <w:r>
              <w:t xml:space="preserve"> collectieve inspanningen van politieke actoren, maatschappelijke organisaties en burgers; prijst Montenegro voor het voldoen aan de tussentijdse ijkpunten voor de hoofdstukken 23 en 24 en voor het behalen van een positief tussentijds ijkpuntbeoordelingsverslag; is ingenomen met de afsluiting van nog eens drie onderhandelingshoofdstukken, waardoor het totaal op zes komt;</w:t>
            </w:r>
          </w:p>
        </w:tc>
        <w:tc>
          <w:tcPr>
            <w:tcW w:w="4876" w:type="dxa"/>
            <w:tcBorders>
              <w:top w:val="nil"/>
              <w:left w:val="nil"/>
              <w:bottom w:val="nil"/>
              <w:right w:val="nil"/>
            </w:tcBorders>
          </w:tcPr>
          <w:p>
            <w:pPr>
              <w:pStyle w:val="Normal6a"/>
            </w:pPr>
            <w:r>
              <w:t>2.</w:t>
            </w:r>
            <w:r>
              <w:tab/>
            </w:r>
            <w:r>
              <w:t>is verheugd over de positieve vooruitgang die Montenegro heeft geboekt bij het doorvoeren van EU-gerelateerde hervormingen en maatregelen, geschraagd door een ambitieus tijdschema</w:t>
            </w:r>
            <w:r>
              <w:rPr>
                <w:b/>
                <w:i/>
              </w:rPr>
              <w:t>, en dringt aan op</w:t>
            </w:r>
            <w:r>
              <w:t xml:space="preserve"> collectieve inspanningen van politieke actoren, maatschappelijke organisaties en burgers; prijst Montenegro voor het voldoen aan de tussentijdse ijkpunten voor de hoofdstukken 23 en 24 en voor het behalen van een positief tussentijds ijkpuntbeoordelingsverslag; is ingenomen met de afsluiting van nog eens drie onderhandelingshoofdstukken, waardoor het totaal op zes komt;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is verheugd over de positieve vooruitgang die Montenegro heeft geboekt bij het doorvoeren van EU-gerelateerde hervormingen en maatregelen, geschraagd door een ambitieus tijdschema en collectieve inspanningen van politieke actoren, maatschappelijke organisaties en burgers; prijst Montenegro voor het voldoen aan de tussentijdse ijkpunten voor de hoofdstukken 23 en 24 en voor het behalen van een positief tussentijds ijkpuntbeoordelingsverslag; is ingenomen met de afsluiting van nog eens drie onderhandelingshoofdstukken, waardoor het totaal op zes komt;</w:t>
            </w:r>
          </w:p>
        </w:tc>
        <w:tc>
          <w:tcPr>
            <w:tcW w:w="4876" w:type="dxa"/>
            <w:tcBorders>
              <w:top w:val="nil"/>
              <w:left w:val="nil"/>
              <w:bottom w:val="nil"/>
              <w:right w:val="nil"/>
            </w:tcBorders>
          </w:tcPr>
          <w:p>
            <w:pPr>
              <w:pStyle w:val="Normal6a"/>
            </w:pPr>
            <w:r>
              <w:t>2.</w:t>
            </w:r>
            <w:r>
              <w:tab/>
            </w:r>
            <w:r>
              <w:t xml:space="preserve">is verheugd over de positieve vooruitgang die Montenegro heeft geboekt bij het doorvoeren van EU-gerelateerde hervormingen en maatregelen, geschraagd door een ambitieus tijdschema en collectieve inspanningen van politieke actoren, maatschappelijke organisaties en burgers; prijst Montenegro voor het voldoen aan de tussentijdse ijkpunten voor de hoofdstukken 23 en 24 en voor het behalen van een positief tussentijds ijkpuntbeoordelingsverslag; </w:t>
            </w:r>
            <w:r>
              <w:rPr>
                <w:b/>
                <w:i/>
              </w:rPr>
              <w:t>spreekt niettemin zijn bezorgdheid uit over controversiële ideeën die de ronde doen in verband met wetgevingsvoorstellen over staatsburgerschap en buitenlandse agenten;</w:t>
            </w:r>
            <w:r>
              <w:t xml:space="preserve"> is ingenomen met de afsluiting van nog eens drie onderhandelingshoofdstukken, waardoor het totaal op zes komt;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is verheugd over de positieve vooruitgang die Montenegro heeft geboekt bij het doorvoeren van EU-gerelateerde hervormingen en maatregelen, geschraagd door een ambitieus tijdschema en collectieve inspanningen van politieke actoren, maatschappelijke organisaties en burgers; prijst Montenegro voor het voldoen aan de tussentijdse ijkpunten voor de hoofdstukken 23 en 24 en voor het behalen van een positief tussentijds ijkpuntbeoordelingsverslag; is ingenomen met de afsluiting van nog eens drie onderhandelingshoofdstukken, waardoor het totaal op zes komt;</w:t>
            </w:r>
          </w:p>
        </w:tc>
        <w:tc>
          <w:tcPr>
            <w:tcW w:w="4876" w:type="dxa"/>
            <w:tcBorders>
              <w:top w:val="nil"/>
              <w:left w:val="nil"/>
              <w:bottom w:val="nil"/>
              <w:right w:val="nil"/>
            </w:tcBorders>
          </w:tcPr>
          <w:p>
            <w:pPr>
              <w:pStyle w:val="Normal6a"/>
            </w:pPr>
            <w:r>
              <w:t>2.</w:t>
            </w:r>
            <w:r>
              <w:tab/>
            </w:r>
            <w:r>
              <w:t>is verheugd over de positieve vooruitgang die Montenegro heeft geboekt bij het doorvoeren van EU-gerelateerde hervormingen en maatregelen, geschraagd door een ambitieus tijdschema en collectieve inspanningen van politieke actoren, maatschappelijke organisaties en burgers; prijst Montenegro voor het voldoen aan de tussentijdse ijkpunten</w:t>
            </w:r>
            <w:r>
              <w:rPr>
                <w:b/>
                <w:i/>
              </w:rPr>
              <w:t>, die nog steeds het algemene tempo van de onderhandelingen bepalen,</w:t>
            </w:r>
            <w:r>
              <w:t xml:space="preserve"> voor de hoofdstukken 23 en 24 en voor het behalen van een positief tussentijds ijkpuntbeoordelingsverslag; is ingenomen met de afsluiting van nog eens drie onderhandelingshoofdstukken, waardoor het totaal op zes komt;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Dan Barna, Petras Auštrevičius, Malik Azmani,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moedigt alle politieke actoren aan om zich te blijven richten op EU-integratie en de vereiste hervormingen; benadrukt de noodzaak van politieke stabiliteit, inzet en constructieve betrokkenheid over de partijgrenzen heen om verdere hoofdstukken te kunnen afsluiten; beklemtoont dat goedgekeurde hervormingen daadwerkelijk moeten worden uitgevoerd om echte vooruitgang te garanderen;</w:t>
            </w:r>
          </w:p>
        </w:tc>
        <w:tc>
          <w:tcPr>
            <w:tcW w:w="4876" w:type="dxa"/>
            <w:tcBorders>
              <w:top w:val="nil"/>
              <w:left w:val="nil"/>
              <w:bottom w:val="nil"/>
              <w:right w:val="nil"/>
            </w:tcBorders>
          </w:tcPr>
          <w:p>
            <w:pPr>
              <w:pStyle w:val="Normal6a"/>
            </w:pPr>
            <w:r>
              <w:t>3.</w:t>
            </w:r>
            <w:r>
              <w:tab/>
            </w:r>
            <w:r>
              <w:t xml:space="preserve">moedigt alle politieke actoren aan om zich te blijven richten op EU-integratie en de vereiste hervormingen; benadrukt de noodzaak van politieke stabiliteit, inzet en constructieve betrokkenheid over de partijgrenzen heen om verdere hoofdstukken te kunnen afsluiten; </w:t>
            </w:r>
            <w:r>
              <w:rPr>
                <w:b/>
                <w:i/>
              </w:rPr>
              <w:t>betreurt de wijzigingen in de aangenomen hervormingswetgeving kort nadat de EU hierover een positief advies had uitgebracht (met name het “IBAR”-wetgevingspakket) en</w:t>
            </w:r>
            <w:r>
              <w:t xml:space="preserve"> beklemtoont dat goedgekeurde hervormingen daadwerkelijk </w:t>
            </w:r>
            <w:r>
              <w:rPr>
                <w:b/>
                <w:i/>
              </w:rPr>
              <w:t>en consequent</w:t>
            </w:r>
            <w:r>
              <w:t xml:space="preserve"> moeten worden uitgevoerd om echte vooruitgang </w:t>
            </w:r>
            <w:r>
              <w:rPr>
                <w:b/>
                <w:i/>
              </w:rPr>
              <w:t>en volledige afstemming op de Europese wetgeving</w:t>
            </w:r>
            <w:r>
              <w:t xml:space="preserve"> te garanderen;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moedigt alle politieke actoren aan om zich te blijven richten op EU-integratie en de vereiste hervormingen; benadrukt de noodzaak van politieke stabiliteit, inzet en constructieve betrokkenheid over de partijgrenzen heen om verdere hoofdstukken te kunnen afsluiten; beklemtoont dat goedgekeurde hervormingen daadwerkelijk moeten worden uitgevoerd om echte vooruitgang te garanderen;</w:t>
            </w:r>
          </w:p>
        </w:tc>
        <w:tc>
          <w:tcPr>
            <w:tcW w:w="4876" w:type="dxa"/>
            <w:tcBorders>
              <w:top w:val="nil"/>
              <w:left w:val="nil"/>
              <w:bottom w:val="nil"/>
              <w:right w:val="nil"/>
            </w:tcBorders>
          </w:tcPr>
          <w:p>
            <w:pPr>
              <w:pStyle w:val="Normal6a"/>
            </w:pPr>
            <w:r>
              <w:t>3.</w:t>
            </w:r>
            <w:r>
              <w:tab/>
            </w:r>
            <w:r>
              <w:t xml:space="preserve">moedigt alle politieke actoren aan om zich te blijven richten op EU-integratie en de vereiste hervormingen; benadrukt de noodzaak van politieke stabiliteit, inzet en constructieve betrokkenheid over de partijgrenzen heen om verdere hoofdstukken </w:t>
            </w:r>
            <w:r>
              <w:rPr>
                <w:b/>
                <w:i/>
              </w:rPr>
              <w:t>nog in 2025</w:t>
            </w:r>
            <w:r>
              <w:t xml:space="preserve"> te kunnen afsluiten</w:t>
            </w:r>
            <w:r>
              <w:rPr>
                <w:b/>
                <w:i/>
              </w:rPr>
              <w:t>, zodat de ambitieuze doelstelling van het land om de toetredingsonderhandelingen tegen eind 2026 af te ronden, kan worden bereikt</w:t>
            </w:r>
            <w:r>
              <w:t>; beklemtoont dat goedgekeurde hervormingen daadwerkelijk moeten worden uitgevoerd om echte vooruitgang te garanderen;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Jaroslav Bžoch,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moedigt alle politieke actoren aan om zich te blijven richten op EU-integratie en de vereiste hervormingen; benadrukt de noodzaak van politieke stabiliteit, inzet en constructieve betrokkenheid over de partijgrenzen heen om verdere hoofdstukken te kunnen afsluiten; beklemtoont dat goedgekeurde hervormingen daadwerkelijk moeten worden uitgevoerd om echte vooruitgang te garanderen;</w:t>
            </w:r>
          </w:p>
        </w:tc>
        <w:tc>
          <w:tcPr>
            <w:tcW w:w="4876" w:type="dxa"/>
            <w:tcBorders>
              <w:top w:val="nil"/>
              <w:left w:val="nil"/>
              <w:bottom w:val="nil"/>
              <w:right w:val="nil"/>
            </w:tcBorders>
          </w:tcPr>
          <w:p>
            <w:pPr>
              <w:pStyle w:val="Normal6a"/>
            </w:pPr>
            <w:r>
              <w:t>3.</w:t>
            </w:r>
            <w:r>
              <w:tab/>
            </w:r>
            <w:r>
              <w:t xml:space="preserve">moedigt alle politieke actoren aan om zich te blijven richten op EU-integratie en de vereiste hervormingen; </w:t>
            </w:r>
            <w:r>
              <w:rPr>
                <w:b/>
                <w:i/>
              </w:rPr>
              <w:t>betreurt dat er in het land een politieke crisis is uitgebroken en dat de aandacht voor het toetredingsproces hierdoor is verslapt;</w:t>
            </w:r>
            <w:r>
              <w:t xml:space="preserve"> benadrukt de noodzaak van politieke stabiliteit, inzet en constructieve betrokkenheid over de partijgrenzen heen om verdere hoofdstukken te kunnen afsluiten; beklemtoont dat goedgekeurde hervormingen daadwerkelijk moeten worden uitgevoerd om echte vooruitgang te garanderen;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moedigt alle politieke actoren aan om zich te blijven richten op EU-integratie en de vereiste hervormingen; benadrukt de noodzaak van politieke stabiliteit, inzet en constructieve betrokkenheid over de partijgrenzen heen </w:t>
            </w:r>
            <w:r>
              <w:rPr>
                <w:b/>
                <w:i/>
              </w:rPr>
              <w:t>om verdere hoofdstukken te kunnen afsluiten</w:t>
            </w:r>
            <w:r>
              <w:t>; beklemtoont dat goedgekeurde hervormingen daadwerkelijk moeten worden uitgevoerd om echte vooruitgang te garanderen;</w:t>
            </w:r>
          </w:p>
        </w:tc>
        <w:tc>
          <w:tcPr>
            <w:tcW w:w="4876" w:type="dxa"/>
            <w:tcBorders>
              <w:top w:val="nil"/>
              <w:left w:val="nil"/>
              <w:bottom w:val="nil"/>
              <w:right w:val="nil"/>
            </w:tcBorders>
          </w:tcPr>
          <w:p>
            <w:pPr>
              <w:pStyle w:val="Normal6a"/>
            </w:pPr>
            <w:r>
              <w:t>3.</w:t>
            </w:r>
            <w:r>
              <w:tab/>
            </w:r>
            <w:r>
              <w:t>moedigt alle politieke actoren aan om zich te blijven richten op EU-integratie en de vereiste hervormingen; benadrukt de noodzaak van politieke stabiliteit, inzet en constructieve betrokkenheid over de partijgrenzen heen</w:t>
            </w:r>
            <w:r>
              <w:rPr>
                <w:b/>
                <w:i/>
              </w:rPr>
              <w:t>, zodat efficiënter en sneller kan worden toegewerkt naar afsluiting van verdere hoofdstukken</w:t>
            </w:r>
            <w:r>
              <w:t>; beklemtoont dat goedgekeurde hervormingen daadwerkelijk moeten worden uitgevoerd om echte vooruitgang te garanderen;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Marjan Šarec, Lucia Yar, Petras Auštrevičius, Dan Barna, Ilhan Kyuchyuk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moedigt alle politieke actoren aan om zich te blijven richten op EU-integratie en de vereiste hervormingen; benadrukt de noodzaak van politieke stabiliteit, inzet en constructieve betrokkenheid over de partijgrenzen heen om verdere hoofdstukken te kunnen afsluiten; beklemtoont dat goedgekeurde hervormingen daadwerkelijk moeten worden uitgevoerd om echte vooruitgang te garanderen;</w:t>
            </w:r>
          </w:p>
        </w:tc>
        <w:tc>
          <w:tcPr>
            <w:tcW w:w="4876" w:type="dxa"/>
            <w:tcBorders>
              <w:top w:val="nil"/>
              <w:left w:val="nil"/>
              <w:bottom w:val="nil"/>
              <w:right w:val="nil"/>
            </w:tcBorders>
          </w:tcPr>
          <w:p>
            <w:pPr>
              <w:pStyle w:val="Normal6a"/>
            </w:pPr>
            <w:r>
              <w:t>3.</w:t>
            </w:r>
            <w:r>
              <w:tab/>
            </w:r>
            <w:r>
              <w:t xml:space="preserve">moedigt alle politieke actoren aan om zich te blijven richten op EU-integratie en de vereiste hervormingen; benadrukt de noodzaak van politieke stabiliteit, inzet en constructieve betrokkenheid </w:t>
            </w:r>
            <w:r>
              <w:rPr>
                <w:b/>
                <w:i/>
              </w:rPr>
              <w:t>bij het vinden van een consensus</w:t>
            </w:r>
            <w:r>
              <w:t xml:space="preserve"> over de partijgrenzen heen om verdere hoofdstukken te kunnen afsluiten; beklemtoont dat goedgekeurde hervormingen daadwerkelijk moeten worden uitgevoerd om echte vooruitgang te garanderen;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beklemtoont dat de geloofwaardigheid van de Europese Unie, met inbegrip van haar uitbreidingsbeleid als geheel, aanzienlijk dreigt te worden uitgehold als de concrete vooruitgang van bepaalde landen van de Westelijke Balkan zich niet vertaalt in duidelijke vorderingen op het traject naar toetreding tot de EU;</w:t>
            </w:r>
            <w:r>
              <w:t xml:space="preserve"> </w:t>
            </w:r>
            <w:r>
              <w:rPr>
                <w:b/>
                <w:i/>
              </w:rPr>
              <w:t>benadrukt dat het dringend nodig is ervoor te zorgen dat het uitbreidingsproces een objectieve en transparante weerspiegeling vormt van de daadwerkelijke verwezenlijkingen en hervormingen van de kandidaat-lidstaten om het vertrouwen van de bevolking in het EU-toetredingsproces niet te verliezen;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is verheugd dat Montenegro zich consequent en volledig blijft afstemmen op het gemeenschappelijk buitenlands en veiligheidsbeleid van de EU, met inbegrip van de beperkende maatregelen van de EU, onder meer die in verband met de aanvalsoorlog van Rusland tegen Oekraïne;</w:t>
            </w:r>
            <w:r>
              <w:t xml:space="preserve"> </w:t>
            </w:r>
            <w:r>
              <w:rPr>
                <w:b/>
                <w:i/>
              </w:rPr>
              <w:t>moedigt Montenegro aan de handhaving van beperkende maatregelen te versterken en omzeiling ervan te voorkomen;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is verheugd dat Montenegro zich consequent en volledig blijft afstemmen op het gemeenschappelijk buitenlands en veiligheidsbeleid van de EU, met inbegrip van de beperkende maatregelen van de EU, onder meer die in verband met de aanvalsoorlog van Rusland tegen Oekraïne; moedigt Montenegro aan de handhaving van beperkende maatregelen te versterken en omzeiling ervan te voorkomen;</w:t>
            </w:r>
          </w:p>
        </w:tc>
        <w:tc>
          <w:tcPr>
            <w:tcW w:w="4876" w:type="dxa"/>
            <w:tcBorders>
              <w:top w:val="nil"/>
              <w:left w:val="nil"/>
              <w:bottom w:val="nil"/>
              <w:right w:val="nil"/>
            </w:tcBorders>
          </w:tcPr>
          <w:p>
            <w:pPr>
              <w:pStyle w:val="Normal6a"/>
            </w:pPr>
            <w:r>
              <w:t>4.</w:t>
            </w:r>
            <w:r>
              <w:tab/>
            </w:r>
            <w:r>
              <w:t xml:space="preserve">is verheugd dat Montenegro zich consequent en volledig blijft afstemmen op het gemeenschappelijk buitenlands en veiligheidsbeleid van de EU, met inbegrip van de beperkende maatregelen van de EU, onder meer die in verband met de aanvalsoorlog van Rusland tegen Oekraïne; moedigt Montenegro aan de handhaving van beperkende maatregelen te versterken en omzeiling ervan te voorkomen; </w:t>
            </w:r>
            <w:r>
              <w:rPr>
                <w:b/>
                <w:i/>
              </w:rPr>
              <w:t>dringt er bij de Montenegrijnse autoriteiten op aan de activa van personen die op de sanctielijst staan in beslag te nemen;</w:t>
            </w:r>
            <w:r>
              <w:t xml:space="preserve"> </w:t>
            </w:r>
            <w:r>
              <w:rPr>
                <w:b/>
                <w:i/>
              </w:rPr>
              <w:t>spoort de Commissie ertoe aan verdere economische en financiële bijstand van de EU te overwegen voor landen van de Westelijke Balkan die zich hebben aangesloten bij alle EU-sancties tegen Rusland, met als doel de gevolgen van de crisis die ontstaat door de Russische invasie in Oekraïne te beperken;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is verheugd dat Montenegro zich consequent en volledig blijft afstemmen op het gemeenschappelijk buitenlands en veiligheidsbeleid van de EU, met inbegrip van de beperkende maatregelen van de EU, onder meer die in verband met de aanvalsoorlog van Rusland tegen Oekraïne; moedigt Montenegro aan de handhaving van beperkende maatregelen te versterken en omzeiling ervan te voorkomen;</w:t>
            </w:r>
          </w:p>
        </w:tc>
        <w:tc>
          <w:tcPr>
            <w:tcW w:w="4876" w:type="dxa"/>
            <w:tcBorders>
              <w:top w:val="nil"/>
              <w:left w:val="nil"/>
              <w:bottom w:val="nil"/>
              <w:right w:val="nil"/>
            </w:tcBorders>
          </w:tcPr>
          <w:p>
            <w:pPr>
              <w:pStyle w:val="Normal6a"/>
            </w:pPr>
            <w:r>
              <w:t>4.</w:t>
            </w:r>
            <w:r>
              <w:tab/>
            </w:r>
            <w:r>
              <w:t>is verheugd dat Montenegro zich consequent en volledig blijft afstemmen op het gemeenschappelijk buitenlands en veiligheidsbeleid van de EU, met inbegrip van de beperkende maatregelen van de EU, onder meer die in verband met de aanvalsoorlog van Rusland tegen Oekraïne</w:t>
            </w:r>
            <w:r>
              <w:rPr>
                <w:b/>
                <w:i/>
              </w:rPr>
              <w:t>, en is ingenomen met zijn steun voor de op regels gebaseerde internationale orde op het niveau van de Verenigde Naties</w:t>
            </w:r>
            <w:r>
              <w:t>; moedigt Montenegro aan de handhaving van beperkende maatregelen te versterken en omzeiling ervan te voorkomen;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is verheugd dat Montenegro zich consequent en volledig blijft afstemmen op het gemeenschappelijk buitenlands en veiligheidsbeleid van de EU, met inbegrip van de beperkende maatregelen van de EU, onder meer die in verband met de aanvalsoorlog van Rusland tegen Oekraïne; moedigt Montenegro aan de handhaving van beperkende maatregelen te versterken en omzeiling ervan te voorkomen;</w:t>
            </w:r>
          </w:p>
        </w:tc>
        <w:tc>
          <w:tcPr>
            <w:tcW w:w="4876" w:type="dxa"/>
            <w:tcBorders>
              <w:top w:val="nil"/>
              <w:left w:val="nil"/>
              <w:bottom w:val="nil"/>
              <w:right w:val="nil"/>
            </w:tcBorders>
          </w:tcPr>
          <w:p>
            <w:pPr>
              <w:pStyle w:val="Normal6a"/>
            </w:pPr>
            <w:r>
              <w:t>4.</w:t>
            </w:r>
            <w:r>
              <w:tab/>
            </w:r>
            <w:r>
              <w:t xml:space="preserve">is verheugd dat Montenegro zich consequent en volledig blijft afstemmen op het gemeenschappelijk buitenlands en veiligheidsbeleid van de EU, met inbegrip van de beperkende maatregelen van de EU, onder meer die in verband met de aanvalsoorlog van Rusland tegen Oekraïne </w:t>
            </w:r>
            <w:r>
              <w:rPr>
                <w:b/>
                <w:i/>
              </w:rPr>
              <w:t>en de maatregelen die zijn genomen naar aanleiding van cyberaanvallen in 2023 en 2024</w:t>
            </w:r>
            <w:r>
              <w:t>; moedigt Montenegro aan de handhaving van beperkende maatregelen te versterken en omzeiling ervan te voorkomen;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4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is ingenomen met de actieve betrokkenheid van Montenegro bij missies en operaties in het kader van het gemeenschappelijk veiligheids- en defensiebeleid van de EU, zoals de EU-zeemachtoperatie ATALANTA, alsook bij de NAVO en andere internationale en multilaterale missies;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4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is ingenomen met de deelname van Montenegro aan missies en operaties in het kader van het gemeenschappelijk veiligheids- en defensiebeleid van de EU, de NAVO en andere internationale multilaterale missies;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4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beklemtoont dat de afstemming op het GBVB en de inzet voor de waarden van de EU en de onafhankelijkheid van Montenegro door alle vertegenwoordigers van de staat moeten worden geëerbiedigd en bevorderd;</w:t>
            </w:r>
            <w:r>
              <w:t xml:space="preserve"> </w:t>
            </w:r>
            <w:r>
              <w:rPr>
                <w:b/>
                <w:i/>
              </w:rPr>
              <w:t>is in dit verband zeer bezorgd over de verklaringen van hoge overheidsfunctionarissen ter ondersteuning van de president van de Republika Srpska (RS), Milorad Dodik, die de soevereiniteit en territoriale integriteit van Bosnië en Herzegovina ondermijnt, alsook over hun aanwezigheid op de “pan-Servische vergadering”;</w:t>
            </w:r>
            <w:r>
              <w:t xml:space="preserve"> </w:t>
            </w:r>
            <w:r>
              <w:rPr>
                <w:b/>
                <w:i/>
              </w:rPr>
              <w:t>beklemtoont dat de leden van de regeringscoalitie en regeringsvertegenwoordigers zich moeten onthouden van activiteiten die een bedreiging kunnen vormen voor het strategische traject van Montenegro naar EU-lidmaatschap en voor de soevereiniteit van het land;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Lucia Yar, Dan Barna, Malik Azmani, Marjan Šarec, Ľubica Karvašová,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prijst Montenegro voor zijn humanitaire en materiële steun aan Oekraïne; brengt in herinnering dat Montenegro </w:t>
            </w:r>
            <w:r>
              <w:rPr>
                <w:b/>
                <w:i/>
              </w:rPr>
              <w:t>een groot</w:t>
            </w:r>
            <w:r>
              <w:t xml:space="preserve"> aantal Oekraïense vluchtelingen </w:t>
            </w:r>
            <w:r>
              <w:rPr>
                <w:b/>
                <w:i/>
              </w:rPr>
              <w:t>opvangt</w:t>
            </w:r>
            <w:r>
              <w:t>;</w:t>
            </w:r>
          </w:p>
        </w:tc>
        <w:tc>
          <w:tcPr>
            <w:tcW w:w="4876" w:type="dxa"/>
            <w:tcBorders>
              <w:top w:val="nil"/>
              <w:left w:val="nil"/>
              <w:bottom w:val="nil"/>
              <w:right w:val="nil"/>
            </w:tcBorders>
          </w:tcPr>
          <w:p>
            <w:pPr>
              <w:pStyle w:val="Normal6a"/>
            </w:pPr>
            <w:r>
              <w:t>5.</w:t>
            </w:r>
            <w:r>
              <w:tab/>
            </w:r>
            <w:r>
              <w:t>prijst Montenegro voor zijn humanitaire en materiële steun aan Oekraïne</w:t>
            </w:r>
            <w:r>
              <w:rPr>
                <w:b/>
                <w:i/>
              </w:rPr>
              <w:t>,</w:t>
            </w:r>
            <w:r>
              <w:t xml:space="preserve"> </w:t>
            </w:r>
            <w:r>
              <w:rPr>
                <w:b/>
                <w:i/>
              </w:rPr>
              <w:t>alsook voor de verlenging van het mechanisme voor tijdelijke bescherming, dat mensen die Oekraïne ontvluchten het recht geeft om gedurende één jaar in Montenegro te verblijven;</w:t>
            </w:r>
            <w:r>
              <w:t xml:space="preserve"> </w:t>
            </w:r>
            <w:r>
              <w:rPr>
                <w:b/>
                <w:i/>
              </w:rPr>
              <w:t>merkt op dat op 31 januari 2025 volgens statistieken van UNHCR meer dan 18 800 vluchtelingen uit Oekraïne in Montenegro waren geregistreerd</w:t>
            </w:r>
            <w:r>
              <w:t xml:space="preserve">; brengt </w:t>
            </w:r>
            <w:r>
              <w:rPr>
                <w:b/>
                <w:i/>
              </w:rPr>
              <w:t>dan ook</w:t>
            </w:r>
            <w:r>
              <w:t xml:space="preserve"> in herinnering dat Montenegro </w:t>
            </w:r>
            <w:r>
              <w:rPr>
                <w:b/>
                <w:i/>
              </w:rPr>
              <w:t>tot de landen van de Westelijke Balkan behoort die het grootste</w:t>
            </w:r>
            <w:r>
              <w:t xml:space="preserve"> aantal Oekraïense vluchtelingen </w:t>
            </w:r>
            <w:r>
              <w:rPr>
                <w:b/>
                <w:i/>
              </w:rPr>
              <w:t>opvangen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Lucia Yar, Dan Barna, Malik Azmani, Marjan Šarec, Ľubica Karvašová,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5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is ingenomen met het besluit van de raad voor defensie en veiligheid van Montenegro om de deelname van de strijdkrachten aan zowel de militaire bijstandsmissie van de EU als de NAVO-veiligheidsbijstand en -training voor Oekraïne goed te keuren;</w:t>
            </w:r>
            <w:r>
              <w:t xml:space="preserve"> </w:t>
            </w:r>
            <w:r>
              <w:rPr>
                <w:b/>
                <w:i/>
              </w:rPr>
              <w:t>doet een oproep aan het Montenegrijnse parlement om deze cruciale besluiten vast te stellen en zo de inzet van het land voor collectieve veiligheid te versterken;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blijft uitermate bezorgd over kwaadaardige buitenlandse inmenging, destabiliseringspogingen, hybride dreigingen en desinformatiecampagnes door actoren uit derde landen, en dringt er bij Montenegro op aan om in samenwerking met de EU en de NAVO tegenmaatregelen te nemen;</w:t>
            </w:r>
            <w:r>
              <w:t xml:space="preserve"> spoort de EU en de Montenegrijnse autoriteiten aan om de strategische communicatie met de Montenegrijnse burgers over de voordelen van het uitbreidingsproces en het EU-lidmaatschap op te voeren;</w:t>
            </w:r>
          </w:p>
        </w:tc>
        <w:tc>
          <w:tcPr>
            <w:tcW w:w="4876" w:type="dxa"/>
            <w:tcBorders>
              <w:top w:val="nil"/>
              <w:left w:val="nil"/>
              <w:bottom w:val="nil"/>
              <w:right w:val="nil"/>
            </w:tcBorders>
          </w:tcPr>
          <w:p>
            <w:pPr>
              <w:pStyle w:val="Normal6a"/>
            </w:pPr>
            <w:r>
              <w:t>6.</w:t>
            </w:r>
            <w:r>
              <w:tab/>
            </w:r>
            <w:r>
              <w:t>spoort de EU en de Montenegrijnse autoriteiten aan om de strategische communicatie met de Montenegrijnse burgers over de voordelen van het uitbreidingsproces en het EU-lidmaatschap op te voeren;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Jaroslav Bžoch, Kinga Gál,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blijft uitermate bezorgd over kwaadaardige buitenlandse inmenging, destabiliseringspogingen</w:t>
            </w:r>
            <w:r>
              <w:rPr>
                <w:b/>
                <w:i/>
              </w:rPr>
              <w:t>,</w:t>
            </w:r>
            <w:r>
              <w:t xml:space="preserve"> hybride dreigingen </w:t>
            </w:r>
            <w:r>
              <w:rPr>
                <w:b/>
                <w:i/>
              </w:rPr>
              <w:t>en desinformatiecampagnes door actoren uit derde landen</w:t>
            </w:r>
            <w:r>
              <w:t>, en dringt er bij Montenegro op aan om in samenwerking met de EU en de NAVO tegenmaatregelen te nemen; spoort de EU en de Montenegrijnse autoriteiten aan om de strategische communicatie met de Montenegrijnse burgers over de voordelen van het uitbreidingsproces en het EU-lidmaatschap op te voeren;</w:t>
            </w:r>
          </w:p>
        </w:tc>
        <w:tc>
          <w:tcPr>
            <w:tcW w:w="4876" w:type="dxa"/>
            <w:tcBorders>
              <w:top w:val="nil"/>
              <w:left w:val="nil"/>
              <w:bottom w:val="nil"/>
              <w:right w:val="nil"/>
            </w:tcBorders>
          </w:tcPr>
          <w:p>
            <w:pPr>
              <w:pStyle w:val="Normal6a"/>
            </w:pPr>
            <w:r>
              <w:t>6.</w:t>
            </w:r>
            <w:r>
              <w:tab/>
            </w:r>
            <w:r>
              <w:t xml:space="preserve">blijft uitermate bezorgd over kwaadaardige buitenlandse inmenging, destabiliseringspogingen </w:t>
            </w:r>
            <w:r>
              <w:rPr>
                <w:b/>
                <w:i/>
              </w:rPr>
              <w:t>en</w:t>
            </w:r>
            <w:r>
              <w:t xml:space="preserve"> hybride dreigingen, en dringt er bij Montenegro op aan om in samenwerking met de EU en de NAVO tegenmaatregelen te nemen; spoort de EU en de Montenegrijnse autoriteiten aan om de strategische communicatie met de Montenegrijnse burgers over de voordelen van het uitbreidingsproces en het EU-lidmaatschap op te voeren;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Andrey Kovatchev, Tomislav Sokol, Sunčana Glavak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blijft uitermate bezorgd over kwaadaardige buitenlandse inmenging, destabiliseringspogingen, hybride dreigingen en desinformatiecampagnes </w:t>
            </w:r>
            <w:r>
              <w:rPr>
                <w:b/>
                <w:i/>
              </w:rPr>
              <w:t>door</w:t>
            </w:r>
            <w:r>
              <w:t xml:space="preserve"> actoren uit derde landen, en dringt er bij Montenegro op aan om in samenwerking met de EU en de NAVO tegenmaatregelen te nemen; spoort de EU en de Montenegrijnse autoriteiten aan om de strategische communicatie met de Montenegrijnse burgers over de voordelen van het uitbreidingsproces en het EU-lidmaatschap op te voeren;</w:t>
            </w:r>
          </w:p>
        </w:tc>
        <w:tc>
          <w:tcPr>
            <w:tcW w:w="4876" w:type="dxa"/>
            <w:tcBorders>
              <w:top w:val="nil"/>
              <w:left w:val="nil"/>
              <w:bottom w:val="nil"/>
              <w:right w:val="nil"/>
            </w:tcBorders>
          </w:tcPr>
          <w:p>
            <w:pPr>
              <w:pStyle w:val="Normal6a"/>
            </w:pPr>
            <w:r>
              <w:t>6.</w:t>
            </w:r>
            <w:r>
              <w:tab/>
            </w:r>
            <w:r>
              <w:t>blijft uitermate bezorgd over kwaadaardige buitenlandse inmenging, destabiliseringspogingen, hybride dreigingen en desinformatiecampagnes</w:t>
            </w:r>
            <w:r>
              <w:rPr>
                <w:b/>
                <w:i/>
              </w:rPr>
              <w:t>, waaronder pogingen van</w:t>
            </w:r>
            <w:r>
              <w:t xml:space="preserve"> actoren uit derde landen, </w:t>
            </w:r>
            <w:r>
              <w:rPr>
                <w:b/>
                <w:i/>
              </w:rPr>
              <w:t>zoals China, Rusland en Servië, om politieke processen en de publieke opinie te beïnvloeden,</w:t>
            </w:r>
            <w:r>
              <w:t xml:space="preserve"> en dringt er bij Montenegro op aan om in samenwerking met de EU en de NAVO tegenmaatregelen te nemen; </w:t>
            </w:r>
            <w:r>
              <w:rPr>
                <w:b/>
                <w:i/>
              </w:rPr>
              <w:t>veroordeelt de pogingen van Rusland en buurlanden om etnische spanningen in Montenegro uit te buiten met als doel conflicten aan te wakkeren en gemeenschappen te verdelen;</w:t>
            </w:r>
            <w:r>
              <w:t xml:space="preserve"> </w:t>
            </w:r>
            <w:r>
              <w:rPr>
                <w:b/>
                <w:i/>
              </w:rPr>
              <w:t>stelt vast dat de Servisch-orthodoxe kerk wordt gebruikt als instrument voor externe beïnvloeding en veroordeelt de inmenging in dit verband;</w:t>
            </w:r>
            <w:r>
              <w:t xml:space="preserve"> spoort de EU en de Montenegrijnse autoriteiten aan om de strategische communicatie met de Montenegrijnse burgers over de voordelen van het uitbreidingsproces en het EU-lidmaatschap op te voeren; </w:t>
            </w:r>
            <w:r>
              <w:rPr>
                <w:b/>
                <w:i/>
              </w:rPr>
              <w:t>dringt er bij de Montenegrijnse autoriteiten op aan de weerbaarheid tegen dergelijke inmenging te versterken door de maatregelen op het gebied van cyberbeveiliging te intensiveren en onder burgers mediawijsheid te bevorderen;</w:t>
            </w:r>
            <w:r>
              <w:t xml:space="preserve"> </w:t>
            </w:r>
            <w:r>
              <w:rPr>
                <w:b/>
                <w:i/>
              </w:rPr>
              <w:t>dringt aan op een versterking van de Europese samenwerking met Montenegro om desinformatie, buitenlandse inmenging, cyberdreigingen en hybride dreigingen aan te pakken die erop gericht zijn het Europese perspectief van het land en de regio te ondermijnen;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blijft uitermate bezorgd over kwaadaardige buitenlandse inmenging, destabiliseringspogingen, hybride dreigingen en desinformatiecampagnes door actoren uit derde landen, en dringt er bij Montenegro op aan om in samenwerking met de EU en de NAVO tegenmaatregelen te nemen; spoort de EU en de Montenegrijnse autoriteiten aan om de strategische communicatie met de Montenegrijnse burgers over de voordelen van het uitbreidingsproces en het EU-lidmaatschap op te voeren;</w:t>
            </w:r>
          </w:p>
        </w:tc>
        <w:tc>
          <w:tcPr>
            <w:tcW w:w="4876" w:type="dxa"/>
            <w:tcBorders>
              <w:top w:val="nil"/>
              <w:left w:val="nil"/>
              <w:bottom w:val="nil"/>
              <w:right w:val="nil"/>
            </w:tcBorders>
          </w:tcPr>
          <w:p>
            <w:pPr>
              <w:pStyle w:val="Normal6a"/>
            </w:pPr>
            <w:r>
              <w:t>6.</w:t>
            </w:r>
            <w:r>
              <w:tab/>
            </w:r>
            <w:r>
              <w:t xml:space="preserve">blijft uitermate bezorgd over kwaadaardige buitenlandse inmenging, destabiliseringspogingen, hybride dreigingen en desinformatiecampagnes door actoren uit derde landen, en dringt er bij Montenegro op aan om in samenwerking met de EU en de NAVO tegenmaatregelen te nemen; </w:t>
            </w:r>
            <w:r>
              <w:rPr>
                <w:b/>
                <w:i/>
              </w:rPr>
              <w:t>merkt op dat religieuze instellingen als instrument voor externe beïnvloeding kunnen worden gebruikt en veroordeelt alle ongepaste inmenging van de Servisch-orthodoxe kerk in dit verband;</w:t>
            </w:r>
            <w:r>
              <w:t xml:space="preserve"> </w:t>
            </w:r>
            <w:r>
              <w:rPr>
                <w:b/>
                <w:i/>
              </w:rPr>
              <w:t>verzoekt Montenegro aanzienlijke en structurele inspanningen te leveren om desinformatiefabrieken op te sporen en te ontmantelen, en wijst op het belang van mediavrijheid en onafhankelijkheid van de media, hoogwaardige journalistiek en de bevordering van mediawijsheid als sleutel om desinformatie te bestrijden;</w:t>
            </w:r>
            <w:r>
              <w:t xml:space="preserve"> spoort de EU en de Montenegrijnse autoriteiten aan om de strategische communicatie met de Montenegrijnse burgers over de voordelen van het uitbreidingsproces en het EU-lidmaatschap op te voeren;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blijft uitermate bezorgd over kwaadaardige buitenlandse inmenging, destabiliseringspogingen, hybride dreigingen en desinformatiecampagnes door actoren uit derde landen, en dringt er bij Montenegro op aan om in samenwerking met de EU en de NAVO tegenmaatregelen te nemen; spoort de EU en de Montenegrijnse autoriteiten aan om de strategische communicatie met de Montenegrijnse burgers over de voordelen van het uitbreidingsproces en het EU-lidmaatschap op te voeren;</w:t>
            </w:r>
          </w:p>
        </w:tc>
        <w:tc>
          <w:tcPr>
            <w:tcW w:w="4876" w:type="dxa"/>
            <w:tcBorders>
              <w:top w:val="nil"/>
              <w:left w:val="nil"/>
              <w:bottom w:val="nil"/>
              <w:right w:val="nil"/>
            </w:tcBorders>
          </w:tcPr>
          <w:p>
            <w:pPr>
              <w:pStyle w:val="Normal6a"/>
            </w:pPr>
            <w:r>
              <w:t>6.</w:t>
            </w:r>
            <w:r>
              <w:tab/>
            </w:r>
            <w:r>
              <w:t xml:space="preserve">blijft uitermate bezorgd over kwaadaardige buitenlandse inmenging, destabiliseringspogingen, hybride dreigingen en desinformatiecampagnes door actoren uit derde landen, en dringt er bij Montenegro op aan om in samenwerking met de EU en de NAVO tegenmaatregelen te nemen; </w:t>
            </w:r>
            <w:r>
              <w:rPr>
                <w:b/>
                <w:i/>
              </w:rPr>
              <w:t>beveelt Montenegro aan een speciale taskforce voor hybride dreigingen op te richten om de respons op verkiezingsinmenging en desinformatie te coördineren;</w:t>
            </w:r>
            <w:r>
              <w:t xml:space="preserve"> </w:t>
            </w:r>
            <w:r>
              <w:rPr>
                <w:b/>
                <w:i/>
              </w:rPr>
              <w:t>moedigt Montenegro voorts aan zijn cyberdefensie te versterken door maximaal gebruik te maken van programma’s voor het delen van inlichtingen en capaciteitsopbouw in het kader van het NAVO-ondersteuningsteam voor de bestrijding van hybride dreigingen;</w:t>
            </w:r>
            <w:r>
              <w:t xml:space="preserve"> </w:t>
            </w:r>
            <w:r>
              <w:rPr>
                <w:b/>
                <w:i/>
              </w:rPr>
              <w:t>benadrukt het belang van bewustmakingscampagnes en programma’s voor mediawijsheid om de maatschappelijke weerbaarheid tegen kwaadwillige narratieven te versterken;</w:t>
            </w:r>
            <w:r>
              <w:t xml:space="preserve"> spoort de EU en de Montenegrijnse autoriteiten aan om de strategische communicatie met de Montenegrijnse burgers over de voordelen van het uitbreidingsproces en het EU-lidmaatschap op te voeren; </w:t>
            </w:r>
            <w:r>
              <w:rPr>
                <w:b/>
                <w:i/>
              </w:rPr>
              <w:t>verzoekt de Europese Commissie verdere steun te verlenen aan de inspanningen van de EDEO en de Taskforce Westelijke Balkan om hun outreachactiviteiten uit te breiden door de zichtbaarheid in de lokale media te vergroten, frequente factcheckingverslagen te publiceren en samen te werken met maatschappelijke organisaties om valse narratieven doeltreffender tegen te gaan;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blijft uitermate bezorgd over kwaadaardige buitenlandse inmenging, destabiliseringspogingen, hybride dreigingen en desinformatiecampagnes door actoren uit derde landen, en dringt er bij Montenegro op aan om in samenwerking met de EU en de NAVO tegenmaatregelen te nemen; spoort de EU en de Montenegrijnse autoriteiten aan om de strategische communicatie met de Montenegrijnse burgers over de </w:t>
            </w:r>
            <w:r>
              <w:rPr>
                <w:b/>
                <w:i/>
              </w:rPr>
              <w:t>voordelen</w:t>
            </w:r>
            <w:r>
              <w:t xml:space="preserve"> van het uitbreidingsproces en </w:t>
            </w:r>
            <w:r>
              <w:rPr>
                <w:b/>
                <w:i/>
              </w:rPr>
              <w:t>het</w:t>
            </w:r>
            <w:r>
              <w:t xml:space="preserve"> EU-lidmaatschap </w:t>
            </w:r>
            <w:r>
              <w:rPr>
                <w:b/>
                <w:i/>
              </w:rPr>
              <w:t>op te voeren</w:t>
            </w:r>
            <w:r>
              <w:t>;</w:t>
            </w:r>
          </w:p>
        </w:tc>
        <w:tc>
          <w:tcPr>
            <w:tcW w:w="4876" w:type="dxa"/>
            <w:tcBorders>
              <w:top w:val="nil"/>
              <w:left w:val="nil"/>
              <w:bottom w:val="nil"/>
              <w:right w:val="nil"/>
            </w:tcBorders>
          </w:tcPr>
          <w:p>
            <w:pPr>
              <w:pStyle w:val="Normal6a"/>
            </w:pPr>
            <w:r>
              <w:t>6.</w:t>
            </w:r>
            <w:r>
              <w:tab/>
            </w:r>
            <w:r>
              <w:t xml:space="preserve">blijft uitermate bezorgd over kwaadaardige buitenlandse inmenging, destabiliseringspogingen, hybride dreigingen en desinformatiecampagnes door actoren uit derde landen, en dringt er bij Montenegro op aan om in samenwerking met de EU en de NAVO tegenmaatregelen te nemen; </w:t>
            </w:r>
            <w:r>
              <w:rPr>
                <w:b/>
                <w:i/>
              </w:rPr>
              <w:t>dringt erop aan het medialandschap aan scherper toezicht te onderwerpen om nepnieuws en andere desinformatieactiviteiten aan te pakken, met name wanneer deze aan schadelijke buitenlandse invloeden kunnen worden toegeschreven;</w:t>
            </w:r>
            <w:r>
              <w:t xml:space="preserve"> spoort de EU en de Montenegrijnse autoriteiten aan om de strategische communicatie met de Montenegrijnse burgers over de </w:t>
            </w:r>
            <w:r>
              <w:rPr>
                <w:b/>
                <w:i/>
              </w:rPr>
              <w:t>essentie</w:t>
            </w:r>
            <w:r>
              <w:t xml:space="preserve"> van het uitbreidingsproces en </w:t>
            </w:r>
            <w:r>
              <w:rPr>
                <w:b/>
                <w:i/>
              </w:rPr>
              <w:t>de voordelen van</w:t>
            </w:r>
            <w:r>
              <w:t xml:space="preserve"> EU-lidmaatschap </w:t>
            </w:r>
            <w:r>
              <w:rPr>
                <w:b/>
                <w:i/>
              </w:rPr>
              <w:t>te versterken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Dan Barna, Lucia Yar, Petras Auštrevičius, Malik Azmani,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blijft uitermate bezorgd over kwaadaardige buitenlandse inmenging, destabiliseringspogingen, hybride dreigingen en desinformatiecampagnes door actoren uit derde landen, en dringt er bij Montenegro op aan om in samenwerking met de EU en de NAVO tegenmaatregelen te nemen; spoort de EU en de Montenegrijnse autoriteiten aan om de strategische communicatie met de Montenegrijnse burgers over de voordelen van het uitbreidingsproces en het EU-lidmaatschap op te voeren;</w:t>
            </w:r>
          </w:p>
        </w:tc>
        <w:tc>
          <w:tcPr>
            <w:tcW w:w="4876" w:type="dxa"/>
            <w:tcBorders>
              <w:top w:val="nil"/>
              <w:left w:val="nil"/>
              <w:bottom w:val="nil"/>
              <w:right w:val="nil"/>
            </w:tcBorders>
          </w:tcPr>
          <w:p>
            <w:pPr>
              <w:pStyle w:val="Normal6a"/>
            </w:pPr>
            <w:r>
              <w:t>6.</w:t>
            </w:r>
            <w:r>
              <w:tab/>
            </w:r>
            <w:r>
              <w:t xml:space="preserve">blijft uitermate bezorgd over kwaadaardige buitenlandse inmenging, destabiliseringspogingen, hybride dreigingen en desinformatiecampagnes door actoren uit derde landen, en dringt er bij Montenegro op aan om in samenwerking met de EU en de NAVO tegenmaatregelen te nemen; spoort de EU en de Montenegrijnse autoriteiten aan om de strategische communicatie met de Montenegrijnse burgers over de voordelen van het uitbreidingsproces en het EU-lidmaatschap </w:t>
            </w:r>
            <w:r>
              <w:rPr>
                <w:b/>
                <w:i/>
              </w:rPr>
              <w:t>en over de concrete criteria waaraan Montenegro nog moet voldoen om in overeenstemming te zijn met de EU-vereisten</w:t>
            </w:r>
            <w:r>
              <w:t xml:space="preserve"> op te voeren;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blijft uitermate bezorgd over kwaadaardige buitenlandse inmenging, destabiliseringspogingen, hybride dreigingen en desinformatiecampagnes </w:t>
            </w:r>
            <w:r>
              <w:rPr>
                <w:b/>
                <w:i/>
              </w:rPr>
              <w:t>door</w:t>
            </w:r>
            <w:r>
              <w:t xml:space="preserve"> actoren uit derde landen</w:t>
            </w:r>
            <w:r>
              <w:rPr>
                <w:b/>
                <w:i/>
              </w:rPr>
              <w:t>, en</w:t>
            </w:r>
            <w:r>
              <w:t xml:space="preserve"> dringt er bij Montenegro op aan om in samenwerking met de EU en de NAVO tegenmaatregelen te nemen; spoort de EU en de Montenegrijnse autoriteiten aan om de strategische communicatie met de Montenegrijnse burgers over de voordelen van het uitbreidingsproces en het EU-lidmaatschap op te voeren;</w:t>
            </w:r>
          </w:p>
        </w:tc>
        <w:tc>
          <w:tcPr>
            <w:tcW w:w="4876" w:type="dxa"/>
            <w:tcBorders>
              <w:top w:val="nil"/>
              <w:left w:val="nil"/>
              <w:bottom w:val="nil"/>
              <w:right w:val="nil"/>
            </w:tcBorders>
          </w:tcPr>
          <w:p>
            <w:pPr>
              <w:pStyle w:val="Normal6a"/>
            </w:pPr>
            <w:r>
              <w:t>6.</w:t>
            </w:r>
            <w:r>
              <w:tab/>
            </w:r>
            <w:r>
              <w:t xml:space="preserve">blijft uitermate bezorgd over kwaadaardige buitenlandse inmenging, destabiliseringspogingen, hybride dreigingen en desinformatiecampagnes </w:t>
            </w:r>
            <w:r>
              <w:rPr>
                <w:b/>
                <w:i/>
              </w:rPr>
              <w:t>van</w:t>
            </w:r>
            <w:r>
              <w:t xml:space="preserve"> actoren uit derde landen </w:t>
            </w:r>
            <w:r>
              <w:rPr>
                <w:b/>
                <w:i/>
              </w:rPr>
              <w:t>die een vertekend beeld geven van de rol van Europa en Montenegro belemmeren vooruitgang te boeken op zijn Europese traject;</w:t>
            </w:r>
            <w:r>
              <w:t xml:space="preserve"> dringt er bij Montenegro op aan om in samenwerking met de EU en de NAVO tegenmaatregelen te nemen; spoort de EU en de Montenegrijnse autoriteiten aan om de strategische communicatie met de Montenegrijnse burgers over de voordelen van het uitbreidingsproces en het EU-lidmaatschap op te voeren;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blijft uitermate bezorgd over kwaadaardige buitenlandse inmenging, destabiliseringspogingen, hybride dreigingen en desinformatiecampagnes </w:t>
            </w:r>
            <w:r>
              <w:rPr>
                <w:b/>
                <w:i/>
              </w:rPr>
              <w:t>door</w:t>
            </w:r>
            <w:r>
              <w:t xml:space="preserve"> actoren uit derde landen, en dringt er bij Montenegro op aan om in samenwerking met de EU en de NAVO tegenmaatregelen te nemen; spoort de EU en de Montenegrijnse autoriteiten aan om de strategische communicatie met de Montenegrijnse burgers over de </w:t>
            </w:r>
            <w:r>
              <w:rPr>
                <w:b/>
                <w:i/>
              </w:rPr>
              <w:t>voordelen</w:t>
            </w:r>
            <w:r>
              <w:t xml:space="preserve"> van het uitbreidingsproces en </w:t>
            </w:r>
            <w:r>
              <w:rPr>
                <w:b/>
                <w:i/>
              </w:rPr>
              <w:t>het</w:t>
            </w:r>
            <w:r>
              <w:t xml:space="preserve"> EU-lidmaatschap </w:t>
            </w:r>
            <w:r>
              <w:rPr>
                <w:b/>
                <w:i/>
              </w:rPr>
              <w:t>op te voeren</w:t>
            </w:r>
            <w:r>
              <w:t>;</w:t>
            </w:r>
          </w:p>
        </w:tc>
        <w:tc>
          <w:tcPr>
            <w:tcW w:w="4876" w:type="dxa"/>
            <w:tcBorders>
              <w:top w:val="nil"/>
              <w:left w:val="nil"/>
              <w:bottom w:val="nil"/>
              <w:right w:val="nil"/>
            </w:tcBorders>
          </w:tcPr>
          <w:p>
            <w:pPr>
              <w:pStyle w:val="Normal6a"/>
            </w:pPr>
            <w:r>
              <w:t>6.</w:t>
            </w:r>
            <w:r>
              <w:tab/>
            </w:r>
            <w:r>
              <w:t xml:space="preserve">blijft uitermate bezorgd over kwaadaardige buitenlandse inmenging, destabiliseringspogingen, </w:t>
            </w:r>
            <w:r>
              <w:rPr>
                <w:b/>
                <w:i/>
              </w:rPr>
              <w:t>cyberaanvallen,</w:t>
            </w:r>
            <w:r>
              <w:t xml:space="preserve"> hybride dreigingen en desinformatiecampagnes </w:t>
            </w:r>
            <w:r>
              <w:rPr>
                <w:b/>
                <w:i/>
              </w:rPr>
              <w:t>van</w:t>
            </w:r>
            <w:r>
              <w:t xml:space="preserve"> actoren uit derde landen, </w:t>
            </w:r>
            <w:r>
              <w:rPr>
                <w:b/>
                <w:i/>
              </w:rPr>
              <w:t>met name uit Rusland en Servië,</w:t>
            </w:r>
            <w:r>
              <w:t xml:space="preserve"> en dringt er bij Montenegro op aan om in samenwerking met de EU en de NAVO tegenmaatregelen te nemen; spoort de EU en de Montenegrijnse autoriteiten aan om de strategische communicatie met de Montenegrijnse burgers over de </w:t>
            </w:r>
            <w:r>
              <w:rPr>
                <w:b/>
                <w:i/>
              </w:rPr>
              <w:t>essentie</w:t>
            </w:r>
            <w:r>
              <w:t xml:space="preserve"> van het uitbreidingsproces en </w:t>
            </w:r>
            <w:r>
              <w:rPr>
                <w:b/>
                <w:i/>
              </w:rPr>
              <w:t>de voordelen van</w:t>
            </w:r>
            <w:r>
              <w:t xml:space="preserve"> EU-lidmaatschap </w:t>
            </w:r>
            <w:r>
              <w:rPr>
                <w:b/>
                <w:i/>
              </w:rPr>
              <w:t>te versterken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blijft uitermate bezorgd over kwaadaardige buitenlandse inmenging, destabiliseringspogingen, hybride dreigingen en desinformatiecampagnes door actoren uit derde landen, en dringt er bij Montenegro op aan om in samenwerking met de EU en de NAVO tegenmaatregelen te nemen; spoort de EU en de Montenegrijnse autoriteiten aan om de strategische communicatie met de Montenegrijnse burgers over de voordelen van het uitbreidingsproces en het EU-lidmaatschap op te voeren;</w:t>
            </w:r>
          </w:p>
        </w:tc>
        <w:tc>
          <w:tcPr>
            <w:tcW w:w="4876" w:type="dxa"/>
            <w:tcBorders>
              <w:top w:val="nil"/>
              <w:left w:val="nil"/>
              <w:bottom w:val="nil"/>
              <w:right w:val="nil"/>
            </w:tcBorders>
          </w:tcPr>
          <w:p>
            <w:pPr>
              <w:pStyle w:val="Normal6a"/>
            </w:pPr>
            <w:r>
              <w:t>6.</w:t>
            </w:r>
            <w:r>
              <w:tab/>
            </w:r>
            <w:r>
              <w:t xml:space="preserve">blijft uitermate bezorgd over kwaadaardige buitenlandse inmenging, destabiliseringspogingen, hybride dreigingen en desinformatiecampagnes door actoren uit derde landen, </w:t>
            </w:r>
            <w:r>
              <w:rPr>
                <w:b/>
                <w:i/>
              </w:rPr>
              <w:t>zoals Rusland,</w:t>
            </w:r>
            <w:r>
              <w:t xml:space="preserve"> en dringt er bij Montenegro op aan om in samenwerking met de EU en de NAVO tegenmaatregelen te nemen; spoort de EU en de Montenegrijnse autoriteiten aan om de strategische communicatie met de Montenegrijnse burgers over de voordelen van het uitbreidingsproces en het EU-lidmaatschap op te voeren;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Lucia Yar, Dan Barna, Malik Azmani, Marjan Šarec, Ľubica Karvašová,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blijft uitermate bezorgd over kwaadaardige buitenlandse inmenging, destabiliseringspogingen, hybride dreigingen en desinformatiecampagnes door actoren uit derde landen, en dringt er bij Montenegro op aan om in samenwerking met de EU en de NAVO tegenmaatregelen te nemen; spoort de EU en de Montenegrijnse autoriteiten aan om de strategische communicatie met de Montenegrijnse burgers over de voordelen van het uitbreidingsproces en het EU-lidmaatschap op te voeren;</w:t>
            </w:r>
          </w:p>
        </w:tc>
        <w:tc>
          <w:tcPr>
            <w:tcW w:w="4876" w:type="dxa"/>
            <w:tcBorders>
              <w:top w:val="nil"/>
              <w:left w:val="nil"/>
              <w:bottom w:val="nil"/>
              <w:right w:val="nil"/>
            </w:tcBorders>
          </w:tcPr>
          <w:p>
            <w:pPr>
              <w:pStyle w:val="Normal6a"/>
            </w:pPr>
            <w:r>
              <w:t>6.</w:t>
            </w:r>
            <w:r>
              <w:tab/>
            </w:r>
            <w:r>
              <w:t xml:space="preserve">blijft uitermate bezorgd over kwaadaardige buitenlandse inmenging, destabiliseringspogingen, hybride dreigingen en desinformatiecampagnes door actoren uit derde landen, en dringt er bij Montenegro op aan om in samenwerking met de EU en de NAVO tegenmaatregelen te nemen; spoort de EU en de Montenegrijnse autoriteiten aan om de strategische communicatie met de Montenegrijnse burgers over de voordelen van het uitbreidingsproces en het EU-lidmaatschap op te voeren; </w:t>
            </w:r>
            <w:r>
              <w:rPr>
                <w:b/>
                <w:i/>
              </w:rPr>
              <w:t>wijst nogmaals op het belang van het opbouwen van weerbaarheid tegen buitenlandse informatiemanipulatie en inmenging;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Marjan Šarec, Lucia Yar, Petras Auštrevičius, Dan Barna, Ilhan Kyuchyuk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blijft uitermate bezorgd over kwaadaardige buitenlandse inmenging, destabiliseringspogingen, hybride dreigingen en desinformatiecampagnes </w:t>
            </w:r>
            <w:r>
              <w:rPr>
                <w:b/>
                <w:i/>
              </w:rPr>
              <w:t>door</w:t>
            </w:r>
            <w:r>
              <w:t xml:space="preserve"> actoren uit derde landen, en dringt er bij Montenegro op aan om in samenwerking met de EU en de NAVO tegenmaatregelen te nemen; spoort de EU en de Montenegrijnse autoriteiten aan om de strategische communicatie met de Montenegrijnse burgers over de voordelen van het uitbreidingsproces en het EU-lidmaatschap op te voeren;</w:t>
            </w:r>
          </w:p>
        </w:tc>
        <w:tc>
          <w:tcPr>
            <w:tcW w:w="4876" w:type="dxa"/>
            <w:tcBorders>
              <w:top w:val="nil"/>
              <w:left w:val="nil"/>
              <w:bottom w:val="nil"/>
              <w:right w:val="nil"/>
            </w:tcBorders>
          </w:tcPr>
          <w:p>
            <w:pPr>
              <w:pStyle w:val="Normal6a"/>
            </w:pPr>
            <w:r>
              <w:t>6.</w:t>
            </w:r>
            <w:r>
              <w:tab/>
            </w:r>
            <w:r>
              <w:t xml:space="preserve">blijft uitermate bezorgd over kwaadaardige buitenlandse inmenging, destabiliseringspogingen, hybride dreigingen en desinformatiecampagnes </w:t>
            </w:r>
            <w:r>
              <w:rPr>
                <w:b/>
                <w:i/>
              </w:rPr>
              <w:t>van</w:t>
            </w:r>
            <w:r>
              <w:t xml:space="preserve"> actoren uit derde landen, </w:t>
            </w:r>
            <w:r>
              <w:rPr>
                <w:b/>
                <w:i/>
              </w:rPr>
              <w:t>beklemtoont het strategische belang van het NAVO-lidmaatschap van Montenegro</w:t>
            </w:r>
            <w:r>
              <w:t xml:space="preserve"> en dringt er bij Montenegro op aan om in samenwerking met de EU en de NAVO tegenmaatregelen te nemen; spoort de EU en de Montenegrijnse autoriteiten aan om de strategische communicatie met de Montenegrijnse burgers over de voordelen van het uitbreidingsproces en het EU-lidmaatschap op te voeren;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6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bis.</w:t>
            </w:r>
            <w:r>
              <w:tab/>
            </w:r>
            <w:r>
              <w:rPr>
                <w:b/>
                <w:i/>
              </w:rPr>
              <w:t>dringt aan op een versterking van de Europese samenwerking met Montenegro om desinformatie, cyberdreigingen en hybride dreigingen aan te pakken die erop gericht zijn het Europese perspectief van de regio te ondermijnen;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Lucia Yar, Dan Barna, Malik Azmani, Marjan Šarec, Ľubica Karvašová,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6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bis.</w:t>
            </w:r>
            <w:r>
              <w:tab/>
            </w:r>
            <w:r>
              <w:rPr>
                <w:b/>
                <w:i/>
              </w:rPr>
              <w:t>verzoekt de Commissie, de Europese Dienst voor extern optreden en de delegatie van de EU in Montenegro meer inspanningen te leveren om de zichtbaarheid van de EU in het land te verbeteren en een actieve en doeltreffende communicatiecampagne te voeren over het belang en de voordelen van een nauw partnerschap tussen Montenegro en de EU, onder meer over door de EU gefinancierde projecten en de Europese toekomst van Montenegro;</w:t>
            </w:r>
            <w:r>
              <w:t xml:space="preserve"> </w:t>
            </w:r>
            <w:r>
              <w:rPr>
                <w:b/>
                <w:i/>
              </w:rPr>
              <w:t>pleit voor uitbreiding van de StratCom-monitoring om de aandacht te richten op grensoverschrijdende dreigingen in verband met desinformatie in de landen van de Westelijke Balkan en de omringende landen;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Lucia Yar, Dan Barna, Malik Azmani, Marjan Šarec, Ľubica Karvašová,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is ingenomen met de hernieuwde betrokkenheid van het Montenegrijnse parlement bij het Parlementair Stabilisatie- en associatiecomité;</w:t>
            </w:r>
          </w:p>
        </w:tc>
        <w:tc>
          <w:tcPr>
            <w:tcW w:w="4876" w:type="dxa"/>
            <w:tcBorders>
              <w:top w:val="nil"/>
              <w:left w:val="nil"/>
              <w:bottom w:val="nil"/>
              <w:right w:val="nil"/>
            </w:tcBorders>
          </w:tcPr>
          <w:p>
            <w:pPr>
              <w:pStyle w:val="Normal6a"/>
            </w:pPr>
            <w:r>
              <w:t>7.</w:t>
            </w:r>
            <w:r>
              <w:tab/>
            </w:r>
            <w:r>
              <w:t xml:space="preserve">is ingenomen met de hernieuwde betrokkenheid van het Montenegrijnse parlement bij het Parlementair Stabilisatie- en associatiecomité; </w:t>
            </w:r>
            <w:r>
              <w:rPr>
                <w:b/>
                <w:i/>
              </w:rPr>
              <w:t>wijst op de belangrijke rol van het Montenegrijnse parlement bij de goedkeuring van toetredingsgerelateerde wetgeving;</w:t>
            </w:r>
            <w:r>
              <w:t xml:space="preserve"> </w:t>
            </w:r>
            <w:r>
              <w:rPr>
                <w:b/>
                <w:i/>
              </w:rPr>
              <w:t>beklemtoont het belang van parlementaire samenwerking met betrekking tot het EU-toetredingsproces van Montenegro;</w:t>
            </w:r>
            <w:r>
              <w:t xml:space="preserve"> </w:t>
            </w:r>
            <w:r>
              <w:rPr>
                <w:b/>
                <w:i/>
              </w:rPr>
              <w:t>herhaalt dat het Europees Parlement bereid is zijn politieke en technische middelen in te zetten om de EU-gerelateerde hervormingsagenda vooruit te helpen, onder meer door activiteiten ter ondersteuning van de democratie te faciliteren;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Davor Ivo Stier, Tomislav Sokol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erkent de sleutelrol van het Montenegrijnse parlement bij het toetredingsproces; </w:t>
            </w:r>
            <w:r>
              <w:rPr>
                <w:b/>
                <w:i/>
              </w:rPr>
              <w:t>neemt</w:t>
            </w:r>
            <w:r>
              <w:t xml:space="preserve"> met bezorgdheid </w:t>
            </w:r>
            <w:r>
              <w:rPr>
                <w:b/>
                <w:i/>
              </w:rPr>
              <w:t>kennis van politieke boycots en blokkades, alsook van</w:t>
            </w:r>
            <w:r>
              <w:t xml:space="preserve"> opnieuw </w:t>
            </w:r>
            <w:r>
              <w:rPr>
                <w:b/>
                <w:i/>
              </w:rPr>
              <w:t>oplaaiende</w:t>
            </w:r>
            <w:r>
              <w:t xml:space="preserve"> spanningen en etnische polarisatie; dringt aan op een constructieve dialoog en consensusvorming over het hele politieke spectrum, waarbij de kwaliteit van de wetgeving voorop moet staan; is sterk voorstander van inclusieve en transparante openbare raadplegingen en regelmatig overleg met het maatschappelijk middenveld bij de besluitvorming;</w:t>
            </w:r>
          </w:p>
        </w:tc>
        <w:tc>
          <w:tcPr>
            <w:tcW w:w="4876" w:type="dxa"/>
            <w:tcBorders>
              <w:top w:val="nil"/>
              <w:left w:val="nil"/>
              <w:bottom w:val="nil"/>
              <w:right w:val="nil"/>
            </w:tcBorders>
          </w:tcPr>
          <w:p>
            <w:pPr>
              <w:pStyle w:val="Normal6a"/>
            </w:pPr>
            <w:r>
              <w:t>8.</w:t>
            </w:r>
            <w:r>
              <w:tab/>
            </w:r>
            <w:r>
              <w:t xml:space="preserve">erkent de sleutelrol van het Montenegrijnse parlement bij het toetredingsproces; </w:t>
            </w:r>
            <w:r>
              <w:rPr>
                <w:b/>
                <w:i/>
              </w:rPr>
              <w:t>stelt</w:t>
            </w:r>
            <w:r>
              <w:t xml:space="preserve"> met bezorgdheid </w:t>
            </w:r>
            <w:r>
              <w:rPr>
                <w:b/>
                <w:i/>
              </w:rPr>
              <w:t>vast dat er</w:t>
            </w:r>
            <w:r>
              <w:t xml:space="preserve"> opnieuw spanningen en etnische polarisatie </w:t>
            </w:r>
            <w:r>
              <w:rPr>
                <w:b/>
                <w:i/>
              </w:rPr>
              <w:t>ontstaan</w:t>
            </w:r>
            <w:r>
              <w:t>; dringt aan op een constructieve dialoog en consensusvorming over het hele politieke spectrum, waarbij de kwaliteit van de wetgeving voorop moet staan; is sterk voorstander van inclusieve en transparante openbare raadplegingen en regelmatig overleg met het maatschappelijk middenveld bij de besluitvorming;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Dan Barna, Lucia Yar, Marjan Šarec, Malik Azmani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erkent de sleutelrol van het Montenegrijnse parlement bij het toetredingsproces; </w:t>
            </w:r>
            <w:r>
              <w:rPr>
                <w:b/>
                <w:i/>
              </w:rPr>
              <w:t>neemt</w:t>
            </w:r>
            <w:r>
              <w:t xml:space="preserve"> met bezorgdheid </w:t>
            </w:r>
            <w:r>
              <w:rPr>
                <w:b/>
                <w:i/>
              </w:rPr>
              <w:t>kennis van politieke boycots en blokkades, alsook van</w:t>
            </w:r>
            <w:r>
              <w:t xml:space="preserve"> opnieuw </w:t>
            </w:r>
            <w:r>
              <w:rPr>
                <w:b/>
                <w:i/>
              </w:rPr>
              <w:t>oplaaiende</w:t>
            </w:r>
            <w:r>
              <w:t xml:space="preserve"> spanningen en etnische polarisatie; dringt aan op een constructieve dialoog en consensusvorming over het hele politieke spectrum, waarbij de kwaliteit van de wetgeving voorop moet staan; is sterk voorstander van inclusieve en transparante openbare raadplegingen en regelmatig overleg met het maatschappelijk middenveld bij de besluitvorming;</w:t>
            </w:r>
          </w:p>
        </w:tc>
        <w:tc>
          <w:tcPr>
            <w:tcW w:w="4876" w:type="dxa"/>
            <w:tcBorders>
              <w:top w:val="nil"/>
              <w:left w:val="nil"/>
              <w:bottom w:val="nil"/>
              <w:right w:val="nil"/>
            </w:tcBorders>
          </w:tcPr>
          <w:p>
            <w:pPr>
              <w:pStyle w:val="Normal6a"/>
            </w:pPr>
            <w:r>
              <w:t>8.</w:t>
            </w:r>
            <w:r>
              <w:tab/>
            </w:r>
            <w:r>
              <w:t xml:space="preserve">erkent de sleutelrol van het Montenegrijnse parlement bij het toetredingsproces; </w:t>
            </w:r>
            <w:r>
              <w:rPr>
                <w:b/>
                <w:i/>
              </w:rPr>
              <w:t>stelt</w:t>
            </w:r>
            <w:r>
              <w:t xml:space="preserve"> met bezorgdheid </w:t>
            </w:r>
            <w:r>
              <w:rPr>
                <w:b/>
                <w:i/>
              </w:rPr>
              <w:t>vast dat er</w:t>
            </w:r>
            <w:r>
              <w:t xml:space="preserve"> opnieuw spanningen en etnische polarisatie </w:t>
            </w:r>
            <w:r>
              <w:rPr>
                <w:b/>
                <w:i/>
              </w:rPr>
              <w:t>ontstaan</w:t>
            </w:r>
            <w:r>
              <w:t>; dringt aan op een constructieve dialoog en consensusvorming over het hele politieke spectrum, waarbij de kwaliteit van de wetgeving voorop moet staan; is sterk voorstander van inclusieve en transparante openbare raadplegingen en regelmatig overleg met het maatschappelijk middenveld bij de besluitvorming;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erkent de sleutelrol van het Montenegrijnse parlement bij het toetredingsproces; neemt met bezorgdheid kennis van politieke boycots en blokkades, alsook van opnieuw oplaaiende spanningen </w:t>
            </w:r>
            <w:r>
              <w:rPr>
                <w:b/>
                <w:i/>
              </w:rPr>
              <w:t>en</w:t>
            </w:r>
            <w:r>
              <w:t xml:space="preserve"> etnische polarisatie; dringt aan op een constructieve dialoog en consensusvorming over het hele politieke spectrum, waarbij de kwaliteit van de wetgeving voorop moet staan; </w:t>
            </w:r>
            <w:r>
              <w:rPr>
                <w:b/>
                <w:i/>
              </w:rPr>
              <w:t>is sterk voorstander van</w:t>
            </w:r>
            <w:r>
              <w:t xml:space="preserve"> inclusieve en transparante openbare raadplegingen en regelmatig overleg met het maatschappelijk middenveld bij de besluitvorming;</w:t>
            </w:r>
          </w:p>
        </w:tc>
        <w:tc>
          <w:tcPr>
            <w:tcW w:w="4876" w:type="dxa"/>
            <w:tcBorders>
              <w:top w:val="nil"/>
              <w:left w:val="nil"/>
              <w:bottom w:val="nil"/>
              <w:right w:val="nil"/>
            </w:tcBorders>
          </w:tcPr>
          <w:p>
            <w:pPr>
              <w:pStyle w:val="Normal6a"/>
            </w:pPr>
            <w:r>
              <w:t>8.</w:t>
            </w:r>
            <w:r>
              <w:tab/>
            </w:r>
            <w:r>
              <w:t xml:space="preserve">erkent de sleutelrol van het Montenegrijnse parlement bij het toetredingsproces; neemt met bezorgdheid kennis van politieke boycots en blokkades, alsook van opnieuw oplaaiende spanningen </w:t>
            </w:r>
            <w:r>
              <w:rPr>
                <w:b/>
                <w:i/>
              </w:rPr>
              <w:t>tussen en binnen de uitvoerende en wetgevende macht, hetgeen een rem blijft zetten op het hervormingsproces, en van</w:t>
            </w:r>
            <w:r>
              <w:t xml:space="preserve"> etnische polarisatie; </w:t>
            </w:r>
            <w:r>
              <w:rPr>
                <w:b/>
                <w:i/>
              </w:rPr>
              <w:t>is ingenomen met het akkoord tussen de premier en de oppositieleiders om de Commissie van Venetië om advies te vragen over de beëindiging van het mandaat van Dragana Đuranović, rechter bij het Grondwettelijk Hof, en met de instemming van de oppositie om terug te keren naar het parlement;</w:t>
            </w:r>
            <w:r>
              <w:t xml:space="preserve"> </w:t>
            </w:r>
            <w:r>
              <w:rPr>
                <w:b/>
                <w:i/>
              </w:rPr>
              <w:t>herhaalt dat politiek engagement over de partijgrenzen heen en een goed functionerend parlement noodzakelijk zijn om wezenlijke vorderingen te maken bij het doorvoeren van belangrijke EU-gerelateerde hervormingen, in het bijzonder bij de hervorming van het kiesstelsel en justitie en in de strijd tegen georganiseerde misdaad en corruptie;</w:t>
            </w:r>
            <w:r>
              <w:t xml:space="preserve"> dringt aan op een constructieve dialoog en consensusvorming over het hele politieke spectrum, waarbij de kwaliteit van de wetgeving voorop moet staan; </w:t>
            </w:r>
            <w:r>
              <w:rPr>
                <w:b/>
                <w:i/>
              </w:rPr>
              <w:t>doet een nadrukkelijke oproep aan het Parlement om zijn toezichthoudende rol doeltreffend uit te oefenen, en aan de parlementaire meerderheid om blijk te geven van meer openheid ten aanzien van de oppositie en haar initiatieven;</w:t>
            </w:r>
            <w:r>
              <w:t xml:space="preserve"> </w:t>
            </w:r>
            <w:r>
              <w:rPr>
                <w:b/>
                <w:i/>
              </w:rPr>
              <w:t>dringt bovendien aan op</w:t>
            </w:r>
            <w:r>
              <w:t xml:space="preserve"> inclusieve en transparante openbare raadplegingen en regelmatig </w:t>
            </w:r>
            <w:r>
              <w:rPr>
                <w:b/>
                <w:i/>
              </w:rPr>
              <w:t>zinvol</w:t>
            </w:r>
            <w:r>
              <w:t xml:space="preserve"> overleg met het maatschappelijk middenveld bij de besluitvorming;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erkent de sleutelrol van het Montenegrijnse parlement bij het toetredingsproces; neemt met bezorgdheid kennis van politieke boycots en blokkades, alsook van opnieuw oplaaiende spanningen en </w:t>
            </w:r>
            <w:r>
              <w:rPr>
                <w:b/>
                <w:i/>
              </w:rPr>
              <w:t>etnische polarisatie</w:t>
            </w:r>
            <w:r>
              <w:t>; dringt aan op een constructieve dialoog en consensusvorming over het hele politieke spectrum, waarbij de kwaliteit van de wetgeving voorop moet staan; is sterk voorstander van inclusieve en transparante openbare raadplegingen en regelmatig overleg met het maatschappelijk middenveld bij de besluitvorming;</w:t>
            </w:r>
          </w:p>
        </w:tc>
        <w:tc>
          <w:tcPr>
            <w:tcW w:w="4876" w:type="dxa"/>
            <w:tcBorders>
              <w:top w:val="nil"/>
              <w:left w:val="nil"/>
              <w:bottom w:val="nil"/>
              <w:right w:val="nil"/>
            </w:tcBorders>
          </w:tcPr>
          <w:p>
            <w:pPr>
              <w:pStyle w:val="Normal6a"/>
            </w:pPr>
            <w:r>
              <w:t>8.</w:t>
            </w:r>
            <w:r>
              <w:tab/>
            </w:r>
            <w:r>
              <w:t xml:space="preserve">erkent de sleutelrol van het Montenegrijnse parlement bij het toetredingsproces; neemt met bezorgdheid kennis van politieke boycots en blokkades, alsook van opnieuw oplaaiende spanningen en </w:t>
            </w:r>
            <w:r>
              <w:rPr>
                <w:b/>
                <w:i/>
              </w:rPr>
              <w:t>polarisatie;</w:t>
            </w:r>
            <w:r>
              <w:t xml:space="preserve"> </w:t>
            </w:r>
            <w:r>
              <w:rPr>
                <w:b/>
                <w:i/>
              </w:rPr>
              <w:t>dringt er bij zowel de regerende meerderheid als de oppositiepartijen nadrukkelijk op aan prioriteit te geven aan het vinden van een adequate oplossing voor de constitutionele crisis door middel van parlementaire dialoog</w:t>
            </w:r>
            <w:r>
              <w:t xml:space="preserve">; dringt aan op een constructieve dialoog en consensusvorming over het hele politieke spectrum, waarbij de kwaliteit van de wetgeving voorop moet staan; is sterk voorstander van inclusieve en transparante openbare raadplegingen en regelmatig </w:t>
            </w:r>
            <w:r>
              <w:rPr>
                <w:b/>
                <w:i/>
              </w:rPr>
              <w:t>en zinvol</w:t>
            </w:r>
            <w:r>
              <w:t xml:space="preserve"> overleg met het maatschappelijk middenveld bij de besluitvorming</w:t>
            </w:r>
            <w:r>
              <w:rPr>
                <w:b/>
                <w:i/>
              </w:rPr>
              <w:t>, te beginnen in een vroeg stadium van het wetgevingsproces, met name voor belangrijke wetgeving in het EU-gerelateerde hervormingsproces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Jaroslav Bžoch,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erkent de sleutelrol van het Montenegrijnse parlement bij het toetredingsproces; neemt met bezorgdheid </w:t>
            </w:r>
            <w:r>
              <w:rPr>
                <w:b/>
                <w:i/>
              </w:rPr>
              <w:t>kennis</w:t>
            </w:r>
            <w:r>
              <w:t xml:space="preserve"> van politieke boycots en blokkades, </w:t>
            </w:r>
            <w:r>
              <w:rPr>
                <w:b/>
                <w:i/>
              </w:rPr>
              <w:t>alsook van</w:t>
            </w:r>
            <w:r>
              <w:t xml:space="preserve"> opnieuw oplaaiende spanningen en etnische polarisatie; dringt aan op een constructieve dialoog en consensusvorming over het hele politieke spectrum, waarbij de kwaliteit van de wetgeving voorop moet staan; is sterk voorstander van inclusieve en transparante openbare raadplegingen en regelmatig overleg met het maatschappelijk middenveld bij de besluitvorming;</w:t>
            </w:r>
          </w:p>
        </w:tc>
        <w:tc>
          <w:tcPr>
            <w:tcW w:w="4876" w:type="dxa"/>
            <w:tcBorders>
              <w:top w:val="nil"/>
              <w:left w:val="nil"/>
              <w:bottom w:val="nil"/>
              <w:right w:val="nil"/>
            </w:tcBorders>
          </w:tcPr>
          <w:p>
            <w:pPr>
              <w:pStyle w:val="Normal6a"/>
            </w:pPr>
            <w:r>
              <w:t>8.</w:t>
            </w:r>
            <w:r>
              <w:tab/>
            </w:r>
            <w:r>
              <w:t xml:space="preserve">erkent de sleutelrol van het Montenegrijnse parlement bij het toetredingsproces; neemt </w:t>
            </w:r>
            <w:r>
              <w:rPr>
                <w:b/>
                <w:i/>
              </w:rPr>
              <w:t>kennis van de inspanningen die tot dusver zijn geleverd om de politieke crises op te lossen maar stelt</w:t>
            </w:r>
            <w:r>
              <w:t xml:space="preserve"> met bezorgdheid </w:t>
            </w:r>
            <w:r>
              <w:rPr>
                <w:b/>
                <w:i/>
              </w:rPr>
              <w:t>dat er nog steeds sprake is</w:t>
            </w:r>
            <w:r>
              <w:t xml:space="preserve"> van politieke boycots en blokkades, </w:t>
            </w:r>
            <w:r>
              <w:rPr>
                <w:b/>
                <w:i/>
              </w:rPr>
              <w:t>en doet een oproep aan alle partijen alles in het werk te stellen om deze crises te boven te komen, evenals de</w:t>
            </w:r>
            <w:r>
              <w:t xml:space="preserve"> opnieuw oplaaiende spanningen en etnische polarisatie; dringt aan op een constructieve dialoog en consensusvorming over het hele politieke spectrum, waarbij de kwaliteit van de wetgeving voorop moet staan; is sterk voorstander van inclusieve en transparante openbare raadplegingen en regelmatig overleg met het maatschappelijk middenveld bij de besluitvorming;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8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dringt er bij het parlement en de regering van Montenegro op aan te voorkomen dat identiteitspolitiek de aandacht afleidt van de EU-agenda of de betrekkingen met zijn buurlanden onder druk zet en ervoor te zorgen dat Montenegro stevig op koers blijft op weg naar EU-lidmaatschap, en benadrukt dat alle discussies over identiteitspolitiek met de grootst mogelijke tact moeten worden benaderd om verdere polarisatie te voorkomen en dat hierbij moet worden gestreefd naar een brede maatschappelijke consensus;</w:t>
            </w:r>
            <w:r>
              <w:t xml:space="preserve"> </w:t>
            </w:r>
            <w:r>
              <w:rPr>
                <w:b/>
                <w:i/>
              </w:rPr>
              <w:t>spreekt in deze context zijn ernstige bezorgdheid uit over controversiële voorstellen inzake staatsburgerschap en taal;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Andrey Kovatchev, Tomislav Sokol, Sunčana Glavak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8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benadrukt dat de voorgestelde wet inzake buitenlandse agenten in Montenegro niet strookt met de waarden en normen van de Europese Unie en de NAVO;</w:t>
            </w:r>
            <w:r>
              <w:t xml:space="preserve"> </w:t>
            </w:r>
            <w:r>
              <w:rPr>
                <w:b/>
                <w:i/>
              </w:rPr>
              <w:t>merkt op dat dergelijke wetten, die een afspiegeling zijn van restrictieve wetten in landen als Rusland en Georgië, de fundamentele vrijheden zoals de vrijheid van meningsuiting en van vereniging en de werking van een levendig maatschappelijk middenveld kunnen ondermijnen;</w:t>
            </w:r>
            <w:r>
              <w:t xml:space="preserve"> </w:t>
            </w:r>
            <w:r>
              <w:rPr>
                <w:b/>
                <w:i/>
              </w:rPr>
              <w:t>verzoekt Montenegro ervoor te zorgen dat zijn beleid en wetgeving volledig in overeenstemming zijn met het EU-acquis en met internationale normen;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Andrey Kovatchev, Tomislav Sokol, Sunčana Glavak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8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ter.</w:t>
            </w:r>
            <w:r>
              <w:tab/>
            </w:r>
            <w:r>
              <w:rPr>
                <w:b/>
                <w:i/>
              </w:rPr>
              <w:t>stelt bezorgd vast dat elke wijziging van de wet inzake nationaliteit, met name als hiermee de dubbele nationaliteit mogelijk wordt gemaakt, ernstige en langdurige gevolgen kan hebben voor de besluitvormingsprocessen en de nationale identiteit van het land;</w:t>
            </w:r>
            <w:r>
              <w:t xml:space="preserve"> </w:t>
            </w:r>
            <w:r>
              <w:rPr>
                <w:b/>
                <w:i/>
              </w:rPr>
              <w:t>beklemtoont dat Montenegro zich als kandidaat-lidstaat moet onthouden van maatregelen die het strategische EU-traject van het land of de veiligheid van de EU in gevaar kunnen brengen, onder meer wanneer het gebruikmaakt van zijn prerogatieven om nationaliteit toe te kennen;</w:t>
            </w:r>
            <w:r>
              <w:t xml:space="preserve"> </w:t>
            </w:r>
            <w:r>
              <w:rPr>
                <w:b/>
                <w:i/>
              </w:rPr>
              <w:t>dringt er bij Montenegro op aan ervoor te zorgen dat nieuwe wetgeving volledig in overeenstemming is met het EU-acquis en de grondrechten eerbiedigt;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Davor Ivo Stier, Tomislav Sokol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8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betreurt de deelname van de voorzitter van het parlement van Montenegro, Andrija Mandić, aan de “pan-Servische vergadering” in Belgrado en zijn steun voor de verklaring die bij die gelegenheid is aangenomen en die de soevereiniteit van Montenegro, Bosnië en Herzegovina en Kosovo ondermijnt;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8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ter.</w:t>
            </w:r>
            <w:r>
              <w:tab/>
            </w:r>
            <w:r>
              <w:rPr>
                <w:b/>
                <w:i/>
              </w:rPr>
              <w:t>spreekt zijn bezorgdheid uit over de steun die de voorzitter van het parlement van Montenegro, Andrija Mandić, en andere leden van de regeringscoalitie hebben verleend aan het separatistische en destabiliserende beleid van de president van de entiteit Republika Srpska, Milorad Dodik, na zijn proces in buurland Bosnië en Herzegovina;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8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ter.</w:t>
            </w:r>
            <w:r>
              <w:tab/>
            </w:r>
            <w:r>
              <w:rPr>
                <w:b/>
                <w:i/>
              </w:rPr>
              <w:t>pleit voor een actievere rol voor de Groep van vrouwelijke parlementsleden na het positieve voorbeeld dat deze groep in de vorige zittingsperiode heeft gesteld, toen de groep blijk heeft gegeven van het vermogen om standpunten te verenigen bij het bepleiten van kwesties van algemeen belang die de partijbelangen overstijgen;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verzoekt Montenegro om zijn regelgevingskader voor verkiezingen volledig in overeenstemming te brengen met de EU-normen, en om de aanbevelingen van het Bureau voor Democratische Instellingen en Mensenrechten van de Organisatie voor Veiligheid en Samenwerking in Europa op te volgen</w:t>
            </w:r>
            <w:r>
              <w:rPr>
                <w:vertAlign w:val="superscript"/>
              </w:rPr>
              <w:t>5</w:t>
            </w:r>
            <w:r>
              <w:t xml:space="preserve">; dringt er bij Montenegro op aan de transparantie </w:t>
            </w:r>
            <w:r>
              <w:rPr>
                <w:b/>
                <w:i/>
              </w:rPr>
              <w:t>van en het toezicht op</w:t>
            </w:r>
            <w:r>
              <w:t xml:space="preserve"> de uitgaven van politieke partijen te vergroten en misbruik van overheidsmiddelen te voorkomen, in overeenstemming met de EU-normen;</w:t>
            </w:r>
          </w:p>
        </w:tc>
        <w:tc>
          <w:tcPr>
            <w:tcW w:w="4876" w:type="dxa"/>
            <w:tcBorders>
              <w:top w:val="nil"/>
              <w:left w:val="nil"/>
              <w:bottom w:val="nil"/>
              <w:right w:val="nil"/>
            </w:tcBorders>
          </w:tcPr>
          <w:p>
            <w:pPr>
              <w:pStyle w:val="Normal6a"/>
            </w:pPr>
            <w:r>
              <w:t>9.</w:t>
            </w:r>
            <w:r>
              <w:tab/>
            </w:r>
            <w:r>
              <w:t xml:space="preserve">verzoekt Montenegro om zijn regelgevingskader voor verkiezingen volledig in overeenstemming te brengen met de EU-normen, en om </w:t>
            </w:r>
            <w:r>
              <w:rPr>
                <w:b/>
                <w:i/>
              </w:rPr>
              <w:t>vóór de parlementsverkiezingen van 2027</w:t>
            </w:r>
            <w:r>
              <w:t xml:space="preserve"> de aanbevelingen van het Bureau voor Democratische Instellingen en Mensenrechten van de Organisatie voor Veiligheid en Samenwerking in Europa op te volgen</w:t>
            </w:r>
            <w:r>
              <w:rPr>
                <w:vertAlign w:val="superscript"/>
              </w:rPr>
              <w:t>5</w:t>
            </w:r>
            <w:r>
              <w:rPr>
                <w:b/>
                <w:i/>
              </w:rPr>
              <w:t>, evenals de aanbevelingen van het VN-Comité voor de uitbanning van discriminatie van vrouwen (CEDAW) over genderpariteit op kieslijsten (door toepassing van een fiftyfifty-“ritssysteem”)</w:t>
            </w:r>
            <w:r>
              <w:t xml:space="preserve">; dringt er bij Montenegro op aan de transparantie </w:t>
            </w:r>
            <w:r>
              <w:rPr>
                <w:b/>
                <w:i/>
              </w:rPr>
              <w:t>en controle van</w:t>
            </w:r>
            <w:r>
              <w:t xml:space="preserve"> de uitgaven van politieke partijen te vergroten en misbruik van overheidsmiddelen te voorkomen, in overeenstemming met de EU-normen</w:t>
            </w:r>
            <w:r>
              <w:rPr>
                <w:b/>
                <w:i/>
              </w:rPr>
              <w:t>, in de eerste plaats door politieke partijen die voor hun vrouwenverenigingen bestemde begrotingstoewijzingen oneigenlijk gebruiken, aansprakelijk te stellen voor overtredingen</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https://www.osce.org/odihr/elections/montenegro/542637.</w:t>
            </w:r>
          </w:p>
        </w:tc>
        <w:tc>
          <w:tcPr>
            <w:tcW w:w="4876" w:type="dxa"/>
            <w:tcBorders>
              <w:top w:val="nil"/>
              <w:left w:val="nil"/>
              <w:bottom w:val="nil"/>
              <w:right w:val="nil"/>
            </w:tcBorders>
          </w:tcPr>
          <w:p>
            <w:pPr>
              <w:pStyle w:val="Normal6a"/>
            </w:pPr>
            <w:r>
              <w:rPr>
                <w:vertAlign w:val="superscript"/>
              </w:rPr>
              <w:t>5</w:t>
            </w:r>
            <w:r>
              <w:t xml:space="preserve"> </w:t>
            </w:r>
            <w:r>
              <w:t>https://www.osce.org/odihr/elections/montenegro/542637.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Marjan Šarec, Lucia Yar, Petras Auštrevičius, Dan Barna, Ilhan Kyuchyuk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verzoekt Montenegro om zijn regelgevingskader voor verkiezingen volledig in overeenstemming te brengen met de EU-normen, en om de aanbevelingen van het Bureau voor Democratische Instellingen en Mensenrechten van de Organisatie voor Veiligheid en Samenwerking in Europa op te volgen</w:t>
            </w:r>
            <w:r>
              <w:rPr>
                <w:vertAlign w:val="superscript"/>
              </w:rPr>
              <w:t>5</w:t>
            </w:r>
            <w:r>
              <w:t>; dringt er bij Montenegro op aan de transparantie van en het toezicht op de uitgaven van politieke partijen te vergroten en misbruik van overheidsmiddelen te voorkomen</w:t>
            </w:r>
            <w:r>
              <w:rPr>
                <w:b/>
                <w:i/>
              </w:rPr>
              <w:t>,</w:t>
            </w:r>
            <w:r>
              <w:t xml:space="preserve"> in overeenstemming met de EU-normen;</w:t>
            </w:r>
          </w:p>
        </w:tc>
        <w:tc>
          <w:tcPr>
            <w:tcW w:w="4876" w:type="dxa"/>
            <w:tcBorders>
              <w:top w:val="nil"/>
              <w:left w:val="nil"/>
              <w:bottom w:val="nil"/>
              <w:right w:val="nil"/>
            </w:tcBorders>
          </w:tcPr>
          <w:p>
            <w:pPr>
              <w:pStyle w:val="Normal6a"/>
            </w:pPr>
            <w:r>
              <w:t>9.</w:t>
            </w:r>
            <w:r>
              <w:tab/>
            </w:r>
            <w:r>
              <w:t xml:space="preserve">verzoekt Montenegro om zijn regelgevingskader voor verkiezingen volledig in overeenstemming te brengen met de EU-normen, </w:t>
            </w:r>
            <w:r>
              <w:rPr>
                <w:b/>
                <w:i/>
              </w:rPr>
              <w:t>met name wat betreft de harmonisatie van de kieswetgeving, beperking van het actief en passief kiesrecht, transparantie, geschillenbeslechtingsmechanismen en het toezicht op campagnes en media,</w:t>
            </w:r>
            <w:r>
              <w:t xml:space="preserve"> en om de aanbevelingen van het Bureau voor Democratische Instellingen en Mensenrechten van de Organisatie voor Veiligheid en Samenwerking in Europa op te volgen</w:t>
            </w:r>
            <w:r>
              <w:rPr>
                <w:vertAlign w:val="superscript"/>
              </w:rPr>
              <w:t>5</w:t>
            </w:r>
            <w:r>
              <w:t xml:space="preserve">; dringt er bij Montenegro op aan de transparantie van en het toezicht op de uitgaven van politieke partijen te vergroten en misbruik van overheidsmiddelen te voorkomen </w:t>
            </w:r>
            <w:r>
              <w:rPr>
                <w:b/>
                <w:i/>
              </w:rPr>
              <w:t>door de desbetreffende wetgeving</w:t>
            </w:r>
            <w:r>
              <w:t xml:space="preserve"> in overeenstemming </w:t>
            </w:r>
            <w:r>
              <w:rPr>
                <w:b/>
                <w:i/>
              </w:rPr>
              <w:t>te brengen</w:t>
            </w:r>
            <w:r>
              <w:t xml:space="preserve"> met de EU-normen;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https://www.osce.org/odihr/elections/montenegro/542637.</w:t>
            </w:r>
          </w:p>
        </w:tc>
        <w:tc>
          <w:tcPr>
            <w:tcW w:w="4876" w:type="dxa"/>
            <w:tcBorders>
              <w:top w:val="nil"/>
              <w:left w:val="nil"/>
              <w:bottom w:val="nil"/>
              <w:right w:val="nil"/>
            </w:tcBorders>
          </w:tcPr>
          <w:p>
            <w:pPr>
              <w:pStyle w:val="Normal6a"/>
            </w:pPr>
            <w:r>
              <w:rPr>
                <w:vertAlign w:val="superscript"/>
              </w:rPr>
              <w:t>5</w:t>
            </w:r>
            <w:r>
              <w:t xml:space="preserve"> </w:t>
            </w:r>
            <w:r>
              <w:t>https://www.osce.org/odihr/elections/montenegro/542637.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verzoekt Montenegro om zijn regelgevingskader voor verkiezingen volledig in overeenstemming te brengen met de EU-normen, en om de aanbevelingen van het Bureau voor Democratische Instellingen en Mensenrechten van de Organisatie voor Veiligheid en Samenwerking in Europa op te volgen</w:t>
            </w:r>
            <w:r>
              <w:rPr>
                <w:vertAlign w:val="superscript"/>
              </w:rPr>
              <w:t>5</w:t>
            </w:r>
            <w:r>
              <w:t xml:space="preserve">; dringt er bij Montenegro op aan de transparantie </w:t>
            </w:r>
            <w:r>
              <w:rPr>
                <w:b/>
                <w:i/>
              </w:rPr>
              <w:t>van en het toezicht op</w:t>
            </w:r>
            <w:r>
              <w:t xml:space="preserve"> de uitgaven van politieke partijen te vergroten en misbruik van overheidsmiddelen te voorkomen, in overeenstemming met de EU-normen;</w:t>
            </w:r>
          </w:p>
        </w:tc>
        <w:tc>
          <w:tcPr>
            <w:tcW w:w="4876" w:type="dxa"/>
            <w:tcBorders>
              <w:top w:val="nil"/>
              <w:left w:val="nil"/>
              <w:bottom w:val="nil"/>
              <w:right w:val="nil"/>
            </w:tcBorders>
          </w:tcPr>
          <w:p>
            <w:pPr>
              <w:pStyle w:val="Normal6a"/>
            </w:pPr>
            <w:r>
              <w:t>9.</w:t>
            </w:r>
            <w:r>
              <w:tab/>
            </w:r>
            <w:r>
              <w:t>verzoekt Montenegro om zijn regelgevingskader voor verkiezingen volledig in overeenstemming te brengen met de EU-normen, en om de aanbevelingen van het Bureau voor Democratische Instellingen en Mensenrechten van de Organisatie voor Veiligheid en Samenwerking in Europa op te volgen</w:t>
            </w:r>
            <w:r>
              <w:rPr>
                <w:vertAlign w:val="superscript"/>
              </w:rPr>
              <w:t>5</w:t>
            </w:r>
            <w:r>
              <w:t xml:space="preserve">; dringt er bij Montenegro op aan de transparantie </w:t>
            </w:r>
            <w:r>
              <w:rPr>
                <w:b/>
                <w:i/>
              </w:rPr>
              <w:t>en controle van</w:t>
            </w:r>
            <w:r>
              <w:t xml:space="preserve"> de uitgaven van politieke partijen te vergroten en misbruik van overheidsmiddelen te voorkomen, in overeenstemming met de EU-normen;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https://www.osce.org/odihr/elections/montenegro/542637.</w:t>
            </w:r>
          </w:p>
        </w:tc>
        <w:tc>
          <w:tcPr>
            <w:tcW w:w="4876" w:type="dxa"/>
            <w:tcBorders>
              <w:top w:val="nil"/>
              <w:left w:val="nil"/>
              <w:bottom w:val="nil"/>
              <w:right w:val="nil"/>
            </w:tcBorders>
          </w:tcPr>
          <w:p>
            <w:pPr>
              <w:pStyle w:val="Normal6a"/>
            </w:pPr>
            <w:r>
              <w:rPr>
                <w:vertAlign w:val="superscript"/>
              </w:rPr>
              <w:t>5</w:t>
            </w:r>
            <w:r>
              <w:t xml:space="preserve"> </w:t>
            </w:r>
            <w:r>
              <w:t>https://www.osce.org/odihr/elections/montenegro/542637.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verzoekt Montenegro om zijn regelgevingskader voor verkiezingen volledig in overeenstemming te brengen met de EU-normen, en om de aanbevelingen van het Bureau voor Democratische Instellingen en Mensenrechten van de Organisatie voor Veiligheid en Samenwerking in Europa op te volgen</w:t>
            </w:r>
            <w:r>
              <w:rPr>
                <w:vertAlign w:val="superscript"/>
              </w:rPr>
              <w:t>5</w:t>
            </w:r>
            <w:r>
              <w:t>; dringt er bij Montenegro op aan de transparantie van en het toezicht op de uitgaven van politieke partijen te vergroten en misbruik van overheidsmiddelen te voorkomen, in overeenstemming met de EU-normen;</w:t>
            </w:r>
          </w:p>
        </w:tc>
        <w:tc>
          <w:tcPr>
            <w:tcW w:w="4876" w:type="dxa"/>
            <w:tcBorders>
              <w:top w:val="nil"/>
              <w:left w:val="nil"/>
              <w:bottom w:val="nil"/>
              <w:right w:val="nil"/>
            </w:tcBorders>
          </w:tcPr>
          <w:p>
            <w:pPr>
              <w:pStyle w:val="Normal6a"/>
            </w:pPr>
            <w:r>
              <w:t>9.</w:t>
            </w:r>
            <w:r>
              <w:tab/>
            </w:r>
            <w:r>
              <w:t>verzoekt Montenegro om zijn regelgevingskader voor verkiezingen volledig in overeenstemming te brengen met de EU-normen, en om de aanbevelingen van het Bureau voor Democratische Instellingen en Mensenrechten van de Organisatie voor Veiligheid en Samenwerking in Europa op te volgen</w:t>
            </w:r>
            <w:r>
              <w:rPr>
                <w:vertAlign w:val="superscript"/>
              </w:rPr>
              <w:t>5</w:t>
            </w:r>
            <w:r>
              <w:t xml:space="preserve">; dringt er bij Montenegro op aan de transparantie van en het toezicht op de uitgaven van politieke partijen te vergroten en misbruik van overheidsmiddelen te voorkomen, in overeenstemming met de EU-normen; </w:t>
            </w:r>
            <w:r>
              <w:rPr>
                <w:b/>
                <w:i/>
              </w:rPr>
              <w:t>dringt aan op een herziening van de wet inzake de financiering van politieke entiteiten en verkiezingscampagnes om deze volledig af te stemmen op de Europese normen;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https://www.osce.org/odihr/elections/montenegro/542637.</w:t>
            </w:r>
          </w:p>
        </w:tc>
        <w:tc>
          <w:tcPr>
            <w:tcW w:w="4876" w:type="dxa"/>
            <w:tcBorders>
              <w:top w:val="nil"/>
              <w:left w:val="nil"/>
              <w:bottom w:val="nil"/>
              <w:right w:val="nil"/>
            </w:tcBorders>
          </w:tcPr>
          <w:p>
            <w:pPr>
              <w:pStyle w:val="Normal6a"/>
            </w:pPr>
            <w:r>
              <w:rPr>
                <w:vertAlign w:val="superscript"/>
              </w:rPr>
              <w:t>5</w:t>
            </w:r>
            <w:r>
              <w:t xml:space="preserve"> </w:t>
            </w:r>
            <w:r>
              <w:t>https://www.osce.org/odihr/elections/montenegro/542637.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Dan Barna, Marjan Šarec, Petras Auštrevičius, Malik Azmani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verzoekt Montenegro om zijn regelgevingskader voor verkiezingen volledig in overeenstemming te brengen met de EU-normen, en om de aanbevelingen van het Bureau voor Democratische Instellingen en Mensenrechten van de Organisatie voor Veiligheid en Samenwerking in Europa op te volgen</w:t>
            </w:r>
            <w:r>
              <w:rPr>
                <w:vertAlign w:val="superscript"/>
              </w:rPr>
              <w:t>5</w:t>
            </w:r>
            <w:r>
              <w:t>; dringt er bij Montenegro op aan de transparantie van en het toezicht op de uitgaven van politieke partijen te vergroten en misbruik van overheidsmiddelen te voorkomen, in overeenstemming met de EU-normen;</w:t>
            </w:r>
          </w:p>
        </w:tc>
        <w:tc>
          <w:tcPr>
            <w:tcW w:w="4876" w:type="dxa"/>
            <w:tcBorders>
              <w:top w:val="nil"/>
              <w:left w:val="nil"/>
              <w:bottom w:val="nil"/>
              <w:right w:val="nil"/>
            </w:tcBorders>
          </w:tcPr>
          <w:p>
            <w:pPr>
              <w:pStyle w:val="Normal6a"/>
            </w:pPr>
            <w:r>
              <w:t>9.</w:t>
            </w:r>
            <w:r>
              <w:tab/>
            </w:r>
            <w:r>
              <w:t>verzoekt Montenegro om zijn regelgevingskader voor verkiezingen volledig in overeenstemming te brengen met de EU-normen, en om de aanbevelingen van het Bureau voor Democratische Instellingen en Mensenrechten van de Organisatie voor Veiligheid en Samenwerking in Europa op te volgen</w:t>
            </w:r>
            <w:r>
              <w:rPr>
                <w:vertAlign w:val="superscript"/>
              </w:rPr>
              <w:t>5</w:t>
            </w:r>
            <w:r>
              <w:t xml:space="preserve">; dringt er bij Montenegro op aan de transparantie van en het toezicht op de uitgaven van politieke partijen te vergroten en misbruik van overheidsmiddelen te voorkomen, in overeenstemming met de EU-normen; </w:t>
            </w:r>
            <w:r>
              <w:rPr>
                <w:b/>
                <w:i/>
              </w:rPr>
              <w:t>uit zijn bezorgdheid over pogingen in het parlement om de wet inzake het Montenegrijnse staatsburgerschap te wijzigen;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https://www.osce.org/odihr/elections/montenegro/542637.</w:t>
            </w:r>
          </w:p>
        </w:tc>
        <w:tc>
          <w:tcPr>
            <w:tcW w:w="4876" w:type="dxa"/>
            <w:tcBorders>
              <w:top w:val="nil"/>
              <w:left w:val="nil"/>
              <w:bottom w:val="nil"/>
              <w:right w:val="nil"/>
            </w:tcBorders>
          </w:tcPr>
          <w:p>
            <w:pPr>
              <w:pStyle w:val="Normal6a"/>
            </w:pPr>
            <w:r>
              <w:rPr>
                <w:vertAlign w:val="superscript"/>
              </w:rPr>
              <w:t>5</w:t>
            </w:r>
            <w:r>
              <w:t xml:space="preserve"> </w:t>
            </w:r>
            <w:r>
              <w:t>https://www.osce.org/odihr/elections/montenegro/542637.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9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bis.</w:t>
            </w:r>
            <w:r>
              <w:tab/>
            </w:r>
            <w:r>
              <w:rPr>
                <w:b/>
                <w:i/>
              </w:rPr>
              <w:t>verzoekt Montenegro zijn rechtskader voor verkiezingen volledig in overeenstemming te brengen met de EU-normen en de aanbevelingen van de OVSE/ODIHR op te volgen;</w:t>
            </w:r>
            <w:r>
              <w:t xml:space="preserve"> </w:t>
            </w:r>
            <w:r>
              <w:rPr>
                <w:b/>
                <w:i/>
              </w:rPr>
              <w:t>dringt er bij Montenegro op aan de transparantie van en het toezicht op de uitgaven van politieke partijen te vergroten en misbruik van overheidsmiddelen te voorkomen, in overeenstemming met de EU-normen;</w:t>
            </w:r>
            <w:r>
              <w:t xml:space="preserve"> </w:t>
            </w:r>
            <w:r>
              <w:rPr>
                <w:b/>
                <w:i/>
              </w:rPr>
              <w:t>wijst op de rol van het agentschap voor corruptiepreventie (APC) bij het toezicht op politieke financiering;</w:t>
            </w:r>
            <w:r>
              <w:t xml:space="preserve"> </w:t>
            </w:r>
            <w:r>
              <w:rPr>
                <w:b/>
                <w:i/>
              </w:rPr>
              <w:t>beveelt Montenegro aan de handhaving van de regels inzake financiering door derden te verbeteren, de sancties voor schendingen aan te scherpen en de transparantie van politieke onlinereclame te verbeteren;</w:t>
            </w:r>
            <w:r>
              <w:t xml:space="preserve"> </w:t>
            </w:r>
            <w:r>
              <w:rPr>
                <w:b/>
                <w:i/>
              </w:rPr>
              <w:t>dringt aan op nauwere samenwerking tussen het APC en de financiële-inlichtingendiensten om buitenlandse invloed in politieke campagnes op te sporen en te voorkomen;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Jaroslav Bžoch, Kinga Gál,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verzoekt</w:t>
            </w:r>
            <w:r>
              <w:t xml:space="preserve"> de Montenegrijnse autoriteiten één landelijke dag voor gemeenteraadsverkiezingen in te stellen om de efficiëntie van het bestuur te vergroten, de politieke spanningen te verminderen en de stabiliteit en doeltreffendheid van gemeentelijke en overheidsinstellingen te versterken;</w:t>
            </w:r>
          </w:p>
        </w:tc>
        <w:tc>
          <w:tcPr>
            <w:tcW w:w="4876" w:type="dxa"/>
            <w:tcBorders>
              <w:top w:val="nil"/>
              <w:left w:val="nil"/>
              <w:bottom w:val="nil"/>
              <w:right w:val="nil"/>
            </w:tcBorders>
          </w:tcPr>
          <w:p>
            <w:pPr>
              <w:pStyle w:val="Normal6a"/>
            </w:pPr>
            <w:r>
              <w:t>10.</w:t>
            </w:r>
            <w:r>
              <w:tab/>
            </w:r>
            <w:r>
              <w:rPr>
                <w:b/>
                <w:i/>
              </w:rPr>
              <w:t>beveelt</w:t>
            </w:r>
            <w:r>
              <w:t xml:space="preserve"> de Montenegrijnse autoriteiten </w:t>
            </w:r>
            <w:r>
              <w:rPr>
                <w:b/>
                <w:i/>
              </w:rPr>
              <w:t>aan</w:t>
            </w:r>
            <w:r>
              <w:t xml:space="preserve"> één landelijke dag voor gemeenteraadsverkiezingen in te stellen om de efficiëntie van het bestuur te vergroten, de politieke spanningen te verminderen en de stabiliteit en doeltreffendheid van gemeentelijke en overheidsinstellingen te versterken;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verzoekt</w:t>
            </w:r>
            <w:r>
              <w:t xml:space="preserve"> de Montenegrijnse autoriteiten één landelijke dag voor gemeenteraadsverkiezingen in te stellen om de efficiëntie van het bestuur te vergroten, de politieke spanningen te verminderen en de stabiliteit en doeltreffendheid van gemeentelijke en overheidsinstellingen te versterken;</w:t>
            </w:r>
          </w:p>
        </w:tc>
        <w:tc>
          <w:tcPr>
            <w:tcW w:w="4876" w:type="dxa"/>
            <w:tcBorders>
              <w:top w:val="nil"/>
              <w:left w:val="nil"/>
              <w:bottom w:val="nil"/>
              <w:right w:val="nil"/>
            </w:tcBorders>
          </w:tcPr>
          <w:p>
            <w:pPr>
              <w:pStyle w:val="Normal6a"/>
            </w:pPr>
            <w:r>
              <w:t>10.</w:t>
            </w:r>
            <w:r>
              <w:tab/>
            </w:r>
            <w:r>
              <w:rPr>
                <w:b/>
                <w:i/>
              </w:rPr>
              <w:t>dringt er bij</w:t>
            </w:r>
            <w:r>
              <w:t xml:space="preserve"> de Montenegrijnse autoriteiten </w:t>
            </w:r>
            <w:r>
              <w:rPr>
                <w:b/>
                <w:i/>
              </w:rPr>
              <w:t>nogmaals op aan</w:t>
            </w:r>
            <w:r>
              <w:t xml:space="preserve"> één landelijke dag voor gemeenteraadsverkiezingen in te stellen om de efficiëntie van het bestuur te vergroten, de politieke spanningen te verminderen en de stabiliteit en doeltreffendheid van gemeentelijke en overheidsinstellingen te versterken; </w:t>
            </w:r>
            <w:r>
              <w:rPr>
                <w:b/>
                <w:i/>
              </w:rPr>
              <w:t>herinnert eraan dat deze stap in het hervormingstraject een voorwaarde is voor toekomstige uitbetaling van middelen in het kader van de hervormings- en groeifaciliteit en de hoogste prioriteit moet krijgen;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verzoekt</w:t>
            </w:r>
            <w:r>
              <w:t xml:space="preserve"> de Montenegrijnse autoriteiten één landelijke dag voor gemeenteraadsverkiezingen in te stellen </w:t>
            </w:r>
            <w:r>
              <w:rPr>
                <w:b/>
                <w:i/>
              </w:rPr>
              <w:t>om</w:t>
            </w:r>
            <w:r>
              <w:t xml:space="preserve"> de efficiëntie van het bestuur te vergroten, de politieke spanningen te verminderen en de stabiliteit en doeltreffendheid van gemeentelijke en overheidsinstellingen te versterken;</w:t>
            </w:r>
          </w:p>
        </w:tc>
        <w:tc>
          <w:tcPr>
            <w:tcW w:w="4876" w:type="dxa"/>
            <w:tcBorders>
              <w:top w:val="nil"/>
              <w:left w:val="nil"/>
              <w:bottom w:val="nil"/>
              <w:right w:val="nil"/>
            </w:tcBorders>
          </w:tcPr>
          <w:p>
            <w:pPr>
              <w:pStyle w:val="Normal6a"/>
            </w:pPr>
            <w:r>
              <w:t>10.</w:t>
            </w:r>
            <w:r>
              <w:tab/>
            </w:r>
            <w:r>
              <w:rPr>
                <w:b/>
                <w:i/>
              </w:rPr>
              <w:t>herhaalt zijn oproep aan</w:t>
            </w:r>
            <w:r>
              <w:t xml:space="preserve"> de Montenegrijnse autoriteiten </w:t>
            </w:r>
            <w:r>
              <w:rPr>
                <w:b/>
                <w:i/>
              </w:rPr>
              <w:t>om</w:t>
            </w:r>
            <w:r>
              <w:t xml:space="preserve"> één landelijke dag voor gemeenteraadsverkiezingen in te stellen</w:t>
            </w:r>
            <w:r>
              <w:rPr>
                <w:b/>
                <w:i/>
              </w:rPr>
              <w:t>, zoals voorzien in de reeds in 2022 gewijzigde wet inzake lokaal zelfbestuur, waarin is bepaald dat lokale verkiezingen in 14 gemeenten op dezelfde datum moeten worden gehouden, teneinde</w:t>
            </w:r>
            <w:r>
              <w:t xml:space="preserve"> de efficiëntie van het bestuur te vergroten, de politieke spanningen te verminderen en de stabiliteit en doeltreffendheid van gemeentelijke en overheidsinstellingen te versterken;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verzoekt de Montenegrijnse autoriteiten één landelijke dag voor gemeenteraadsverkiezingen in te stellen om de efficiëntie van het bestuur te vergroten, de politieke spanningen te verminderen en de stabiliteit en doeltreffendheid van gemeentelijke en overheidsinstellingen te versterken;</w:t>
            </w:r>
          </w:p>
        </w:tc>
        <w:tc>
          <w:tcPr>
            <w:tcW w:w="4876" w:type="dxa"/>
            <w:tcBorders>
              <w:top w:val="nil"/>
              <w:left w:val="nil"/>
              <w:bottom w:val="nil"/>
              <w:right w:val="nil"/>
            </w:tcBorders>
          </w:tcPr>
          <w:p>
            <w:pPr>
              <w:pStyle w:val="Normal6a"/>
            </w:pPr>
            <w:r>
              <w:t>10.</w:t>
            </w:r>
            <w:r>
              <w:tab/>
            </w:r>
            <w:r>
              <w:t xml:space="preserve">verzoekt de Montenegrijnse autoriteiten één landelijke dag voor gemeenteraadsverkiezingen in te stellen om de efficiëntie van het bestuur te vergroten, de politieke spanningen te verminderen en de stabiliteit en doeltreffendheid van gemeentelijke en overheidsinstellingen te versterken; </w:t>
            </w:r>
            <w:r>
              <w:rPr>
                <w:b/>
                <w:i/>
              </w:rPr>
              <w:t>stelt verheugd vast dat in oktober 2022 in 14 gemeenten op dezelfde dag verkiezingen zijn gehouden;</w:t>
            </w:r>
            <w:r>
              <w:t xml:space="preserve"> </w:t>
            </w:r>
            <w:r>
              <w:rPr>
                <w:b/>
                <w:i/>
              </w:rPr>
              <w:t>pleit voor een solide wetgevingskader in dit verband;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10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bis.</w:t>
            </w:r>
            <w:r>
              <w:tab/>
            </w:r>
            <w:r>
              <w:rPr>
                <w:b/>
                <w:i/>
              </w:rPr>
              <w:t>is ernstig bezorgd over het slechte verloop van het verkiezingsproces in de gemeente Šavnik, waar de verkiezingen meer dan tweeënhalf jaar lang werden herhaald zonder een eindresultaat op te leveren;</w:t>
            </w:r>
            <w:r>
              <w:t xml:space="preserve"> </w:t>
            </w:r>
            <w:r>
              <w:rPr>
                <w:b/>
                <w:i/>
              </w:rPr>
              <w:t>betreurt de onregelmatigheden bij de verkiezingen, waaronder de wijziging van het wettelijke adres van kiezers om te kunnen stemmen in Šavnik en het organiseren van busvervoer door de DPS om de kiezers op verkiezingsdag naar het stemlokaal te brengen;</w:t>
            </w:r>
            <w:r>
              <w:t xml:space="preserve"> </w:t>
            </w:r>
            <w:r>
              <w:rPr>
                <w:b/>
                <w:i/>
              </w:rPr>
              <w:t>verzoekt de kiescommissie en de regering van Montenegro ervoor te zorgen dat het verkiezingsproces wordt afgerond;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10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ter.</w:t>
            </w:r>
            <w:r>
              <w:tab/>
            </w:r>
            <w:r>
              <w:rPr>
                <w:b/>
                <w:i/>
              </w:rPr>
              <w:t>verzoekt de Montenegrijnse autoriteiten de wet inzake openbaar bestuur die in samenwerking met de Raad van Europa tot stand is gekomen en werd afgestemd op de richtsnoeren van de Europese Commissie, vast te stellen;</w:t>
            </w:r>
            <w:r>
              <w:t xml:space="preserve"> </w:t>
            </w:r>
            <w:r>
              <w:rPr>
                <w:b/>
                <w:i/>
              </w:rPr>
              <w:t>herinnert eraan dat deze wet een beter bestuurskader en een betere optimalisering van het openbaar bestuur mogelijk zal maken, zal zorgen voor een kleiner aantal ministeries, minder versnipperde beleidsportefeuilles en meer transparantie, en een mechanisme zou vormen om te voorkomen dat functies als pasmunt worden gebruikt in politieke onderhandelingen;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Dan Barna, Malik Azmani, Marjan Šarec, Lucia Yar,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benadrukt het belang van een professioneel, op verdiensten gebaseerd en transparant ambtenarenapparaat; verzoekt Montenegro de relevante wetgeving te wijzigen en toe te passen;</w:t>
            </w:r>
          </w:p>
        </w:tc>
        <w:tc>
          <w:tcPr>
            <w:tcW w:w="4876" w:type="dxa"/>
            <w:tcBorders>
              <w:top w:val="nil"/>
              <w:left w:val="nil"/>
              <w:bottom w:val="nil"/>
              <w:right w:val="nil"/>
            </w:tcBorders>
          </w:tcPr>
          <w:p>
            <w:pPr>
              <w:pStyle w:val="Normal6a"/>
            </w:pPr>
            <w:r>
              <w:t>11.</w:t>
            </w:r>
            <w:r>
              <w:tab/>
            </w:r>
            <w:r>
              <w:t>benadrukt het belang van een professioneel, op verdiensten gebaseerd en transparant ambtenarenapparaat; verzoekt Montenegro de relevante wetgeving te wijzigen en toe te passen</w:t>
            </w:r>
            <w:r>
              <w:rPr>
                <w:b/>
                <w:i/>
              </w:rPr>
              <w:t>, met inbegrip van de procedurele waarborgen tegen politiek gemotiveerde besluiten over benoemingen en ontslagen;</w:t>
            </w:r>
            <w:r>
              <w:t xml:space="preserve"> </w:t>
            </w:r>
            <w:r>
              <w:rPr>
                <w:b/>
                <w:i/>
              </w:rPr>
              <w:t>betreurt dat er geen noemenswaardige vooruitgang is geboekt bij de vaststelling en doeltreffende uitvoering van dergelijke wetgeving en benadrukt dat de invulling van functies bij overheidsdiensten hierdoor onderhevig kan blijven aan politieke beïnvloeding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benadrukt het belang van een professioneel, op verdiensten gebaseerd en transparant ambtenarenapparaat; verzoekt Montenegro de relevante wetgeving te wijzigen en toe te passen;</w:t>
            </w:r>
          </w:p>
        </w:tc>
        <w:tc>
          <w:tcPr>
            <w:tcW w:w="4876" w:type="dxa"/>
            <w:tcBorders>
              <w:top w:val="nil"/>
              <w:left w:val="nil"/>
              <w:bottom w:val="nil"/>
              <w:right w:val="nil"/>
            </w:tcBorders>
          </w:tcPr>
          <w:p>
            <w:pPr>
              <w:pStyle w:val="Normal6a"/>
            </w:pPr>
            <w:r>
              <w:t>11.</w:t>
            </w:r>
            <w:r>
              <w:tab/>
            </w:r>
            <w:r>
              <w:t>benadrukt het belang van een professioneel, op verdiensten gebaseerd en transparant ambtenarenapparaat; verzoekt Montenegro de relevante wetgeving te wijzigen en toe te passen</w:t>
            </w:r>
            <w:r>
              <w:rPr>
                <w:b/>
                <w:i/>
              </w:rPr>
              <w:t>, zodat er een kader is voor de professionalisering, optimalisering en rationalisering van het overheidsbestuur;</w:t>
            </w:r>
            <w:r>
              <w:t xml:space="preserve"> </w:t>
            </w:r>
            <w:r>
              <w:rPr>
                <w:b/>
                <w:i/>
              </w:rPr>
              <w:t>benadrukt voorts dat het noodzakelijk is strenge normen voor leidinggevende functies vast te stellen om competentie en verantwoordingsplicht te waarborgen in overheidsdiensten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benadrukt het belang van een professioneel, op verdiensten gebaseerd en transparant ambtenarenapparaat; verzoekt Montenegro de relevante wetgeving te wijzigen en toe te passen;</w:t>
            </w:r>
          </w:p>
        </w:tc>
        <w:tc>
          <w:tcPr>
            <w:tcW w:w="4876" w:type="dxa"/>
            <w:tcBorders>
              <w:top w:val="nil"/>
              <w:left w:val="nil"/>
              <w:bottom w:val="nil"/>
              <w:right w:val="nil"/>
            </w:tcBorders>
          </w:tcPr>
          <w:p>
            <w:pPr>
              <w:pStyle w:val="Normal6a"/>
            </w:pPr>
            <w:r>
              <w:t>11.</w:t>
            </w:r>
            <w:r>
              <w:tab/>
            </w:r>
            <w:r>
              <w:t>benadrukt het belang van een professioneel, op verdiensten gebaseerd en transparant ambtenarenapparaat; verzoekt Montenegro de relevante wetgeving te wijzigen en toe te passen</w:t>
            </w:r>
            <w:r>
              <w:rPr>
                <w:b/>
                <w:i/>
              </w:rPr>
              <w:t>, zodat er een kader is voor de professionalisering, optimalisering en rationalisering van het overheidsbestuur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benadrukt het belang van een professioneel, op verdiensten gebaseerd en transparant ambtenarenapparaat; verzoekt Montenegro de relevante wetgeving te wijzigen en toe te passen;</w:t>
            </w:r>
          </w:p>
        </w:tc>
        <w:tc>
          <w:tcPr>
            <w:tcW w:w="4876" w:type="dxa"/>
            <w:tcBorders>
              <w:top w:val="nil"/>
              <w:left w:val="nil"/>
              <w:bottom w:val="nil"/>
              <w:right w:val="nil"/>
            </w:tcBorders>
          </w:tcPr>
          <w:p>
            <w:pPr>
              <w:pStyle w:val="Normal6a"/>
            </w:pPr>
            <w:r>
              <w:t>11.</w:t>
            </w:r>
            <w:r>
              <w:tab/>
            </w:r>
            <w:r>
              <w:t xml:space="preserve">benadrukt het belang van een professioneel, op verdiensten gebaseerd en transparant ambtenarenapparaat </w:t>
            </w:r>
            <w:r>
              <w:rPr>
                <w:b/>
                <w:i/>
              </w:rPr>
              <w:t>en het belang van depolitisering van het ambtenarenapparaat</w:t>
            </w:r>
            <w:r>
              <w:t>; verzoekt Montenegro de relevante wetgeving te wijzigen en toe te passen;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is ingenomen met de opname van Montenegro in het verslag van de Commissie over de rechtsstaat 2024;</w:t>
            </w:r>
          </w:p>
        </w:tc>
        <w:tc>
          <w:tcPr>
            <w:tcW w:w="4876" w:type="dxa"/>
            <w:tcBorders>
              <w:top w:val="nil"/>
              <w:left w:val="nil"/>
              <w:bottom w:val="nil"/>
              <w:right w:val="nil"/>
            </w:tcBorders>
          </w:tcPr>
          <w:p>
            <w:pPr>
              <w:pStyle w:val="Normal6a"/>
            </w:pPr>
            <w:r>
              <w:t>12.</w:t>
            </w:r>
            <w:r>
              <w:tab/>
            </w:r>
            <w:r>
              <w:t xml:space="preserve">is ingenomen met de opname van Montenegro in het verslag van de Commissie over de rechtsstaat 2024; </w:t>
            </w:r>
            <w:r>
              <w:rPr>
                <w:b/>
                <w:i/>
              </w:rPr>
              <w:t>neemt met bezorgdheid kennis van de vastgestelde tekortkomingen, waaronder de benoemingen bij justitie en de onafhankelijkheid van het openbaar ministerie;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is verheugd over de vooruitgang die is geboekt</w:t>
            </w:r>
            <w:r>
              <w:t xml:space="preserve"> bij de uitvoering van belangrijke justitiële hervormingen</w:t>
            </w:r>
            <w:r>
              <w:rPr>
                <w:b/>
                <w:i/>
              </w:rPr>
              <w:t>, de vaststelling van een nieuw strategisch kader en de voltooiing van reeds lang lopende gerechtelijke benoemingen</w:t>
            </w:r>
            <w:r>
              <w:t>;</w:t>
            </w:r>
          </w:p>
        </w:tc>
        <w:tc>
          <w:tcPr>
            <w:tcW w:w="4876" w:type="dxa"/>
            <w:tcBorders>
              <w:top w:val="nil"/>
              <w:left w:val="nil"/>
              <w:bottom w:val="nil"/>
              <w:right w:val="nil"/>
            </w:tcBorders>
          </w:tcPr>
          <w:p>
            <w:pPr>
              <w:pStyle w:val="Normal6a"/>
            </w:pPr>
            <w:r>
              <w:t>13.</w:t>
            </w:r>
            <w:r>
              <w:tab/>
            </w:r>
            <w:r>
              <w:rPr>
                <w:b/>
                <w:i/>
              </w:rPr>
              <w:t>neemt kennis van de inspanningen die zijn geleverd</w:t>
            </w:r>
            <w:r>
              <w:t xml:space="preserve"> bij de uitvoering van belangrijke justitiële hervormingen</w:t>
            </w:r>
            <w:r>
              <w:rPr>
                <w:b/>
                <w:i/>
              </w:rPr>
              <w:t>;</w:t>
            </w:r>
            <w:r>
              <w:t xml:space="preserve"> </w:t>
            </w:r>
            <w:r>
              <w:rPr>
                <w:b/>
                <w:i/>
              </w:rPr>
              <w:t>is ernstig bezorgd over de benoemingsprocedure voor het Grondwettelijk Hof en dringt er bij de Montenegrijnse autoriteiten op aan de bemiddeling van de Commissie van Venetië te aanvaarden om voor deze procedure duidelijkheid en rechtszekerheid te waarborgen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Marjan Šarec, Lucia Yar, Petras Auštrevičius, Dan Barna, Ilhan Kyuchyuk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is verheugd over de vooruitgang die is geboekt bij de uitvoering van belangrijke justitiële hervormingen, de vaststelling van een nieuw strategisch kader en de voltooiing van reeds lang lopende gerechtelijke benoemingen;</w:t>
            </w:r>
          </w:p>
        </w:tc>
        <w:tc>
          <w:tcPr>
            <w:tcW w:w="4876" w:type="dxa"/>
            <w:tcBorders>
              <w:top w:val="nil"/>
              <w:left w:val="nil"/>
              <w:bottom w:val="nil"/>
              <w:right w:val="nil"/>
            </w:tcBorders>
          </w:tcPr>
          <w:p>
            <w:pPr>
              <w:pStyle w:val="Normal6a"/>
            </w:pPr>
            <w:r>
              <w:t>13.</w:t>
            </w:r>
            <w:r>
              <w:tab/>
            </w:r>
            <w:r>
              <w:t xml:space="preserve">is verheugd over de vooruitgang die is geboekt bij de uitvoering van belangrijke justitiële hervormingen, de vaststelling van een nieuw strategisch kader en de voltooiing van reeds lang lopende gerechtelijke benoemingen; </w:t>
            </w:r>
            <w:r>
              <w:rPr>
                <w:b/>
                <w:i/>
              </w:rPr>
              <w:t>verzoekt Montenegro de resterende hoge functies binnen de rechterlijke macht in te vullen;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is verheugd over de vooruitgang die is geboekt bij de uitvoering van belangrijke justitiële hervormingen, de vaststelling van een nieuw strategisch kader en de voltooiing van reeds lang lopende gerechtelijke benoemingen;</w:t>
            </w:r>
          </w:p>
        </w:tc>
        <w:tc>
          <w:tcPr>
            <w:tcW w:w="4876" w:type="dxa"/>
            <w:tcBorders>
              <w:top w:val="nil"/>
              <w:left w:val="nil"/>
              <w:bottom w:val="nil"/>
              <w:right w:val="nil"/>
            </w:tcBorders>
          </w:tcPr>
          <w:p>
            <w:pPr>
              <w:pStyle w:val="Normal6a"/>
            </w:pPr>
            <w:r>
              <w:t>13.</w:t>
            </w:r>
            <w:r>
              <w:tab/>
            </w:r>
            <w:r>
              <w:t xml:space="preserve">is verheugd over de vooruitgang die is geboekt bij de uitvoering van belangrijke justitiële hervormingen, de vaststelling van een nieuw strategisch kader en de voltooiing van reeds lang lopende gerechtelijke benoemingen; </w:t>
            </w:r>
            <w:r>
              <w:rPr>
                <w:b/>
                <w:i/>
              </w:rPr>
              <w:t>verzoekt Montenegro de resterende functies binnen de rechterlijke macht in te vullen;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dringt er bij Montenegro op aan zijn rechtskader</w:t>
            </w:r>
            <w:r>
              <w:rPr>
                <w:b/>
                <w:i/>
              </w:rPr>
              <w:t>, met inbegrip van de grondwet,</w:t>
            </w:r>
            <w:r>
              <w:t xml:space="preserve"> verder af te stemmen op de EU-wetgeving en -normen inzake de onafhankelijkheid, verantwoordingsplicht, onpartijdigheid, integriteit en professionaliteit van de rechterlijke macht, hangende internationale aanbevelingen op te volgen en criteria vast te stellen voor de pensionering van rechters en openbare aanklagers in overeenstemming met de Europese normen;</w:t>
            </w:r>
          </w:p>
        </w:tc>
        <w:tc>
          <w:tcPr>
            <w:tcW w:w="4876" w:type="dxa"/>
            <w:tcBorders>
              <w:top w:val="nil"/>
              <w:left w:val="nil"/>
              <w:bottom w:val="nil"/>
              <w:right w:val="nil"/>
            </w:tcBorders>
          </w:tcPr>
          <w:p>
            <w:pPr>
              <w:pStyle w:val="Normal6a"/>
            </w:pPr>
            <w:r>
              <w:t>14.</w:t>
            </w:r>
            <w:r>
              <w:tab/>
            </w:r>
            <w:r>
              <w:t xml:space="preserve">dringt er bij Montenegro op aan zijn rechtskader verder af te stemmen op de EU-wetgeving en -normen inzake de onafhankelijkheid, verantwoordingsplicht, onpartijdigheid, integriteit en professionaliteit van de rechterlijke macht, hangende internationale aanbevelingen op te volgen en criteria vast te stellen voor de pensionering van rechters en openbare aanklagers in overeenstemming met de Europese normen; </w:t>
            </w:r>
            <w:r>
              <w:rPr>
                <w:b/>
                <w:i/>
              </w:rPr>
              <w:t>beveelt aan de wijzigingen van de grondwet in de laatste fase van de EU-toetredingsonderhandelingen van het land aan te nemen;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dringt er bij Montenegro op aan zijn rechtskader, met inbegrip van de grondwet, verder af te stemmen op de EU-wetgeving en -normen inzake de onafhankelijkheid, verantwoordingsplicht, onpartijdigheid, integriteit en professionaliteit van de rechterlijke macht, hangende internationale aanbevelingen op te volgen en criteria vast te stellen voor de pensionering van rechters en openbare aanklagers in overeenstemming met de Europese normen;</w:t>
            </w:r>
          </w:p>
        </w:tc>
        <w:tc>
          <w:tcPr>
            <w:tcW w:w="4876" w:type="dxa"/>
            <w:tcBorders>
              <w:top w:val="nil"/>
              <w:left w:val="nil"/>
              <w:bottom w:val="nil"/>
              <w:right w:val="nil"/>
            </w:tcBorders>
          </w:tcPr>
          <w:p>
            <w:pPr>
              <w:pStyle w:val="Normal6a"/>
            </w:pPr>
            <w:r>
              <w:t>14.</w:t>
            </w:r>
            <w:r>
              <w:tab/>
            </w:r>
            <w:r>
              <w:t xml:space="preserve">dringt er bij Montenegro op aan zijn rechtskader, met inbegrip van de grondwet, </w:t>
            </w:r>
            <w:r>
              <w:rPr>
                <w:b/>
                <w:i/>
              </w:rPr>
              <w:t>met name wat de samenstelling van de raad voor de rechtspraak en zijn besluitvormingsproces betreft,</w:t>
            </w:r>
            <w:r>
              <w:t xml:space="preserve"> verder af te stemmen op de EU-wetgeving en -normen inzake de onafhankelijkheid, verantwoordingsplicht, onpartijdigheid, integriteit en professionaliteit van de rechterlijke macht, hangende internationale aanbevelingen op te volgen en criteria vast te stellen voor de pensionering van rechters en openbare aanklagers in overeenstemming met de Europese normen;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dringt er bij Montenegro op aan zijn rechtskader, met inbegrip van de grondwet, verder af te stemmen op de EU-wetgeving en -normen inzake de onafhankelijkheid, verantwoordingsplicht, onpartijdigheid, integriteit en professionaliteit van de rechterlijke macht, hangende internationale aanbevelingen op te volgen en criteria vast te stellen voor de pensionering van rechters en openbare aanklagers in overeenstemming met de Europese normen;</w:t>
            </w:r>
          </w:p>
        </w:tc>
        <w:tc>
          <w:tcPr>
            <w:tcW w:w="4876" w:type="dxa"/>
            <w:tcBorders>
              <w:top w:val="nil"/>
              <w:left w:val="nil"/>
              <w:bottom w:val="nil"/>
              <w:right w:val="nil"/>
            </w:tcBorders>
          </w:tcPr>
          <w:p>
            <w:pPr>
              <w:pStyle w:val="Normal6a"/>
            </w:pPr>
            <w:r>
              <w:t>14.</w:t>
            </w:r>
            <w:r>
              <w:tab/>
            </w:r>
            <w:r>
              <w:t xml:space="preserve">dringt er bij Montenegro op aan zijn rechtskader, met inbegrip van de grondwet, verder af te stemmen op de EU-wetgeving en -normen inzake de onafhankelijkheid, verantwoordingsplicht, onpartijdigheid, integriteit en professionaliteit van de rechterlijke macht, </w:t>
            </w:r>
            <w:r>
              <w:rPr>
                <w:b/>
                <w:i/>
              </w:rPr>
              <w:t>met inbegrip van verdere depolitisering van benoemingen om de onafhankelijkheid te bevorderen,</w:t>
            </w:r>
            <w:r>
              <w:t xml:space="preserve"> hangende internationale aanbevelingen op te volgen en criteria vast te stellen voor de pensionering van rechters en openbare aanklagers in overeenstemming met de Europese normen </w:t>
            </w:r>
            <w:r>
              <w:rPr>
                <w:b/>
                <w:i/>
              </w:rPr>
              <w:t>en met volledige inachtneming van de grondwet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Marjan Šarec, Lucia Yar, Petras Auštrevičius, Dan Barna, Ilhan Kyuchyuk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dringt er bij Montenegro op aan zijn rechtskader, met inbegrip van de grondwet, verder af te stemmen op de EU-wetgeving en -normen inzake de onafhankelijkheid, verantwoordingsplicht, onpartijdigheid, integriteit en professionaliteit van de rechterlijke macht, hangende internationale aanbevelingen op te volgen en criteria vast te stellen voor de pensionering van rechters en openbare aanklagers in overeenstemming met de Europese normen;</w:t>
            </w:r>
          </w:p>
        </w:tc>
        <w:tc>
          <w:tcPr>
            <w:tcW w:w="4876" w:type="dxa"/>
            <w:tcBorders>
              <w:top w:val="nil"/>
              <w:left w:val="nil"/>
              <w:bottom w:val="nil"/>
              <w:right w:val="nil"/>
            </w:tcBorders>
          </w:tcPr>
          <w:p>
            <w:pPr>
              <w:pStyle w:val="Normal6a"/>
            </w:pPr>
            <w:r>
              <w:t>14.</w:t>
            </w:r>
            <w:r>
              <w:tab/>
            </w:r>
            <w:r>
              <w:t xml:space="preserve">dringt er bij Montenegro op aan zijn rechtskader, met inbegrip van de grondwet, verder af te stemmen op de EU-wetgeving en -normen inzake de onafhankelijkheid, verantwoordingsplicht, onpartijdigheid, integriteit en professionaliteit van de rechterlijke macht, hangende internationale aanbevelingen op te volgen en criteria vast te stellen voor de pensionering van rechters en openbare aanklagers in overeenstemming met de Europese normen; </w:t>
            </w:r>
            <w:r>
              <w:rPr>
                <w:b/>
                <w:i/>
              </w:rPr>
              <w:t>betreurt de achterstand bij de behandeling van zaken en verzoekt Montenegro maatregelen te nemen om de duur van gerechtelijke procedures te verkorten, in het bijzonder voor zaken die verband houden met zware en georganiseerde misdaad, met name in verband met witwaspraktijken;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14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bis.</w:t>
            </w:r>
            <w:r>
              <w:tab/>
            </w:r>
            <w:r>
              <w:rPr>
                <w:b/>
                <w:i/>
              </w:rPr>
              <w:t>betreurt de achterstand bij de behandeling van zaken en verzoekt Montenegro maatregelen te nemen om de tijd die gerechtelijke procedures in beslag nemen te verkorten, in het bijzonder voor zaken die verband houden met zware en georganiseerde misdaad, met name in verband met het witwassen van geld;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14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ter.</w:t>
            </w:r>
            <w:r>
              <w:tab/>
            </w:r>
            <w:r>
              <w:rPr>
                <w:b/>
                <w:i/>
              </w:rPr>
              <w:t>roept ertoe op de werking van overheidsinstellingen en hun onderlinge coördinatie te versterken om politieke stabiliteit te bereiken, en de wezenlijke vorderingen die reeds zijn gemaakt bij het doorvoeren van belangrijke EU-gerelateerde hervormingen voort te zetten, met name wat de hervorming van het kiesstelsel en justitie en de strijd tegen georganiseerde misdaad en corruptie betreft;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neemt kennis van de stappen die zijn gezet in de strijd tegen corruptie</w:t>
            </w:r>
            <w:r>
              <w:rPr>
                <w:b/>
                <w:i/>
              </w:rPr>
              <w:t>, met inbegrip van nieuwe wetten en bepalingen inzake de bescherming van klokkenluiders</w:t>
            </w:r>
            <w:r>
              <w:t>; spoort Montenegro aan zich verder te voegen naar het EU-acquis en de EU-normen, en gevolg te geven aan de aanbevelingen van de Commissie, de Commissie van Venetië en de Greco;</w:t>
            </w:r>
          </w:p>
        </w:tc>
        <w:tc>
          <w:tcPr>
            <w:tcW w:w="4876" w:type="dxa"/>
            <w:tcBorders>
              <w:top w:val="nil"/>
              <w:left w:val="nil"/>
              <w:bottom w:val="nil"/>
              <w:right w:val="nil"/>
            </w:tcBorders>
          </w:tcPr>
          <w:p>
            <w:pPr>
              <w:pStyle w:val="Normal6a"/>
            </w:pPr>
            <w:r>
              <w:t>15.</w:t>
            </w:r>
            <w:r>
              <w:tab/>
            </w:r>
            <w:r>
              <w:t>neemt kennis van de stappen die zijn gezet in de strijd tegen corruptie; spoort Montenegro aan zich verder te voegen naar het EU-acquis en de EU-normen, en gevolg te geven aan de aanbevelingen van de Commissie, de Commissie van Venetië en de Greco;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neemt kennis van de stappen die zijn gezet in de strijd tegen corruptie, met inbegrip van nieuwe wetten en bepalingen inzake de bescherming van klokkenluiders; spoort Montenegro aan zich verder te voegen naar het EU-acquis en de EU-normen, en gevolg te geven aan de aanbevelingen van de Commissie, de Commissie van Venetië en de Greco;</w:t>
            </w:r>
          </w:p>
        </w:tc>
        <w:tc>
          <w:tcPr>
            <w:tcW w:w="4876" w:type="dxa"/>
            <w:tcBorders>
              <w:top w:val="nil"/>
              <w:left w:val="nil"/>
              <w:bottom w:val="nil"/>
              <w:right w:val="nil"/>
            </w:tcBorders>
          </w:tcPr>
          <w:p>
            <w:pPr>
              <w:pStyle w:val="Normal6a"/>
            </w:pPr>
            <w:r>
              <w:t>15.</w:t>
            </w:r>
            <w:r>
              <w:tab/>
            </w:r>
            <w:r>
              <w:t xml:space="preserve">neemt kennis van de stappen die zijn gezet in de strijd tegen corruptie </w:t>
            </w:r>
            <w:r>
              <w:rPr>
                <w:b/>
                <w:i/>
              </w:rPr>
              <w:t>binnen een strategisch en wetgevingskader</w:t>
            </w:r>
            <w:r>
              <w:t xml:space="preserve">, met inbegrip van nieuwe wetten en bepalingen inzake de bescherming van klokkenluiders; </w:t>
            </w:r>
            <w:r>
              <w:rPr>
                <w:b/>
                <w:i/>
              </w:rPr>
              <w:t>dringt er bij Montenegro op aan de strafrechtelijke respons op corruptie op hoog niveau op te voeren en de voorwaarden te scheppen voor een doeltreffende werking van justitiële instellingen en onafhankelijke instanties die zich met corruptie bezighouden, zonder politieke beïnvloeding;</w:t>
            </w:r>
            <w:r>
              <w:t xml:space="preserve"> spoort Montenegro aan zich verder te voegen naar het EU-acquis en de EU-normen, en gevolg te geven aan de aanbevelingen van de Commissie, de Commissie van Venetië en de Greco; </w:t>
            </w:r>
            <w:r>
              <w:rPr>
                <w:b/>
                <w:i/>
              </w:rPr>
              <w:t>spoort de Montenegrijnse autoriteiten ertoe aan de bestaande tekortkomingen bij de behandeling van zaken in verband met georganiseerde misdaad en de inbeslagneming en confiscatie van criminele vermogensbestanddelen aan te pakken;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Marjan Šarec, Lucia Yar, Petras Auštrevičius, Dan Barna, Ilhan Kyuchyuk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neemt kennis van de stappen die zijn gezet in de strijd tegen corruptie, met inbegrip van nieuwe wetten en bepalingen inzake de bescherming van klokkenluiders; spoort Montenegro aan zich verder te voegen naar het EU-acquis en de EU-normen, en gevolg te geven aan de aanbevelingen van de Commissie, de Commissie van Venetië en de Greco;</w:t>
            </w:r>
          </w:p>
        </w:tc>
        <w:tc>
          <w:tcPr>
            <w:tcW w:w="4876" w:type="dxa"/>
            <w:tcBorders>
              <w:top w:val="nil"/>
              <w:left w:val="nil"/>
              <w:bottom w:val="nil"/>
              <w:right w:val="nil"/>
            </w:tcBorders>
          </w:tcPr>
          <w:p>
            <w:pPr>
              <w:pStyle w:val="Normal6a"/>
            </w:pPr>
            <w:r>
              <w:t>15.</w:t>
            </w:r>
            <w:r>
              <w:tab/>
            </w:r>
            <w:r>
              <w:t>neemt kennis van de stappen die zijn gezet in de strijd tegen corruptie, met inbegrip van nieuwe wetten en bepalingen inzake de bescherming van klokkenluiders</w:t>
            </w:r>
            <w:r>
              <w:rPr>
                <w:b/>
                <w:i/>
              </w:rPr>
              <w:t>, de oprichting van een nieuwe nationale raad voor corruptiebestrijding en een nieuwe strategie voor 2024-2028</w:t>
            </w:r>
            <w:r>
              <w:t>; spoort Montenegro aan zich verder te voegen naar het EU-acquis en de EU-normen, en gevolg te geven aan de aanbevelingen van de Commissie, de Commissie van Venetië en de Greco;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neemt nota van de </w:t>
            </w:r>
            <w:r>
              <w:rPr>
                <w:b/>
                <w:i/>
              </w:rPr>
              <w:t>werkzaamheden</w:t>
            </w:r>
            <w:r>
              <w:t xml:space="preserve"> van het agentschap voor corruptiepreventie en dringt erop aan dat het voldoende financiële middelen ter beschikking gesteld krijgt; roept op tot een sterker kader voor corruptiepreventie;</w:t>
            </w:r>
          </w:p>
        </w:tc>
        <w:tc>
          <w:tcPr>
            <w:tcW w:w="4876" w:type="dxa"/>
            <w:tcBorders>
              <w:top w:val="nil"/>
              <w:left w:val="nil"/>
              <w:bottom w:val="nil"/>
              <w:right w:val="nil"/>
            </w:tcBorders>
          </w:tcPr>
          <w:p>
            <w:pPr>
              <w:pStyle w:val="Normal6a"/>
            </w:pPr>
            <w:r>
              <w:t>16.</w:t>
            </w:r>
            <w:r>
              <w:tab/>
            </w:r>
            <w:r>
              <w:t xml:space="preserve">neemt nota van de </w:t>
            </w:r>
            <w:r>
              <w:rPr>
                <w:b/>
                <w:i/>
              </w:rPr>
              <w:t>inspanningen</w:t>
            </w:r>
            <w:r>
              <w:t xml:space="preserve"> van het agentschap voor corruptiepreventie en dringt erop aan dat het voldoende financiële middelen ter beschikking gesteld krijgt</w:t>
            </w:r>
            <w:r>
              <w:rPr>
                <w:b/>
                <w:i/>
              </w:rPr>
              <w:t>;</w:t>
            </w:r>
            <w:r>
              <w:t xml:space="preserve"> </w:t>
            </w:r>
            <w:r>
              <w:rPr>
                <w:b/>
                <w:i/>
              </w:rPr>
              <w:t>benadrukt dat het dringend nodig is het agentschap voor corruptiepreventie te depolitiseren;</w:t>
            </w:r>
            <w:r>
              <w:t xml:space="preserve"> </w:t>
            </w:r>
            <w:r>
              <w:rPr>
                <w:b/>
                <w:i/>
              </w:rPr>
              <w:t>verwacht dat het agentschap tastbare resultaten boekt en niet-selectief optreedt zodat het zijn integriteit versterkt en over een grotere autoriteit beschikt om zijn bevoegdheden doeltreffend uit te voeren</w:t>
            </w:r>
            <w:r>
              <w:t>; roept op tot een sterker kader voor corruptiepreventie;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neemt nota van de werkzaamheden van het agentschap voor corruptiepreventie en dringt erop aan dat het voldoende financiële middelen ter beschikking gesteld krijgt; roept op tot een sterker kader voor corruptiepreventie;</w:t>
            </w:r>
          </w:p>
        </w:tc>
        <w:tc>
          <w:tcPr>
            <w:tcW w:w="4876" w:type="dxa"/>
            <w:tcBorders>
              <w:top w:val="nil"/>
              <w:left w:val="nil"/>
              <w:bottom w:val="nil"/>
              <w:right w:val="nil"/>
            </w:tcBorders>
          </w:tcPr>
          <w:p>
            <w:pPr>
              <w:pStyle w:val="Normal6a"/>
            </w:pPr>
            <w:r>
              <w:t>16.</w:t>
            </w:r>
            <w:r>
              <w:tab/>
            </w:r>
            <w:r>
              <w:t xml:space="preserve">neemt nota van de werkzaamheden van het agentschap voor corruptiepreventie en dringt erop aan dat het voldoende financiële middelen ter beschikking gesteld krijgt; </w:t>
            </w:r>
            <w:r>
              <w:rPr>
                <w:b/>
                <w:i/>
              </w:rPr>
              <w:t>dringt er bij Montenegro op aan zijn staat van dienst op het gebied van corruptie, met inbegrip van corruptie op hoog niveau, verder te verbeteren door de effectieve handhaving van de bestaande strafwetgeving door het openbaar ministerie en de rechtbanken te versterken, onder meer door het opleggen van doeltreffende en afschrikkende sancties;</w:t>
            </w:r>
            <w:r>
              <w:t xml:space="preserve"> roept op tot een sterker kader voor corruptiepreventie;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neemt nota van de werkzaamheden van het agentschap voor corruptiepreventie en dringt erop aan dat het voldoende financiële middelen ter beschikking gesteld krijgt; roept op tot een sterker kader voor corruptiepreventie;</w:t>
            </w:r>
          </w:p>
        </w:tc>
        <w:tc>
          <w:tcPr>
            <w:tcW w:w="4876" w:type="dxa"/>
            <w:tcBorders>
              <w:top w:val="nil"/>
              <w:left w:val="nil"/>
              <w:bottom w:val="nil"/>
              <w:right w:val="nil"/>
            </w:tcBorders>
          </w:tcPr>
          <w:p>
            <w:pPr>
              <w:pStyle w:val="Normal6a"/>
            </w:pPr>
            <w:r>
              <w:t>16.</w:t>
            </w:r>
            <w:r>
              <w:tab/>
            </w:r>
            <w:r>
              <w:t xml:space="preserve">neemt nota van de werkzaamheden van het agentschap voor corruptiepreventie en dringt erop aan dat het voldoende financiële middelen ter beschikking gesteld krijgt; roept op tot een sterker kader voor corruptiepreventie; </w:t>
            </w:r>
            <w:r>
              <w:rPr>
                <w:b/>
                <w:i/>
              </w:rPr>
              <w:t>verwacht dat het agentschap tastbare resultaten boekt en niet-selectief optreedt zodat het zijn integriteit versterkt en over een grotere autoriteit beschikt om zijn bevoegdheden doeltreffend uit te voeren;</w:t>
            </w:r>
            <w:r>
              <w:t xml:space="preserve"> </w:t>
            </w:r>
            <w:r>
              <w:rPr>
                <w:b/>
                <w:i/>
              </w:rPr>
              <w:t>dringt er bij Montenegro op aan meer actie te ondernemen om witwaspraktijken te voorkomen;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Jaroslav Bžoch,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dringt er bij Montenegro op aan zijn wapenwetgeving in overeenstemming te brengen met het EU-recht en </w:t>
            </w:r>
            <w:r>
              <w:rPr>
                <w:b/>
                <w:i/>
              </w:rPr>
              <w:t>de</w:t>
            </w:r>
            <w:r>
              <w:t xml:space="preserve"> internationale normen; is ontzet over de tragische massale schietpartij in Cetinje en betuigt zijn medeleven met de families van de slachtoffers;</w:t>
            </w:r>
          </w:p>
        </w:tc>
        <w:tc>
          <w:tcPr>
            <w:tcW w:w="4876" w:type="dxa"/>
            <w:tcBorders>
              <w:top w:val="nil"/>
              <w:left w:val="nil"/>
              <w:bottom w:val="nil"/>
              <w:right w:val="nil"/>
            </w:tcBorders>
          </w:tcPr>
          <w:p>
            <w:pPr>
              <w:pStyle w:val="Normal6a"/>
            </w:pPr>
            <w:r>
              <w:t>17.</w:t>
            </w:r>
            <w:r>
              <w:tab/>
            </w:r>
            <w:r>
              <w:t xml:space="preserve">dringt er bij Montenegro op aan zijn wapenwetgeving in overeenstemming te brengen met het EU-recht en </w:t>
            </w:r>
            <w:r>
              <w:rPr>
                <w:b/>
                <w:i/>
              </w:rPr>
              <w:t>overeenkomstig</w:t>
            </w:r>
            <w:r>
              <w:t xml:space="preserve"> internationale normen </w:t>
            </w:r>
            <w:r>
              <w:rPr>
                <w:b/>
                <w:i/>
              </w:rPr>
              <w:t>maatregelen te nemen tegen illegaal wapenbezit</w:t>
            </w:r>
            <w:r>
              <w:t>; is ontzet over de tragische massale schietpartij in Cetinje en betuigt zijn medeleven met de families van de slachtoffers;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dringt er bij Montenegro op aan zijn wapenwetgeving in overeenstemming te brengen met het EU-recht en de internationale normen; is ontzet over de tragische massale schietpartij in Cetinje en betuigt zijn medeleven met de families van de slachtoffers;</w:t>
            </w:r>
          </w:p>
        </w:tc>
        <w:tc>
          <w:tcPr>
            <w:tcW w:w="4876" w:type="dxa"/>
            <w:tcBorders>
              <w:top w:val="nil"/>
              <w:left w:val="nil"/>
              <w:bottom w:val="nil"/>
              <w:right w:val="nil"/>
            </w:tcBorders>
          </w:tcPr>
          <w:p>
            <w:pPr>
              <w:pStyle w:val="Normal6a"/>
            </w:pPr>
            <w:r>
              <w:t>17.</w:t>
            </w:r>
            <w:r>
              <w:tab/>
            </w:r>
            <w:r>
              <w:t>dringt er bij Montenegro op aan zijn wapenwetgeving in overeenstemming te brengen met het EU-recht en de internationale normen; is ontzet over de tragische massale schietpartij in Cetinje</w:t>
            </w:r>
            <w:r>
              <w:rPr>
                <w:b/>
                <w:i/>
              </w:rPr>
              <w:t>, waarbij tien mensen zijn omgekomen, onder wie twee kinderen,</w:t>
            </w:r>
            <w:r>
              <w:t xml:space="preserve"> en betuigt zijn medeleven met de families van de slachtoffers; </w:t>
            </w:r>
            <w:r>
              <w:rPr>
                <w:b/>
                <w:i/>
              </w:rPr>
              <w:t>stelt bezorgd vast dat deze tragedie wordt uitgebuit voor desinformatiedoeleinden en etnische polarisatie;</w:t>
            </w:r>
            <w:r>
              <w:t xml:space="preserve"> </w:t>
            </w:r>
            <w:r>
              <w:rPr>
                <w:b/>
                <w:i/>
              </w:rPr>
              <w:t>wijst op de rol van bepaalde regionale media bij het verspreiden van verdeeldheid zaaiende narratieven en dringt aan op meer regelgevend toezicht op haatzaaiende uitlatingen en opruiende inhoud;</w:t>
            </w:r>
            <w:r>
              <w:t xml:space="preserve"> </w:t>
            </w:r>
            <w:r>
              <w:rPr>
                <w:b/>
                <w:i/>
              </w:rPr>
              <w:t>dringt er bij Montenegro op aan zijn crisiscommunicatiestrategieën te versterken om desinformatie tegen te gaan en te zorgen voor verantwoorde berichtgeving in de media in de nasleep van gewelddadige incidenten;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dringt er bij Montenegro op aan zijn wapenwetgeving in overeenstemming te brengen met het EU-recht en de internationale normen; is ontzet over de tragische massale schietpartij in Cetinje en betuigt zijn medeleven met de families van de slachtoffers;</w:t>
            </w:r>
          </w:p>
        </w:tc>
        <w:tc>
          <w:tcPr>
            <w:tcW w:w="4876" w:type="dxa"/>
            <w:tcBorders>
              <w:top w:val="nil"/>
              <w:left w:val="nil"/>
              <w:bottom w:val="nil"/>
              <w:right w:val="nil"/>
            </w:tcBorders>
          </w:tcPr>
          <w:p>
            <w:pPr>
              <w:pStyle w:val="Normal6a"/>
            </w:pPr>
            <w:r>
              <w:t>17.</w:t>
            </w:r>
            <w:r>
              <w:tab/>
            </w:r>
            <w:r>
              <w:t xml:space="preserve">dringt er bij Montenegro op aan zijn wapenwetgeving in overeenstemming te brengen met het EU-recht en de internationale normen; is ontzet over de tragische massale schietpartij in Cetinje en betuigt zijn medeleven met de families van de slachtoffers; </w:t>
            </w:r>
            <w:r>
              <w:rPr>
                <w:b/>
                <w:i/>
              </w:rPr>
              <w:t>dringt erop aan een onderzoek in te stellen naar het beheer van het veiligheids- en politiesysteem in en rond Cetinje na de vorige tragedie in 2022;</w:t>
            </w:r>
            <w:r>
              <w:t xml:space="preserve"> </w:t>
            </w:r>
            <w:r>
              <w:rPr>
                <w:b/>
                <w:i/>
              </w:rPr>
              <w:t>dringt aan op systematische maatregelen op het gebied van veiligheid, geestelijke gezondheid en institutionele transparantie, alsook op de herbevestiging van burgerschapsvorming, in overeenstemming met de verwachtingen van burgers en de maatschappelijke behoeften;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dringt er bij Montenegro op aan zijn wapenwetgeving in overeenstemming te brengen met het EU-recht en de internationale normen; is ontzet over de tragische massale schietpartij in Cetinje en betuigt zijn medeleven met de families van de slachtoffers;</w:t>
            </w:r>
          </w:p>
        </w:tc>
        <w:tc>
          <w:tcPr>
            <w:tcW w:w="4876" w:type="dxa"/>
            <w:tcBorders>
              <w:top w:val="nil"/>
              <w:left w:val="nil"/>
              <w:bottom w:val="nil"/>
              <w:right w:val="nil"/>
            </w:tcBorders>
          </w:tcPr>
          <w:p>
            <w:pPr>
              <w:pStyle w:val="Normal6a"/>
            </w:pPr>
            <w:r>
              <w:t>17.</w:t>
            </w:r>
            <w:r>
              <w:tab/>
            </w:r>
            <w:r>
              <w:t xml:space="preserve">dringt er bij Montenegro op aan zijn wapenwetgeving in overeenstemming te brengen met het EU-recht en de internationale normen; is ontzet over de tragische massale schietpartij in Cetinje en betuigt zijn medeleven met de families van de slachtoffers; </w:t>
            </w:r>
            <w:r>
              <w:rPr>
                <w:b/>
                <w:i/>
              </w:rPr>
              <w:t>dringt aan op systematische maatregelen op het gebied van veiligheid, geestelijke gezondheid en institutionele transparantie, alsook op de herbevestiging van burgerschapsvorming, in overeenstemming met de verwachtingen van burgers en de maatschappelijke behoeften;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17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bis.</w:t>
            </w:r>
            <w:r>
              <w:tab/>
            </w:r>
            <w:r>
              <w:rPr>
                <w:b/>
                <w:i/>
              </w:rPr>
              <w:t>is ingenomen met de goedkeuring door Montenegro in december 2023 van wijzigingen van zijn wetboek van strafrecht, met name om het in overeenstemming te brengen met het VN-Vuurwapenprotocol door illegale handel in vuurwapens, verboden wapendracht en het aanbrengen van valse markeringen op vuurwapens uitdrukkelijk strafbaar te stellen;</w:t>
            </w:r>
            <w:r>
              <w:t xml:space="preserve"> </w:t>
            </w:r>
            <w:r>
              <w:rPr>
                <w:b/>
                <w:i/>
              </w:rPr>
              <w:t>dringt er bij Montenegro op aan zijn wapenwet snel te wijzigen om deze volledig in overeenstemming te brengen met het EU-acquis, met name wat betreft technische normen voor het markeren van vuurwapens, procedures voor het onbruikbaar maken van vuurwapens en voorschriften voor alarm- en seinwapens;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17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ter.</w:t>
            </w:r>
            <w:r>
              <w:tab/>
            </w:r>
            <w:r>
              <w:rPr>
                <w:b/>
                <w:i/>
              </w:rPr>
              <w:t>verzoekt Montenegro om voor vuurwapens een gestandaardiseerd en doeltreffend systeem voor gegevensverzameling en rapportage op te zetten;</w:t>
            </w:r>
            <w:r>
              <w:t xml:space="preserve"> </w:t>
            </w:r>
            <w:r>
              <w:rPr>
                <w:b/>
                <w:i/>
              </w:rPr>
              <w:t>benadrukt dat er ten aanzien van de bevolking meer inspanningen moeten worden geleverd op het gebied van bewustmaking, outreach en educatieve initiatieven om te wijzen op de gevaren en risico’s die verbonden zijn aan een verkeerd gebruik van vuurwapens, illegaal wapenbezit en wapenhandel;</w:t>
            </w:r>
            <w:r>
              <w:t xml:space="preserve"> </w:t>
            </w:r>
            <w:r>
              <w:rPr>
                <w:b/>
                <w:i/>
              </w:rPr>
              <w:t>benadrukt dat er concrete maatregelen moeten worden genomen om het aantal illegale vuurwapens terug te dringen door middel van legalisatieregelingen, programma’s voor vrijwillige inlevering en systematische onbruikbaarmaking en vernietiging, in overeenstemming met het EU-actieplan inzake illegale vuurwapenhandel;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verzoekt Montenegro zijn visumbeleid volledig af te stemmen op dat van de EU</w:t>
            </w:r>
            <w:r>
              <w:rPr>
                <w:b/>
                <w:i/>
              </w:rPr>
              <w:t>, met name wat betreft landen die veiligheidsrisico’s inhouden</w:t>
            </w:r>
            <w:r>
              <w:t>;</w:t>
            </w:r>
          </w:p>
        </w:tc>
        <w:tc>
          <w:tcPr>
            <w:tcW w:w="4876" w:type="dxa"/>
            <w:tcBorders>
              <w:top w:val="nil"/>
              <w:left w:val="nil"/>
              <w:bottom w:val="nil"/>
              <w:right w:val="nil"/>
            </w:tcBorders>
          </w:tcPr>
          <w:p>
            <w:pPr>
              <w:pStyle w:val="Normal6a"/>
            </w:pPr>
            <w:r>
              <w:t>18.</w:t>
            </w:r>
            <w:r>
              <w:tab/>
            </w:r>
            <w:r>
              <w:t>verzoekt Montenegro zijn visumbeleid volledig af te stemmen op dat van de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verzoekt Montenegro zijn visumbeleid volledig af te stemmen op dat van de EU, met name wat betreft landen die veiligheidsrisico’s inhouden;</w:t>
            </w:r>
          </w:p>
        </w:tc>
        <w:tc>
          <w:tcPr>
            <w:tcW w:w="4876" w:type="dxa"/>
            <w:tcBorders>
              <w:top w:val="nil"/>
              <w:left w:val="nil"/>
              <w:bottom w:val="nil"/>
              <w:right w:val="nil"/>
            </w:tcBorders>
          </w:tcPr>
          <w:p>
            <w:pPr>
              <w:pStyle w:val="Normal6a"/>
            </w:pPr>
            <w:r>
              <w:t>18.</w:t>
            </w:r>
            <w:r>
              <w:tab/>
            </w:r>
            <w:r>
              <w:t xml:space="preserve">verzoekt Montenegro zijn visumbeleid volledig af te stemmen op dat van de EU, met name wat betreft landen </w:t>
            </w:r>
            <w:r>
              <w:rPr>
                <w:b/>
                <w:i/>
              </w:rPr>
              <w:t>waar sprake is van irreguliere migratie of</w:t>
            </w:r>
            <w:r>
              <w:t xml:space="preserve"> die veiligheidsrisico’s inhouden;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rPr>
                <w:b/>
                <w:i/>
              </w:rPr>
              <w:t>verzoekt</w:t>
            </w:r>
            <w:r>
              <w:t xml:space="preserve"> Montenegro zijn visumbeleid volledig af te stemmen op dat van de EU, met name wat betreft landen die veiligheidsrisico’s inhouden;</w:t>
            </w:r>
          </w:p>
        </w:tc>
        <w:tc>
          <w:tcPr>
            <w:tcW w:w="4876" w:type="dxa"/>
            <w:tcBorders>
              <w:top w:val="nil"/>
              <w:left w:val="nil"/>
              <w:bottom w:val="nil"/>
              <w:right w:val="nil"/>
            </w:tcBorders>
          </w:tcPr>
          <w:p>
            <w:pPr>
              <w:pStyle w:val="Normal6a"/>
            </w:pPr>
            <w:r>
              <w:t>18.</w:t>
            </w:r>
            <w:r>
              <w:tab/>
            </w:r>
            <w:r>
              <w:rPr>
                <w:b/>
                <w:i/>
              </w:rPr>
              <w:t>dringt er bij</w:t>
            </w:r>
            <w:r>
              <w:t xml:space="preserve"> Montenegro </w:t>
            </w:r>
            <w:r>
              <w:rPr>
                <w:b/>
                <w:i/>
              </w:rPr>
              <w:t>met klem op aan</w:t>
            </w:r>
            <w:r>
              <w:t xml:space="preserve"> zijn visumbeleid volledig af te stemmen op dat van de EU, met name wat betreft landen die veiligheidsrisico’s inhouden;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verzoekt Montenegro zijn visumbeleid volledig af te stemmen op dat van de EU, met name wat betreft landen die veiligheidsrisico’s inhouden;</w:t>
            </w:r>
          </w:p>
        </w:tc>
        <w:tc>
          <w:tcPr>
            <w:tcW w:w="4876" w:type="dxa"/>
            <w:tcBorders>
              <w:top w:val="nil"/>
              <w:left w:val="nil"/>
              <w:bottom w:val="nil"/>
              <w:right w:val="nil"/>
            </w:tcBorders>
          </w:tcPr>
          <w:p>
            <w:pPr>
              <w:pStyle w:val="Normal6a"/>
            </w:pPr>
            <w:r>
              <w:t>18.</w:t>
            </w:r>
            <w:r>
              <w:tab/>
            </w:r>
            <w:r>
              <w:t xml:space="preserve">verzoekt Montenegro zijn visumbeleid </w:t>
            </w:r>
            <w:r>
              <w:rPr>
                <w:b/>
                <w:i/>
              </w:rPr>
              <w:t>dringend en</w:t>
            </w:r>
            <w:r>
              <w:t xml:space="preserve"> volledig af te stemmen op dat van de EU, met name wat betreft landen die veiligheidsrisico’s inhouden; </w:t>
            </w:r>
            <w:r>
              <w:rPr>
                <w:b/>
                <w:i/>
              </w:rPr>
              <w:t>betreurt dat houders van Russische en Belarussische paspoorten nog steeds visumvrij naar Montenegro kunnen reizen, wat een aanzienlijk veiligheidsrisico inhoudt voor het land en de hele regio;</w:t>
            </w:r>
            <w:r>
              <w:t xml:space="preserve"> </w:t>
            </w:r>
            <w:r>
              <w:rPr>
                <w:b/>
                <w:i/>
              </w:rPr>
              <w:t>merkt bezorgd op dat, anders dan werd verwacht, twee landen aan de lijst zijn toegevoegd, en wijst op het gebrek aan duidelijkheid over de dynamiek en de methode die van toepassing zullen zijn op het proces om landen te schrappen uit de visumvrije regeling;</w:t>
            </w:r>
            <w:r>
              <w:t xml:space="preserve"> </w:t>
            </w:r>
            <w:r>
              <w:rPr>
                <w:b/>
                <w:i/>
              </w:rPr>
              <w:t>merkt op dat de harmonisatie met het visumbeleid van de EU ook een voorwaarde is waaraan dit jaar moet worden voldaan om verdere middelen uit de groeifaciliteit te kunnen ontvangen;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verzoekt Montenegro zijn visumbeleid volledig af te stemmen op dat van de EU, met name wat betreft landen die veiligheidsrisico’s inhouden;</w:t>
            </w:r>
          </w:p>
        </w:tc>
        <w:tc>
          <w:tcPr>
            <w:tcW w:w="4876" w:type="dxa"/>
            <w:tcBorders>
              <w:top w:val="nil"/>
              <w:left w:val="nil"/>
              <w:bottom w:val="nil"/>
              <w:right w:val="nil"/>
            </w:tcBorders>
          </w:tcPr>
          <w:p>
            <w:pPr>
              <w:pStyle w:val="Normal6a"/>
            </w:pPr>
            <w:r>
              <w:t>18.</w:t>
            </w:r>
            <w:r>
              <w:tab/>
            </w:r>
            <w:r>
              <w:t xml:space="preserve">verzoekt Montenegro zijn visumbeleid volledig af te stemmen op dat van de EU, met name wat betreft landen die veiligheidsrisico’s inhouden; </w:t>
            </w:r>
            <w:r>
              <w:rPr>
                <w:b/>
                <w:i/>
              </w:rPr>
              <w:t>merkt bezorgd op dat, anders dan werd verwacht, twee extra landen aan de lijst van de visumvrije regeling zijn toegevoegd, en wijst op het gebrek aan duidelijkheid over de dynamiek en de methode die van toepassing zullen zijn op het proces om landen te schrappen uit de visumvrije regeling;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18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bis.</w:t>
            </w:r>
            <w:r>
              <w:tab/>
            </w:r>
            <w:r>
              <w:rPr>
                <w:b/>
                <w:i/>
              </w:rPr>
              <w:t>verzoekt Montenegro zijn visumbeleid volledig af te stemmen op dat van de EU, met name wat betreft landen die veiligheidsrisico’s inhouden;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18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bis.</w:t>
            </w:r>
            <w:r>
              <w:tab/>
            </w:r>
            <w:r>
              <w:rPr>
                <w:b/>
                <w:i/>
              </w:rPr>
              <w:t>is ingenomen met de inwerkingtreding van de verbeterde overeenkomst betreffende operationele samenwerking op het gebied van grensbeheer met het Europees Grens- en kustwachtagentschap (Frontex) op 1 juli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18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ter.</w:t>
            </w:r>
            <w:r>
              <w:tab/>
            </w:r>
            <w:r>
              <w:rPr>
                <w:b/>
                <w:i/>
              </w:rPr>
              <w:t>pleit voor verdere samenwerking tussen Montenegro en Frontex om het grensbeheer te versterken, asielprocedures te ondersteunen, smokkel te bestrijden en overname te verbeteren;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18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bis.</w:t>
            </w:r>
            <w:r>
              <w:tab/>
            </w:r>
            <w:r>
              <w:rPr>
                <w:b/>
                <w:i/>
              </w:rPr>
              <w:t>is ingenomen met de lopende samenwerking van Montenegro met Frontex, Europol, Eurojust en Cepol en wijst op het belang van deze samenwerking bij de bestrijding van grensoverschrijdende criminaliteit, met inbegrip van wapen-, drugs- en mensenhandel en de bestrijding van terrorisme en extremisme;</w:t>
            </w:r>
            <w:r>
              <w:t xml:space="preserve"> </w:t>
            </w:r>
            <w:r>
              <w:rPr>
                <w:b/>
                <w:i/>
              </w:rPr>
              <w:t>benadrukt dat de samenwerking op het gebied van drugs moet worden versterkt;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Jaroslav Bžoch, Kinga Gál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betreurt het dat de meest kwetsbare groepen in de samenleving nog steeds worden gediscrimineerd; verzoekt Montenegro een nieuwe antidiscriminatiewet aan te nemen om ervoor te zorgen dat kwetsbare groepen betere toegang krijgen tot rechten; benadrukt dat de eerbiediging van de rechten van nationale minderheden integraal deel uitmaakt van het EU-acquis;</w:t>
            </w:r>
          </w:p>
        </w:tc>
        <w:tc>
          <w:tcPr>
            <w:tcW w:w="4876" w:type="dxa"/>
            <w:tcBorders>
              <w:top w:val="nil"/>
              <w:left w:val="nil"/>
              <w:bottom w:val="nil"/>
              <w:right w:val="nil"/>
            </w:tcBorders>
          </w:tcPr>
          <w:p>
            <w:pPr>
              <w:pStyle w:val="Normal6a"/>
            </w:pPr>
            <w:r>
              <w:t>19.</w:t>
            </w:r>
            <w:r>
              <w:tab/>
            </w:r>
            <w:r>
              <w:t xml:space="preserve">betreurt het dat de meest kwetsbare groepen </w:t>
            </w:r>
            <w:r>
              <w:rPr>
                <w:b/>
                <w:i/>
              </w:rPr>
              <w:t>en minderheden</w:t>
            </w:r>
            <w:r>
              <w:t xml:space="preserve"> in de samenleving nog steeds worden gediscrimineerd; verzoekt Montenegro een nieuwe antidiscriminatiewet aan te nemen om ervoor te zorgen dat kwetsbare groepen </w:t>
            </w:r>
            <w:r>
              <w:rPr>
                <w:b/>
                <w:i/>
              </w:rPr>
              <w:t>en minderheden</w:t>
            </w:r>
            <w:r>
              <w:t xml:space="preserve"> betere toegang krijgen tot rechten; benadrukt dat de eerbiediging van de rechten van nationale minderheden integraal deel uitmaakt van het EU-acquis;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betreurt het dat de meest kwetsbare groepen in de samenleving nog steeds worden gediscrimineerd; verzoekt Montenegro een nieuwe antidiscriminatiewet aan te nemen om ervoor te zorgen dat kwetsbare groepen betere toegang krijgen tot rechten; benadrukt dat de eerbiediging van de rechten van nationale minderheden integraal deel uitmaakt van het EU-acquis;</w:t>
            </w:r>
          </w:p>
        </w:tc>
        <w:tc>
          <w:tcPr>
            <w:tcW w:w="4876" w:type="dxa"/>
            <w:tcBorders>
              <w:top w:val="nil"/>
              <w:left w:val="nil"/>
              <w:bottom w:val="nil"/>
              <w:right w:val="nil"/>
            </w:tcBorders>
          </w:tcPr>
          <w:p>
            <w:pPr>
              <w:pStyle w:val="Normal6a"/>
            </w:pPr>
            <w:r>
              <w:t>19.</w:t>
            </w:r>
            <w:r>
              <w:tab/>
            </w:r>
            <w:r>
              <w:t>betreurt het dat de meest kwetsbare groepen in de samenleving nog steeds worden gediscrimineerd; verzoekt Montenegro een nieuwe antidiscriminatiewet aan te nemen</w:t>
            </w:r>
            <w:r>
              <w:rPr>
                <w:b/>
                <w:i/>
              </w:rPr>
              <w:t>, door middel van een inclusief, transparant en zinvol proces waarbij de personen die hier het meest mee te maken hebben actief worden betrokken,</w:t>
            </w:r>
            <w:r>
              <w:t xml:space="preserve"> om ervoor te zorgen dat kwetsbare groepen betere toegang krijgen tot rechten; benadrukt dat de eerbiediging van de rechten van nationale minderheden integraal deel uitmaakt van het EU-acquis;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betreurt het dat de meest kwetsbare groepen in de samenleving nog steeds worden gediscrimineerd; verzoekt Montenegro een nieuwe antidiscriminatiewet aan te nemen om ervoor te zorgen dat kwetsbare groepen betere toegang krijgen tot rechten; benadrukt dat de eerbiediging van de rechten van nationale minderheden integraal deel uitmaakt van het EU-acquis;</w:t>
            </w:r>
          </w:p>
        </w:tc>
        <w:tc>
          <w:tcPr>
            <w:tcW w:w="4876" w:type="dxa"/>
            <w:tcBorders>
              <w:top w:val="nil"/>
              <w:left w:val="nil"/>
              <w:bottom w:val="nil"/>
              <w:right w:val="nil"/>
            </w:tcBorders>
          </w:tcPr>
          <w:p>
            <w:pPr>
              <w:pStyle w:val="Normal6a"/>
            </w:pPr>
            <w:r>
              <w:t>19.</w:t>
            </w:r>
            <w:r>
              <w:tab/>
            </w:r>
            <w:r>
              <w:t xml:space="preserve">betreurt het dat de meest kwetsbare groepen in de samenleving nog steeds worden gediscrimineerd; verzoekt Montenegro een nieuwe antidiscriminatiewet aan te nemen om ervoor te zorgen dat kwetsbare groepen betere toegang krijgen tot rechten </w:t>
            </w:r>
            <w:r>
              <w:rPr>
                <w:b/>
                <w:i/>
              </w:rPr>
              <w:t>door middel van een inclusief proces waarbij de personen die hier het meest mee te maken hebben actief worden betrokken</w:t>
            </w:r>
            <w:r>
              <w:t>; benadrukt dat de eerbiediging van de rechten van nationale minderheden integraal deel uitmaakt van het EU-acquis;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betreurt het dat de meest kwetsbare groepen in de samenleving nog steeds worden gediscrimineerd; verzoekt Montenegro een nieuwe antidiscriminatiewet aan te nemen om ervoor te zorgen dat kwetsbare groepen betere toegang krijgen tot rechten; benadrukt dat de eerbiediging van de rechten van nationale minderheden integraal deel uitmaakt van het EU-acquis;</w:t>
            </w:r>
          </w:p>
        </w:tc>
        <w:tc>
          <w:tcPr>
            <w:tcW w:w="4876" w:type="dxa"/>
            <w:tcBorders>
              <w:top w:val="nil"/>
              <w:left w:val="nil"/>
              <w:bottom w:val="nil"/>
              <w:right w:val="nil"/>
            </w:tcBorders>
          </w:tcPr>
          <w:p>
            <w:pPr>
              <w:pStyle w:val="Normal6a"/>
            </w:pPr>
            <w:r>
              <w:t>19.</w:t>
            </w:r>
            <w:r>
              <w:tab/>
            </w:r>
            <w:r>
              <w:t xml:space="preserve">betreurt het dat de meest kwetsbare groepen in de samenleving nog steeds worden gediscrimineerd; verzoekt Montenegro een nieuwe antidiscriminatiewet aan te nemen om ervoor te zorgen dat kwetsbare groepen betere toegang krijgen tot rechten; benadrukt dat de eerbiediging van de rechten van </w:t>
            </w:r>
            <w:r>
              <w:rPr>
                <w:b/>
                <w:i/>
              </w:rPr>
              <w:t>alle</w:t>
            </w:r>
            <w:r>
              <w:t xml:space="preserve"> nationale minderheden integraal deel uitmaakt van het EU-acquis; </w:t>
            </w:r>
            <w:r>
              <w:rPr>
                <w:b/>
                <w:i/>
              </w:rPr>
              <w:t>dringt aan op meer respect voor alle talen en tradities en al het cultureel erfgoed van lokale gemeenschappen en nationale minderheden;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Marjan Šarec, Lucia Yar, Petras Auštrevičius, Dan Barna, Ilhan Kyuchyuk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betreurt het dat de meest kwetsbare groepen in de samenleving nog steeds worden gediscrimineerd; verzoekt Montenegro een nieuwe antidiscriminatiewet aan te nemen om ervoor te zorgen dat kwetsbare groepen betere toegang krijgen tot rechten; benadrukt dat de eerbiediging van de rechten van nationale minderheden integraal deel uitmaakt van het EU-acquis;</w:t>
            </w:r>
          </w:p>
        </w:tc>
        <w:tc>
          <w:tcPr>
            <w:tcW w:w="4876" w:type="dxa"/>
            <w:tcBorders>
              <w:top w:val="nil"/>
              <w:left w:val="nil"/>
              <w:bottom w:val="nil"/>
              <w:right w:val="nil"/>
            </w:tcBorders>
          </w:tcPr>
          <w:p>
            <w:pPr>
              <w:pStyle w:val="Normal6a"/>
            </w:pPr>
            <w:r>
              <w:t>19.</w:t>
            </w:r>
            <w:r>
              <w:tab/>
            </w:r>
            <w:r>
              <w:t xml:space="preserve">betreurt het dat de meest kwetsbare groepen in de samenleving nog steeds worden gediscrimineerd; verzoekt Montenegro een nieuwe antidiscriminatiewet </w:t>
            </w:r>
            <w:r>
              <w:rPr>
                <w:b/>
                <w:i/>
              </w:rPr>
              <w:t>en relevante strategieën</w:t>
            </w:r>
            <w:r>
              <w:t xml:space="preserve"> aan te nemen om ervoor te zorgen dat kwetsbare groepen betere toegang krijgen tot rechten; benadrukt dat de eerbiediging van de rechten van nationale minderheden integraal deel uitmaakt van het EU-acquis;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Andrey Kovatchev, Tomislav Sokol, Sunčana Glavak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19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bis.</w:t>
            </w:r>
            <w:r>
              <w:tab/>
            </w:r>
            <w:r>
              <w:rPr>
                <w:b/>
                <w:i/>
              </w:rPr>
              <w:t>dringt aan op een sterkere toepassing van de gelijke behandeling van minderheden door ervoor te zorgen dat alle etnische, religieuze en sociale groepen gelijke rechten en kansen worden gegarandeerd en dat zij volledig en daadwerkelijk kunnen deelnemen aan het sociale, politieke en economische leven;</w:t>
            </w:r>
            <w:r>
              <w:t xml:space="preserve"> </w:t>
            </w:r>
            <w:r>
              <w:rPr>
                <w:b/>
                <w:i/>
              </w:rPr>
              <w:t>erkent dat de bescherming van de rechten van minderheden van fundamenteel belang is voor de bevordering van sociale cohesie, democratisch bestuur en de handhaving van Europese waarden;</w:t>
            </w:r>
            <w:r>
              <w:t xml:space="preserve"> </w:t>
            </w:r>
            <w:r>
              <w:rPr>
                <w:b/>
                <w:i/>
              </w:rPr>
              <w:t>dringt er bij Montenegro op aan alomvattende wetgeving en beleidsmaatregelen vast te stellen en te handhaven om discriminatie te voorkomen en inclusiviteit in alle sectoren van de samenleving te bevorderen;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19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bis.</w:t>
            </w:r>
            <w:r>
              <w:tab/>
            </w:r>
            <w:r>
              <w:rPr>
                <w:b/>
                <w:i/>
              </w:rPr>
              <w:t>verzoekt de Montenegrijnse autoriteiten de moeilijke levensomstandigheden van Roma in Montenegro en de discriminatie waarmee zij in de samenleving te kampen hebben aan te pakken;</w:t>
            </w:r>
            <w:r>
              <w:t xml:space="preserve"> </w:t>
            </w:r>
            <w:r>
              <w:rPr>
                <w:b/>
                <w:i/>
              </w:rPr>
              <w:t>dringt erop aan meer maatregelen te nemen ter bevordering van intercultureel begrip op scholen;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19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ter.</w:t>
            </w:r>
            <w:r>
              <w:tab/>
            </w:r>
            <w:r>
              <w:rPr>
                <w:b/>
                <w:i/>
              </w:rPr>
              <w:t>verzoekt de Montenegrijnse autoriteiten het klimaat van maatschappelijke inclusie en verdraagzaamheid te verbeteren en doeltreffende maatregelen te nemen tegen haatzaaiende uitlatingen, sociale exclusie en de discriminatie van minderheden, waaronder lhbti-personen;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19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bis.</w:t>
            </w:r>
            <w:r>
              <w:tab/>
            </w:r>
            <w:r>
              <w:rPr>
                <w:b/>
                <w:i/>
              </w:rPr>
              <w:t>is ingenomen met de multi-etnische identiteit van het land en pleit ervoor om alle talen, al het cultureel erfgoed en alle tradities van lokale gemeenschappen en nationale minderheden verder te bevorderen en te eerbiedigen;</w:t>
            </w:r>
            <w:r>
              <w:t xml:space="preserve"> </w:t>
            </w:r>
            <w:r>
              <w:rPr>
                <w:b/>
                <w:i/>
              </w:rPr>
              <w:t>betreurt dat de maatschappelijke polarisatie en verdeeldheid zijn toegenomen;</w:t>
            </w:r>
            <w:r>
              <w:t xml:space="preserve"> </w:t>
            </w:r>
            <w:r>
              <w:rPr>
                <w:b/>
                <w:i/>
              </w:rPr>
              <w:t>beklemtoont dat de rechten van alle nationale minderheden, waaronder hun politieke, sociale en economische rechten, moeten worden beschermd, en dringt erop aan dat de institutionele en rechtskaders op dit gebied worden versterkt, toegepast en uitgevoerd, waaronder een nieuwe antidiscriminatiewet;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19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bis.</w:t>
            </w:r>
            <w:r>
              <w:tab/>
            </w:r>
            <w:r>
              <w:rPr>
                <w:b/>
                <w:i/>
              </w:rPr>
              <w:t>roept op tot eerbiediging van de multi-etnische identiteit van de Baai van Kotor;</w:t>
            </w:r>
            <w:r>
              <w:t xml:space="preserve"> </w:t>
            </w:r>
            <w:r>
              <w:rPr>
                <w:b/>
                <w:i/>
              </w:rPr>
              <w:t>benadrukt dat het Europese perspectief van Montenegro nauw verweven is met de bescherming van minderheden en hun culturele erfgoed;</w:t>
            </w:r>
            <w:r>
              <w:t xml:space="preserve"> </w:t>
            </w:r>
            <w:r>
              <w:rPr>
                <w:b/>
                <w:i/>
              </w:rPr>
              <w:t>verzoekt de Montenegrijnse autoriteiten om de tradities en het culturele erfgoed van de Kroatische gemeenschap in de Baai van Kotor te erkennen;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19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ter.</w:t>
            </w:r>
            <w:r>
              <w:tab/>
            </w:r>
            <w:r>
              <w:rPr>
                <w:b/>
                <w:i/>
              </w:rPr>
              <w:t>beklemtoont de multi-etnische identiteit van de Baai van Kotor;</w:t>
            </w:r>
            <w:r>
              <w:t xml:space="preserve"> </w:t>
            </w:r>
            <w:r>
              <w:rPr>
                <w:b/>
                <w:i/>
              </w:rPr>
              <w:t>benadrukt dat het Europese perspectief van Montenegro nauw verweven is met de bescherming van minderheden en hun culturele erfgoed;</w:t>
            </w:r>
            <w:r>
              <w:t xml:space="preserve"> </w:t>
            </w:r>
            <w:r>
              <w:rPr>
                <w:b/>
                <w:i/>
              </w:rPr>
              <w:t>verzoekt de Montenegrijnse autoriteiten om het multi-etnische karakter van de staat, waaronder de tradities en het culturele erfgoed van de Kroatische gemeenschap in de Baai van Kotor, te koesteren;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19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ter.</w:t>
            </w:r>
            <w:r>
              <w:tab/>
            </w:r>
            <w:r>
              <w:rPr>
                <w:b/>
                <w:i/>
              </w:rPr>
              <w:t>verzoekt Montenegro meer inspanningen te leveren voor het niet-discriminerende gebruik van minderheidstalen in het onderwijs, in specifieke mediaruimten van de nationale kanalen en in lokale kanalen;</w:t>
            </w:r>
            <w:r>
              <w:t xml:space="preserve"> </w:t>
            </w:r>
            <w:r>
              <w:rPr>
                <w:b/>
                <w:i/>
              </w:rPr>
              <w:t>wijst op het belang van een gelijke vertegenwoordiging van nationale minderheden in de media, de rechterlijke macht, wetshandhavingsdiensten en overheidsinstellingen;</w:t>
            </w:r>
            <w:r>
              <w:t xml:space="preserve"> </w:t>
            </w:r>
            <w:r>
              <w:rPr>
                <w:b/>
                <w:i/>
              </w:rPr>
              <w:t>beklemtoont dat de politieke rechten van alle nationale minderheden moeten worden beschermd;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Davor Ivo Stier, Tomislav Sokol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19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bis.</w:t>
            </w:r>
            <w:r>
              <w:tab/>
            </w:r>
            <w:r>
              <w:rPr>
                <w:b/>
                <w:i/>
              </w:rPr>
              <w:t>spoort de autoriteiten ertoe aan eventuele wijzigingen van de wet inzake het staatsburgerschap in overleg en coördinatie met de EU te behandelen, en benadrukt hoe belangrijk het is om over dit onderwerp, dat van cruciaal belang is voor de identiteit en onafhankelijkheid van Montenegro, een consensus te bereiken tussen de regerings- en oppositiepartijen;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spreekt zijn afkeuring uit over alle haatzaaiende uitlatingen en haatmisdrijven; is ingenomen met de strafbaarstelling van racisme en haatzaaiende uitlatingen;</w:t>
            </w:r>
          </w:p>
        </w:tc>
        <w:tc>
          <w:tcPr>
            <w:tcW w:w="4876" w:type="dxa"/>
            <w:tcBorders>
              <w:top w:val="nil"/>
              <w:left w:val="nil"/>
              <w:bottom w:val="nil"/>
              <w:right w:val="nil"/>
            </w:tcBorders>
          </w:tcPr>
          <w:p>
            <w:pPr>
              <w:pStyle w:val="Normal6a"/>
            </w:pPr>
            <w:r>
              <w:t>20.</w:t>
            </w:r>
            <w:r>
              <w:tab/>
            </w:r>
            <w:r>
              <w:t>spreekt zijn afkeuring uit over alle haatzaaiende uitlatingen</w:t>
            </w:r>
            <w:r>
              <w:rPr>
                <w:b/>
                <w:i/>
              </w:rPr>
              <w:t>, met inbegrip van gendergerelateerde haatzaaiende uitlatingen, ook online,</w:t>
            </w:r>
            <w:r>
              <w:t xml:space="preserve"> en haatmisdrijven; is ingenomen met de strafbaarstelling van racisme en haatzaaiende uitlatingen;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20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bis.</w:t>
            </w:r>
            <w:r>
              <w:tab/>
            </w:r>
            <w:r>
              <w:rPr>
                <w:b/>
                <w:i/>
              </w:rPr>
              <w:t>wijst op de toename van onverdraagzame en haatzaaiende uitlatingen, met name online, die de etnische, religieuze en politieke breuklijnen op de spits drijven en bijzonder negatieve gevolgen hebben voor verschillende sociale groepen, met name Roma, lhbti-personen en vrouwen in openbare functies;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20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bis.</w:t>
            </w:r>
            <w:r>
              <w:tab/>
            </w:r>
            <w:r>
              <w:rPr>
                <w:b/>
                <w:i/>
              </w:rPr>
              <w:t>stelt tevreden vast dat Montenegro zijn wetgevings- en institutionele kader in grote mate heeft aangepast aan het EU-acquis en de internationale mensenrechtennormen met betrekking tot de naleving van het VN-Verdrag inzake de rechten van het kind en de facultatieve protocollen daarbij;</w:t>
            </w:r>
            <w:r>
              <w:t xml:space="preserve"> </w:t>
            </w:r>
            <w:r>
              <w:rPr>
                <w:b/>
                <w:i/>
              </w:rPr>
              <w:t>beklemtoont echter ernstig bezorgd te zijn over de aanhoudende uitdagingen met betrekking tot de doeltreffende uitvoering van dit kader;</w:t>
            </w:r>
            <w:r>
              <w:t xml:space="preserve"> </w:t>
            </w:r>
            <w:r>
              <w:rPr>
                <w:b/>
                <w:i/>
              </w:rPr>
              <w:t>dringt er bij de bevoegde autoriteiten op aan de tekortkomingen in verband met verantwoordingsmechanismen aan te pakken, de institutionele en administratieve capaciteit te versterken, robuuste en systematische monitoringprocedures in te voeren, adequate en duurzame financiering toe te wijzen en te zorgen voor grondige kwaliteitsborging bij de handhaving van bestaande wetten, strategieën en actieplannen, zodat kinderen zo goed mogelijk worden beschermd en hun rechten worden geëerbiedigd;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Marjan Šarec, Lucia Yar, Petras Auštrevičius, Dan Barna, Ilhan Kyuchyuk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roept de Montenegrijnse autoriteiten ertoe op de loonkloof tussen mannen en vrouwen aan te pakken, de deelname van vrouwen aan de besluitvorming te verbeteren en genderstereotypen te bestrijden; is ernstig bezorgd over de hoge percentages gendergerelateerd geweld;</w:t>
            </w:r>
          </w:p>
        </w:tc>
        <w:tc>
          <w:tcPr>
            <w:tcW w:w="4876" w:type="dxa"/>
            <w:tcBorders>
              <w:top w:val="nil"/>
              <w:left w:val="nil"/>
              <w:bottom w:val="nil"/>
              <w:right w:val="nil"/>
            </w:tcBorders>
          </w:tcPr>
          <w:p>
            <w:pPr>
              <w:pStyle w:val="Normal6a"/>
            </w:pPr>
            <w:r>
              <w:t>21.</w:t>
            </w:r>
            <w:r>
              <w:tab/>
            </w:r>
            <w:r>
              <w:t xml:space="preserve">roept de Montenegrijnse autoriteiten ertoe op de loonkloof tussen mannen en vrouwen aan te pakken, de deelname van vrouwen aan de besluitvorming te verbeteren en genderstereotypen te bestrijden; is ernstig bezorgd over de hoge percentages gendergerelateerd geweld; </w:t>
            </w:r>
            <w:r>
              <w:rPr>
                <w:b/>
                <w:i/>
              </w:rPr>
              <w:t>verzoekt Montenegro de definities van gendergerelateerd geweld en huiselijk geweld volledig in overeenstemming te brengen met het Verdrag van Istanbul, een doeltreffend beschermingsmechanisme in te stellen, ondersteuningscentra op te zetten en te zorgen voor een doeltreffende gerechtelijke follow-up voor slachtoffers van huiselijk en seksueel geweld;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roept de Montenegrijnse autoriteiten ertoe op de loonkloof tussen mannen en vrouwen aan te pakken, de deelname van vrouwen aan de besluitvorming te verbeteren en genderstereotypen te bestrijden; is ernstig bezorgd over de hoge percentages gendergerelateerd geweld;</w:t>
            </w:r>
          </w:p>
        </w:tc>
        <w:tc>
          <w:tcPr>
            <w:tcW w:w="4876" w:type="dxa"/>
            <w:tcBorders>
              <w:top w:val="nil"/>
              <w:left w:val="nil"/>
              <w:bottom w:val="nil"/>
              <w:right w:val="nil"/>
            </w:tcBorders>
          </w:tcPr>
          <w:p>
            <w:pPr>
              <w:pStyle w:val="Normal6a"/>
            </w:pPr>
            <w:r>
              <w:t>21.</w:t>
            </w:r>
            <w:r>
              <w:tab/>
            </w:r>
            <w:r>
              <w:t xml:space="preserve">roept de Montenegrijnse autoriteiten ertoe op de loonkloof tussen mannen en vrouwen aan te pakken, de deelname van vrouwen aan de besluitvorming te verbeteren </w:t>
            </w:r>
            <w:r>
              <w:rPr>
                <w:b/>
                <w:i/>
              </w:rPr>
              <w:t>― zowel op openbaar niveau als binnen bedrijven ―</w:t>
            </w:r>
            <w:r>
              <w:t xml:space="preserve"> en genderstereotypen te bestrijden; is ernstig bezorgd over de hoge percentages gendergerelateerd geweld</w:t>
            </w:r>
            <w:r>
              <w:rPr>
                <w:b/>
                <w:i/>
              </w:rPr>
              <w:t>, waaronder huiselijk geweld en femicide;</w:t>
            </w:r>
            <w:r>
              <w:t xml:space="preserve"> </w:t>
            </w:r>
            <w:r>
              <w:rPr>
                <w:b/>
                <w:i/>
              </w:rPr>
              <w:t>spoort ertoe aan een robuuster strafrechtelijk beleid in te voeren dat daders ervan zou weerhouden gewelddadig gedrag te herhalen en slachtoffers aanmoedigt om naar de rechter te stappen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roept de Montenegrijnse autoriteiten ertoe op de loonkloof tussen mannen en vrouwen aan te pakken, de deelname van vrouwen aan de besluitvorming te verbeteren en genderstereotypen te bestrijden; is ernstig bezorgd over de hoge percentages gendergerelateerd geweld;</w:t>
            </w:r>
          </w:p>
        </w:tc>
        <w:tc>
          <w:tcPr>
            <w:tcW w:w="4876" w:type="dxa"/>
            <w:tcBorders>
              <w:top w:val="nil"/>
              <w:left w:val="nil"/>
              <w:bottom w:val="nil"/>
              <w:right w:val="nil"/>
            </w:tcBorders>
          </w:tcPr>
          <w:p>
            <w:pPr>
              <w:pStyle w:val="Normal6a"/>
            </w:pPr>
            <w:r>
              <w:t>21.</w:t>
            </w:r>
            <w:r>
              <w:tab/>
            </w:r>
            <w:r>
              <w:t xml:space="preserve">roept de Montenegrijnse autoriteiten ertoe op de loonkloof tussen mannen en vrouwen aan te pakken, de deelname van vrouwen aan de besluitvorming te verbeteren en genderstereotypen te bestrijden; is ernstig bezorgd over de hoge percentages gendergerelateerd geweld; </w:t>
            </w:r>
            <w:r>
              <w:rPr>
                <w:b/>
                <w:i/>
              </w:rPr>
              <w:t>verzoekt de autoriteiten te zorgen voor een grondige tenuitvoerlegging van de normen tegen gendergerelateerd geweld, zoals uiteengezet in de aanbevelingen van de internationale organen;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roept de Montenegrijnse autoriteiten ertoe op de loonkloof tussen mannen en vrouwen aan te pakken, de deelname van vrouwen aan de besluitvorming te verbeteren en genderstereotypen te bestrijden; is ernstig bezorgd over de hoge percentages gendergerelateerd geweld;</w:t>
            </w:r>
          </w:p>
        </w:tc>
        <w:tc>
          <w:tcPr>
            <w:tcW w:w="4876" w:type="dxa"/>
            <w:tcBorders>
              <w:top w:val="nil"/>
              <w:left w:val="nil"/>
              <w:bottom w:val="nil"/>
              <w:right w:val="nil"/>
            </w:tcBorders>
          </w:tcPr>
          <w:p>
            <w:pPr>
              <w:pStyle w:val="Normal6a"/>
            </w:pPr>
            <w:r>
              <w:t>21.</w:t>
            </w:r>
            <w:r>
              <w:tab/>
            </w:r>
            <w:r>
              <w:t xml:space="preserve">roept de Montenegrijnse autoriteiten ertoe op de loonkloof tussen mannen en vrouwen aan te pakken, de deelname van vrouwen aan de besluitvorming te verbeteren en genderstereotypen te bestrijden; is ernstig bezorgd over de hoge percentages gendergerelateerd geweld </w:t>
            </w:r>
            <w:r>
              <w:rPr>
                <w:b/>
                <w:i/>
              </w:rPr>
              <w:t>en dringt aan op meer waakzaamheid en het opzetten van ondersteuningssystemen voor slachtoffers van gendergerelateerd geweld en huiselijk geweld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bis.</w:t>
            </w:r>
            <w:r>
              <w:tab/>
            </w:r>
            <w:r>
              <w:rPr>
                <w:b/>
                <w:i/>
              </w:rPr>
              <w:t>benadrukt dat de institutionele mechanismen voor gendergelijkheid in Montenegro moeten worden versterkt, waarbij wordt gezorgd voor een volledige en doeltreffende uitvoering van de bestaande wetten en strategieën;</w:t>
            </w:r>
            <w:r>
              <w:t xml:space="preserve"> </w:t>
            </w:r>
            <w:r>
              <w:rPr>
                <w:b/>
                <w:i/>
              </w:rPr>
              <w:t>verzoekt Montenegro de wettelijke beschermingsmechanismen voor slachtoffers van gendergerelateerd geweld te verbeteren en de financiering voor opvanghuizen, ondersteunende diensten en preventieve maatregelen te verhogen;</w:t>
            </w:r>
            <w:r>
              <w:t xml:space="preserve"> </w:t>
            </w:r>
            <w:r>
              <w:rPr>
                <w:b/>
                <w:i/>
              </w:rPr>
              <w:t>beklemtoont dat het belangrijk is in alle beleidsterreinen genderperspectieven te integreren, met name in het openbaar bestuur, de rechterlijke macht en de veiligheidssector;</w:t>
            </w:r>
            <w:r>
              <w:t xml:space="preserve"> </w:t>
            </w:r>
            <w:r>
              <w:rPr>
                <w:b/>
                <w:i/>
              </w:rPr>
              <w:t>dringt aan op het verzamelen van uitgesplitste gegevens over gendergerelateerd geweld en genderongelijkheden om de beleidsrespons te verbeteren;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21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ter.</w:t>
            </w:r>
            <w:r>
              <w:tab/>
            </w:r>
            <w:r>
              <w:rPr>
                <w:b/>
                <w:i/>
              </w:rPr>
              <w:t>verzoekt Montenegro zijn gendergelijkheidsbeleid verder af te stemmen op de EU-normen en de onevenwichtige genderbalans op het gebied van politieke en economische participatie aan te pakken;</w:t>
            </w:r>
            <w:r>
              <w:t xml:space="preserve"> </w:t>
            </w:r>
            <w:r>
              <w:rPr>
                <w:b/>
                <w:i/>
              </w:rPr>
              <w:t>pleit ervoor beleid vast te stellen om het evenwicht tussen werk en privéleven en gelijke kansen in leidinggevende functies te bevorderen;</w:t>
            </w:r>
            <w:r>
              <w:t xml:space="preserve"> </w:t>
            </w:r>
            <w:r>
              <w:rPr>
                <w:b/>
                <w:i/>
              </w:rPr>
              <w:t>dringt er bij Montenegro op aan meer inspanningen te leveren om discriminatie van vrouwen te bestrijden, met name in plattelandsgebieden, en bewustmakingscampagnes op te zetten over gendergelijkheid en vrouwenrechten;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bis.</w:t>
            </w:r>
            <w:r>
              <w:tab/>
            </w:r>
            <w:r>
              <w:rPr>
                <w:b/>
                <w:i/>
              </w:rPr>
              <w:t>spoort Montenegro ertoe aan om eindelijk wijzigingen in de wet inzake bescherming tegen huiselijk geweld aan te nemen en het juridische en beleidskader verder af te stemmen op het Verdrag van Istanbul en het GREVIO-rapport van de Raad van Europa van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bis.</w:t>
            </w:r>
            <w:r>
              <w:tab/>
            </w:r>
            <w:r>
              <w:rPr>
                <w:b/>
                <w:i/>
              </w:rPr>
              <w:t>verzoekt de Montenegrijnse autoriteiten te zorgen voor een grotere politieke participatie van vrouwen;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21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ter.</w:t>
            </w:r>
            <w:r>
              <w:tab/>
            </w:r>
            <w:r>
              <w:rPr>
                <w:b/>
                <w:i/>
              </w:rPr>
              <w:t>betreurt dat de wet inzake begroting en budgettaire verantwoordelijkheid opnieuw is aangenomen zonder de invoering van genderbudgettering;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bis.</w:t>
            </w:r>
            <w:r>
              <w:tab/>
            </w:r>
            <w:r>
              <w:rPr>
                <w:b/>
                <w:i/>
              </w:rPr>
              <w:t>verzoekt de Montenegrijnse autoriteiten de loonkloof tussen mannen en vrouwen aan te pakken en de participatie van vrouwen in de besluitvorming te verbeteren;</w:t>
            </w:r>
            <w:r>
              <w:t xml:space="preserve"> </w:t>
            </w:r>
            <w:r>
              <w:rPr>
                <w:b/>
                <w:i/>
              </w:rPr>
              <w:t>is ernstig bezorgd over de hoge percentages gendergerelateerd geweld;</w:t>
            </w:r>
            <w:r>
              <w:t xml:space="preserve"> </w:t>
            </w:r>
            <w:r>
              <w:rPr>
                <w:b/>
                <w:i/>
              </w:rPr>
              <w:t>is ingenomen met recente initiatieven ter bevordering van de vertegenwoordiging van vrouwen in STEM-sectoren en moedigt verdere inspanningen aan, waaronder mentorschapsprogramma’s, gerichte subsidies voor vrouwelijke ondernemers in technologiesectoren en institutionele gendergelijkheidsplannen om te zorgen voor een evenwichtige participatie op het gebied van onderzoek en innovatie;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21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quater.</w:t>
            </w:r>
            <w:r>
              <w:tab/>
            </w:r>
            <w:r>
              <w:rPr>
                <w:b/>
                <w:i/>
              </w:rPr>
              <w:t>betreurt dat het wetsontwerp inzake wettelijke gendererkenning niet is aangenomen in 2024, hoewel het een maatregel betreft die deel uitmaakt van het EU-toetredingsprogramma 2023 en 2024 van Montenegro;</w:t>
            </w:r>
            <w:r>
              <w:t xml:space="preserve"> </w:t>
            </w:r>
            <w:r>
              <w:rPr>
                <w:b/>
                <w:i/>
              </w:rPr>
              <w:t>dringt er bij Montenegro op aan de wet onverwijld aan te nemen, met volledige inachtneming van de jurisprudentie van het EHRM en de aanbevelingen van het Europees Comité inzake de voorkoming van folteringen en onmenselijke of vernederende behandelingen of bestraffingen, als voorwaarde voor het afsluiten van hoofdstuk 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bis.</w:t>
            </w:r>
            <w:r>
              <w:tab/>
            </w:r>
            <w:r>
              <w:rPr>
                <w:b/>
                <w:i/>
              </w:rPr>
              <w:t>betreurt dat het wetsontwerp inzake wettelijke gendererkenning niet is aangenomen in 2024, hoewel het een maatregel betreft die deel uitmaakt van het EU-toetredingsprogramma van Montenegro;</w:t>
            </w:r>
            <w:r>
              <w:t xml:space="preserve"> </w:t>
            </w:r>
            <w:r>
              <w:rPr>
                <w:b/>
                <w:i/>
              </w:rPr>
              <w:t>dringt er bij Montenegro op aan de wet onverwijld aan te nemen, overeenkomstig de noodzaak om de jurisprudentie van het EHRM en de aanbevelingen van het Europees Comité inzake de voorkoming van folteringen en onmenselijke of vernederende behandelingen of bestraffingen in acht te nemen, als voorwaarde voor het afsluiten van hoofdstuk 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21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ter.</w:t>
            </w:r>
            <w:r>
              <w:tab/>
            </w:r>
            <w:r>
              <w:rPr>
                <w:b/>
                <w:i/>
              </w:rPr>
              <w:t>pleit voor de doeltreffende uitvoering van strategieën om de lacunes met betrekking tot de eerbiediging van de rechten van personen met een handicap in alle sectoren en beleidsterreinen weg te werken;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rPr>
                <w:b/>
                <w:i/>
              </w:rPr>
              <w:t>is ingenomen met</w:t>
            </w:r>
            <w:r>
              <w:t xml:space="preserve"> de nieuwe mediawetten van Montenegro en zijn strategie voor het mediabeleid; dringt aan op een nultolerantiebeleid met betrekking tot druk op of intimidatie van journalisten, ook door publieke figuren; beklemtoont de noodzaak van een doeltreffende follow-up van eerdere gevallen;</w:t>
            </w:r>
          </w:p>
        </w:tc>
        <w:tc>
          <w:tcPr>
            <w:tcW w:w="4876" w:type="dxa"/>
            <w:tcBorders>
              <w:top w:val="nil"/>
              <w:left w:val="nil"/>
              <w:bottom w:val="nil"/>
              <w:right w:val="nil"/>
            </w:tcBorders>
          </w:tcPr>
          <w:p>
            <w:pPr>
              <w:pStyle w:val="Normal6a"/>
            </w:pPr>
            <w:r>
              <w:t>22.</w:t>
            </w:r>
            <w:r>
              <w:tab/>
            </w:r>
            <w:r>
              <w:rPr>
                <w:b/>
                <w:i/>
              </w:rPr>
              <w:t>neemt kennis van</w:t>
            </w:r>
            <w:r>
              <w:t xml:space="preserve"> de nieuwe mediawetten van Montenegro en zijn strategie voor het mediabeleid; dringt aan op een nultolerantiebeleid met betrekking tot druk op of intimidatie van journalisten, ook door publieke figuren; beklemtoont de noodzaak van een doeltreffende follow-up van eerdere gevallen;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is ingenomen met de nieuwe mediawetten van Montenegro en zijn strategie voor het mediabeleid; dringt aan op een nultolerantiebeleid met betrekking tot druk op of intimidatie van journalisten, </w:t>
            </w:r>
            <w:r>
              <w:rPr>
                <w:b/>
                <w:i/>
              </w:rPr>
              <w:t>ook</w:t>
            </w:r>
            <w:r>
              <w:t xml:space="preserve"> door publieke figuren; beklemtoont de noodzaak van een doeltreffende follow-up van eerdere gevallen;</w:t>
            </w:r>
          </w:p>
        </w:tc>
        <w:tc>
          <w:tcPr>
            <w:tcW w:w="4876" w:type="dxa"/>
            <w:tcBorders>
              <w:top w:val="nil"/>
              <w:left w:val="nil"/>
              <w:bottom w:val="nil"/>
              <w:right w:val="nil"/>
            </w:tcBorders>
          </w:tcPr>
          <w:p>
            <w:pPr>
              <w:pStyle w:val="Normal6a"/>
            </w:pPr>
            <w:r>
              <w:t>22.</w:t>
            </w:r>
            <w:r>
              <w:tab/>
            </w:r>
            <w:r>
              <w:t xml:space="preserve">is ingenomen met de nieuwe mediawetten van Montenegro en zijn strategie voor het mediabeleid </w:t>
            </w:r>
            <w:r>
              <w:rPr>
                <w:b/>
                <w:i/>
              </w:rPr>
              <w:t>ter versterking van het rechtskader om journalisten en andere mediawerkers doeltreffend te beschermen</w:t>
            </w:r>
            <w:r>
              <w:t xml:space="preserve">; dringt aan op een nultolerantiebeleid met betrekking tot druk op of intimidatie van journalisten, </w:t>
            </w:r>
            <w:r>
              <w:rPr>
                <w:b/>
                <w:i/>
              </w:rPr>
              <w:t>met name</w:t>
            </w:r>
            <w:r>
              <w:t xml:space="preserve"> door publieke figuren; beklemtoont de noodzaak van een doeltreffende follow-up van eerdere gevallen; </w:t>
            </w:r>
            <w:r>
              <w:rPr>
                <w:b/>
                <w:i/>
              </w:rPr>
              <w:t>benadrukt dat het recht van journalisten op toegang tot informatie moet worden gewaarborgd, evenals hun recht om een kritische houding aan te nemen;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is ingenomen met de nieuwe mediawetten van Montenegro en zijn strategie voor het mediabeleid; dringt aan op een nultolerantiebeleid met betrekking tot druk op of intimidatie van journalisten, ook door publieke figuren; beklemtoont de noodzaak van een doeltreffende follow-up van eerdere gevallen;</w:t>
            </w:r>
          </w:p>
        </w:tc>
        <w:tc>
          <w:tcPr>
            <w:tcW w:w="4876" w:type="dxa"/>
            <w:tcBorders>
              <w:top w:val="nil"/>
              <w:left w:val="nil"/>
              <w:bottom w:val="nil"/>
              <w:right w:val="nil"/>
            </w:tcBorders>
          </w:tcPr>
          <w:p>
            <w:pPr>
              <w:pStyle w:val="Normal6a"/>
            </w:pPr>
            <w:r>
              <w:t>22.</w:t>
            </w:r>
            <w:r>
              <w:tab/>
            </w:r>
            <w:r>
              <w:t xml:space="preserve">is ingenomen met de nieuwe mediawetten van Montenegro en zijn strategie voor het mediabeleid; dringt aan op een nultolerantiebeleid met betrekking tot druk op of intimidatie van journalisten, ook door publieke figuren; beklemtoont de noodzaak van een doeltreffende follow-up van eerdere gevallen; </w:t>
            </w:r>
            <w:r>
              <w:rPr>
                <w:b/>
                <w:i/>
              </w:rPr>
              <w:t>is bezorgd over het naar verluidt toenemende gebruik van strategische rechtszaken tegen publieke participatie (SLAPP’s);</w:t>
            </w:r>
            <w:r>
              <w:t xml:space="preserve"> </w:t>
            </w:r>
            <w:r>
              <w:rPr>
                <w:b/>
                <w:i/>
              </w:rPr>
              <w:t>verzoekt de Montenegrijnse autoriteiten concrete maatregelen te nemen om vexatoire klachten tegen journalisten, mensenrechtenverdedigers, schrijvers en activisten te voorkomen;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Lucia Yar, Dan Barna, Malik Azmani, Marjan Šarec, Ľubica Karvašová,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is ingenomen met de nieuwe mediawetten van Montenegro en zijn strategie voor het mediabeleid; dringt aan op een nultolerantiebeleid met betrekking tot druk op </w:t>
            </w:r>
            <w:r>
              <w:rPr>
                <w:b/>
                <w:i/>
              </w:rPr>
              <w:t>of</w:t>
            </w:r>
            <w:r>
              <w:t xml:space="preserve"> intimidatie van journalisten, ook door publieke figuren; beklemtoont de noodzaak van een doeltreffende follow-up van eerdere gevallen;</w:t>
            </w:r>
          </w:p>
        </w:tc>
        <w:tc>
          <w:tcPr>
            <w:tcW w:w="4876" w:type="dxa"/>
            <w:tcBorders>
              <w:top w:val="nil"/>
              <w:left w:val="nil"/>
              <w:bottom w:val="nil"/>
              <w:right w:val="nil"/>
            </w:tcBorders>
          </w:tcPr>
          <w:p>
            <w:pPr>
              <w:pStyle w:val="Normal6a"/>
            </w:pPr>
            <w:r>
              <w:t>22.</w:t>
            </w:r>
            <w:r>
              <w:tab/>
            </w:r>
            <w:r>
              <w:t>is ingenomen met de nieuwe mediawetten van Montenegro en zijn strategie voor het mediabeleid; dringt aan op een nultolerantiebeleid met betrekking tot druk op</w:t>
            </w:r>
            <w:r>
              <w:rPr>
                <w:b/>
                <w:i/>
              </w:rPr>
              <w:t>,</w:t>
            </w:r>
            <w:r>
              <w:t xml:space="preserve"> intimidatie van </w:t>
            </w:r>
            <w:r>
              <w:rPr>
                <w:b/>
                <w:i/>
              </w:rPr>
              <w:t>of geweld tegen</w:t>
            </w:r>
            <w:r>
              <w:t xml:space="preserve"> journalisten, ook door publieke figuren; beklemtoont de noodzaak van een doeltreffende follow-up van eerdere gevallen; </w:t>
            </w:r>
            <w:r>
              <w:rPr>
                <w:b/>
                <w:i/>
              </w:rPr>
              <w:t>merkt op dat de persvrijheid in Montenegro aanzienlijk is verbeterd, zoals blijkt uit de vooruitgang die het land heeft geboekt op de wereldindex voor persvrijheid;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 bis.</w:t>
            </w:r>
            <w:r>
              <w:tab/>
            </w:r>
            <w:r>
              <w:rPr>
                <w:b/>
                <w:i/>
              </w:rPr>
              <w:t>uit zijn bezorgdheid over gevallen waarbij journalisten, academici en maatschappelijke organisaties onder druk zijn komen te staan wegens het uitoefenen van de vrijheid van meningsuiting, met inbegrip van gevallen waarbij de politie tegen hen een strafrechtelijke procedure heeft ingeleid;</w:t>
            </w:r>
            <w:r>
              <w:t xml:space="preserve"> </w:t>
            </w:r>
            <w:r>
              <w:rPr>
                <w:b/>
                <w:i/>
              </w:rPr>
              <w:t>verzoekt de autoriteiten alle gevallen van haatzaaiende uitlatingen, lastercampagnes en strategische rechtszaken tegen journalisten te onderzoeken en te vervolgen;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 bis.</w:t>
            </w:r>
            <w:r>
              <w:tab/>
            </w:r>
            <w:r>
              <w:rPr>
                <w:b/>
                <w:i/>
              </w:rPr>
              <w:t>uit zijn bezorgdheid over gevallen waarbij journalisten, academici en maatschappelijke organisaties onder druk zijn komen te staan wegens het uitoefenen van de vrijheid van meningsuiting, met inbegrip van gevallen waarbij de politie tegen hen een strafrechtelijke procedure heeft ingeleid;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22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 ter.</w:t>
            </w:r>
            <w:r>
              <w:tab/>
            </w:r>
            <w:r>
              <w:rPr>
                <w:b/>
                <w:i/>
              </w:rPr>
              <w:t>betreurt de aanhoudende straffeloosheid in de zaak betreffende de moord op Duško Jovanović, prominent journalist en hoofdredacteur van DAN;</w:t>
            </w:r>
            <w:r>
              <w:t xml:space="preserve"> </w:t>
            </w:r>
            <w:r>
              <w:rPr>
                <w:b/>
                <w:i/>
              </w:rPr>
              <w:t>herhaalt zijn oproep om het onderzoek te herzien en in samenspraak met buitenlandse deskundigen te werken aan een volledig en doeltreffend onderzoek naar de zaak;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22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 quater.</w:t>
            </w:r>
            <w:r>
              <w:tab/>
            </w:r>
            <w:r>
              <w:rPr>
                <w:b/>
                <w:i/>
              </w:rPr>
              <w:t>dringt er bij de Montenegrijnse autoriteiten op aan de vrijheid van meningsuiting te eerbiedigen en zich te onthouden van lastercampagnes tegen de studentenprotestgroep “Kamo śutra”, te stoppen met het vervolgen van journalisten en hun veiligheid te waarborgen, met name in het geval van vrouwelijke journalisten;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betreurt de heersende sterke polarisatie in de media en de kwetsbaarheid van de media voor politieke </w:t>
            </w:r>
            <w:r>
              <w:rPr>
                <w:b/>
                <w:i/>
              </w:rPr>
              <w:t>en buitenlandse</w:t>
            </w:r>
            <w:r>
              <w:t xml:space="preserve"> beïnvloeding; verzoekt de Montenegrijnse autoriteiten de redactionele, institutionele en financiële onafhankelijkheid van de publieke omroep te waarborgen; roept alle media-entiteiten ertoe op te voldoen aan de wettelijke vereisten inzake transparantie van overheidsfinanciering;</w:t>
            </w:r>
          </w:p>
        </w:tc>
        <w:tc>
          <w:tcPr>
            <w:tcW w:w="4876" w:type="dxa"/>
            <w:tcBorders>
              <w:top w:val="nil"/>
              <w:left w:val="nil"/>
              <w:bottom w:val="nil"/>
              <w:right w:val="nil"/>
            </w:tcBorders>
          </w:tcPr>
          <w:p>
            <w:pPr>
              <w:pStyle w:val="Normal6a"/>
            </w:pPr>
            <w:r>
              <w:t>23.</w:t>
            </w:r>
            <w:r>
              <w:tab/>
            </w:r>
            <w:r>
              <w:t>betreurt de heersende sterke polarisatie in de media en de kwetsbaarheid van de media voor politieke beïnvloeding; verzoekt de Montenegrijnse autoriteiten de redactionele, institutionele en financiële onafhankelijkheid van de publieke omroep te waarborgen; roept alle media-entiteiten ertoe op te voldoen aan de wettelijke vereisten inzake transparantie van overheidsfinanciering;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betreurt de heersende sterke polarisatie in de media en de kwetsbaarheid van de media voor politieke en buitenlandse beïnvloeding; verzoekt de Montenegrijnse autoriteiten de redactionele, institutionele en financiële onafhankelijkheid van de publieke omroep te waarborgen; roept alle media-entiteiten ertoe op te voldoen aan de wettelijke vereisten inzake transparantie van overheidsfinanciering;</w:t>
            </w:r>
          </w:p>
        </w:tc>
        <w:tc>
          <w:tcPr>
            <w:tcW w:w="4876" w:type="dxa"/>
            <w:tcBorders>
              <w:top w:val="nil"/>
              <w:left w:val="nil"/>
              <w:bottom w:val="nil"/>
              <w:right w:val="nil"/>
            </w:tcBorders>
          </w:tcPr>
          <w:p>
            <w:pPr>
              <w:pStyle w:val="Normal6a"/>
            </w:pPr>
            <w:r>
              <w:t>23.</w:t>
            </w:r>
            <w:r>
              <w:tab/>
            </w:r>
            <w:r>
              <w:t>betreurt de heersende sterke polarisatie in de media en de kwetsbaarheid van de media voor politieke en buitenlandse beïnvloeding</w:t>
            </w:r>
            <w:r>
              <w:rPr>
                <w:b/>
                <w:i/>
              </w:rPr>
              <w:t>, alsook buitenlandse en binnenlandse desinformatiecampagnes ter verspreiding van etnisch-nationalistische narratieven die negatieve gevolgen hebben voor de democratische processen in het land en zo het Europese perspectief in gevaar brengen</w:t>
            </w:r>
            <w:r>
              <w:t>; verzoekt de Montenegrijnse autoriteiten de redactionele, institutionele en financiële onafhankelijkheid van de publieke omroep te waarborgen; roept alle media-entiteiten ertoe op te voldoen aan de wettelijke vereisten inzake transparantie van overheidsfinanciering;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betreurt de heersende sterke polarisatie in de media en de kwetsbaarheid van de media voor politieke en buitenlandse beïnvloeding; verzoekt de Montenegrijnse autoriteiten de redactionele, institutionele en financiële onafhankelijkheid van de publieke omroep te waarborgen; roept alle media-entiteiten ertoe op te voldoen aan de wettelijke vereisten inzake transparantie van overheidsfinanciering;</w:t>
            </w:r>
          </w:p>
        </w:tc>
        <w:tc>
          <w:tcPr>
            <w:tcW w:w="4876" w:type="dxa"/>
            <w:tcBorders>
              <w:top w:val="nil"/>
              <w:left w:val="nil"/>
              <w:bottom w:val="nil"/>
              <w:right w:val="nil"/>
            </w:tcBorders>
          </w:tcPr>
          <w:p>
            <w:pPr>
              <w:pStyle w:val="Normal6a"/>
            </w:pPr>
            <w:r>
              <w:t>23.</w:t>
            </w:r>
            <w:r>
              <w:tab/>
            </w:r>
            <w:r>
              <w:t xml:space="preserve">betreurt de heersende sterke polarisatie in de media en de kwetsbaarheid van de media voor politieke en buitenlandse beïnvloeding; verzoekt de Montenegrijnse autoriteiten de redactionele, institutionele en financiële onafhankelijkheid van de publieke omroep </w:t>
            </w:r>
            <w:r>
              <w:rPr>
                <w:b/>
                <w:i/>
              </w:rPr>
              <w:t>RTCG</w:t>
            </w:r>
            <w:r>
              <w:t xml:space="preserve"> te waarborgen</w:t>
            </w:r>
            <w:r>
              <w:rPr>
                <w:b/>
                <w:i/>
              </w:rPr>
              <w:t>, alsook de wettigheid van de benoeming van het bestuur ervan en de volledige eerbiediging van de definitieve rechterlijke uitspraken met betrekking tot RTCG</w:t>
            </w:r>
            <w:r>
              <w:t>; roept alle media-entiteiten ertoe op te voldoen aan de wettelijke vereisten inzake transparantie van overheidsfinanciering;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betreurt de heersende sterke polarisatie in de media en de kwetsbaarheid van de media voor politieke en buitenlandse beïnvloeding; verzoekt de Montenegrijnse autoriteiten de redactionele, institutionele en financiële onafhankelijkheid van de publieke omroep te waarborgen; roept alle media-entiteiten ertoe op te voldoen aan de wettelijke vereisten inzake transparantie van overheidsfinanciering;</w:t>
            </w:r>
          </w:p>
        </w:tc>
        <w:tc>
          <w:tcPr>
            <w:tcW w:w="4876" w:type="dxa"/>
            <w:tcBorders>
              <w:top w:val="nil"/>
              <w:left w:val="nil"/>
              <w:bottom w:val="nil"/>
              <w:right w:val="nil"/>
            </w:tcBorders>
          </w:tcPr>
          <w:p>
            <w:pPr>
              <w:pStyle w:val="Normal6a"/>
            </w:pPr>
            <w:r>
              <w:t>23.</w:t>
            </w:r>
            <w:r>
              <w:tab/>
            </w:r>
            <w:r>
              <w:t xml:space="preserve">betreurt de heersende sterke polarisatie in de media en de kwetsbaarheid van de media voor politieke en buitenlandse beïnvloeding; verzoekt de Montenegrijnse autoriteiten de redactionele, institutionele en financiële onafhankelijkheid van de publieke omroep </w:t>
            </w:r>
            <w:r>
              <w:rPr>
                <w:b/>
                <w:i/>
              </w:rPr>
              <w:t>RTCG</w:t>
            </w:r>
            <w:r>
              <w:t xml:space="preserve"> te waarborgen</w:t>
            </w:r>
            <w:r>
              <w:rPr>
                <w:b/>
                <w:i/>
              </w:rPr>
              <w:t>, alsook de wettigheid van de benoeming van het bestuur ervan en de volledige eerbiediging van de definitieve rechterlijke uitspraken met betrekking tot RTCG</w:t>
            </w:r>
            <w:r>
              <w:t>; roept alle media-entiteiten ertoe op te voldoen aan de wettelijke vereisten inzake transparantie van overheidsfinanciering;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Marjan Šarec, Lucia Yar, Petras Auštrevičius, Dan Barna, Ilhan Kyuchyuk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betreurt de heersende sterke polarisatie in de media en de kwetsbaarheid van de media voor politieke en buitenlandse beïnvloeding; verzoekt de Montenegrijnse autoriteiten de redactionele, institutionele en financiële onafhankelijkheid van de publieke omroep te waarborgen; roept alle media-entiteiten ertoe op te voldoen aan de wettelijke vereisten inzake transparantie van overheidsfinanciering;</w:t>
            </w:r>
          </w:p>
        </w:tc>
        <w:tc>
          <w:tcPr>
            <w:tcW w:w="4876" w:type="dxa"/>
            <w:tcBorders>
              <w:top w:val="nil"/>
              <w:left w:val="nil"/>
              <w:bottom w:val="nil"/>
              <w:right w:val="nil"/>
            </w:tcBorders>
          </w:tcPr>
          <w:p>
            <w:pPr>
              <w:pStyle w:val="Normal6a"/>
            </w:pPr>
            <w:r>
              <w:t>23.</w:t>
            </w:r>
            <w:r>
              <w:tab/>
            </w:r>
            <w:r>
              <w:t xml:space="preserve">betreurt de heersende sterke polarisatie in de media en de kwetsbaarheid van de media voor politieke en buitenlandse beïnvloeding; verzoekt de Montenegrijnse autoriteiten de redactionele, institutionele en financiële onafhankelijkheid van de publieke omroep te waarborgen; </w:t>
            </w:r>
            <w:r>
              <w:rPr>
                <w:b/>
                <w:i/>
              </w:rPr>
              <w:t>herinnert eraan dat deze de wet en de hoogste normen inzake verantwoordingsplicht en integriteit in acht moet nemen;</w:t>
            </w:r>
            <w:r>
              <w:t xml:space="preserve"> roept alle media-entiteiten ertoe op te voldoen aan de wettelijke vereisten inzake transparantie van overheidsfinanciering;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Dan Barna, Petras Auštrevičius, Malik Azmani, Lucia Yar,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betreurt de heersende sterke polarisatie in de media en de kwetsbaarheid van de media voor politieke en buitenlandse beïnvloeding; verzoekt de Montenegrijnse autoriteiten de redactionele, institutionele en financiële onafhankelijkheid van de publieke omroep te waarborgen; roept alle media-entiteiten ertoe op te voldoen aan de wettelijke vereisten inzake transparantie van overheidsfinanciering;</w:t>
            </w:r>
          </w:p>
        </w:tc>
        <w:tc>
          <w:tcPr>
            <w:tcW w:w="4876" w:type="dxa"/>
            <w:tcBorders>
              <w:top w:val="nil"/>
              <w:left w:val="nil"/>
              <w:bottom w:val="nil"/>
              <w:right w:val="nil"/>
            </w:tcBorders>
          </w:tcPr>
          <w:p>
            <w:pPr>
              <w:pStyle w:val="Normal6a"/>
            </w:pPr>
            <w:r>
              <w:t>23.</w:t>
            </w:r>
            <w:r>
              <w:tab/>
            </w:r>
            <w:r>
              <w:t xml:space="preserve">betreurt de heersende sterke polarisatie in de media en de kwetsbaarheid van de media voor politieke en buitenlandse beïnvloeding; verzoekt de Montenegrijnse autoriteiten de redactionele, institutionele en financiële onafhankelijkheid van de publieke omroep te waarborgen; </w:t>
            </w:r>
            <w:r>
              <w:rPr>
                <w:b/>
                <w:i/>
              </w:rPr>
              <w:t>betreurt dat de onafhankelijkheid van de publieke media behoorlijk verzwakt en ondermijnd is;</w:t>
            </w:r>
            <w:r>
              <w:t xml:space="preserve"> roept alle media-entiteiten ertoe op te voldoen aan de wettelijke vereisten inzake transparantie van overheidsfinanciering;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23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bis.</w:t>
            </w:r>
            <w:r>
              <w:tab/>
            </w:r>
            <w:r>
              <w:rPr>
                <w:b/>
                <w:i/>
              </w:rPr>
              <w:t>stelt diep bezorgd vast dat het medialandschap in Montenegro sterk wordt beïnvloed door politieke belangen, waarbij portalen van rechtse tabloids fungeren als spreekbuis voor zowel de regeringscoalitie als de oppositiepartijen;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23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bis.</w:t>
            </w:r>
            <w:r>
              <w:tab/>
            </w:r>
            <w:r>
              <w:rPr>
                <w:b/>
                <w:i/>
              </w:rPr>
              <w:t>toont zich bezorgd over buitenlandse actoren, zoals Rusland, die desinformatiecampagnes en hybride dreigingen verspreiden en daarmee het Europese traject van Montenegro in gevaar brengen;</w:t>
            </w:r>
            <w:r>
              <w:t xml:space="preserve"> </w:t>
            </w:r>
            <w:r>
              <w:rPr>
                <w:b/>
                <w:i/>
              </w:rPr>
              <w:t>benadrukt het belang van mediavrijheid en -onafhankelijkheid, de kwaliteit van de berichtgeving en het verbeteren van mediawijsheid en onderwijs als essentiële aspecten in de strijd tegen manipulatieve desinformatie;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23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bis.</w:t>
            </w:r>
            <w:r>
              <w:tab/>
            </w:r>
            <w:r>
              <w:rPr>
                <w:b/>
                <w:i/>
              </w:rPr>
              <w:t>herhaalt dat er op alle onderwijsniveaus alomvattende en geïntegreerde programma’s voor mediawijsheid moeten worden ontwikkeld in plaats van afzonderlijke initiatieven;</w:t>
            </w:r>
            <w:r>
              <w:t xml:space="preserve"> </w:t>
            </w:r>
            <w:r>
              <w:rPr>
                <w:b/>
                <w:i/>
              </w:rPr>
              <w:t>dringt er bij Montenegro op aan mediawijsheid breed in te voeren als basisvak in de lesprogramma’s van scholen, en er tegelijkertijd voor te zorgen dat leerkrachten specifieke opleiding en moderne middelen krijgen om kwaliteitsvolle programma’s uit te voeren;</w:t>
            </w:r>
            <w:r>
              <w:t xml:space="preserve"> </w:t>
            </w:r>
            <w:r>
              <w:rPr>
                <w:b/>
                <w:i/>
              </w:rPr>
              <w:t>pleit voor samenwerking met EU-onderwijsinitiatieven en regionale netwerken zoals de waarnemingspost voor mediawijsheid in de Westelijke Balkan om beste praktijken voor onderwijs op het gebied van kritisch denken en digitale geletterdheid toe te passen;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is ingenomen met de bekendmaking van de resultaten van de in 2023 uitgevoerde volkstelling; moedigt belanghebbenden aan deze op niet-discriminerende wijze te gebruiken;</w:t>
            </w:r>
          </w:p>
        </w:tc>
        <w:tc>
          <w:tcPr>
            <w:tcW w:w="4876" w:type="dxa"/>
            <w:tcBorders>
              <w:top w:val="nil"/>
              <w:left w:val="nil"/>
              <w:bottom w:val="nil"/>
              <w:right w:val="nil"/>
            </w:tcBorders>
          </w:tcPr>
          <w:p>
            <w:pPr>
              <w:pStyle w:val="Normal6a"/>
            </w:pPr>
            <w:r>
              <w:t>24.</w:t>
            </w:r>
            <w:r>
              <w:tab/>
            </w:r>
            <w:r>
              <w:t xml:space="preserve">is ingenomen met de bekendmaking van de resultaten van de in 2023 uitgevoerde volkstelling; </w:t>
            </w:r>
            <w:r>
              <w:rPr>
                <w:b/>
                <w:i/>
              </w:rPr>
              <w:t>verzoekt de autoriteiten om elke politisering van het proces te voorkomen;</w:t>
            </w:r>
            <w:r>
              <w:t xml:space="preserve"> moedigt belanghebbenden aan deze op niet-discriminerende wijze te gebruiken;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is ingenomen met de bekendmaking van de resultaten van de in 2023 uitgevoerde volkstelling; moedigt belanghebbenden aan deze op niet-discriminerende wijze te gebruiken;</w:t>
            </w:r>
          </w:p>
        </w:tc>
        <w:tc>
          <w:tcPr>
            <w:tcW w:w="4876" w:type="dxa"/>
            <w:tcBorders>
              <w:top w:val="nil"/>
              <w:left w:val="nil"/>
              <w:bottom w:val="nil"/>
              <w:right w:val="nil"/>
            </w:tcBorders>
          </w:tcPr>
          <w:p>
            <w:pPr>
              <w:pStyle w:val="Normal6a"/>
            </w:pPr>
            <w:r>
              <w:t>24.</w:t>
            </w:r>
            <w:r>
              <w:tab/>
            </w:r>
            <w:r>
              <w:t xml:space="preserve">is ingenomen met de bekendmaking van de resultaten van de in 2023 uitgevoerde volkstelling; moedigt belanghebbenden aan deze op niet-discriminerende wijze te gebruiken </w:t>
            </w:r>
            <w:r>
              <w:rPr>
                <w:b/>
                <w:i/>
              </w:rPr>
              <w:t>en naar geslacht uitgesplitste gegevens te blijven verzamelen overeenkomstig de wet inzake gendergelijkheid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24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 bis.</w:t>
            </w:r>
            <w:r>
              <w:tab/>
            </w:r>
            <w:r>
              <w:rPr>
                <w:b/>
                <w:i/>
              </w:rPr>
              <w:t>erkent dat over het maatschappelijk middenveld in Montenegro een positieve perceptie heerst, waarbij burgers verwachten dat maatschappelijke organisaties kritiek uiten en aanzetten tot democratisering;</w:t>
            </w:r>
            <w:r>
              <w:t xml:space="preserve"> </w:t>
            </w:r>
            <w:r>
              <w:rPr>
                <w:b/>
                <w:i/>
              </w:rPr>
              <w:t>uit zijn bezorgdheid over de krimpende ruimte voor kritisch georiënteerde maatschappelijke organisaties, met name in het licht van de voorgestelde wet inzake “buitenlandse agenten” en pogingen om door de VS gefinancierde organisaties in diskrediet te brengen;</w:t>
            </w:r>
            <w:r>
              <w:t xml:space="preserve"> </w:t>
            </w:r>
            <w:r>
              <w:rPr>
                <w:b/>
                <w:i/>
              </w:rPr>
              <w:t>dringt aan op een ondersteunend rechtskader, met inbegrip van belangrijke wetten inzake vrije toegang tot informatie, vrijwilligerswerk, sociaal ondernemerschap, klokkenluiden en ngo’s, teneinde hun rol te versterken;</w:t>
            </w:r>
            <w:r>
              <w:t xml:space="preserve"> </w:t>
            </w:r>
            <w:r>
              <w:rPr>
                <w:b/>
                <w:i/>
              </w:rPr>
              <w:t>benadrukt dat maatschappelijke organisaties op zinvolle wijze moeten worden betrokken bij de beleidsvorming, met name bij de Europese integratie, en dringt er bij de regering op aan inclusief overleg met hen te voeren;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roept de raad voor samenwerking tussen de regering en ngo’s ertoe op de werkzaamheden te hervatten;</w:t>
            </w:r>
          </w:p>
        </w:tc>
        <w:tc>
          <w:tcPr>
            <w:tcW w:w="4876" w:type="dxa"/>
            <w:tcBorders>
              <w:top w:val="nil"/>
              <w:left w:val="nil"/>
              <w:bottom w:val="nil"/>
              <w:right w:val="nil"/>
            </w:tcBorders>
          </w:tcPr>
          <w:p>
            <w:pPr>
              <w:pStyle w:val="Normal6a"/>
            </w:pPr>
            <w:r>
              <w:t>25.</w:t>
            </w:r>
            <w:r>
              <w:tab/>
            </w:r>
            <w:r>
              <w:rPr>
                <w:b/>
                <w:i/>
              </w:rPr>
              <w:t>is ingenomen met het levendige en constructieve maatschappelijk middenveld in Montenegro, dat een cruciale en positieve rol speelt in het hervormingsproces;</w:t>
            </w:r>
            <w:r>
              <w:t xml:space="preserve"> </w:t>
            </w:r>
            <w:r>
              <w:rPr>
                <w:b/>
                <w:i/>
              </w:rPr>
              <w:t>spoort de regering ertoe aan om op het gebied van besluitvorming haar samenwerking met het maatschappelijk middenveld, en met name met vrouwenrechtenorganisaties, te intensiveren en</w:t>
            </w:r>
            <w:r>
              <w:t xml:space="preserve"> roept de raad voor samenwerking tussen de regering en ngo’s ertoe op de werkzaamheden te hervatten </w:t>
            </w:r>
            <w:r>
              <w:rPr>
                <w:b/>
                <w:i/>
              </w:rPr>
              <w:t>met als doel samenwerkingsverbanden tot stand te brengen en het maatschappelijk middenveld vanaf een vroeg stadium daadwerkelijk te betrekken bij een transparant wetgevingsproces;</w:t>
            </w:r>
            <w:r>
              <w:t xml:space="preserve"> </w:t>
            </w:r>
            <w:r>
              <w:rPr>
                <w:b/>
                <w:i/>
              </w:rPr>
              <w:t>beklemtoont dat het maatschappelijk middenveld van vitaal belang is voor het stimuleren van democratie en pluralisme en het bevorderen van goed bestuur en sociale vooruitgang;</w:t>
            </w:r>
            <w:r>
              <w:t xml:space="preserve"> </w:t>
            </w:r>
            <w:r>
              <w:rPr>
                <w:b/>
                <w:i/>
              </w:rPr>
              <w:t>moedigt de autoriteiten aan duidelijke en eerlijke selectiecriteria in te voeren met betrekking tot overheidsfinanciering voor maatschappelijke organisaties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Marjan Šarec, Lucia Yar, Petras Auštrevičius, Dan Barna, Ilhan Kyuchyuk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roept de raad voor samenwerking tussen de regering en ngo’s ertoe op de werkzaamheden te hervatten;</w:t>
            </w:r>
          </w:p>
        </w:tc>
        <w:tc>
          <w:tcPr>
            <w:tcW w:w="4876" w:type="dxa"/>
            <w:tcBorders>
              <w:top w:val="nil"/>
              <w:left w:val="nil"/>
              <w:bottom w:val="nil"/>
              <w:right w:val="nil"/>
            </w:tcBorders>
          </w:tcPr>
          <w:p>
            <w:pPr>
              <w:pStyle w:val="Normal6a"/>
            </w:pPr>
            <w:r>
              <w:t>25.</w:t>
            </w:r>
            <w:r>
              <w:tab/>
            </w:r>
            <w:r>
              <w:t xml:space="preserve">roept de raad voor samenwerking tussen de regering en ngo’s ertoe op de werkzaamheden te hervatten; </w:t>
            </w:r>
            <w:r>
              <w:rPr>
                <w:b/>
                <w:i/>
              </w:rPr>
              <w:t>beklemtoont dat het van belang is het maatschappelijk middenveld te raadplegen over ontwerpwetgeving;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25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bis.</w:t>
            </w:r>
            <w:r>
              <w:tab/>
            </w:r>
            <w:r>
              <w:rPr>
                <w:b/>
                <w:i/>
              </w:rPr>
              <w:t>dringt aan op een alomvattend ondersteunend rechtskader, met inbegrip van belangrijke wetten inzake vrije toegang tot informatie, vrijwilligerswerk, sociaal ondernemerschap, klokkenluiden en ngo’s, teneinde hun rol te versterken;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25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ter.</w:t>
            </w:r>
            <w:r>
              <w:tab/>
            </w:r>
            <w:r>
              <w:rPr>
                <w:b/>
                <w:i/>
              </w:rPr>
              <w:t>spreekt zijn scherpe veroordeling uit over de hardnekkige lastercampagnes, intimidatie en aanvallen jegens maatschappelijke organisaties die worden opgezet door functionarissen van de regeringscoalitie die vijandige retoriek gebruiken om de legitimiteit van activisten te ondermijnen door hen als verraders en staatsvijanden voor te stellen;</w:t>
            </w:r>
            <w:r>
              <w:t xml:space="preserve"> </w:t>
            </w:r>
            <w:r>
              <w:rPr>
                <w:b/>
                <w:i/>
              </w:rPr>
              <w:t>is uiterst verontrust door het concept van een wetgevingsvoorstel inzake “buitenlandse agenten” dat werd ingediend door de coalitie “Za Budućnost Crne Gore” (ZBCG) onder leiding van parlementsvoorzitter Andrija Mandić, en verwacht van de Montenegrijnse regering dat zij zich duidelijk distantieert van deze voorstellen en hier geen gevolg aan geeft;</w:t>
            </w:r>
            <w:r>
              <w:t xml:space="preserve"> </w:t>
            </w:r>
            <w:r>
              <w:rPr>
                <w:b/>
                <w:i/>
              </w:rPr>
              <w:t>dringt er bij Montenegro op aan ervoor te zorgen dat alle nieuwe wetgeving volledig in overeenstemming is met het EU-acquis en de grondrechten eerbiedigt, met inbegrip van de vrijheid van vereniging en meningsuiting;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25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quater.</w:t>
            </w:r>
            <w:r>
              <w:tab/>
            </w:r>
            <w:r>
              <w:rPr>
                <w:b/>
                <w:i/>
              </w:rPr>
              <w:t>toont zich diep bezorgd over bedreigde erfgoedsites zoals de Baai van Kotor en Sveti Stefan;</w:t>
            </w:r>
            <w:r>
              <w:t xml:space="preserve"> </w:t>
            </w:r>
            <w:r>
              <w:rPr>
                <w:b/>
                <w:i/>
              </w:rPr>
              <w:t>benadrukt dat Sveti Stefan, met Miločer Park, in 2023 werd genoemd in de lijst van de “zeven meest bedreigde erfgoedsites in Europa”;</w:t>
            </w:r>
            <w:r>
              <w:t xml:space="preserve"> </w:t>
            </w:r>
            <w:r>
              <w:rPr>
                <w:b/>
                <w:i/>
              </w:rPr>
              <w:t>dringt er bij de regering van Montenegro op aan er dringend voor te zorgen dat het cultuurlandschap van de Baai van Kotor en van Sveti Stefan met Miločer Park adequate wettelijke en milieubescherming tegen overontwikkeling geniet;</w:t>
            </w:r>
            <w:r>
              <w:t xml:space="preserve"> </w:t>
            </w:r>
            <w:r>
              <w:rPr>
                <w:b/>
                <w:i/>
              </w:rPr>
              <w:t>dringt er bij de regering van Montenegro op aan de toegang tot het eiland Sveti Stefan te verzekeren voor Montenegrijnse en EU-burgers die Montenegro bezoeken als toeristen, in overeenstemming met de fundamentele mensenrechten in verband met de deelname aan cultureel erfgoed zoals opgenomen in de Universele Verklaring van de Rechten van de Mens van de VN, het Kaderverdrag van Faro over de waarde van cultureel erfgoed voor de samenleving en vele andere teksten;</w:t>
            </w:r>
            <w:r>
              <w:t xml:space="preserve"> </w:t>
            </w:r>
            <w:r>
              <w:rPr>
                <w:b/>
                <w:i/>
              </w:rPr>
              <w:t>uit zijn bezorgdheid over oude olijfbomen in Montenegro die massaal illegaal worden geveld en dus worden vernietigd als gevolg van overontwikkeling en een gebrek aan controle via inspecties;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Kopje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Verzoening </w:t>
            </w:r>
            <w:r>
              <w:rPr>
                <w:b/>
                <w:i/>
              </w:rPr>
              <w:t>en goede nabuurschapsbetrekkingen</w:t>
            </w:r>
          </w:p>
        </w:tc>
        <w:tc>
          <w:tcPr>
            <w:tcW w:w="4876" w:type="dxa"/>
            <w:tcBorders>
              <w:top w:val="nil"/>
              <w:left w:val="nil"/>
              <w:bottom w:val="nil"/>
              <w:right w:val="nil"/>
            </w:tcBorders>
          </w:tcPr>
          <w:p>
            <w:pPr>
              <w:pStyle w:val="Normal6a"/>
            </w:pPr>
            <w:r>
              <w:t>Verzoening</w:t>
            </w:r>
            <w:r>
              <w:rPr>
                <w:b/>
                <w:i/>
              </w:rPr>
              <w:t>, goede nabuurschapsbetrekkingen en regionale samenwerking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Andrey Kovatchev, Tomislav Sokol, Sunčana Glavak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herinnert eraan dat goede nabuurschapsbetrekkingen en regionale samenwerking essentiële elementen van het uitbreidingsproces zijn; prijst de actieve betrokkenheid van Montenegro bij regionale samenwerkingsinitiatieven;</w:t>
            </w:r>
          </w:p>
        </w:tc>
        <w:tc>
          <w:tcPr>
            <w:tcW w:w="4876" w:type="dxa"/>
            <w:tcBorders>
              <w:top w:val="nil"/>
              <w:left w:val="nil"/>
              <w:bottom w:val="nil"/>
              <w:right w:val="nil"/>
            </w:tcBorders>
          </w:tcPr>
          <w:p>
            <w:pPr>
              <w:pStyle w:val="Normal6a"/>
            </w:pPr>
            <w:r>
              <w:t>26.</w:t>
            </w:r>
            <w:r>
              <w:tab/>
            </w:r>
            <w:r>
              <w:t xml:space="preserve">herinnert eraan dat goede nabuurschapsbetrekkingen en regionale samenwerking essentiële elementen van het uitbreidingsproces zijn; </w:t>
            </w:r>
            <w:r>
              <w:rPr>
                <w:b/>
                <w:i/>
              </w:rPr>
              <w:t>herinnert eraan dat goede nabuurschapsbetrekkingen behoren tot de belangrijkste criteria om de vooruitgang in het toetredingsproces van Montenegro te beoordelen, in overeenstemming met het EU-onderhandelingskader;</w:t>
            </w:r>
            <w:r>
              <w:t xml:space="preserve"> </w:t>
            </w:r>
            <w:r>
              <w:rPr>
                <w:b/>
                <w:i/>
              </w:rPr>
              <w:t>is er stellig van overtuigd dat unilaterale acties en de politisering van historische kwesties onverenigbaar zijn met de inspanningen van Montenegro op het gebied van integratie in de EU;</w:t>
            </w:r>
            <w:r>
              <w:t xml:space="preserve"> prijst de actieve betrokkenheid van Montenegro bij regionale samenwerkingsinitiatieven;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26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 bis.</w:t>
            </w:r>
            <w:r>
              <w:tab/>
            </w:r>
            <w:r>
              <w:rPr>
                <w:b/>
                <w:i/>
              </w:rPr>
              <w:t>pleit voor meer regionale samenwerking tussen de landen van de Westelijke Balkan om beste praktijken te delen en gezamenlijke strategieën te ontwikkelen met betrekking tot de strijd tegen desinformatie en buitenlandse inmenging;</w:t>
            </w:r>
            <w:r>
              <w:t xml:space="preserve"> </w:t>
            </w:r>
            <w:r>
              <w:rPr>
                <w:b/>
                <w:i/>
              </w:rPr>
              <w:t>benadrukt de rol van de Europese Unie bij het faciliteren van dergelijke gezamenlijke inspanningen;</w:t>
            </w:r>
            <w:r>
              <w:t xml:space="preserve"> </w:t>
            </w:r>
            <w:r>
              <w:rPr>
                <w:b/>
                <w:i/>
              </w:rPr>
              <w:t>dringt aan op de voortzetting en verdere versterking van het regionale cyberbeveiligingsprogramma van het IPA;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Davor Ivo Stier, Tomislav Sokol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rPr>
                <w:b/>
                <w:i/>
              </w:rPr>
              <w:t>betreurt dat hoofdstuk 31 in december 2024 niet kon worden afgesloten;</w:t>
            </w:r>
            <w:r>
              <w:t xml:space="preserve"> </w:t>
            </w:r>
            <w:r>
              <w:rPr>
                <w:b/>
                <w:i/>
              </w:rPr>
              <w:t>verzoekt alle betrokken partijen oplossingen te vinden voor openstaande bilaterale kwesties en prioriteit te geven aan de toekomstige belangen</w:t>
            </w:r>
            <w:r>
              <w:t xml:space="preserve"> van de </w:t>
            </w:r>
            <w:r>
              <w:rPr>
                <w:b/>
                <w:i/>
              </w:rPr>
              <w:t>burgers in de Westelijke Balkan;</w:t>
            </w:r>
            <w:r>
              <w:t xml:space="preserve"> </w:t>
            </w:r>
            <w:r>
              <w:rPr>
                <w:b/>
                <w:i/>
              </w:rPr>
              <w:t>herinnert eraan dat het gebruik van onopgeloste bilaterale en regionale geschillen om de toetredingsprocessen van kandidaat-lidstaten te blokkeren, moet worden vermeden</w:t>
            </w:r>
            <w:r>
              <w:t>;</w:t>
            </w:r>
          </w:p>
        </w:tc>
        <w:tc>
          <w:tcPr>
            <w:tcW w:w="4876" w:type="dxa"/>
            <w:tcBorders>
              <w:top w:val="nil"/>
              <w:left w:val="nil"/>
              <w:bottom w:val="nil"/>
              <w:right w:val="nil"/>
            </w:tcBorders>
          </w:tcPr>
          <w:p>
            <w:pPr>
              <w:pStyle w:val="Normal6a"/>
            </w:pPr>
            <w:r>
              <w:t>27.</w:t>
            </w:r>
            <w:r>
              <w:tab/>
            </w:r>
            <w:r>
              <w:rPr>
                <w:b/>
                <w:i/>
              </w:rPr>
              <w:t>is ingenomen met de dialoog die de regering met de lidstaten</w:t>
            </w:r>
            <w:r>
              <w:t xml:space="preserve"> van de </w:t>
            </w:r>
            <w:r>
              <w:rPr>
                <w:b/>
                <w:i/>
              </w:rPr>
              <w:t>EU heeft aangeknoopt, met name met betrekking tot de afsluiting van hoofdstuk 31, en moedigt de autoriteiten aan te blijven inzetten op vertrouwenwekkende maatregelen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rPr>
                <w:b/>
                <w:i/>
              </w:rPr>
              <w:t>betreurt</w:t>
            </w:r>
            <w:r>
              <w:t xml:space="preserve"> dat hoofdstuk 31 in december 2024 niet kon worden afgesloten; </w:t>
            </w:r>
            <w:r>
              <w:rPr>
                <w:b/>
                <w:i/>
              </w:rPr>
              <w:t>verzoekt alle betrokken partijen oplossingen te vinden voor openstaande</w:t>
            </w:r>
            <w:r>
              <w:t xml:space="preserve"> bilaterale </w:t>
            </w:r>
            <w:r>
              <w:rPr>
                <w:b/>
                <w:i/>
              </w:rPr>
              <w:t>kwesties en</w:t>
            </w:r>
            <w:r>
              <w:t xml:space="preserve"> prioriteit te geven aan de </w:t>
            </w:r>
            <w:r>
              <w:rPr>
                <w:b/>
                <w:i/>
              </w:rPr>
              <w:t>toekomstige</w:t>
            </w:r>
            <w:r>
              <w:t xml:space="preserve"> belangen van de burgers </w:t>
            </w:r>
            <w:r>
              <w:rPr>
                <w:b/>
                <w:i/>
              </w:rPr>
              <w:t>in de Westelijke Balkan;</w:t>
            </w:r>
            <w:r>
              <w:t xml:space="preserve"> </w:t>
            </w:r>
            <w:r>
              <w:rPr>
                <w:b/>
                <w:i/>
              </w:rPr>
              <w:t>herinnert eraan dat het gebruik van onopgeloste bilaterale en regionale geschillen om de toetredingsprocessen van kandidaat-lidstaten te blokkeren, moet worden vermeden</w:t>
            </w:r>
            <w:r>
              <w:t>;</w:t>
            </w:r>
          </w:p>
        </w:tc>
        <w:tc>
          <w:tcPr>
            <w:tcW w:w="4876" w:type="dxa"/>
            <w:tcBorders>
              <w:top w:val="nil"/>
              <w:left w:val="nil"/>
              <w:bottom w:val="nil"/>
              <w:right w:val="nil"/>
            </w:tcBorders>
          </w:tcPr>
          <w:p>
            <w:pPr>
              <w:pStyle w:val="Normal6a"/>
            </w:pPr>
            <w:r>
              <w:t>27.</w:t>
            </w:r>
            <w:r>
              <w:tab/>
            </w:r>
            <w:r>
              <w:rPr>
                <w:b/>
                <w:i/>
              </w:rPr>
              <w:t>merkt op</w:t>
            </w:r>
            <w:r>
              <w:t xml:space="preserve"> dat hoofdstuk 31 in december 2024 niet kon worden afgesloten; </w:t>
            </w:r>
            <w:r>
              <w:rPr>
                <w:b/>
                <w:i/>
              </w:rPr>
              <w:t>is bezorgd over de negatieve retoriek van sommige leden van de regeringscoalitie ten aanzien van buurlanden;</w:t>
            </w:r>
            <w:r>
              <w:t xml:space="preserve"> </w:t>
            </w:r>
            <w:r>
              <w:rPr>
                <w:b/>
                <w:i/>
              </w:rPr>
              <w:t>veroordeelt de politisering van historische gebeurtenissen en de aanneming van resoluties die de polarisatie binnen het land vergroten en niet bijdragen tot goede nabuurschapsbetrekkingen;</w:t>
            </w:r>
            <w:r>
              <w:t xml:space="preserve"> </w:t>
            </w:r>
            <w:r>
              <w:rPr>
                <w:b/>
                <w:i/>
              </w:rPr>
              <w:t>dringt er bij Montenegro op aan de bepalingen inzake statenopvolging met betrekking tot de voormalige Socialistische Federale Republiek Joegoslavië volledig na te leven, in het bijzonder wat militaire middelen betreft;</w:t>
            </w:r>
            <w:r>
              <w:t xml:space="preserve"> </w:t>
            </w:r>
            <w:r>
              <w:rPr>
                <w:b/>
                <w:i/>
              </w:rPr>
              <w:t>pleit ervoor dat Montenegro en zijn buurlanden zo vroeg mogelijk in het toetredingsproces concrete stappen zetten om de reeds lang bestaande</w:t>
            </w:r>
            <w:r>
              <w:t xml:space="preserve"> bilaterale </w:t>
            </w:r>
            <w:r>
              <w:rPr>
                <w:b/>
                <w:i/>
              </w:rPr>
              <w:t>geschillen op constructieve wijze en in de geest van goed nabuurschap op te lossen, waaronder de onopgeloste kwestie van de afbakening van de grens, en op die manier</w:t>
            </w:r>
            <w:r>
              <w:t xml:space="preserve"> prioriteit te geven aan de belangen van de burgers</w:t>
            </w:r>
            <w:r>
              <w:rPr>
                <w:b/>
                <w:i/>
              </w:rPr>
              <w:t>;</w:t>
            </w:r>
            <w:r>
              <w:t xml:space="preserve"> </w:t>
            </w:r>
            <w:r>
              <w:rPr>
                <w:b/>
                <w:i/>
              </w:rPr>
              <w:t>is in dit verband ingenomen met het bilaterale overleg tussen de Republiek Kroatië en Montenegro op 27 januari 2025 over de status van onopgeloste bilaterale kwesties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betreurt dat hoofdstuk 31 in december 2024 niet kon worden afgesloten; verzoekt alle betrokken partijen oplossingen te vinden voor openstaande bilaterale kwesties en prioriteit te geven aan de toekomstige belangen van de burgers in de Westelijke Balkan; herinnert eraan dat het gebruik van onopgeloste bilaterale en regionale geschillen om de toetredingsprocessen van kandidaat-lidstaten te blokkeren, moet worden vermeden;</w:t>
            </w:r>
          </w:p>
        </w:tc>
        <w:tc>
          <w:tcPr>
            <w:tcW w:w="4876" w:type="dxa"/>
            <w:tcBorders>
              <w:top w:val="nil"/>
              <w:left w:val="nil"/>
              <w:bottom w:val="nil"/>
              <w:right w:val="nil"/>
            </w:tcBorders>
          </w:tcPr>
          <w:p>
            <w:pPr>
              <w:pStyle w:val="Normal6a"/>
            </w:pPr>
            <w:r>
              <w:t>27.</w:t>
            </w:r>
            <w:r>
              <w:tab/>
            </w:r>
            <w:r>
              <w:t xml:space="preserve">betreurt dat hoofdstuk 31 in december 2024 niet kon worden afgesloten; verzoekt alle betrokken partijen </w:t>
            </w:r>
            <w:r>
              <w:rPr>
                <w:b/>
                <w:i/>
              </w:rPr>
              <w:t>zo vroeg mogelijk in het toetredingsproces</w:t>
            </w:r>
            <w:r>
              <w:t xml:space="preserve"> oplossingen te vinden voor openstaande bilaterale kwesties en prioriteit te geven aan de toekomstige belangen van de burgers in de Westelijke Balkan</w:t>
            </w:r>
            <w:r>
              <w:rPr>
                <w:b/>
                <w:i/>
              </w:rPr>
              <w:t>, ook wat betreft de onopgeloste kwesties met Kroatië in verband met de afbakening van de grens</w:t>
            </w:r>
            <w:r>
              <w:t>; herinnert eraan dat het gebruik van onopgeloste bilaterale en regionale geschillen om de toetredingsprocessen van kandidaat-lidstaten te blokkeren, moet worden vermeden;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Jaroslav Bžoch,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betreurt dat hoofdstuk 31 in december 2024 niet kon worden afgesloten; verzoekt alle betrokken partijen oplossingen te vinden voor openstaande bilaterale kwesties en prioriteit te geven aan de toekomstige belangen van de burgers in de Westelijke Balkan; herinnert eraan dat het gebruik van onopgeloste bilaterale en regionale geschillen om de toetredingsprocessen van kandidaat-lidstaten te blokkeren, moet worden vermeden;</w:t>
            </w:r>
          </w:p>
        </w:tc>
        <w:tc>
          <w:tcPr>
            <w:tcW w:w="4876" w:type="dxa"/>
            <w:tcBorders>
              <w:top w:val="nil"/>
              <w:left w:val="nil"/>
              <w:bottom w:val="nil"/>
              <w:right w:val="nil"/>
            </w:tcBorders>
          </w:tcPr>
          <w:p>
            <w:pPr>
              <w:pStyle w:val="Normal6a"/>
            </w:pPr>
            <w:r>
              <w:t>27.</w:t>
            </w:r>
            <w:r>
              <w:tab/>
            </w:r>
            <w:r>
              <w:t xml:space="preserve">betreurt dat hoofdstuk 31 in december 2024 niet kon worden afgesloten; verzoekt alle betrokken partijen oplossingen te vinden voor openstaande bilaterale kwesties en prioriteit te geven aan de toekomstige belangen van de burgers in de Westelijke Balkan; herinnert eraan dat het gebruik van onopgeloste bilaterale en regionale geschillen om de toetredingsprocessen van kandidaat-lidstaten te blokkeren, moet worden vermeden; </w:t>
            </w:r>
            <w:r>
              <w:rPr>
                <w:b/>
                <w:i/>
              </w:rPr>
              <w:t>beklemtoont niettemin dat een unaniem besluit van alle lidstaten over de daadwerkelijke toetreding van Montenegro een essentieel element blijft van de uitbreidingsprocedure overeenkomstig artikel 49 VWEU;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Davor Ivo Stier, Tomislav Sokol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27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 bis.</w:t>
            </w:r>
            <w:r>
              <w:tab/>
            </w:r>
            <w:r>
              <w:rPr>
                <w:b/>
                <w:i/>
              </w:rPr>
              <w:t>is van mening dat de verklaring van president Jakov Milatović waarin hij zijn spijt betuigde over de deelname van Montenegrijnse troepen aan de bombardementen op de stad Dubrovnik een waardevolle bijdrage aan regionale vrede en verzoening vormde;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27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 bis.</w:t>
            </w:r>
            <w:r>
              <w:tab/>
            </w:r>
            <w:r>
              <w:rPr>
                <w:b/>
                <w:i/>
              </w:rPr>
              <w:t>veroordeelt de aanneming door het Montenegrijnse parlement in juni 2024 van een resolutie over Jasenovac, Mauthausen en Dachau en beklemtoont dat Montenegro hiermee zijn betrekkingen met Kroatië schaadt;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rPr>
                <w:b/>
                <w:i/>
              </w:rPr>
              <w:t>moedigt</w:t>
            </w:r>
            <w:r>
              <w:t xml:space="preserve"> Montenegro </w:t>
            </w:r>
            <w:r>
              <w:rPr>
                <w:b/>
                <w:i/>
              </w:rPr>
              <w:t>aan een proactieve benadering toe te passen bij de behandeling</w:t>
            </w:r>
            <w:r>
              <w:t xml:space="preserve"> van oorlogsmisdaden </w:t>
            </w:r>
            <w:r>
              <w:rPr>
                <w:b/>
                <w:i/>
              </w:rPr>
              <w:t>en te zorgen voor toegang tot de rechter en</w:t>
            </w:r>
            <w:r>
              <w:t xml:space="preserve"> schadeloosstelling </w:t>
            </w:r>
            <w:r>
              <w:rPr>
                <w:b/>
                <w:i/>
              </w:rPr>
              <w:t>voor slachtoffers</w:t>
            </w:r>
            <w:r>
              <w:t>;</w:t>
            </w:r>
          </w:p>
        </w:tc>
        <w:tc>
          <w:tcPr>
            <w:tcW w:w="4876" w:type="dxa"/>
            <w:tcBorders>
              <w:top w:val="nil"/>
              <w:left w:val="nil"/>
              <w:bottom w:val="nil"/>
              <w:right w:val="nil"/>
            </w:tcBorders>
          </w:tcPr>
          <w:p>
            <w:pPr>
              <w:pStyle w:val="Normal6a"/>
            </w:pPr>
            <w:r>
              <w:t>28.</w:t>
            </w:r>
            <w:r>
              <w:tab/>
            </w:r>
            <w:r>
              <w:rPr>
                <w:b/>
                <w:i/>
              </w:rPr>
              <w:t>dringt er bij</w:t>
            </w:r>
            <w:r>
              <w:t xml:space="preserve"> Montenegro </w:t>
            </w:r>
            <w:r>
              <w:rPr>
                <w:b/>
                <w:i/>
              </w:rPr>
              <w:t>op aan meer inspanningen te leveren om oorlogsmisdaden en de verheerlijking ervan op te sporen, te vervolgen en te bestraffen en daarnaast duidelijkheid te verschaffen over het lot van vermiste personen;</w:t>
            </w:r>
            <w:r>
              <w:t xml:space="preserve"> </w:t>
            </w:r>
            <w:r>
              <w:rPr>
                <w:b/>
                <w:i/>
              </w:rPr>
              <w:t>verzoekt Montenegro alle beschuldigingen</w:t>
            </w:r>
            <w:r>
              <w:t xml:space="preserve"> van oorlogsmisdaden </w:t>
            </w:r>
            <w:r>
              <w:rPr>
                <w:b/>
                <w:i/>
              </w:rPr>
              <w:t>proactief te onderzoeken en kwesties in verband met bevelsverantwoordelijkheid aan de orde te stellen;</w:t>
            </w:r>
            <w:r>
              <w:t xml:space="preserve"> </w:t>
            </w:r>
            <w:r>
              <w:rPr>
                <w:b/>
                <w:i/>
              </w:rPr>
              <w:t>pleit in dit verband voor doeltreffende regionale samenwerking bij het onderzoeken en vervolgen van personen die worden aangeklaagd wegens oorlogsmisdaden;</w:t>
            </w:r>
            <w:r>
              <w:t xml:space="preserve"> </w:t>
            </w:r>
            <w:r>
              <w:rPr>
                <w:b/>
                <w:i/>
              </w:rPr>
              <w:t>dringt er bij de autoriteiten op aan oude zaken waarbij geen vervolging heeft plaatsgevonden overeenkomstig het internationaal humanitair recht of het nationale recht te herzien en te waarborgen dat alle slachtoffers en hun familieleden</w:t>
            </w:r>
            <w:r>
              <w:t xml:space="preserve"> schadeloosstelling </w:t>
            </w:r>
            <w:r>
              <w:rPr>
                <w:b/>
                <w:i/>
              </w:rPr>
              <w:t>en/of administratieve compensatie ontvangen voor het leed dat hun is berokkend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rPr>
                <w:b/>
                <w:i/>
              </w:rPr>
              <w:t>moedigt</w:t>
            </w:r>
            <w:r>
              <w:t xml:space="preserve"> Montenegro </w:t>
            </w:r>
            <w:r>
              <w:rPr>
                <w:b/>
                <w:i/>
              </w:rPr>
              <w:t>aan</w:t>
            </w:r>
            <w:r>
              <w:t xml:space="preserve"> een proactieve benadering toe te passen bij de behandeling van oorlogsmisdaden </w:t>
            </w:r>
            <w:r>
              <w:rPr>
                <w:b/>
                <w:i/>
              </w:rPr>
              <w:t>en te zorgen voor toegang tot de rechter en schadeloosstelling voor slachtoffers</w:t>
            </w:r>
            <w:r>
              <w:t>;</w:t>
            </w:r>
          </w:p>
        </w:tc>
        <w:tc>
          <w:tcPr>
            <w:tcW w:w="4876" w:type="dxa"/>
            <w:tcBorders>
              <w:top w:val="nil"/>
              <w:left w:val="nil"/>
              <w:bottom w:val="nil"/>
              <w:right w:val="nil"/>
            </w:tcBorders>
          </w:tcPr>
          <w:p>
            <w:pPr>
              <w:pStyle w:val="Normal6a"/>
            </w:pPr>
            <w:r>
              <w:t>28.</w:t>
            </w:r>
            <w:r>
              <w:tab/>
            </w:r>
            <w:r>
              <w:rPr>
                <w:b/>
                <w:i/>
              </w:rPr>
              <w:t>verzoekt</w:t>
            </w:r>
            <w:r>
              <w:t xml:space="preserve"> Montenegro een proactieve benadering toe te passen bij de behandeling van oorlogsmisdaden</w:t>
            </w:r>
            <w:r>
              <w:rPr>
                <w:b/>
                <w:i/>
              </w:rPr>
              <w:t>, de daders te vervolgen, en recht te doen geschieden en schadeloosstelling te waarborgen voor slachtoffers, met name in de zaken met betrekking tot Bukovica, Kaluđerski Laz, het detentiekamp Morinj en de illegale deportatie;</w:t>
            </w:r>
            <w:r>
              <w:t xml:space="preserve"> </w:t>
            </w:r>
            <w:r>
              <w:rPr>
                <w:b/>
                <w:i/>
              </w:rPr>
              <w:t>spreekt zijn scherpe veroordeling uit over de verheerlijking van oorlogsmisdadigers en de alomtegenwoordige publieke ontkenning van internationale vonnissen met betrekking tot oorlogsmisdaden, waaronder de ontkenning van de genocide in Srebrenica, onder meer door leden van de regeringscoalitie ZBCG onder leiding van parlementsvoorzitter Andrija Mandić</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Marjan Šarec, Lucia Yar, Petras Auštrevičius, Dan Barna, Ilhan Kyuchyuk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moedigt Montenegro aan een proactieve benadering toe te passen bij de behandeling van oorlogsmisdaden en te zorgen voor toegang tot de rechter en schadeloosstelling voor slachtoffers;</w:t>
            </w:r>
          </w:p>
        </w:tc>
        <w:tc>
          <w:tcPr>
            <w:tcW w:w="4876" w:type="dxa"/>
            <w:tcBorders>
              <w:top w:val="nil"/>
              <w:left w:val="nil"/>
              <w:bottom w:val="nil"/>
              <w:right w:val="nil"/>
            </w:tcBorders>
          </w:tcPr>
          <w:p>
            <w:pPr>
              <w:pStyle w:val="Normal6a"/>
            </w:pPr>
            <w:r>
              <w:t>28.</w:t>
            </w:r>
            <w:r>
              <w:tab/>
            </w:r>
            <w:r>
              <w:rPr>
                <w:b/>
                <w:i/>
              </w:rPr>
              <w:t>wijst op de wijzigingen die Montenegro heeft aangebracht in het wetboek van strafvordering om juridische en praktische belemmeringen voor het doeltreffend onderzoeken, vervolgen, berechten en bestraffen van oorlogsmisdaden aan te pakken, in overeenstemming met de desbetreffende aanbevelingen;</w:t>
            </w:r>
            <w:r>
              <w:t xml:space="preserve"> moedigt Montenegro aan een proactieve benadering toe te passen bij de behandeling van oorlogsmisdaden </w:t>
            </w:r>
            <w:r>
              <w:rPr>
                <w:b/>
                <w:i/>
              </w:rPr>
              <w:t>volgens het internationale recht en internationale normen,</w:t>
            </w:r>
            <w:r>
              <w:t xml:space="preserve"> en te zorgen voor toegang tot de rechter en schadeloosstelling voor slachtoffers;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Andrey Kovatchev, Tomislav Sokol, Sunčana Glavak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moedigt Montenegro aan een proactieve benadering toe te passen bij de behandeling van oorlogsmisdaden en te zorgen voor toegang tot de rechter en schadeloosstelling voor slachtoffers;</w:t>
            </w:r>
          </w:p>
        </w:tc>
        <w:tc>
          <w:tcPr>
            <w:tcW w:w="4876" w:type="dxa"/>
            <w:tcBorders>
              <w:top w:val="nil"/>
              <w:left w:val="nil"/>
              <w:bottom w:val="nil"/>
              <w:right w:val="nil"/>
            </w:tcBorders>
          </w:tcPr>
          <w:p>
            <w:pPr>
              <w:pStyle w:val="Normal6a"/>
            </w:pPr>
            <w:r>
              <w:t>28.</w:t>
            </w:r>
            <w:r>
              <w:tab/>
            </w:r>
            <w:r>
              <w:t xml:space="preserve">moedigt Montenegro aan een proactieve benadering toe te passen bij de behandeling van oorlogsmisdaden en te zorgen voor toegang tot de rechter en schadeloosstelling voor slachtoffers; </w:t>
            </w:r>
            <w:r>
              <w:rPr>
                <w:b/>
                <w:i/>
              </w:rPr>
              <w:t>benadrukt dat onderzoek en vervolging doeltreffend moeten worden uitgevoerd om recht te doen geschieden, het genezingsproces te bevorderen, ervoor te zorgen dat er verantwoording wordt afgelegd en te voorkomen dat ernstige mensenrechtenschendingen onbestraft blijven;</w:t>
            </w:r>
            <w:r>
              <w:t xml:space="preserve"> </w:t>
            </w:r>
            <w:r>
              <w:rPr>
                <w:b/>
                <w:i/>
              </w:rPr>
              <w:t>verzoekt Montenegro voldoende middelen toe te wijzen aan gespecialiseerde aanklagers en rechtbanken, en de regionale samenwerking bij het aanpakken van straffeloosheid te versterken;</w:t>
            </w:r>
            <w:r>
              <w:t xml:space="preserve"> </w:t>
            </w:r>
            <w:r>
              <w:rPr>
                <w:b/>
                <w:i/>
              </w:rPr>
              <w:t>benadrukt het belang van een billijke schadeloosstelling van oorlogsslachtoffers als een stap in de richting van verzoening en duurzame vrede in de regio;</w:t>
            </w:r>
            <w:r>
              <w:t xml:space="preserve"> </w:t>
            </w:r>
            <w:r>
              <w:rPr>
                <w:b/>
                <w:i/>
              </w:rPr>
              <w:t>dringt er bij Montenegro op aan openstaande kwesties op te lossen, waaronder zaken in verband met vermiste personen, vervolging van oorlogsmisdaden, billijke compensatie, grensgeschillen, een meer vastberaden toepassing van de gelijke behandeling van minderheden en de naleving van bestaande verdragen op basis van een constructieve dialoog en te goeder trouw;</w:t>
            </w:r>
            <w:r>
              <w:t xml:space="preserve"> </w:t>
            </w:r>
            <w:r>
              <w:rPr>
                <w:b/>
                <w:i/>
              </w:rPr>
              <w:t>erkent dat het aanpakken van deze kwesties van cruciaal belang is voor het opbouwen van vertrouwen, het bevorderen van verzoening en het versterken van de bilaterale betrekkingen met buurlanden;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moedigt Montenegro aan een proactieve benadering toe te passen bij de behandeling van oorlogsmisdaden en te zorgen voor toegang tot de rechter en schadeloosstelling voor slachtoffers;</w:t>
            </w:r>
          </w:p>
        </w:tc>
        <w:tc>
          <w:tcPr>
            <w:tcW w:w="4876" w:type="dxa"/>
            <w:tcBorders>
              <w:top w:val="nil"/>
              <w:left w:val="nil"/>
              <w:bottom w:val="nil"/>
              <w:right w:val="nil"/>
            </w:tcBorders>
          </w:tcPr>
          <w:p>
            <w:pPr>
              <w:pStyle w:val="Normal6a"/>
            </w:pPr>
            <w:r>
              <w:t>28.</w:t>
            </w:r>
            <w:r>
              <w:tab/>
            </w:r>
            <w:r>
              <w:t xml:space="preserve">moedigt Montenegro aan een proactieve benadering toe te passen bij de behandeling van oorlogsmisdaden en te zorgen voor toegang tot de rechter en schadeloosstelling voor slachtoffers; </w:t>
            </w:r>
            <w:r>
              <w:rPr>
                <w:b/>
                <w:i/>
              </w:rPr>
              <w:t>dringt er bij Montenegro op aan meer inspanningen te leveren om oorlogsmisdaden te bestraffen en veroordeelt het verheerlijken ervan, en verzoekt met klem om duidelijkheid te verschaffen over het lot van vermiste personen;</w:t>
            </w:r>
            <w:r>
              <w:t xml:space="preserve"> </w:t>
            </w:r>
            <w:r>
              <w:rPr>
                <w:b/>
                <w:i/>
              </w:rPr>
              <w:t>verzoekt Montenegro het Russische narratief tegen te gaan en lokale radicale organisaties die dit narratief ondersteunen te bestrijden;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moedigt Montenegro aan een proactieve benadering toe te passen bij de behandeling van oorlogsmisdaden en te zorgen voor toegang tot de rechter en schadeloosstelling voor slachtoffers;</w:t>
            </w:r>
          </w:p>
        </w:tc>
        <w:tc>
          <w:tcPr>
            <w:tcW w:w="4876" w:type="dxa"/>
            <w:tcBorders>
              <w:top w:val="nil"/>
              <w:left w:val="nil"/>
              <w:bottom w:val="nil"/>
              <w:right w:val="nil"/>
            </w:tcBorders>
          </w:tcPr>
          <w:p>
            <w:pPr>
              <w:pStyle w:val="Normal6a"/>
            </w:pPr>
            <w:r>
              <w:t>28.</w:t>
            </w:r>
            <w:r>
              <w:tab/>
            </w:r>
            <w:r>
              <w:t xml:space="preserve">moedigt Montenegro aan een proactieve benadering toe te passen bij de behandeling van oorlogsmisdaden en te zorgen voor toegang tot de rechter en schadeloosstelling voor slachtoffers; </w:t>
            </w:r>
            <w:r>
              <w:rPr>
                <w:b/>
                <w:i/>
              </w:rPr>
              <w:t>verzoekt de Montenegrijnse autoriteiten personen die betrokken waren bij oorlogsmisdaden in de jaren 1990 niet te verheerlijken;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moedigt Montenegro aan een proactieve benadering toe te passen bij de behandeling van oorlogsmisdaden en te zorgen voor toegang tot de rechter en schadeloosstelling voor slachtoffers;</w:t>
            </w:r>
          </w:p>
        </w:tc>
        <w:tc>
          <w:tcPr>
            <w:tcW w:w="4876" w:type="dxa"/>
            <w:tcBorders>
              <w:top w:val="nil"/>
              <w:left w:val="nil"/>
              <w:bottom w:val="nil"/>
              <w:right w:val="nil"/>
            </w:tcBorders>
          </w:tcPr>
          <w:p>
            <w:pPr>
              <w:pStyle w:val="Normal6a"/>
            </w:pPr>
            <w:r>
              <w:t>28.</w:t>
            </w:r>
            <w:r>
              <w:tab/>
            </w:r>
            <w:r>
              <w:t xml:space="preserve">moedigt Montenegro aan een proactieve benadering toe te passen bij de behandeling van oorlogsmisdaden en te zorgen voor toegang tot de rechter en schadeloosstelling voor slachtoffers; </w:t>
            </w:r>
            <w:r>
              <w:rPr>
                <w:b/>
                <w:i/>
              </w:rPr>
              <w:t>spoort Montenegro ertoe aan zijn inspanningen op het gebied van verzoening te intensiveren en te streven naar oplossingen voor geschillen uit het verleden;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28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 bis.</w:t>
            </w:r>
            <w:r>
              <w:tab/>
            </w:r>
            <w:r>
              <w:rPr>
                <w:b/>
                <w:i/>
              </w:rPr>
              <w:t>waarschuwt voor de gevaren van politiek revisionisme, dat gericht is op het verdraaien van historische feiten voor politieke doeleinden, het ondermijnen van verantwoordingsplicht en het vergroten van de verdeeldheid in de samenleving;</w:t>
            </w:r>
            <w:r>
              <w:t xml:space="preserve"> </w:t>
            </w:r>
            <w:r>
              <w:rPr>
                <w:b/>
                <w:i/>
              </w:rPr>
              <w:t>benadrukt het belang van het beschermen van de historische waarheid als basis voor democratische waarden en verzoening;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28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 ter.</w:t>
            </w:r>
            <w:r>
              <w:tab/>
            </w:r>
            <w:r>
              <w:rPr>
                <w:b/>
                <w:i/>
              </w:rPr>
              <w:t>spreekt nogmaals zijn steun uit voor het initiatief tot oprichting van de regionale commissie voor de vaststelling van feiten over oorlogsmisdaden en andere ernstige schendingen van de mensenrechten die zijn begaan op het grondgebied van het voormalige Joegoslavië (Recom);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28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 bis.</w:t>
            </w:r>
            <w:r>
              <w:tab/>
            </w:r>
            <w:r>
              <w:rPr>
                <w:b/>
                <w:i/>
              </w:rPr>
              <w:t>waarschuwt voor de gevaren van politiek revisionisme, dat gericht is op het verdraaien van historische feiten voor politieke doeleinden, het ondermijnen van verantwoordingsplicht en het vergroten van de verdeeldheid in de samenleving;</w:t>
            </w:r>
            <w:r>
              <w:t xml:space="preserve"> </w:t>
            </w:r>
            <w:r>
              <w:rPr>
                <w:b/>
                <w:i/>
              </w:rPr>
              <w:t>benadrukt het belang van het waarborgen van door de rechter vastgestelde feiten als basis voor verzoening;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28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 bis.</w:t>
            </w:r>
            <w:r>
              <w:tab/>
            </w:r>
            <w:r>
              <w:rPr>
                <w:b/>
                <w:i/>
              </w:rPr>
              <w:t>herhaalt zijn oproep om de archieven met betrekking tot de voormalige republieken van Joegoslavië open te stellen en toegang te verlenen tot de dossiers van de voormalige Joegoslavische geheime dienst (UDBA) en de geheime dienst van het Joegoslavische volksleger (KOS), zodat misdaden uit het communistische tijdperk grondig kunnen worden onderzocht en behandeld;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Andrey Kovatchev, Tomislav Sokol, Sunčana Glavak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28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 bis.</w:t>
            </w:r>
            <w:r>
              <w:tab/>
            </w:r>
            <w:r>
              <w:rPr>
                <w:b/>
                <w:i/>
              </w:rPr>
              <w:t>verzoekt Servië alle oorlogsarchieven open te stellen en toegang te verlenen tot de dossiers van de voormalige Joegoslavische geheime dienst (UDBA) en de geheime dienst van het Joegoslavische Volksleger (KOS), en ervoor te zorgen dat deze op verzoek worden overgedragen aan de respectieve regeringen;</w:t>
            </w:r>
            <w:r>
              <w:t xml:space="preserve"> </w:t>
            </w:r>
            <w:r>
              <w:rPr>
                <w:b/>
                <w:i/>
              </w:rPr>
              <w:t>benadrukt dat deze archieven in de hele regio moeten worden opengesteld zodat misdaden uit het communistische tijdperk kunnen worden onderzocht en de democratie, verantwoordingsplicht en instellingen in de Westelijke Balkan worden versterkt;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Marjan Šarec, Lucia Yar, Petras Auštrevičius, Dan Barna, Ilhan Kyuchyuk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is ingenomen met de opname van Montenegro in SEPA-betalingsregelingen, wat de kosten voor burgers en bedrijven verlaagt;</w:t>
            </w:r>
          </w:p>
        </w:tc>
        <w:tc>
          <w:tcPr>
            <w:tcW w:w="4876" w:type="dxa"/>
            <w:tcBorders>
              <w:top w:val="nil"/>
              <w:left w:val="nil"/>
              <w:bottom w:val="nil"/>
              <w:right w:val="nil"/>
            </w:tcBorders>
          </w:tcPr>
          <w:p>
            <w:pPr>
              <w:pStyle w:val="Normal6a"/>
            </w:pPr>
            <w:r>
              <w:t>29.</w:t>
            </w:r>
            <w:r>
              <w:tab/>
            </w:r>
            <w:r>
              <w:t xml:space="preserve">is ingenomen met de opname van Montenegro in SEPA-betalingsregelingen, wat de kosten voor burgers en bedrijven verlaagt; </w:t>
            </w:r>
            <w:r>
              <w:rPr>
                <w:b/>
                <w:i/>
              </w:rPr>
              <w:t>beklemtoont dat dit kansen biedt voor bedrijfsuitbreiding, een groter concurrentievermogen, innovatie en betere toegang tot buitenlandse directe investeringen;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 xml:space="preserve">is verheugd over het groeiplan voor de Westelijke Balkan </w:t>
            </w:r>
            <w:r>
              <w:rPr>
                <w:b/>
                <w:i/>
              </w:rPr>
              <w:t>en over</w:t>
            </w:r>
            <w:r>
              <w:t xml:space="preserve"> de hervormings- en groeifaciliteit voor de Westelijke Balkan; is verheugd dat Montenegro een hervormingsagenda heeft aangenomen en moedigt de volledige uitvoering ervan aan; benadrukt het belang van inclusieve raadplegingen van belanghebbenden bij de ontwerp-, uitvoerings-, monitoring- en evaluatiefasen;</w:t>
            </w:r>
          </w:p>
        </w:tc>
        <w:tc>
          <w:tcPr>
            <w:tcW w:w="4876" w:type="dxa"/>
            <w:tcBorders>
              <w:top w:val="nil"/>
              <w:left w:val="nil"/>
              <w:bottom w:val="nil"/>
              <w:right w:val="nil"/>
            </w:tcBorders>
          </w:tcPr>
          <w:p>
            <w:pPr>
              <w:pStyle w:val="Normal6a"/>
            </w:pPr>
            <w:r>
              <w:t>30.</w:t>
            </w:r>
            <w:r>
              <w:tab/>
            </w:r>
            <w:r>
              <w:t>is verheugd over het groeiplan voor de Westelijke Balkan</w:t>
            </w:r>
            <w:r>
              <w:rPr>
                <w:b/>
                <w:i/>
              </w:rPr>
              <w:t>, dat tot doel heeft de regio te integreren in de eengemaakte markt van de EU, regionale economische samenwerking te bevorderen en EU-gerelateerde hervormingen te intensiveren, en waarin</w:t>
            </w:r>
            <w:r>
              <w:t xml:space="preserve"> de hervormings- en groeifaciliteit voor de Westelijke Balkan </w:t>
            </w:r>
            <w:r>
              <w:rPr>
                <w:b/>
                <w:i/>
              </w:rPr>
              <w:t>ter waarde van 6 miljard EUR is opgenomen</w:t>
            </w:r>
            <w:r>
              <w:t>; is verheugd dat Montenegro een hervormingsagenda heeft aangenomen en moedigt de volledige uitvoering ervan aan; benadrukt het belang van inclusieve raadplegingen van belanghebbenden bij de ontwerp-, uitvoerings-, monitoring- en evaluatiefasen;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Lucia Yar, Dan Barna, Malik Azmani, Marjan Šarec, Ľubica Karvašová,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is verheugd over het groeiplan voor de Westelijke Balkan en over de hervormings- en groeifaciliteit voor de Westelijke Balkan; is verheugd dat Montenegro een hervormingsagenda heeft aangenomen en moedigt de volledige uitvoering ervan aan; benadrukt het belang van inclusieve raadplegingen van belanghebbenden bij de ontwerp-, uitvoerings-, monitoring- en evaluatiefasen;</w:t>
            </w:r>
          </w:p>
        </w:tc>
        <w:tc>
          <w:tcPr>
            <w:tcW w:w="4876" w:type="dxa"/>
            <w:tcBorders>
              <w:top w:val="nil"/>
              <w:left w:val="nil"/>
              <w:bottom w:val="nil"/>
              <w:right w:val="nil"/>
            </w:tcBorders>
          </w:tcPr>
          <w:p>
            <w:pPr>
              <w:pStyle w:val="Normal6a"/>
            </w:pPr>
            <w:r>
              <w:t>30.</w:t>
            </w:r>
            <w:r>
              <w:tab/>
            </w:r>
            <w:r>
              <w:t xml:space="preserve">is verheugd over het groeiplan voor de Westelijke Balkan en over de hervormings- en groeifaciliteit voor de Westelijke Balkan; is verheugd dat Montenegro een hervormingsagenda heeft aangenomen en moedigt de volledige uitvoering ervan aan; </w:t>
            </w:r>
            <w:r>
              <w:rPr>
                <w:b/>
                <w:i/>
              </w:rPr>
              <w:t>merkt op dat de uitvoering van de vastgestelde hervormingsmaatregelen van de hervormingsagenda van Montenegro in het kader van het groeiplan toegang zou bieden tot meer dan 380 miljoen EUR aan subsidies en gunstige leningen, onder voorbehoud van een succesvolle uitvoering;</w:t>
            </w:r>
            <w:r>
              <w:t xml:space="preserve"> benadrukt het belang van inclusieve raadplegingen van belanghebbenden bij de ontwerp-, uitvoerings-, monitoring- en evaluatiefasen;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is verheugd over het groeiplan voor de Westelijke Balkan en over de hervormings- en groeifaciliteit voor de Westelijke Balkan; is verheugd dat Montenegro een hervormingsagenda heeft aangenomen en moedigt de volledige uitvoering ervan aan; benadrukt het belang van inclusieve raadplegingen van belanghebbenden bij de ontwerp-, uitvoerings-, monitoring- en evaluatiefasen;</w:t>
            </w:r>
          </w:p>
        </w:tc>
        <w:tc>
          <w:tcPr>
            <w:tcW w:w="4876" w:type="dxa"/>
            <w:tcBorders>
              <w:top w:val="nil"/>
              <w:left w:val="nil"/>
              <w:bottom w:val="nil"/>
              <w:right w:val="nil"/>
            </w:tcBorders>
          </w:tcPr>
          <w:p>
            <w:pPr>
              <w:pStyle w:val="Normal6a"/>
            </w:pPr>
            <w:r>
              <w:t>30.</w:t>
            </w:r>
            <w:r>
              <w:tab/>
            </w:r>
            <w:r>
              <w:t xml:space="preserve">is verheugd over het groeiplan voor de Westelijke Balkan en over de hervormings- en groeifaciliteit voor de Westelijke Balkan; is verheugd dat Montenegro een hervormingsagenda heeft aangenomen en moedigt de volledige uitvoering ervan aan; </w:t>
            </w:r>
            <w:r>
              <w:rPr>
                <w:b/>
                <w:i/>
              </w:rPr>
              <w:t>spoort Montenegro ertoe aan optimaal gebruik te maken van de EU-middelen die beschikbaar zijn in het kader van IPA III en de faciliteit voor de Westelijke Balkan;</w:t>
            </w:r>
            <w:r>
              <w:t xml:space="preserve"> benadrukt het belang van inclusieve raadplegingen van belanghebbenden bij de ontwerp-, uitvoerings-, monitoring- en evaluatiefasen;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Marjan Šarec, Lucia Yar, Petras Auštrevičius, Dan Barna, Ilhan Kyuchyuk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is verheugd over het groeiplan voor de Westelijke Balkan en over de hervormings- en groeifaciliteit voor de Westelijke Balkan; is verheugd dat Montenegro een hervormingsagenda heeft aangenomen en moedigt de volledige uitvoering ervan aan; benadrukt het belang van inclusieve raadplegingen van belanghebbenden bij de ontwerp-, uitvoerings-, monitoring- en evaluatiefasen;</w:t>
            </w:r>
          </w:p>
        </w:tc>
        <w:tc>
          <w:tcPr>
            <w:tcW w:w="4876" w:type="dxa"/>
            <w:tcBorders>
              <w:top w:val="nil"/>
              <w:left w:val="nil"/>
              <w:bottom w:val="nil"/>
              <w:right w:val="nil"/>
            </w:tcBorders>
          </w:tcPr>
          <w:p>
            <w:pPr>
              <w:pStyle w:val="Normal6a"/>
            </w:pPr>
            <w:r>
              <w:t>30.</w:t>
            </w:r>
            <w:r>
              <w:tab/>
            </w:r>
            <w:r>
              <w:t>is verheugd over het groeiplan voor de Westelijke Balkan en over de hervormings- en groeifaciliteit voor de Westelijke Balkan; is verheugd dat Montenegro een hervormingsagenda heeft aangenomen en moedigt de volledige uitvoering ervan aan; benadrukt het belang van inclusieve raadplegingen van belanghebbenden</w:t>
            </w:r>
            <w:r>
              <w:rPr>
                <w:b/>
                <w:i/>
              </w:rPr>
              <w:t>, met inbegrip van lokale en regionale overheden, sociale partners en het maatschappelijk middenveld,</w:t>
            </w:r>
            <w:r>
              <w:t xml:space="preserve"> bij de ontwerp-, uitvoerings-, monitoring- en evaluatiefasen;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Jaroslav Bžoch,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moedigt Montenegro aan optimaal gebruik te maken van alle EU-financiering en zijn wetgeving inzake fraudepreventie verder af te stemmen op die van de EU; herinnert aan de conditionaliteit van EU-financiering;</w:t>
            </w:r>
          </w:p>
        </w:tc>
        <w:tc>
          <w:tcPr>
            <w:tcW w:w="4876" w:type="dxa"/>
            <w:tcBorders>
              <w:top w:val="nil"/>
              <w:left w:val="nil"/>
              <w:bottom w:val="nil"/>
              <w:right w:val="nil"/>
            </w:tcBorders>
          </w:tcPr>
          <w:p>
            <w:pPr>
              <w:pStyle w:val="Normal6a"/>
            </w:pPr>
            <w:r>
              <w:t>31.</w:t>
            </w:r>
            <w:r>
              <w:tab/>
            </w:r>
            <w:r>
              <w:t xml:space="preserve">moedigt Montenegro aan optimaal gebruik te maken van alle EU-financiering en zijn wetgeving inzake fraudepreventie </w:t>
            </w:r>
            <w:r>
              <w:rPr>
                <w:b/>
                <w:i/>
              </w:rPr>
              <w:t>en witwassen</w:t>
            </w:r>
            <w:r>
              <w:t xml:space="preserve"> verder af te stemmen op die van de EU; herinnert aan de conditionaliteit van EU-financiering; </w:t>
            </w:r>
            <w:r>
              <w:rPr>
                <w:b/>
                <w:i/>
              </w:rPr>
              <w:t>beklemtoont dat het gebruik van EU-middelen goed zal worden gemonitord en doeltreffend zal worden geëvalueerd om te voorkomen dat deze middelen worden misbruikt;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moedigt Montenegro aan optimaal gebruik te maken van alle EU-financiering en zijn wetgeving inzake fraudepreventie verder af te stemmen op die van de EU; herinnert aan de conditionaliteit van EU-financiering;</w:t>
            </w:r>
          </w:p>
        </w:tc>
        <w:tc>
          <w:tcPr>
            <w:tcW w:w="4876" w:type="dxa"/>
            <w:tcBorders>
              <w:top w:val="nil"/>
              <w:left w:val="nil"/>
              <w:bottom w:val="nil"/>
              <w:right w:val="nil"/>
            </w:tcBorders>
          </w:tcPr>
          <w:p>
            <w:pPr>
              <w:pStyle w:val="Normal6a"/>
            </w:pPr>
            <w:r>
              <w:t>31.</w:t>
            </w:r>
            <w:r>
              <w:tab/>
            </w:r>
            <w:r>
              <w:t xml:space="preserve">moedigt Montenegro aan optimaal gebruik te maken van alle EU-financiering </w:t>
            </w:r>
            <w:r>
              <w:rPr>
                <w:b/>
                <w:i/>
              </w:rPr>
              <w:t>die beschikbaar is in het kader van het pretoetredingsinstrument (IPA III), het economisch en investeringsplan voor de Westelijke Balkan, het Ipard-programma en de hervormings- en groeifaciliteit voor de Westelijke Balkan, de sociaal-economische convergentie met de EU te versnellen</w:t>
            </w:r>
            <w:r>
              <w:t xml:space="preserve"> en zijn wetgeving inzake fraudepreventie verder af te stemmen op die van de EU; herinnert aan de conditionaliteit van EU-financiering;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Marjan Šarec, Lucia Yar, Petras Auštrevičius, Dan Barna, Ilhan Kyuchyuk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moedigt Montenegro aan optimaal gebruik te maken van alle EU-financiering en zijn wetgeving inzake fraudepreventie verder af te stemmen op die van de EU; herinnert aan de conditionaliteit van EU-financiering;</w:t>
            </w:r>
          </w:p>
        </w:tc>
        <w:tc>
          <w:tcPr>
            <w:tcW w:w="4876" w:type="dxa"/>
            <w:tcBorders>
              <w:top w:val="nil"/>
              <w:left w:val="nil"/>
              <w:bottom w:val="nil"/>
              <w:right w:val="nil"/>
            </w:tcBorders>
          </w:tcPr>
          <w:p>
            <w:pPr>
              <w:pStyle w:val="Normal6a"/>
            </w:pPr>
            <w:r>
              <w:t>31.</w:t>
            </w:r>
            <w:r>
              <w:tab/>
            </w:r>
            <w:r>
              <w:t>moedigt Montenegro aan optimaal gebruik te maken van alle EU-financiering en zijn wetgeving inzake fraudepreventie verder af te stemmen op die van de EU; herinnert aan de conditionaliteit van EU-financiering</w:t>
            </w:r>
            <w:r>
              <w:rPr>
                <w:b/>
                <w:i/>
              </w:rPr>
              <w:t>,</w:t>
            </w:r>
            <w:r>
              <w:t xml:space="preserve"> </w:t>
            </w:r>
            <w:r>
              <w:rPr>
                <w:b/>
                <w:i/>
              </w:rPr>
              <w:t>die kan worden bijgesteld of opgeschort in geval van significante achteruitgang of aanhoudend gebrek aan vooruitgang op het gebied van fundamentele kwesties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Marjan Šarec, Lucia Yar, Petras Auštrevičius, Dan Barna, Ilhan Kyuchyuk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 bis.</w:t>
            </w:r>
            <w:r>
              <w:tab/>
            </w:r>
            <w:r>
              <w:rPr>
                <w:b/>
                <w:i/>
              </w:rPr>
              <w:t>vraagt de EU en de toetredingslanden een kader op te zetten voor doeltreffende samenwerking tussen het Europees Openbaar Ministerie (EOM) en de toetredingslanden;</w:t>
            </w:r>
            <w:r>
              <w:t xml:space="preserve"> </w:t>
            </w:r>
            <w:r>
              <w:rPr>
                <w:b/>
                <w:i/>
              </w:rPr>
              <w:t>moedigt Montenegro aan de werkafspraken met het EOM volledig uit te voeren om nauwe samenwerking en de vervolging van misbruik van EU-middelen te faciliteren;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 bis.</w:t>
            </w:r>
            <w:r>
              <w:tab/>
            </w:r>
            <w:r>
              <w:rPr>
                <w:b/>
                <w:i/>
              </w:rPr>
              <w:t>verzoekt de EU en de landen van de Westelijke Balkan een kader vast te stellen voor doeltreffende samenwerking met het Europees Openbaar Ministerie (EOM);</w:t>
            </w:r>
            <w:r>
              <w:t xml:space="preserve"> </w:t>
            </w:r>
            <w:r>
              <w:rPr>
                <w:b/>
                <w:i/>
              </w:rPr>
              <w:t>verzoekt de Commissie om de nodige wettelijke en politieke regelingen uit te werken om de bevoegdheid van het EOM uit te breiden tot EU-middelen die aan Montenegro als kandidaat-lidstaat worden besteed;</w:t>
            </w:r>
            <w:r>
              <w:t xml:space="preserve"> </w:t>
            </w:r>
            <w:r>
              <w:rPr>
                <w:b/>
                <w:i/>
              </w:rPr>
              <w:t>spoort de landen van de Westelijke Balkan ertoe aan snel bilaterale werkafspraken met het EOM te maken om nauwe samenwerking en de vervolging van het misbruik van EU-middelen te faciliteren, onder meer door de detachering van nationale verbindingsfunctionarissen bij het EOM;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 bis.</w:t>
            </w:r>
            <w:r>
              <w:tab/>
            </w:r>
            <w:r>
              <w:rPr>
                <w:b/>
                <w:i/>
              </w:rPr>
              <w:t>roept de EU en de landen van de Westelijke Balkan op een kader in te stellen voor een doeltreffende samenwerking tussen het Europees Openbaar Ministerie (EOM) en de toetredingslanden om nauwe samenwerking en de vervolging van misbruik van EU-middelen te faciliteren;</w:t>
            </w:r>
            <w:r>
              <w:t xml:space="preserve"> </w:t>
            </w:r>
            <w:r>
              <w:rPr>
                <w:b/>
                <w:i/>
              </w:rPr>
              <w:t>stelt tevreden vast dat Montenegro bilaterale werkafspraken met het EOM heeft vastgesteld;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Jaroslav Bžoch,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is ingenomen met de economische groei van Montenegro; dringt aan op meer inspanningen om het begrotingstekort en de overheidsschuld terug te dringen en om vrijstellingen van indirecte belastingen die niet in overeenstemming zijn met het EU-acquis, verder af te schaffen;</w:t>
            </w:r>
          </w:p>
        </w:tc>
        <w:tc>
          <w:tcPr>
            <w:tcW w:w="4876" w:type="dxa"/>
            <w:tcBorders>
              <w:top w:val="nil"/>
              <w:left w:val="nil"/>
              <w:bottom w:val="nil"/>
              <w:right w:val="nil"/>
            </w:tcBorders>
          </w:tcPr>
          <w:p>
            <w:pPr>
              <w:pStyle w:val="Normal6a"/>
            </w:pPr>
            <w:r>
              <w:t>32.</w:t>
            </w:r>
            <w:r>
              <w:tab/>
            </w:r>
            <w:r>
              <w:t>is ingenomen met de economische groei van Montenegro; dringt aan op meer inspanningen om het begrotingstekort en de overheidsschuld terug te dringen en om vrijstellingen van indirecte belastingen die niet in overeenstemming zijn met het EU-acquis, verder af te schaffen</w:t>
            </w:r>
            <w:r>
              <w:rPr>
                <w:b/>
                <w:i/>
              </w:rPr>
              <w:t>,</w:t>
            </w:r>
            <w:r>
              <w:t xml:space="preserve"> </w:t>
            </w:r>
            <w:r>
              <w:rPr>
                <w:b/>
                <w:i/>
              </w:rPr>
              <w:t>en belastingfraude, -ontduiking en -ontwijking doeltreffend te bestrijden om de begrotingsinkomsten te verhogen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is ingenomen met de economische groei van Montenegro; dringt aan op meer inspanningen om het begrotingstekort en de overheidsschuld terug te dringen en om vrijstellingen van indirecte belastingen die niet in overeenstemming zijn met het EU-acquis, verder af te schaffen;</w:t>
            </w:r>
          </w:p>
        </w:tc>
        <w:tc>
          <w:tcPr>
            <w:tcW w:w="4876" w:type="dxa"/>
            <w:tcBorders>
              <w:top w:val="nil"/>
              <w:left w:val="nil"/>
              <w:bottom w:val="nil"/>
              <w:right w:val="nil"/>
            </w:tcBorders>
          </w:tcPr>
          <w:p>
            <w:pPr>
              <w:pStyle w:val="Normal6a"/>
            </w:pPr>
            <w:r>
              <w:t>32.</w:t>
            </w:r>
            <w:r>
              <w:tab/>
            </w:r>
            <w:r>
              <w:t xml:space="preserve">is ingenomen met de economische groei van Montenegro; dringt aan op meer inspanningen om het begrotingstekort en de overheidsschuld terug te dringen en om vrijstellingen van indirecte belastingen die niet in overeenstemming zijn met het EU-acquis, verder af te schaffen; </w:t>
            </w:r>
            <w:r>
              <w:rPr>
                <w:b/>
                <w:i/>
              </w:rPr>
              <w:t>wijst er nogmaals op dat er meer overheidsinvesteringen in het onderwijs nodig zijn met het oog op een duurzame sociale en economische ontwikkeling;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is ingenomen met de economische groei van Montenegro; dringt aan op meer inspanningen om het begrotingstekort en de overheidsschuld terug te dringen en om vrijstellingen van indirecte belastingen die niet in overeenstemming zijn met het EU-acquis, verder af te schaffen;</w:t>
            </w:r>
          </w:p>
        </w:tc>
        <w:tc>
          <w:tcPr>
            <w:tcW w:w="4876" w:type="dxa"/>
            <w:tcBorders>
              <w:top w:val="nil"/>
              <w:left w:val="nil"/>
              <w:bottom w:val="nil"/>
              <w:right w:val="nil"/>
            </w:tcBorders>
          </w:tcPr>
          <w:p>
            <w:pPr>
              <w:pStyle w:val="Normal6a"/>
            </w:pPr>
            <w:r>
              <w:t>32.</w:t>
            </w:r>
            <w:r>
              <w:tab/>
            </w:r>
            <w:r>
              <w:t xml:space="preserve">is ingenomen met de economische groei van Montenegro; dringt aan op meer inspanningen om het begrotingstekort en de overheidsschuld terug te dringen en om vrijstellingen van indirecte belastingen die niet in overeenstemming zijn met het EU-acquis, verder af te schaffen; </w:t>
            </w:r>
            <w:r>
              <w:rPr>
                <w:b/>
                <w:i/>
              </w:rPr>
              <w:t>is ingenomen met de inspanningen die zijn geleverd om deze budgettaire kwetsbaarheden af te bouwen, onder meer met betrekking tot China;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 bis.</w:t>
            </w:r>
            <w:r>
              <w:tab/>
            </w:r>
            <w:r>
              <w:rPr>
                <w:b/>
                <w:i/>
              </w:rPr>
              <w:t>wijst op de Montenegrijnse overheidsschuld bij buitenlandse financiële instellingen en bedrijven, en benadrukt dat deze schuld kan worden gebruikt als pressiemiddel om besluiten op het gebied van buitenlands beleid te beïnvloeden, met name met betrekking tot China;</w:t>
            </w:r>
            <w:r>
              <w:t xml:space="preserve"> </w:t>
            </w:r>
            <w:r>
              <w:rPr>
                <w:b/>
                <w:i/>
              </w:rPr>
              <w:t>verzoekt de autoriteiten de economische afhankelijkheid van China verder af te bouwen;</w:t>
            </w:r>
            <w:r>
              <w:t xml:space="preserve"> </w:t>
            </w:r>
            <w:r>
              <w:rPr>
                <w:b/>
                <w:i/>
              </w:rPr>
              <w:t>verzoekt Montenegro gebruik te blijven maken van het economisch en investeringsplan voor de Westelijke Balkan, het Global Gateway-initiatief van de EU en de faciliteit voor de Westelijke Balkan om groenere en transparante alternatieven voor het financieren van infrastructuurprojecten te vinden;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 bis.</w:t>
            </w:r>
            <w:r>
              <w:tab/>
            </w:r>
            <w:r>
              <w:rPr>
                <w:b/>
                <w:i/>
              </w:rPr>
              <w:t>verzoekt de Montenegrijnse autoriteiten maatregelen te nemen om ontvolking en emigratie tegen te gaan, met name door investeringen in onderwijs en gezondheidszorg in het noorden van het land, alsook door een decentralisatie van het land door te investeren in middelgrote steden;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 bis.</w:t>
            </w:r>
            <w:r>
              <w:tab/>
            </w:r>
            <w:r>
              <w:rPr>
                <w:b/>
                <w:i/>
              </w:rPr>
              <w:t>spreekt zijn bezorgdheid uit over de aanhoudend hoge werkloosheid, in het bijzonder onder vrouwen en jongeren, en dringt er bij de autoriteiten op aan meer inspanningen te leveren om de participatie van deze groepen op de arbeidsmarkt te verbeteren en de braindrain dringend aan te pakken;</w:t>
            </w:r>
            <w:r>
              <w:t xml:space="preserve"> </w:t>
            </w:r>
            <w:r>
              <w:rPr>
                <w:b/>
                <w:i/>
              </w:rPr>
              <w:t>is ingenomen met het proces om de jongerengarantieregeling op te zetten;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moedigt de Montenegrijnse autoriteiten aan de digitale transformatie te stimuleren en een empirisch onderbouwd arbeidsmarktbeleid te voeren;</w:t>
            </w:r>
          </w:p>
        </w:tc>
        <w:tc>
          <w:tcPr>
            <w:tcW w:w="4876" w:type="dxa"/>
            <w:tcBorders>
              <w:top w:val="nil"/>
              <w:left w:val="nil"/>
              <w:bottom w:val="nil"/>
              <w:right w:val="nil"/>
            </w:tcBorders>
          </w:tcPr>
          <w:p>
            <w:pPr>
              <w:pStyle w:val="Normal6a"/>
            </w:pPr>
            <w:r>
              <w:t>33.</w:t>
            </w:r>
            <w:r>
              <w:tab/>
            </w:r>
            <w:r>
              <w:t>moedigt de Montenegrijnse autoriteiten aan de digitale transformatie te stimuleren en een empirisch onderbouwd arbeidsmarktbeleid te voeren</w:t>
            </w:r>
            <w:r>
              <w:rPr>
                <w:b/>
                <w:i/>
              </w:rPr>
              <w:t>, en tegelijkertijd de institutionele capaciteit te versterken en het onderliggende kader voor digitaal beleid te verbeteren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moedigt de Montenegrijnse autoriteiten aan de digitale transformatie te stimuleren en een empirisch onderbouwd arbeidsmarktbeleid te voeren;</w:t>
            </w:r>
          </w:p>
        </w:tc>
        <w:tc>
          <w:tcPr>
            <w:tcW w:w="4876" w:type="dxa"/>
            <w:tcBorders>
              <w:top w:val="nil"/>
              <w:left w:val="nil"/>
              <w:bottom w:val="nil"/>
              <w:right w:val="nil"/>
            </w:tcBorders>
          </w:tcPr>
          <w:p>
            <w:pPr>
              <w:pStyle w:val="Normal6a"/>
            </w:pPr>
            <w:r>
              <w:t>33.</w:t>
            </w:r>
            <w:r>
              <w:tab/>
            </w:r>
            <w:r>
              <w:t xml:space="preserve">moedigt de Montenegrijnse autoriteiten aan de digitale transformatie te stimuleren en een empirisch onderbouwd arbeidsmarktbeleid te voeren; </w:t>
            </w:r>
            <w:r>
              <w:rPr>
                <w:b/>
                <w:i/>
              </w:rPr>
              <w:t>pleit voor de ontwikkeling van gerichte preventieve maatregelen en stimulansen om informele ondernemingen en werknemers te legaliseren, aangezien de omvangrijke informele sector de economische en sociale ontwikkeling in Montenegro blijft belemmeren;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Marjan Šarec, Lucia Yar, Petras Auštrevičius, Dan Barna, Ilhan Kyuchyuk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moedigt de Montenegrijnse autoriteiten aan de digitale transformatie te stimuleren en een empirisch onderbouwd arbeidsmarktbeleid te voeren;</w:t>
            </w:r>
          </w:p>
        </w:tc>
        <w:tc>
          <w:tcPr>
            <w:tcW w:w="4876" w:type="dxa"/>
            <w:tcBorders>
              <w:top w:val="nil"/>
              <w:left w:val="nil"/>
              <w:bottom w:val="nil"/>
              <w:right w:val="nil"/>
            </w:tcBorders>
          </w:tcPr>
          <w:p>
            <w:pPr>
              <w:pStyle w:val="Normal6a"/>
            </w:pPr>
            <w:r>
              <w:t>33.</w:t>
            </w:r>
            <w:r>
              <w:tab/>
            </w:r>
            <w:r>
              <w:t xml:space="preserve">moedigt de Montenegrijnse autoriteiten aan de digitale transformatie te stimuleren en een empirisch onderbouwd arbeidsmarktbeleid te voeren </w:t>
            </w:r>
            <w:r>
              <w:rPr>
                <w:b/>
                <w:i/>
              </w:rPr>
              <w:t>en de jongerengarantie en de nieuwe strategie voor jongeren doeltreffend ten uitvoer te leggen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33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 bis.</w:t>
            </w:r>
            <w:r>
              <w:tab/>
            </w:r>
            <w:r>
              <w:rPr>
                <w:b/>
                <w:i/>
              </w:rPr>
              <w:t>stelt tevreden vast dat wordt opgeroepen tot snelle integratie van alle landen van de Westelijke Balkan in de digitale eengemaakte markt van de EU vóór de feitelijke toetreding tot de EU, wat cruciale voordelen zou opleveren voor de totstandbrenging van een digitaal veilige omgeving;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roept op tot meer transparantie bij overheidsopdrachten, met name bij procedures via intergouvernementele overeenkomsten, en tot volledige naleving van de EU-regels en ‑beginselen;</w:t>
            </w:r>
          </w:p>
        </w:tc>
        <w:tc>
          <w:tcPr>
            <w:tcW w:w="4876" w:type="dxa"/>
            <w:tcBorders>
              <w:top w:val="nil"/>
              <w:left w:val="nil"/>
              <w:bottom w:val="nil"/>
              <w:right w:val="nil"/>
            </w:tcBorders>
          </w:tcPr>
          <w:p>
            <w:pPr>
              <w:pStyle w:val="Normal6a"/>
            </w:pPr>
            <w:r>
              <w:t>34.</w:t>
            </w:r>
            <w:r>
              <w:tab/>
            </w:r>
            <w:r>
              <w:t xml:space="preserve">roept op tot meer transparantie bij overheidsopdrachten, met name bij procedures via intergouvernementele overeenkomsten, en tot volledige naleving van de EU-regels en ‑beginselen; </w:t>
            </w:r>
            <w:r>
              <w:rPr>
                <w:b/>
                <w:i/>
              </w:rPr>
              <w:t>uit zijn bezorgdheid over de financiële lasten en het gebrek aan transparantie rond de aanleg van de Montenegrijnse snelweg Bar-Boljare die met een Chinese lening wordt gefinancierd;</w:t>
            </w:r>
            <w:r>
              <w:t xml:space="preserve"> </w:t>
            </w:r>
            <w:r>
              <w:rPr>
                <w:b/>
                <w:i/>
              </w:rPr>
              <w:t>benadrukt dat de geheimhouding in verband met leningsovereenkomsten en bouwovereenkomsten bezorgdheid doet ontstaan over de verantwoordingsplicht;</w:t>
            </w:r>
            <w:r>
              <w:t xml:space="preserve"> </w:t>
            </w:r>
            <w:r>
              <w:rPr>
                <w:b/>
                <w:i/>
              </w:rPr>
              <w:t>verzoekt Montenegro om bij toekomstige infrastructuurprojecten de transparantie te vergroten, openbare inschrijvingen te waarborgen en buitensporige schuldafhankelijkheid van buitenlandse schuldeisers te voorkomen;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Marjan Šarec, Lucia Yar, Petras Auštrevičius, Dan Barna, Ilhan Kyuchyuk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roept op tot meer transparantie bij overheidsopdrachten, met name bij procedures via intergouvernementele overeenkomsten, en tot volledige naleving van de EU-regels en ‑beginselen;</w:t>
            </w:r>
          </w:p>
        </w:tc>
        <w:tc>
          <w:tcPr>
            <w:tcW w:w="4876" w:type="dxa"/>
            <w:tcBorders>
              <w:top w:val="nil"/>
              <w:left w:val="nil"/>
              <w:bottom w:val="nil"/>
              <w:right w:val="nil"/>
            </w:tcBorders>
          </w:tcPr>
          <w:p>
            <w:pPr>
              <w:pStyle w:val="Normal6a"/>
            </w:pPr>
            <w:r>
              <w:t>34.</w:t>
            </w:r>
            <w:r>
              <w:tab/>
            </w:r>
            <w:r>
              <w:t xml:space="preserve">roept op tot meer transparantie bij overheidsopdrachten, met name bij procedures via intergouvernementele overeenkomsten, en tot volledige naleving van de EU-regels en ‑beginselen; </w:t>
            </w:r>
            <w:r>
              <w:rPr>
                <w:b/>
                <w:i/>
              </w:rPr>
              <w:t>verzoekt Montenegro het aantal aanbestedingsprocedures zonder aanbestedingsbericht te verminderen;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34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 bis.</w:t>
            </w:r>
            <w:r>
              <w:tab/>
            </w:r>
            <w:r>
              <w:rPr>
                <w:b/>
                <w:i/>
              </w:rPr>
              <w:t>maakt zich grote zorgen over alle investeringen in strategische sectoren in Montenegro door kwaadwillige derde landen, waaronder Rusland;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Kopje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Energie, milieu en connectiviteit</w:t>
            </w:r>
          </w:p>
        </w:tc>
        <w:tc>
          <w:tcPr>
            <w:tcW w:w="4876" w:type="dxa"/>
            <w:tcBorders>
              <w:top w:val="nil"/>
              <w:left w:val="nil"/>
              <w:bottom w:val="nil"/>
              <w:right w:val="nil"/>
            </w:tcBorders>
          </w:tcPr>
          <w:p>
            <w:pPr>
              <w:pStyle w:val="Normal6a"/>
            </w:pPr>
            <w:r>
              <w:t>Energie, milieu</w:t>
            </w:r>
            <w:r>
              <w:rPr>
                <w:b/>
                <w:i/>
              </w:rPr>
              <w:t>, biodiversiteit</w:t>
            </w:r>
            <w:r>
              <w:t xml:space="preserve"> en connectiviteit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Marjan Šarec, Lucia Yar, Petras Auštrevičius, Dan Barna, Ilhan Kyuchyuk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dringt er bij Montenegro op aan de groene transitie te bevorderen, zijn institutionele en regelgevingskader te verbeteren en de veerkracht op energiegebied te vergroten door het nationale energie- en klimaatplan aan te nemen en uit te voeren, energie-efficiëntiewetten goed te keuren en verder te integreren met de energiemarkten van de EU;</w:t>
            </w:r>
          </w:p>
        </w:tc>
        <w:tc>
          <w:tcPr>
            <w:tcW w:w="4876" w:type="dxa"/>
            <w:tcBorders>
              <w:top w:val="nil"/>
              <w:left w:val="nil"/>
              <w:bottom w:val="nil"/>
              <w:right w:val="nil"/>
            </w:tcBorders>
          </w:tcPr>
          <w:p>
            <w:pPr>
              <w:pStyle w:val="Normal6a"/>
            </w:pPr>
            <w:r>
              <w:t>35.</w:t>
            </w:r>
            <w:r>
              <w:tab/>
            </w:r>
            <w:r>
              <w:t xml:space="preserve">dringt er bij Montenegro op aan de groene transitie te bevorderen, </w:t>
            </w:r>
            <w:r>
              <w:rPr>
                <w:b/>
                <w:i/>
              </w:rPr>
              <w:t>ondersteund met EU-middelen,</w:t>
            </w:r>
            <w:r>
              <w:t xml:space="preserve"> zijn institutionele en regelgevingskader te verbeteren en de veerkracht op energiegebied te vergroten door het nationale energie- en klimaatplan aan te nemen en uit te voeren, energie-efficiëntiewetten goed te keuren en verder te integreren met de energiemarkten van de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dringt er bij Montenegro op aan de groene transitie te bevorderen, zijn institutionele en regelgevingskader te verbeteren en de veerkracht op energiegebied te vergroten door </w:t>
            </w:r>
            <w:r>
              <w:rPr>
                <w:b/>
                <w:i/>
              </w:rPr>
              <w:t>het</w:t>
            </w:r>
            <w:r>
              <w:t xml:space="preserve"> nationale energie- en klimaatplan aan te nemen en uit te voeren, energie-efficiëntiewetten goed te keuren en verder te integreren met de energiemarkten van de EU;</w:t>
            </w:r>
          </w:p>
        </w:tc>
        <w:tc>
          <w:tcPr>
            <w:tcW w:w="4876" w:type="dxa"/>
            <w:tcBorders>
              <w:top w:val="nil"/>
              <w:left w:val="nil"/>
              <w:bottom w:val="nil"/>
              <w:right w:val="nil"/>
            </w:tcBorders>
          </w:tcPr>
          <w:p>
            <w:pPr>
              <w:pStyle w:val="Normal6a"/>
            </w:pPr>
            <w:r>
              <w:t>35.</w:t>
            </w:r>
            <w:r>
              <w:tab/>
            </w:r>
            <w:r>
              <w:t xml:space="preserve">dringt er bij Montenegro op aan de groene transitie te bevorderen, zijn institutionele en regelgevingskader te verbeteren en de veerkracht op energiegebied te vergroten door </w:t>
            </w:r>
            <w:r>
              <w:rPr>
                <w:b/>
                <w:i/>
              </w:rPr>
              <w:t>eindelijk het reeds lange tijd uitgestelde</w:t>
            </w:r>
            <w:r>
              <w:t xml:space="preserve"> nationale energie- en klimaatplan aan te nemen en uit te voeren, energie-efficiëntiewetten goed te keuren en verder te integreren met de energiemarkten van de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dringt er bij Montenegro op aan de groene transitie te bevorderen, zijn institutionele en regelgevingskader te verbeteren en de veerkracht op energiegebied te vergroten door het nationale energie- en klimaatplan aan te nemen en uit te voeren, energie-efficiëntiewetten goed te keuren en verder te integreren met de energiemarkten van de EU;</w:t>
            </w:r>
          </w:p>
        </w:tc>
        <w:tc>
          <w:tcPr>
            <w:tcW w:w="4876" w:type="dxa"/>
            <w:tcBorders>
              <w:top w:val="nil"/>
              <w:left w:val="nil"/>
              <w:bottom w:val="nil"/>
              <w:right w:val="nil"/>
            </w:tcBorders>
          </w:tcPr>
          <w:p>
            <w:pPr>
              <w:pStyle w:val="Normal6a"/>
            </w:pPr>
            <w:r>
              <w:t>35.</w:t>
            </w:r>
            <w:r>
              <w:tab/>
            </w:r>
            <w:r>
              <w:t xml:space="preserve">dringt er bij Montenegro op aan de groene transitie te bevorderen, zijn institutionele en regelgevingskader te verbeteren en de veerkracht op energiegebied te vergroten door het nationale energie- en klimaatplan aan te nemen en uit te voeren, energie-efficiëntiewetten goed te keuren en verder te integreren met de energiemarkten van de EU; </w:t>
            </w:r>
            <w:r>
              <w:rPr>
                <w:b/>
                <w:i/>
              </w:rPr>
              <w:t>verzoekt om ervoor te zorgen dat alle nieuwe projecten in verband met de groene transitie in overeenstemming zijn met de EU-normen inzake milieu, staatssteun en concessies;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Jaroslav Bžoch, Kinga Gál,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dringt er bij Montenegro op aan de groene transitie te bevorderen, zijn institutionele en regelgevingskader te verbeteren en de veerkracht op energiegebied te vergroten door het nationale energie- en klimaatplan aan te nemen en uit te voeren, energie-efficiëntiewetten goed te keuren en verder te integreren met de energiemarkten van de EU;</w:t>
            </w:r>
          </w:p>
        </w:tc>
        <w:tc>
          <w:tcPr>
            <w:tcW w:w="4876" w:type="dxa"/>
            <w:tcBorders>
              <w:top w:val="nil"/>
              <w:left w:val="nil"/>
              <w:bottom w:val="nil"/>
              <w:right w:val="nil"/>
            </w:tcBorders>
          </w:tcPr>
          <w:p>
            <w:pPr>
              <w:pStyle w:val="Normal6a"/>
            </w:pPr>
            <w:r>
              <w:t>35.</w:t>
            </w:r>
            <w:r>
              <w:tab/>
            </w:r>
            <w:r>
              <w:t xml:space="preserve">dringt er bij Montenegro op aan de groene transitie te bevorderen, zijn institutionele en regelgevingskader te verbeteren en de veerkracht op energiegebied te vergroten door het nationale energie- en klimaatplan aan te nemen en uit te voeren, energie-efficiëntiewetten goed te keuren en verder te integreren met de energiemarkten van de EU; </w:t>
            </w:r>
            <w:r>
              <w:rPr>
                <w:b/>
                <w:i/>
              </w:rPr>
              <w:t>is in dit verband ingenomen met de onlangs aangenomen energiewet;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35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 bis.</w:t>
            </w:r>
            <w:r>
              <w:tab/>
            </w:r>
            <w:r>
              <w:rPr>
                <w:b/>
                <w:i/>
              </w:rPr>
              <w:t>dringt er bij Montenegro op aan meer inspanningen te leveren voor de sluiting van de steenkoolcentrale in Pljevlja om te voldoen aan de emissienormen van de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Jaroslav Bžoch, Kinga Gál,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35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 bis.</w:t>
            </w:r>
            <w:r>
              <w:tab/>
            </w:r>
            <w:r>
              <w:rPr>
                <w:b/>
                <w:i/>
              </w:rPr>
              <w:t>wijst erop dat het belangrijk is vooruitgang te boeken met de financiering van infrastructuurprojecten om de connectiviteit van Montenegro te ontwikkelen en de energie-, toeristische en industriële sectoren van het land te versterken en verder te ontwikkelen;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Marjan Šarec, Lucia Yar, Petras Auštrevičius, Dan Barna, Ilhan Kyuchyuk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35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 bis.</w:t>
            </w:r>
            <w:r>
              <w:tab/>
            </w:r>
            <w:r>
              <w:rPr>
                <w:b/>
                <w:i/>
              </w:rPr>
              <w:t>verzoekt de Montenegrijnse autoriteiten de ontwikkeling van de vervoerssector af te stemmen op de strategie voor duurzame en slimme mobiliteit voor de Westelijke Balkan, met bijzondere aandacht voor spoorwegen, multimodaliteit en het verminderen van CO</w:t>
            </w:r>
            <w:r>
              <w:rPr>
                <w:b/>
                <w:i/>
                <w:vertAlign w:val="subscript"/>
              </w:rPr>
              <w:t>2</w:t>
            </w:r>
            <w:r>
              <w:rPr>
                <w:b/>
                <w:i/>
              </w:rPr>
              <w:t>-emissies en andere milieueffecten;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35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 bis.</w:t>
            </w:r>
            <w:r>
              <w:tab/>
            </w:r>
            <w:r>
              <w:rPr>
                <w:b/>
                <w:i/>
              </w:rPr>
              <w:t>betreurt het gebrek aan vooruitgang bij belangrijke sectorale hervormingen op het gebied van vervoersbeleid;</w:t>
            </w:r>
            <w:r>
              <w:t xml:space="preserve"> </w:t>
            </w:r>
            <w:r>
              <w:rPr>
                <w:b/>
                <w:i/>
              </w:rPr>
              <w:t>verzoekt Montenegro om zijn vervoersontwikkelingsstrategie verder uit te voeren en de administratieve capaciteit voor de uitvoering van trans-Europese vervoersnetwerken te versterken;</w:t>
            </w:r>
            <w:r>
              <w:t xml:space="preserve"> </w:t>
            </w:r>
            <w:r>
              <w:rPr>
                <w:b/>
                <w:i/>
              </w:rPr>
              <w:t>benadrukt dat investeringen in infrastructuur moeten voldoen aan EU-normen en kosten-batenanalysen;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pleit voor de vaststelling van sectorale strategieën voor afvalbeheer, lucht- en waterkwaliteit, natuurbescherming en klimaatverandering, waarbij wordt gezorgd voor een strategische planning voor investeringen;</w:t>
            </w:r>
          </w:p>
        </w:tc>
        <w:tc>
          <w:tcPr>
            <w:tcW w:w="4876" w:type="dxa"/>
            <w:tcBorders>
              <w:top w:val="nil"/>
              <w:left w:val="nil"/>
              <w:bottom w:val="nil"/>
              <w:right w:val="nil"/>
            </w:tcBorders>
          </w:tcPr>
          <w:p>
            <w:pPr>
              <w:pStyle w:val="Normal6a"/>
            </w:pPr>
            <w:r>
              <w:t>36.</w:t>
            </w:r>
            <w:r>
              <w:tab/>
            </w:r>
            <w:r>
              <w:t xml:space="preserve">pleit voor de vaststelling van sectorale strategieën voor afvalbeheer, lucht- en waterkwaliteit, natuurbescherming en klimaatverandering, waarbij wordt gezorgd voor een strategische planning voor investeringen; </w:t>
            </w:r>
            <w:r>
              <w:rPr>
                <w:b/>
                <w:i/>
              </w:rPr>
              <w:t>neemt kennis van het gebrek aan vooruitgang en de daaruit voortvloeiende toenemende kosten bij de constructie van essentiële waterzuiveringsinstallaties om verontreiniging van rivieren en van de zee door riool- en afvalwater te voorkomen in zeven gemeenten;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36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 bis.</w:t>
            </w:r>
            <w:r>
              <w:tab/>
            </w:r>
            <w:r>
              <w:rPr>
                <w:b/>
                <w:i/>
              </w:rPr>
              <w:t>verzoekt Montenegro de verplichte “aanvaardbaarheidsbeoordeling” voor gebieden in het ecologische netwerk af te dwingen overeenkomstig de wet inzake natuurbescherming, en de effecten van geplande infrastructuurprojecten op beschermde soorten en habitats te evalueren om ervoor te zorgen dat deze de instandhoudingsdoelstellingen of de ecologische integriteit van deze gebieden niet ondermijnen;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36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 ter.</w:t>
            </w:r>
            <w:r>
              <w:tab/>
            </w:r>
            <w:r>
              <w:rPr>
                <w:b/>
                <w:i/>
              </w:rPr>
              <w:t>dringt er bij Montenegro op aan alle waterkrachtprojecten onmiddellijk stop te zetten, met name in beschermde gebieden, waaronder het project aan de rivier Komarnica en het Kruševo-project;</w:t>
            </w:r>
            <w:r>
              <w:t xml:space="preserve"> </w:t>
            </w:r>
            <w:r>
              <w:rPr>
                <w:b/>
                <w:i/>
              </w:rPr>
              <w:t>wijst met name op het geval van Komarnica, een gebied dat momenteel door de Unesco in aanmerking wordt genomen voor de status van natuurlijk erfgoed;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36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 quater.</w:t>
            </w:r>
            <w:r>
              <w:tab/>
            </w:r>
            <w:r>
              <w:rPr>
                <w:b/>
                <w:i/>
              </w:rPr>
              <w:t>verzoekt Montenegro de laatste hand te leggen aan de wettelijke bescherming van gebieden die in het kader van het Verdrag van Bern als Emerald-gebied zijn aangewezen, om ervoor te zorgen dat deze vanuit milieuoogpunt kritieke regio’s worden beschermd tegen ontwikkelingsprojecten die nadelige milieueffecten hebben;</w:t>
            </w:r>
            <w:r>
              <w:t xml:space="preserve"> </w:t>
            </w:r>
            <w:r>
              <w:rPr>
                <w:b/>
                <w:i/>
              </w:rPr>
              <w:t>moedigt Montenegro aan zijn netwerk van beschermde gebieden aanzienlijk uit te breiden om de doelstelling van het mondiaal biodiversiteitskader van Kunming-Montreal te halen;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36 quinquies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 quinquies.</w:t>
            </w:r>
            <w:r>
              <w:tab/>
            </w:r>
            <w:r>
              <w:rPr>
                <w:b/>
                <w:i/>
              </w:rPr>
              <w:t>beklemtoont dat Montenegro de vogelrichtlijn en de habitatrichtlijn van de EU volledig moet naleven, onder meer door Solana Ulcinj aan te wijzen als speciale beschermingszone (SBZ) uit hoofde van de vogelrichtlijn en als gebied van communautair belang uit hoofde van de habitatrichtlijn, gezien de buitengewone biodiversiteitswaarde ervan;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36 sexies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 sexies.</w:t>
            </w:r>
            <w:r>
              <w:tab/>
            </w:r>
            <w:r>
              <w:rPr>
                <w:b/>
                <w:i/>
              </w:rPr>
              <w:t>dringt aan op de spoedige oprichting van de geplande specifieke beheersentiteit voor Solana Ulcinj, zoals was aangekondigd door de Montenegrijnse autoriteiten na het uitroepen van het gebied tot natuurpark in 2019;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36 septies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 septies.</w:t>
            </w:r>
            <w:r>
              <w:tab/>
            </w:r>
            <w:r>
              <w:rPr>
                <w:b/>
                <w:i/>
              </w:rPr>
              <w:t>dringt er bij de Commissie op aan om in het kader van de EU-toetredingsonderhandelingen nauwlettend toe te zien op de vooruitgang die Montenegro boekt bij de bescherming en het beheer van Solana Ulcinj, en tastbare instandhoudingsresultaten voor Solana Ulcinj te beschouwen als noodzakelijke voorwaarde voor het afsluiten van hoofdstuk 27, in overeenstemming met de overeengekomen ijkpunten;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36 octies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 octies.</w:t>
            </w:r>
            <w:r>
              <w:tab/>
            </w:r>
            <w:r>
              <w:rPr>
                <w:b/>
                <w:i/>
              </w:rPr>
              <w:t>is ingenomen met het initiatief van het ministerie van Toerisme, Ecologie en Duurzame Ontwikkeling om werk te maken van de bestrijding van criminaliteit in verband met in het wild levende dieren en planten;</w:t>
            </w:r>
            <w:r>
              <w:t xml:space="preserve"> </w:t>
            </w:r>
            <w:r>
              <w:rPr>
                <w:b/>
                <w:i/>
              </w:rPr>
              <w:t>spoort de Montenegrijnse autoriteiten ertoe aan om voor alle milieumisdrijven effectieve, ontradende en evenredige straffen op te leggen en om corruptie in deze sector uit te roeien;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36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 bis.</w:t>
            </w:r>
            <w:r>
              <w:tab/>
            </w:r>
            <w:r>
              <w:rPr>
                <w:b/>
                <w:i/>
              </w:rPr>
              <w:t>is ingenomen met het akkoord dat tijdens de top van Tirana is bereikt over lagere roamingkosten;</w:t>
            </w:r>
            <w:r>
              <w:t xml:space="preserve"> </w:t>
            </w:r>
            <w:r>
              <w:rPr>
                <w:b/>
                <w:i/>
              </w:rPr>
              <w:t>roept de autoriteiten, de particuliere sector en alle belanghebbenden in dit verband op om ervoor te zorgen dat het mogelijk wordt de afgesproken streefdoelen te halen om een aanmerkelijke verlaging van de roamingtarieven voor data en verdere verlagingen te realiseren zodat de prijzen in de landen van de Westelijke Balkan en de EU uiterlijk in 2027 dichter bij de binnenlandse prijzen komen te liggen;</w:t>
            </w:r>
            <w:r>
              <w:t xml:space="preserve"> </w:t>
            </w:r>
            <w:r>
              <w:rPr>
                <w:b/>
                <w:i/>
              </w:rPr>
              <w:t>is ingenomen met de inwerkingtreding van de eerste uitvoeringsfase van de routekaart voor roaming tussen de Westelijke Balkan en de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Marjan Šarec, Lucia Yar, Petras Auštrevičius, Dan Barna, Ilhan Kyuchyuk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36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 bis.</w:t>
            </w:r>
            <w:r>
              <w:tab/>
            </w:r>
            <w:r>
              <w:rPr>
                <w:b/>
                <w:i/>
              </w:rPr>
              <w:t>is ingenomen met de verlaging van de roamingtarieven tussen de EU en de landen van de Westelijke Balkan en dringt erop aan dat alle nodige stappen worden gezet om ervoor te zorgen dat de prijzen voor dataroaming uiterlijk in 2028 dicht bij de binnenlandse prijzen komen te liggen;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verzoekt zijn Voorzitter deze resolutie te doen toekomen aan de Raad, de Commissie, de vicevoorzitter van de Commissie/hoge vertegenwoordiger van de Unie voor buitenlandse zaken en veiligheidsbeleid, de regeringen en parlementen van de lidstaten, en de president, de regering en het parlement van Montenegro.</w:t>
            </w:r>
          </w:p>
        </w:tc>
        <w:tc>
          <w:tcPr>
            <w:tcW w:w="4876" w:type="dxa"/>
            <w:tcBorders>
              <w:top w:val="nil"/>
              <w:left w:val="nil"/>
              <w:bottom w:val="nil"/>
              <w:right w:val="nil"/>
            </w:tcBorders>
          </w:tcPr>
          <w:p>
            <w:pPr>
              <w:pStyle w:val="Normal6a"/>
            </w:pPr>
            <w:r>
              <w:t>37.</w:t>
            </w:r>
            <w:r>
              <w:tab/>
            </w:r>
            <w:r>
              <w:t xml:space="preserve">verzoekt zijn Voorzitter deze resolutie te doen toekomen aan de Raad, de Commissie, de vicevoorzitter van de Commissie/hoge vertegenwoordiger van de Unie voor buitenlandse zaken en veiligheidsbeleid, de </w:t>
            </w:r>
            <w:r>
              <w:rPr>
                <w:b/>
                <w:i/>
              </w:rPr>
              <w:t>commissaris voor Uitbreiding, de commissaris voor het Middellandse Zeegebied, de</w:t>
            </w:r>
            <w:r>
              <w:t xml:space="preserve"> regeringen en parlementen van de lidstaten, en de president, de regering en het parlement van Montenegro</w:t>
            </w:r>
            <w:r>
              <w:rPr>
                <w:b/>
                <w:i/>
              </w:rPr>
              <w:t>, en te zorgen voor vertaling en publicatie in het Montenegrijns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771.847</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126</w:t>
    </w:r>
    <w:r>
      <w:fldChar w:fldCharType="end"/>
    </w:r>
    <w:r>
      <w:t>/</w:t>
    </w:r>
    <w:r>
      <w:fldChar w:fldCharType="begin"/>
    </w:r>
    <w:r>
      <w:instrText xml:space="preserve"> NUMPAGES </w:instrText>
    </w:r>
    <w:r>
      <w:fldChar w:fldCharType="separate"/>
    </w:r>
    <w:r>
      <w:t>126</w:t>
    </w:r>
    <w:r>
      <w:fldChar w:fldCharType="end"/>
    </w:r>
    <w:r>
      <w:tab/>
    </w:r>
    <w:r>
      <w:rPr>
        <w:rStyle w:val="HideTWBExt"/>
      </w:rPr>
      <w:t>&lt;PathFdR&gt;</w:t>
    </w:r>
    <w:r>
      <w:t>AM\1317491NL.docx</w:t>
    </w:r>
    <w:r>
      <w:rPr>
        <w:rStyle w:val="HideTWBExt"/>
      </w:rPr>
      <w:t>&lt;/PathFdR&gt;</w:t>
    </w:r>
  </w:p>
  <w:p>
    <w:pPr>
      <w:pStyle w:val="EPFooter2"/>
    </w:pPr>
    <w:r>
      <w:t>NL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AM\1317491NL.docx</w:t>
    </w:r>
    <w:r>
      <w:rPr>
        <w:rStyle w:val="HideTWBExt"/>
      </w:rPr>
      <w:t>&lt;/PathFdR&gt;</w:t>
    </w:r>
    <w:r>
      <w:tab/>
    </w:r>
    <w:r>
      <w:fldChar w:fldCharType="begin"/>
    </w:r>
    <w:r>
      <w:instrText xml:space="preserve"> PAGE </w:instrText>
    </w:r>
    <w:r>
      <w:fldChar w:fldCharType="separate"/>
    </w:r>
    <w:r>
      <w:t>125</w:t>
    </w:r>
    <w:r>
      <w:fldChar w:fldCharType="end"/>
    </w:r>
    <w:r>
      <w:t>/</w:t>
    </w:r>
    <w:r>
      <w:fldChar w:fldCharType="begin"/>
    </w:r>
    <w:r>
      <w:instrText xml:space="preserve"> NUMPAGES </w:instrText>
    </w:r>
    <w:r>
      <w:fldChar w:fldCharType="separate"/>
    </w:r>
    <w:r>
      <w:t>126</w:t>
    </w:r>
    <w:r>
      <w:fldChar w:fldCharType="end"/>
    </w:r>
    <w:r>
      <w:tab/>
    </w:r>
    <w:r>
      <w:t>PE</w:t>
    </w:r>
    <w:r>
      <w:rPr>
        <w:rStyle w:val="HideTWBExt"/>
      </w:rPr>
      <w:t>&lt;NoPE&gt;</w:t>
    </w:r>
    <w:r>
      <w:t>771.847</w:t>
    </w:r>
    <w:r>
      <w:rPr>
        <w:rStyle w:val="HideTWBExt"/>
      </w:rPr>
      <w:t>&lt;/NoPE&gt;</w:t>
    </w:r>
    <w:r>
      <w:rPr>
        <w:rStyle w:val="HideTWBExt"/>
      </w:rPr>
      <w:t>&lt;Version&gt;</w:t>
    </w:r>
    <w:r>
      <w:t>v01-00</w:t>
    </w:r>
    <w:r>
      <w:rPr>
        <w:rStyle w:val="HideTWBExt"/>
      </w:rPr>
      <w:t>&lt;/Version&gt;</w:t>
    </w:r>
  </w:p>
  <w:p>
    <w:pPr>
      <w:pStyle w:val="EPFooter2"/>
    </w:pPr>
    <w:r>
      <w:tab/>
    </w:r>
    <w:r>
      <w:tab/>
    </w:r>
    <w:r>
      <w:t>NL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AM\1317491NL.docx</w:t>
    </w:r>
    <w:r>
      <w:rPr>
        <w:rStyle w:val="HideTWBExt"/>
      </w:rPr>
      <w:t>&lt;/PathFdR&gt;</w:t>
    </w:r>
    <w:r>
      <w:tab/>
    </w:r>
    <w:r>
      <w:tab/>
    </w:r>
    <w:r>
      <w:t>PE</w:t>
    </w:r>
    <w:r>
      <w:rPr>
        <w:rStyle w:val="HideTWBExt"/>
      </w:rPr>
      <w:t>&lt;NoPE&gt;</w:t>
    </w:r>
    <w:r>
      <w:t>771.847</w:t>
    </w:r>
    <w:r>
      <w:rPr>
        <w:rStyle w:val="HideTWBExt"/>
      </w:rPr>
      <w:t>&lt;/NoPE&gt;</w:t>
    </w:r>
    <w:r>
      <w:rPr>
        <w:rStyle w:val="HideTWBExt"/>
      </w:rPr>
      <w:t>&lt;Version&gt;</w:t>
    </w:r>
    <w:r>
      <w:t>v01-00</w:t>
    </w:r>
    <w:r>
      <w:rPr>
        <w:rStyle w:val="HideTWBExt"/>
      </w:rPr>
      <w:t>&lt;/Version&gt;</w:t>
    </w:r>
  </w:p>
  <w:p>
    <w:pPr>
      <w:pStyle w:val="EPFooter2"/>
    </w:pPr>
    <w:r>
      <w:t>NL</w:t>
    </w:r>
    <w:r>
      <w:tab/>
    </w:r>
    <w:r>
      <w:rPr>
        <w:rStyle w:val="EPFooter2Motto"/>
      </w:rPr>
      <w:t>In verscheidenheid verenigd</w:t>
    </w:r>
    <w:r>
      <w:tab/>
    </w:r>
    <w:r>
      <w:t>NL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nl-NL"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paragraph" w:customStyle="1" w:styleId="NormalBold">
    <w:name w:val="NormalBold"/>
    <w:basedOn w:val="Normal"/>
    <w:pPr>
      <w:widowControl w:val="0"/>
    </w:pPr>
    <w:rPr>
      <w:b/>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126</Pages>
  <Words>24590</Words>
  <Characters>154866</Characters>
  <Application>Microsoft Office Word</Application>
  <DocSecurity>0</DocSecurity>
  <Lines>1</Lines>
  <Paragraphs>2107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1317491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155534</vt:lpwstr>
  </property>
  <property fmtid="{D5CDD505-2E9C-101B-9397-08002B2CF9AE}" pid="7" name="dmxml.render.traceId">
    <vt:lpwstr>67eba0c8253f90ea46817bc3257ad224</vt:lpwstr>
  </property>
  <property fmtid="{D5CDD505-2E9C-101B-9397-08002B2CF9AE}" pid="8" name="FooterPath">
    <vt:lpwstr>AM\1317491NL.docx</vt:lpwstr>
  </property>
  <property fmtid="{D5CDD505-2E9C-101B-9397-08002B2CF9AE}" pid="9" name="PE Number">
    <vt:lpwstr>771.847</vt:lpwstr>
  </property>
  <property fmtid="{D5CDD505-2E9C-101B-9397-08002B2CF9AE}" pid="10" name="UID">
    <vt:lpwstr>eu.europa.europarl-DIN1-2025-0000053300_02.00-nl-01.00_text-xml</vt:lpwstr>
  </property>
</Properties>
</file>