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Επιτροπή Εξωτερικών Υποθέσεων</w:t>
      </w:r>
      <w:r>
        <w:rPr>
          <w:rStyle w:val="HideTWBExt"/>
        </w:rPr>
        <w:t>&lt;/Commission&gt;</w:t>
      </w:r>
    </w:p>
    <w:p>
      <w:pPr>
        <w:pStyle w:val="LineBottom"/>
      </w:pPr>
      <w:r>
        <w:t xml:space="preserve"> </w:t>
      </w:r>
    </w:p>
    <w:p>
      <w:pPr>
        <w:pStyle w:val="CoverReference"/>
      </w:pPr>
      <w:r>
        <w:rPr>
          <w:rStyle w:val="HideTWBExt"/>
        </w:rPr>
        <w:t>&lt;RefProc&gt;</w:t>
      </w:r>
      <w:r>
        <w:t>2025/2021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{28/03/2025}</w:t>
      </w:r>
      <w:r>
        <w:t>28.3.2025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313</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Thomas Waitz</w:t>
      </w:r>
      <w:r>
        <w:rPr>
          <w:rStyle w:val="HideTWBExt"/>
        </w:rPr>
        <w:t>&lt;/Rapporteur&gt;</w:t>
      </w:r>
    </w:p>
    <w:p>
      <w:pPr>
        <w:pStyle w:val="CoverNormal24a"/>
      </w:pPr>
      <w:r>
        <w:rPr>
          <w:rStyle w:val="HideTWBExt"/>
        </w:rPr>
        <w:t>&lt;DocRefPE&gt;</w:t>
      </w:r>
      <w:r>
        <w:t>(PE769.915v01-00)</w:t>
      </w:r>
      <w:r>
        <w:rPr>
          <w:rStyle w:val="HideTWBExt"/>
        </w:rPr>
        <w:t>&lt;/DocRefPE&gt;</w:t>
      </w:r>
    </w:p>
    <w:p>
      <w:pPr>
        <w:pStyle w:val="CoverNormal"/>
      </w:pPr>
      <w:r>
        <w:rPr>
          <w:rStyle w:val="HideTWBExt"/>
        </w:rPr>
        <w:t>&lt;Titre&gt;</w:t>
      </w:r>
      <w:r>
        <w:t>Εκθέσεις της Επιτροπής, του 2023 και του 2024, για τη Βόρεια Μακεδονία</w:t>
      </w:r>
      <w:r>
        <w:rPr>
          <w:rStyle w:val="HideTWBExt"/>
        </w:rPr>
        <w:t>&lt;/Titre&gt;</w:t>
      </w:r>
    </w:p>
    <w:p>
      <w:pPr>
        <w:pStyle w:val="CoverNormal24a"/>
      </w:pPr>
      <w:r>
        <w:rPr>
          <w:rStyle w:val="HideTWBExt"/>
        </w:rPr>
        <w:t>&lt;DocRef&gt;</w:t>
      </w:r>
      <w:r>
        <w:t>(2025/2021(INI))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έχοντας υπόψη τη συμφωνία σταθεροποίησης και σύνδεσης μεταξύ των Ευρωπαϊκών Κοινοτήτων και των κρατών μελών τους, αφενός, και </w:t>
            </w:r>
            <w:r>
              <w:rPr>
                <w:b/>
                <w:i/>
              </w:rPr>
              <w:t>της Δημοκρατίας της Βόρειας Μακεδονίας</w:t>
            </w:r>
            <w:r>
              <w:t>, αφετέρου</w:t>
            </w:r>
            <w:r>
              <w:rPr>
                <w:vertAlign w:val="superscript"/>
              </w:rPr>
              <w:t>1</w:t>
            </w:r>
            <w:r>
              <w:t xml:space="preserve"> ,</w:t>
            </w:r>
          </w:p>
        </w:tc>
        <w:tc>
          <w:tcPr>
            <w:tcW w:w="4876" w:type="dxa"/>
            <w:tcBorders>
              <w:top w:val="nil"/>
              <w:left w:val="nil"/>
              <w:bottom w:val="nil"/>
              <w:right w:val="nil"/>
            </w:tcBorders>
          </w:tcPr>
          <w:p>
            <w:pPr>
              <w:pStyle w:val="Normal6a"/>
            </w:pPr>
            <w:r>
              <w:t>–</w:t>
            </w:r>
            <w:r>
              <w:tab/>
            </w:r>
            <w:r>
              <w:t xml:space="preserve">έχοντας υπόψη τη συμφωνία σταθεροποίησης και σύνδεσης μεταξύ των Ευρωπαϊκών Κοινοτήτων και των κρατών μελών τους, αφενός, και </w:t>
            </w:r>
            <w:r>
              <w:rPr>
                <w:b/>
                <w:i/>
              </w:rPr>
              <w:t>των Σκοπίων</w:t>
            </w:r>
            <w:r>
              <w:rPr>
                <w:vertAlign w:val="superscript"/>
              </w:rPr>
              <w:t>1</w:t>
            </w:r>
            <w:r>
              <w:t>, αφετέρου</w:t>
            </w:r>
            <w:r>
              <w:rPr>
                <w:b/>
                <w:i/>
                <w:vertAlign w:val="superscript"/>
              </w:rPr>
              <w:t>1α</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ΕΕ L 84, 20.3.2004, σ. 13, ELI: http://data.europa.eu/eli/agree_internation/2004/239(2)/oj.</w:t>
            </w:r>
          </w:p>
        </w:tc>
        <w:tc>
          <w:tcPr>
            <w:tcW w:w="4876" w:type="dxa"/>
            <w:tcBorders>
              <w:top w:val="nil"/>
              <w:left w:val="nil"/>
              <w:bottom w:val="nil"/>
              <w:right w:val="nil"/>
            </w:tcBorders>
          </w:tcPr>
          <w:p>
            <w:pPr>
              <w:pStyle w:val="Normal6a"/>
            </w:pPr>
            <w:r>
              <w:rPr>
                <w:vertAlign w:val="superscript"/>
              </w:rPr>
              <w:t>1</w:t>
            </w:r>
            <w:r>
              <w:t xml:space="preserve"> </w:t>
            </w:r>
            <w:r>
              <w:t>ΕΕ L 84, 20.3.2004, σ. 13, ELI: http://data.europa.eu/eli/agree_internation/2004/239(2)/oj.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Αντικατάσταση των λέξεων "Δημοκρατία της Βόρειας Μακεδονίας" με τη λέξη "Σκόπια" σε όλο το Ψήφισμα.</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συνθήκη φιλίας, καλής γειτονίας και συνεργασίας μεταξύ της Βουλγαρίας και της Βόρειας Μακεδονίας, η οποία υπεγράφη την 1η Αυγούστου 2017 και κυρώθηκε τον Ιανουάριο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σύνοδο κορυφής της Σόφιας, της 10ης Νοεμβρίου 2020, συμπεριλαμβανομένων της δήλωσης για την κοινή περιφερειακή αγορά και της δήλωσης σχετικά με το πράσινο θεματολόγιο για τα Δυτικά Βαλκάνια,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Διακήρυξη των Βρυξελλών της Διάσκεψη κορυφής ΕΕ – Δυτικών Βαλκανίων της 18ης Δεκεμβρίου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κοινό υπηρεσιακό έγγραφο εργασίας που συνοδεύει την κοινή ανακοίνωση προς το Ευρωπαϊκό Κοινοβούλιο και το Συμβούλιο με τίτλο «Σχέδιο Δράσης της ΕΕ για την ισότητα των φύλων (GAP) III – Ένα φιλόδοξο όραμα για την ισότητα των φύλων και τη χειραφέτηση των γυναικών στην εξωτερική δράση της ΕΕ (2021-2025), καθώς και το σχέδιο εφαρμογής σε επίπεδο χώρας (CLIP) για τη Βόρεια Μακεδονία,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Τελική Συμφωνία για την Επίλυση των Διαφορών, οι οποίες περιγράφονται στις αποφάσεις του Συμβουλίου Ασφαλείας των Ηνωμένων Εθνών 817 (1993) και 845 (1993), τη λήξη της Ενδιάμεσης Συμφωνίας του 1995 και την καθιέρωση Στρατηγικής Εταιρικής Σχέσης μεταξύ Ελλάδας και Βόρειας Μακεδονίας στις 17 Ιουνίου 2018, γνωστής και ως Συμφωνίας των Πρεσπών·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τις συνόδους κορυφής ΕΕ-Δυτικών Βαλκανίων, που πραγματοποιήθηκαν στη Σόφια, στο Ζάγκρεμπ και στο Brdo pri Kranju το 2018, το 2020 και το 2021, και τις αντίστοιχες δηλώσεις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της Ευρωπαϊκής Επιτροπής κατά του Ρατσισμού και της Μισαλλοδοξίας για το 2023 σχετικά με τη Βόρεια Μακεδονία, η οποία εγκρίθηκε στις 29 Ιουνίου 2023 και δημοσιεύτηκε στις 20 Σεπτεμβρίου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δήλωση και τις κοινές συστάσεις που εγκρίθηκαν κατά την 23η συνεδρίαση της Μικτής Κοινοβουλευτικής Επιτροπής ΕΕ-Βόρειας Μακεδονίας, που πραγματοποιήθηκε στις 27 και 28 Φεβρουαρίου 2025 στα Σκόπια·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τις συνόδους κορυφής ΕΕ-Δυτικών Βαλκανίων, που πραγματοποιήθηκαν στη Σόφια, στο Ζάγκρεμπ και στο Brdo pri Kranju το 2018, το 2020 και το 2021, και τις δηλώσεις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της Ευρωπαϊκής Επιτροπής κατά του Ρατσισμού και της Μισαλλοδοξίας (ECRI) σχετικά με τη Βόρεια Μακεδονία, η οποία εγκρίθηκε στις 29 Ιουνίου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τα συμπεράσματα του Συμβουλίου της 18ης Ιουλίου 2022 σχετικά με τη διεύρυνση και τα συμπεράσματα του Συμβουλίου της 17ης Δεκεμβρίου 2024 σχετικά με τη διεύρυνση,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έχοντας υπόψη τα προηγούμενα ψηφίσματά του για τη Βόρεια Μακεδονία,</w:t>
            </w:r>
          </w:p>
        </w:tc>
        <w:tc>
          <w:tcPr>
            <w:tcW w:w="4876" w:type="dxa"/>
            <w:tcBorders>
              <w:top w:val="nil"/>
              <w:left w:val="nil"/>
              <w:bottom w:val="nil"/>
              <w:right w:val="nil"/>
            </w:tcBorders>
          </w:tcPr>
          <w:p>
            <w:pPr>
              <w:pStyle w:val="Normal6a"/>
            </w:pPr>
            <w:r>
              <w:t>–</w:t>
            </w:r>
            <w:r>
              <w:tab/>
            </w:r>
            <w:r>
              <w:t xml:space="preserve">έχοντας υπόψη τα προηγούμενα ψηφίσματά του για τη Βόρεια Μακεδονία, </w:t>
            </w:r>
            <w:r>
              <w:rPr>
                <w:b/>
                <w:i/>
              </w:rPr>
              <w:t>και ιδίως το ψήφισμά του της 24ης Οκτωβρίου 2019 σχετικά με την έναρξη ενταξιακών διαπραγματεύσεων με τη Βόρεια Μακεδονία και την Αλβανία,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τις συστάσεις της 23ης συνεδρίασης της Μικτής Κοινοβουλευτικής Επιτροπής στις 27-28 Φεβρουαρίου 2025 στα Σκόπια,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συνεπή αναγνώριση της μακεδονικής γλώσσας και ταυτότητας από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τα συμπεράσματα του Ευρωπαϊκού Συμβουλίου της 18ης Ιουλίου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πρωτόκολλο της δεύτερης συνόδου της κοινής διακυβερνητικής επιτροπής που συστάθηκε δυνάμει του άρθρου 12 της συνθήκης φιλίας, καλής γειτονίας και συνεργασίας μεταξύ της Δημοκρατίας της Βουλγαρίας και της Δημοκρατίας της Βόρειας Μακεδονίας, που πραγματοποιήθηκε στις 17 Ιουλίου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w:t>
            </w:r>
            <w:r>
              <w:rPr>
                <w:b/>
                <w:i/>
              </w:rPr>
              <w:t>η</w:t>
            </w:r>
            <w:r>
              <w:t xml:space="preserve"> Βόρεια Μακεδονία έχει καθεστώς υποψήφιας χώρας για ένταξη στην ΕΕ από το 2005 και ολοκλήρωσε επιτυχώς τη διαδικασία ελέγχου τον Δεκέμβριο του 2023·</w:t>
            </w:r>
          </w:p>
        </w:tc>
        <w:tc>
          <w:tcPr>
            <w:tcW w:w="4876" w:type="dxa"/>
            <w:tcBorders>
              <w:top w:val="nil"/>
              <w:left w:val="nil"/>
              <w:bottom w:val="nil"/>
              <w:right w:val="nil"/>
            </w:tcBorders>
          </w:tcPr>
          <w:p>
            <w:pPr>
              <w:pStyle w:val="Normal6a"/>
            </w:pPr>
            <w:r>
              <w:t>Α.</w:t>
            </w:r>
            <w:r>
              <w:tab/>
            </w:r>
            <w:r>
              <w:t xml:space="preserve">λαμβάνοντας υπόψη ότι </w:t>
            </w:r>
            <w:r>
              <w:rPr>
                <w:b/>
                <w:i/>
              </w:rPr>
              <w:t>στη</w:t>
            </w:r>
            <w:r>
              <w:t xml:space="preserve"> Βόρεια Μακεδονία έχει </w:t>
            </w:r>
            <w:r>
              <w:rPr>
                <w:b/>
                <w:i/>
              </w:rPr>
              <w:t>χορηγηθεί</w:t>
            </w:r>
            <w:r>
              <w:t xml:space="preserve"> καθεστώς υποψήφιας χώρας για ένταξη στην ΕΕ από το 2005 και ολοκλήρωσε επιτυχώς τη διαδικασία ελέγχου τον Δεκέμβριο του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οι προσδοκίες των πολιτών της Βόρειας Μακεδονίας να ενταχθούν στην ΕΕ έχουν οδηγήσει σε σημαντική πρόοδο όσον αφορά τη δημοκρατία και τις κοινωνικοοικονομικές μεταρρυθμίσεις, ενώ η </w:t>
            </w:r>
            <w:r>
              <w:rPr>
                <w:b/>
                <w:i/>
              </w:rPr>
              <w:t>ενταξιακή</w:t>
            </w:r>
            <w:r>
              <w:t xml:space="preserve"> διαδικασία εξακολουθεί να αντιμετωπίζει εμπόδια </w:t>
            </w:r>
            <w:r>
              <w:rPr>
                <w:b/>
                <w:i/>
              </w:rPr>
              <w:t>για διάφορους αδικαιολόγητους λόγους</w:t>
            </w:r>
            <w:r>
              <w:t>·</w:t>
            </w:r>
          </w:p>
        </w:tc>
        <w:tc>
          <w:tcPr>
            <w:tcW w:w="4876" w:type="dxa"/>
            <w:tcBorders>
              <w:top w:val="nil"/>
              <w:left w:val="nil"/>
              <w:bottom w:val="nil"/>
              <w:right w:val="nil"/>
            </w:tcBorders>
          </w:tcPr>
          <w:p>
            <w:pPr>
              <w:pStyle w:val="Normal6a"/>
            </w:pPr>
            <w:r>
              <w:t>Β.</w:t>
            </w:r>
            <w:r>
              <w:tab/>
            </w:r>
            <w:r>
              <w:t xml:space="preserve">λαμβάνοντας υπόψη ότι οι προσδοκίες των πολιτών της Βόρειας Μακεδονίας να ενταχθούν στην ΕΕ έχουν οδηγήσει σε σημαντική πρόοδο όσον αφορά τη δημοκρατία και τις κοινωνικοοικονομικές μεταρρυθμίσεις, ενώ η διαδικασία </w:t>
            </w:r>
            <w:r>
              <w:rPr>
                <w:b/>
                <w:i/>
              </w:rPr>
              <w:t>ένταξης στην ΕΕ</w:t>
            </w:r>
            <w:r>
              <w:t xml:space="preserve"> εξακολουθεί να αντιμετωπίζει εμπόδια </w:t>
            </w:r>
            <w:r>
              <w:rPr>
                <w:b/>
                <w:i/>
              </w:rPr>
              <w:t>λόγω της εχθρικής ρητορικής της πολιτικής ηγεσίας στη χώρα και της έλλειψης πολιτικής βούλησης να αναλάβει και να εφαρμόσει τις αναγκαίες μεταρρυθμίσεις που απαιτούνται για τη συνέχιση της διαδικασίας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οι προσδοκίες των πολιτών της Βόρειας Μακεδονίας να ενταχθούν στην ΕΕ έχουν οδηγήσει σε σημαντική πρόοδο όσον αφορά τη δημοκρατία και τις κοινωνικοοικονομικές μεταρρυθμίσεις</w:t>
            </w:r>
            <w:r>
              <w:rPr>
                <w:b/>
                <w:i/>
              </w:rPr>
              <w:t>, ενώ η ενταξιακή διαδικασία εξακολουθεί να αντιμετωπίζει εμπόδια για διάφορους αδικαιολόγητους λόγους</w:t>
            </w:r>
            <w:r>
              <w:t>·</w:t>
            </w:r>
          </w:p>
        </w:tc>
        <w:tc>
          <w:tcPr>
            <w:tcW w:w="4876" w:type="dxa"/>
            <w:tcBorders>
              <w:top w:val="nil"/>
              <w:left w:val="nil"/>
              <w:bottom w:val="nil"/>
              <w:right w:val="nil"/>
            </w:tcBorders>
          </w:tcPr>
          <w:p>
            <w:pPr>
              <w:pStyle w:val="Normal6a"/>
            </w:pPr>
            <w:r>
              <w:t>Β.</w:t>
            </w:r>
            <w:r>
              <w:tab/>
            </w:r>
            <w:r>
              <w:t>λαμβάνοντας υπόψη ότι οι προσδοκίες των πολιτών της Βόρειας Μακεδονίας να ενταχθούν στην ΕΕ έχουν οδηγήσει σε σημαντική πρόοδο όσον αφορά τη δημοκρατία και τις κοινωνικοοικονομικές μεταρρυθμίσεις·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οι προσδοκίες των πολιτών της Βόρειας Μακεδονίας να ενταχθούν στην ΕΕ </w:t>
            </w:r>
            <w:r>
              <w:rPr>
                <w:b/>
                <w:i/>
              </w:rPr>
              <w:t>έχουν οδηγήσει σε σημαντική πρόοδο όσον αφορά τη δημοκρατία και τις κοινωνικοοικονομικές μεταρρυθμίσεις, ενώ η ενταξιακή διαδικασία εξακολουθεί να αντιμετωπίζει εμπόδια για διάφορους αδικαιολόγητους λόγους</w:t>
            </w:r>
            <w:r>
              <w:t>·</w:t>
            </w:r>
          </w:p>
        </w:tc>
        <w:tc>
          <w:tcPr>
            <w:tcW w:w="4876" w:type="dxa"/>
            <w:tcBorders>
              <w:top w:val="nil"/>
              <w:left w:val="nil"/>
              <w:bottom w:val="nil"/>
              <w:right w:val="nil"/>
            </w:tcBorders>
          </w:tcPr>
          <w:p>
            <w:pPr>
              <w:pStyle w:val="Normal6a"/>
            </w:pPr>
            <w:r>
              <w:t>Β.</w:t>
            </w:r>
            <w:r>
              <w:tab/>
            </w:r>
            <w:r>
              <w:t xml:space="preserve">λαμβάνοντας υπόψη ότι οι προσδοκίες των πολιτών της Βόρειας Μακεδονίας να ενταχθούν στην ΕΕ </w:t>
            </w:r>
            <w:r>
              <w:rPr>
                <w:b/>
                <w:i/>
              </w:rPr>
              <w:t>εξακολουθούν να αντιμετωπίζουν προσκόμματα λόγω της ανεπαρκούς πολιτικής βούλησης της χώρας να υλοποιήσει τις συμφωνηθείσες δεσμεύσεις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οι προσδοκίες των πολιτών της Βόρειας Μακεδονίας να ενταχθούν στην ΕΕ έχουν οδηγήσει σε σημαντική πρόοδο όσον αφορά τη δημοκρατία και τις κοινωνικοοικονομικές μεταρρυθμίσεις, ενώ η ενταξιακή διαδικασία εξακολουθεί να αντιμετωπίζει </w:t>
            </w:r>
            <w:r>
              <w:rPr>
                <w:b/>
                <w:i/>
              </w:rPr>
              <w:t>εμπόδια</w:t>
            </w:r>
            <w:r>
              <w:t xml:space="preserve"> για διάφορους </w:t>
            </w:r>
            <w:r>
              <w:rPr>
                <w:b/>
                <w:i/>
              </w:rPr>
              <w:t>αδικαιολόγητους</w:t>
            </w:r>
            <w:r>
              <w:t xml:space="preserve"> λόγους·</w:t>
            </w:r>
          </w:p>
        </w:tc>
        <w:tc>
          <w:tcPr>
            <w:tcW w:w="4876" w:type="dxa"/>
            <w:tcBorders>
              <w:top w:val="nil"/>
              <w:left w:val="nil"/>
              <w:bottom w:val="nil"/>
              <w:right w:val="nil"/>
            </w:tcBorders>
          </w:tcPr>
          <w:p>
            <w:pPr>
              <w:pStyle w:val="Normal6a"/>
            </w:pPr>
            <w:r>
              <w:t>Β.</w:t>
            </w:r>
            <w:r>
              <w:tab/>
            </w:r>
            <w:r>
              <w:t xml:space="preserve">λαμβάνοντας υπόψη ότι οι προσδοκίες των πολιτών της Βόρειας Μακεδονίας να ενταχθούν στην ΕΕ έχουν οδηγήσει σε σημαντική πρόοδο όσον αφορά τη δημοκρατία και τις κοινωνικοοικονομικές μεταρρυθμίσεις, ενώ η ενταξιακή διαδικασία εξακολουθεί </w:t>
            </w:r>
            <w:r>
              <w:rPr>
                <w:b/>
                <w:i/>
              </w:rPr>
              <w:t>δυστυχώς</w:t>
            </w:r>
            <w:r>
              <w:t xml:space="preserve"> να αντιμετωπίζει </w:t>
            </w:r>
            <w:r>
              <w:rPr>
                <w:b/>
                <w:i/>
              </w:rPr>
              <w:t>καθυστερήσεις</w:t>
            </w:r>
            <w:r>
              <w:t xml:space="preserve"> για διάφορους λόγους·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οι προσδοκίες των πολιτών της Βόρειας Μακεδονίας να ενταχθούν στην ΕΕ έχουν οδηγήσει σε </w:t>
            </w:r>
            <w:r>
              <w:rPr>
                <w:b/>
                <w:i/>
              </w:rPr>
              <w:t>σημαντική</w:t>
            </w:r>
            <w:r>
              <w:t xml:space="preserve"> πρόοδο όσον αφορά τη δημοκρατία και τις κοινωνικοοικονομικές μεταρρυθμίσεις, ενώ η ενταξιακή διαδικασία εξακολουθεί να αντιμετωπίζει </w:t>
            </w:r>
            <w:r>
              <w:rPr>
                <w:b/>
                <w:i/>
              </w:rPr>
              <w:t>εμπόδια</w:t>
            </w:r>
            <w:r>
              <w:t xml:space="preserve"> για διάφορους </w:t>
            </w:r>
            <w:r>
              <w:rPr>
                <w:b/>
                <w:i/>
              </w:rPr>
              <w:t>αδικαιολόγητους</w:t>
            </w:r>
            <w:r>
              <w:t xml:space="preserve"> λόγους·</w:t>
            </w:r>
          </w:p>
        </w:tc>
        <w:tc>
          <w:tcPr>
            <w:tcW w:w="4876" w:type="dxa"/>
            <w:tcBorders>
              <w:top w:val="nil"/>
              <w:left w:val="nil"/>
              <w:bottom w:val="nil"/>
              <w:right w:val="nil"/>
            </w:tcBorders>
          </w:tcPr>
          <w:p>
            <w:pPr>
              <w:pStyle w:val="Normal6a"/>
            </w:pPr>
            <w:r>
              <w:t>Β.</w:t>
            </w:r>
            <w:r>
              <w:tab/>
            </w:r>
            <w:r>
              <w:t xml:space="preserve">λαμβάνοντας υπόψη ότι οι προσδοκίες των πολιτών της Βόρειας Μακεδονίας να ενταχθούν στην ΕΕ έχουν οδηγήσει σε πρόοδο όσον αφορά τη δημοκρατία και τις κοινωνικοοικονομικές μεταρρυθμίσεις, ενώ η ενταξιακή διαδικασία εξακολουθεί να αντιμετωπίζει </w:t>
            </w:r>
            <w:r>
              <w:rPr>
                <w:b/>
                <w:i/>
              </w:rPr>
              <w:t>προσκόμματα</w:t>
            </w:r>
            <w:r>
              <w:t xml:space="preserve"> για διάφορους λόγους·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η εξεύρεση ενός κοινού αφηγήματος σχετικά με την κοινή ιστορία αποτελεί το αναγκαίο θεμέλιο πάνω στο οποίο η Βουλγαρία και η Βόρεια Μακεδονία θα πρέπει να οικοδομήσουν τις σχέσεις τους, και ότι η σχέση μεταξύ των μελλοντικών γενεών της Βόρειας Μακεδονίας και της Βουλγαρίας θα αντικατοπτρίζει τις εκπαιδευτικές διαδικασίες στις δύο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η ΕΕ έχει κινητοποιήσει περίπου 210 εκατ. EUR σε δάνεια μακροοικονομικής χρηματοδοτικής συνδρομής από το 2020, με στόχο τη σταθεροποίηση της μακεδονικής οικονομίας, την παροχή βοήθειας για την ανάκαμψή της από την πανδημία και την επιτάχυνση της μεταρρυθμιστικής προόδου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w:t>
            </w:r>
            <w:r>
              <w:rPr>
                <w:b/>
                <w:i/>
              </w:rPr>
              <w:t>Βόρεια Μακεδονία είναι αξιόπιστος εταίρος και ευθυγραμμίζεται πλήρως με την</w:t>
            </w:r>
            <w:r>
              <w:t xml:space="preserve"> κοινή εξωτερική πολιτική και πολιτική ασφάλειας της ΕΕ·</w:t>
            </w:r>
          </w:p>
        </w:tc>
        <w:tc>
          <w:tcPr>
            <w:tcW w:w="4876" w:type="dxa"/>
            <w:tcBorders>
              <w:top w:val="nil"/>
              <w:left w:val="nil"/>
              <w:bottom w:val="nil"/>
              <w:right w:val="nil"/>
            </w:tcBorders>
          </w:tcPr>
          <w:p>
            <w:pPr>
              <w:pStyle w:val="Normal6a"/>
            </w:pPr>
            <w:r>
              <w:t>Γ.</w:t>
            </w:r>
            <w:r>
              <w:tab/>
            </w:r>
            <w:r>
              <w:t xml:space="preserve">λαμβάνοντας υπόψη ότι η </w:t>
            </w:r>
            <w:r>
              <w:rPr>
                <w:b/>
                <w:i/>
              </w:rPr>
              <w:t>πρόσφατη αποχή της Βόρειας Μακεδονίας από το ψήφισμα ES-11/7 της Γενικής Συνέλευσης των Ηνωμένων Εθνών σχετικά με την Ουκρανία και η συνυποστήριξή της σε εναλλακτικό ψήφισμα με επικεφαλής τις Ηνωμένες Πολιτείες καταδεικνύουν μια απροσδόκητη και λυπηρή αλλαγή στην κατεύθυνση ευθυγράμμισης της εξωτερικής της πολιτικής, γεγονός που εγείρει ανησυχίες σχετικά με τη δέσμευσή της στην</w:t>
            </w:r>
            <w:r>
              <w:t xml:space="preserve"> κοινή εξωτερική πολιτική και πολιτική ασφάλειας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Βόρεια Μακεδονία είναι </w:t>
            </w:r>
            <w:r>
              <w:rPr>
                <w:b/>
                <w:i/>
              </w:rPr>
              <w:t>αξιόπιστος</w:t>
            </w:r>
            <w:r>
              <w:t xml:space="preserve"> εταίρος και ευθυγραμμίζεται πλήρως με την κοινή εξωτερική πολιτική και πολιτική ασφάλειας της ΕΕ·</w:t>
            </w:r>
          </w:p>
        </w:tc>
        <w:tc>
          <w:tcPr>
            <w:tcW w:w="4876" w:type="dxa"/>
            <w:tcBorders>
              <w:top w:val="nil"/>
              <w:left w:val="nil"/>
              <w:bottom w:val="nil"/>
              <w:right w:val="nil"/>
            </w:tcBorders>
          </w:tcPr>
          <w:p>
            <w:pPr>
              <w:pStyle w:val="Normal6a"/>
            </w:pPr>
            <w:r>
              <w:t>Γ.</w:t>
            </w:r>
            <w:r>
              <w:tab/>
            </w:r>
            <w:r>
              <w:t>λαμβάνοντας υπόψη ότι η Βόρεια Μακεδονία είναι εταίρος και ευθυγραμμίζεται πλήρως με την κοινή εξωτερική πολιτική και πολιτική ασφάλειας της ΕΕ</w:t>
            </w:r>
            <w:r>
              <w:rPr>
                <w:b/>
                <w:i/>
              </w:rPr>
              <w:t> και έχει διαδραματίσει εποικοδομητικό ρόλο στην περιοχή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Βόρεια Μακεδονία είναι </w:t>
            </w:r>
            <w:r>
              <w:rPr>
                <w:b/>
                <w:i/>
              </w:rPr>
              <w:t>αξιόπιστος</w:t>
            </w:r>
            <w:r>
              <w:t xml:space="preserve"> εταίρος </w:t>
            </w:r>
            <w:r>
              <w:rPr>
                <w:b/>
                <w:i/>
              </w:rPr>
              <w:t>και ευθυγραμμίζεται πλήρως με την κοινή εξωτερική πολιτική και πολιτική ασφάλειας της ΕΕ</w:t>
            </w:r>
            <w:r>
              <w:t>·</w:t>
            </w:r>
          </w:p>
        </w:tc>
        <w:tc>
          <w:tcPr>
            <w:tcW w:w="4876" w:type="dxa"/>
            <w:tcBorders>
              <w:top w:val="nil"/>
              <w:left w:val="nil"/>
              <w:bottom w:val="nil"/>
              <w:right w:val="nil"/>
            </w:tcBorders>
          </w:tcPr>
          <w:p>
            <w:pPr>
              <w:pStyle w:val="Normal6a"/>
            </w:pPr>
            <w:r>
              <w:t>Γ.</w:t>
            </w:r>
            <w:r>
              <w:tab/>
            </w:r>
            <w:r>
              <w:t xml:space="preserve">λαμβάνοντας υπόψη ότι η Βόρεια Μακεδονία είναι </w:t>
            </w:r>
            <w:r>
              <w:rPr>
                <w:b/>
                <w:i/>
              </w:rPr>
              <w:t>σημαντικός</w:t>
            </w:r>
            <w:r>
              <w:t xml:space="preserve"> εταίρος·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Βόρεια Μακεδονία είναι αξιόπιστος εταίρος και ευθυγραμμίζεται </w:t>
            </w:r>
            <w:r>
              <w:rPr>
                <w:b/>
                <w:i/>
              </w:rPr>
              <w:t>πλήρως</w:t>
            </w:r>
            <w:r>
              <w:t xml:space="preserve"> με την κοινή εξωτερική πολιτική και πολιτική ασφάλειας της ΕΕ·</w:t>
            </w:r>
          </w:p>
        </w:tc>
        <w:tc>
          <w:tcPr>
            <w:tcW w:w="4876" w:type="dxa"/>
            <w:tcBorders>
              <w:top w:val="nil"/>
              <w:left w:val="nil"/>
              <w:bottom w:val="nil"/>
              <w:right w:val="nil"/>
            </w:tcBorders>
          </w:tcPr>
          <w:p>
            <w:pPr>
              <w:pStyle w:val="Normal6a"/>
            </w:pPr>
            <w:r>
              <w:t>Γ.</w:t>
            </w:r>
            <w:r>
              <w:tab/>
            </w:r>
            <w:r>
              <w:t xml:space="preserve">λαμβάνοντας υπόψη ότι η Βόρεια Μακεδονία είναι αξιόπιστος εταίρος και ευθυγραμμίζεται με την κοινή εξωτερική πολιτική και πολιτική ασφάλειας της ΕΕ </w:t>
            </w:r>
            <w:r>
              <w:rPr>
                <w:b/>
                <w:i/>
              </w:rPr>
              <w:t>στην συντριπτική πλειονότητα των περιπτώσεων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Γα.</w:t>
            </w:r>
            <w:r>
              <w:tab/>
            </w:r>
            <w:r>
              <w:rPr>
                <w:b/>
                <w:i/>
              </w:rPr>
              <w:t>λαμβάνοντας υπόψη ότι η Βόρεια Μακεδονία έχει υπογράψει τη Συμφωνία των Πρεσπών με την Ελλάδα και τη συνθήκη φιλίας, καλής γειτονίας και συνεργασίας με τη Βουλγαρία·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Γα.</w:t>
            </w:r>
            <w:r>
              <w:tab/>
            </w:r>
            <w:r>
              <w:rPr>
                <w:b/>
                <w:i/>
              </w:rPr>
              <w:t>λαμβάνοντας υπόψη ότι η Βόρεια Μακεδονία συμμετέχει σε στρατιωτικές επιχειρήσεις διαχείρισης κρίσεων της ΕΕ, μεταξύ άλλων στην EUFOR Althea στη Βοσνία και Ερζεγοβίνη·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Γβ.</w:t>
            </w:r>
            <w:r>
              <w:tab/>
            </w:r>
            <w:r>
              <w:rPr>
                <w:b/>
                <w:i/>
              </w:rPr>
              <w:t>λαμβάνοντας υπόψη ότι η Βόρεια Μακεδονία έχει εφαρμόσει δεόντως τη συμφωνία των Πρεσπών, μεταξύ άλλων μέσω της τροποποίησης του συντάγματος της, και τη Συνθήκη φιλίας, καλής γειτονίας και συνεργασίας·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η Βόρεια Μακεδονία πρέπει να εγκρίνει τις εκκρεμείς συνταγματικές μεταρρυθμίσεις, ώστε να μπορέσουν να ξεκινήσουν γρήγορα οι ενταξιακές διαπραγματεύσεις·</w:t>
            </w:r>
          </w:p>
        </w:tc>
        <w:tc>
          <w:tcPr>
            <w:tcW w:w="4876" w:type="dxa"/>
            <w:tcBorders>
              <w:top w:val="nil"/>
              <w:left w:val="nil"/>
              <w:bottom w:val="nil"/>
              <w:right w:val="nil"/>
            </w:tcBorders>
          </w:tcPr>
          <w:p>
            <w:pPr>
              <w:pStyle w:val="Normal6a"/>
            </w:pPr>
            <w:r>
              <w:t>Δ.</w:t>
            </w:r>
            <w:r>
              <w:tab/>
            </w:r>
            <w:r>
              <w:t xml:space="preserve">λαμβάνοντας υπόψη ότι η Βόρεια Μακεδονία πρέπει να </w:t>
            </w:r>
            <w:r>
              <w:rPr>
                <w:b/>
                <w:i/>
              </w:rPr>
              <w:t>επιτύχει απτά αποτελέσματα όσον αφορά την εκπλήρωση των υποχρεώσεών της βάσει του διαπραγματευτικού πλαισίου της ΕΕ και των συμπερασμάτων του Συμβουλίου της 18ης Ιουλίου 2022, μεταξύ άλλων να</w:t>
            </w:r>
            <w:r>
              <w:t xml:space="preserve"> εγκρίνει τις εκκρεμείς συνταγματικές μεταρρυθμίσεις, ώστε να μπορέσουν να ξεκινήσουν γρήγορα οι ενταξιακές διαπραγματεύσεις·</w:t>
            </w:r>
            <w:r>
              <w:rPr>
                <w:b/>
                <w:i/>
              </w:rP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η Βόρεια Μακεδονία </w:t>
            </w:r>
            <w:r>
              <w:rPr>
                <w:b/>
                <w:i/>
              </w:rPr>
              <w:t>πρέπει</w:t>
            </w:r>
            <w:r>
              <w:t xml:space="preserve"> να εγκρίνει τις εκκρεμείς συνταγματικές μεταρρυθμίσεις, </w:t>
            </w:r>
            <w:r>
              <w:rPr>
                <w:b/>
                <w:i/>
              </w:rPr>
              <w:t>ώστε να μπορέσουν να ξεκινήσουν γρήγορα οι ενταξιακές διαπραγματεύσεις</w:t>
            </w:r>
            <w:r>
              <w:t>·</w:t>
            </w:r>
          </w:p>
        </w:tc>
        <w:tc>
          <w:tcPr>
            <w:tcW w:w="4876" w:type="dxa"/>
            <w:tcBorders>
              <w:top w:val="nil"/>
              <w:left w:val="nil"/>
              <w:bottom w:val="nil"/>
              <w:right w:val="nil"/>
            </w:tcBorders>
          </w:tcPr>
          <w:p>
            <w:pPr>
              <w:pStyle w:val="Normal6a"/>
            </w:pPr>
            <w:r>
              <w:t>Δ.</w:t>
            </w:r>
            <w:r>
              <w:tab/>
            </w:r>
            <w:r>
              <w:t xml:space="preserve">λαμβάνοντας υπόψη ότι η Βόρεια Μακεδονία </w:t>
            </w:r>
            <w:r>
              <w:rPr>
                <w:b/>
                <w:i/>
              </w:rPr>
              <w:t>απαιτείται</w:t>
            </w:r>
            <w:r>
              <w:t xml:space="preserve"> να εγκρίνει τις εκκρεμείς συνταγματικές μεταρρυθμίσεις, </w:t>
            </w:r>
            <w:r>
              <w:rPr>
                <w:b/>
                <w:i/>
              </w:rPr>
              <w:t>συμπεριλαμβανομένης της αναγνώρισης και της συμπερίληψης των Βουλγάρων στο προοίμιο του Συντάγματος ως επίσημης εθνοτικής ομάδας, προκειμένου να διευκολυνθεί η ταχεία έναρξη των ενταξιακών διαπραγματεύσεων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η Βόρεια Μακεδονία πρέπει να εγκρίνει τις εκκρεμείς συνταγματικές μεταρρυθμίσεις, ώστε να </w:t>
            </w:r>
            <w:r>
              <w:rPr>
                <w:b/>
                <w:i/>
              </w:rPr>
              <w:t>μπορέσουν να ξεκινήσουν γρήγορα οι ενταξιακές διαπραγματεύσεις</w:t>
            </w:r>
            <w:r>
              <w:t>·</w:t>
            </w:r>
          </w:p>
        </w:tc>
        <w:tc>
          <w:tcPr>
            <w:tcW w:w="4876" w:type="dxa"/>
            <w:tcBorders>
              <w:top w:val="nil"/>
              <w:left w:val="nil"/>
              <w:bottom w:val="nil"/>
              <w:right w:val="nil"/>
            </w:tcBorders>
          </w:tcPr>
          <w:p>
            <w:pPr>
              <w:pStyle w:val="Normal6a"/>
            </w:pPr>
            <w:r>
              <w:t>Δ.</w:t>
            </w:r>
            <w:r>
              <w:tab/>
            </w:r>
            <w:r>
              <w:t xml:space="preserve">λαμβάνοντας υπόψη ότι </w:t>
            </w:r>
            <w:r>
              <w:rPr>
                <w:b/>
                <w:i/>
              </w:rPr>
              <w:t>το Ευρωπαϊκό Συμβούλιο κατέληξε έκτοτε σε νέα συμπεράσματα τον Ιούλιο του 2022, τα οποία σημαίνουν ότι</w:t>
            </w:r>
            <w:r>
              <w:t xml:space="preserve"> η Βόρεια Μακεδονία πρέπει να εγκρίνει τις εκκρεμείς συνταγματικές μεταρρυθμίσεις, ώστε να </w:t>
            </w:r>
            <w:r>
              <w:rPr>
                <w:b/>
                <w:i/>
              </w:rPr>
              <w:t>μπορέσει να ολοκληρωθεί ταχέως η εναρκτήρια φάση των ενταξιακών διαπραγματεύσεων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η Βόρεια Μακεδονία πρέπει να εγκρίνει τις εκκρεμείς συνταγματικές </w:t>
            </w:r>
            <w:r>
              <w:rPr>
                <w:b/>
                <w:i/>
              </w:rPr>
              <w:t>μεταρρυθμίσεις</w:t>
            </w:r>
            <w:r>
              <w:t xml:space="preserve">, ώστε να μπορέσουν να ξεκινήσουν </w:t>
            </w:r>
            <w:r>
              <w:rPr>
                <w:b/>
                <w:i/>
              </w:rPr>
              <w:t>γρήγορα</w:t>
            </w:r>
            <w:r>
              <w:t xml:space="preserve"> οι ενταξιακές διαπραγματεύσεις·</w:t>
            </w:r>
          </w:p>
        </w:tc>
        <w:tc>
          <w:tcPr>
            <w:tcW w:w="4876" w:type="dxa"/>
            <w:tcBorders>
              <w:top w:val="nil"/>
              <w:left w:val="nil"/>
              <w:bottom w:val="nil"/>
              <w:right w:val="nil"/>
            </w:tcBorders>
          </w:tcPr>
          <w:p>
            <w:pPr>
              <w:pStyle w:val="Normal6a"/>
            </w:pPr>
            <w:r>
              <w:t>Δ.</w:t>
            </w:r>
            <w:r>
              <w:tab/>
            </w:r>
            <w:r>
              <w:t xml:space="preserve">λαμβάνοντας υπόψη ότι η Βόρεια Μακεδονία πρέπει να εγκρίνει τις εκκρεμείς συνταγματικές </w:t>
            </w:r>
            <w:r>
              <w:rPr>
                <w:b/>
                <w:i/>
              </w:rPr>
              <w:t>αλλαγές, σύμφωνα με τις δεσμεύσεις της</w:t>
            </w:r>
            <w:r>
              <w:t xml:space="preserve">, ώστε να μπορέσουν να ξεκινήσουν </w:t>
            </w:r>
            <w:r>
              <w:rPr>
                <w:b/>
                <w:i/>
              </w:rPr>
              <w:t>άμεσα</w:t>
            </w:r>
            <w:r>
              <w:t xml:space="preserve"> οι ενταξιακές διαπραγματεύσεις·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η κυβέρνηση της Δημοκρατίας της Βόρειας Μακεδονίας συμφώνησε ότι η επόμενη διακυβερνητική διάσκεψη με την ΕΕ για την περάτωση της εναρκτήριας φάσης των διαπραγματεύσεων για την προσχώρηση της Δημοκρατίας της Βόρειας Μακεδονίας στην ΕΕ θα πραγματοποιηθεί μετά την έναρξη ισχύος των τροποποιήσεων του Συντάγματος της Δημοκρατίας της Βόρειας Μακεδονίας, ώστε να συμπεριληφθούν οι πολίτες της που ζουν στο έδαφος της εν λόγω χώρας και αποτελούν μέρος άλλων λαών, όπως ο βουλγαρικός λαός, σύμφωνα με εσωτερικές διαδικασίες, μεταξύ άλλων μέσω συνταγματικού νόμου για την εφαρμογή τους, όπως αναφέρεται στο 2ο πρωτόκολλο της Συνθήκης καλής γειτονίας και συνεργασίας με τη Βουλγαρία·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η Βόρεια Μακεδονία εξακολουθεί να αποτελεί στόχο ξένων κακόβουλων επιχειρήσεων επιρροής, ιδίως από τη Ρωσική Ομοσπονδία και, σε μικρότερο βαθμό, από τη Λαϊκή Δημοκρατία της Κίνας, οι οποίες έχουν ως στόχο να υπονομεύσουν τους δημοκρατικούς θεσμούς της, να παρεμποδίσουν την ένταξή της στην ΕΕ και να διαβρώσουν την εμπιστοσύνη στη διατλαντική κοινότητα·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στο πλαίσιο της διεύρυνσης δεν λαμβάνονται πλέον πλήρως υπόψη τα κριτήρια της οικονομικής αυστηρότητας ή της πολιτικής σταθερότητας, όπως ορίζονται στα κριτήρια της Κοπεγχάγης·</w:t>
            </w:r>
            <w:r>
              <w:t xml:space="preserve"> </w:t>
            </w:r>
            <w:r>
              <w:rPr>
                <w:b/>
                <w:i/>
              </w:rPr>
              <w:t>λαμβάνοντας υπόψη ότι τα κριτήρια της Κοπεγχάγης είναι απαραίτητα για τη διαφύλαξη των αξιών, της σταθερότητας και της ασφάλειας της Ένωσης και των πολιτών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Ε. νέο, λαμβάνοντας υπόψη ότι οι γεωπολιτικές αλλαγές, ο πόλεμος στην Ουκρανία, η παραπληροφόρηση και η εσφαλμένη πληροφόρηση έχουν ισχυρό αντίκτυπο σε όλες τις ευρωπαϊκές χώρες, τόσο σε πολιτικό όσο και σε οικονομικό επίπεδο.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οι αρχές της Βόρειας Μακεδονίας έχουν προτείνει λύσεις για συνταγματική αλλαγή που δεν πληρούσαν τις προϋποθέσεις των συμπερασμάτων του Συμβουλίου του Ιουλίου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κάθε υπό ένταξη χώρα αναμένεται να σέβεται τις δημοκρατικές αξίες, το κράτος δικαίου και τα ανθρώπινα δικαιώματα και να συμμορφώνεται με το δίκαιο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επί του παρόντος η ενταξιακή διαδικασία και ο ρυθμός της εξαρτάται πλήρως από την κυβέρνηση και τη συνέλευση της Μακεδονίας·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η ΕΕ καταδεικνύει με συνέπεια την αναγνώριση της μακεδονικής γλώσσας και ταυτότητας·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η ΕΕ καταδεικνύει με συνέπεια την αναγνώριση της μακεδονικής γλώσσας και ταυτότητας·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Δβ.</w:t>
            </w:r>
            <w:r>
              <w:tab/>
            </w:r>
            <w:r>
              <w:rPr>
                <w:b/>
                <w:i/>
              </w:rPr>
              <w:t>λαμβάνοντας υπόψη ότι η κυβέρνηση της Δημοκρατίας της Βόρειας Μακεδονίας, σύμφωνα με το άρθρο 11 παράγραφος 5 της συνθήκης καλής γειτονίας και συνεργασίας με τη Βουλγαρία, επιβεβαίωσε τη δέσμευση ότι κανένα στοιχείο του συντάγματος της δεν μπορεί και δεν θα πρέπει να θεωρείται ότι αποτελεί ή θα αποτελέσει ποτέ βάση για παρέμβαση στις εσωτερικές υποθέσεις της Δημοκρατίας της Βουλγαρίας, προκειμένου να προστατευθεί το καθεστώς και τα δικαιώματα των μη πολιτών της Δημοκρατίας της Βόρειας Μακεδονίας·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Δβ.</w:t>
            </w:r>
            <w:r>
              <w:tab/>
            </w:r>
            <w:r>
              <w:rPr>
                <w:b/>
                <w:i/>
              </w:rPr>
              <w:t>λαμβάνοντας υπόψη ότι η διεύρυνση είναι μια αξιοκρατική διαδικασία που εδράζεται στη δημοκρατία, το κράτος δικαίου και τα θεμελιώδη δικαιώματα·</w:t>
            </w:r>
            <w:r>
              <w:t xml:space="preserve"> </w:t>
            </w:r>
            <w:r>
              <w:rPr>
                <w:b/>
                <w:i/>
              </w:rPr>
              <w:t>λαμβάνοντας υπόψη ότι οι χώρες των Δυτικών Βαλκανίων απέχουν ακόμη πολύ από την εκπλήρωση αυτών των κριτηρίων·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Δβ.</w:t>
            </w:r>
            <w:r>
              <w:tab/>
            </w:r>
            <w:r>
              <w:rPr>
                <w:b/>
                <w:i/>
              </w:rPr>
              <w:t>λαμβάνοντας υπόψη ότι μόνο μεταξύ Ιανουαρίου και Σεπτεμβρίου 2023, αναλυτές κατέγραψαν εκατοντάδες διαδικτυακά άρθρα παραπληροφόρησης που στόχευαν τη Βόρεια Μακεδονία, πολλά από τα οποία απηχούν αφηγήματα του Κρεμλίνου·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Δβ.</w:t>
            </w:r>
            <w:r>
              <w:tab/>
            </w:r>
            <w:r>
              <w:rPr>
                <w:b/>
                <w:i/>
              </w:rPr>
              <w:t>λαμβάνοντας υπόψη ότι το Συμβούλιο δεν απέκλεισε κατηγορηματικά την έγκριση περαιτέρω νέων προϋποθέσεων για την έναρξη των ενταξιακών διαπραγματεύσεων·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Δγ.</w:t>
            </w:r>
            <w:r>
              <w:tab/>
            </w:r>
            <w:r>
              <w:rPr>
                <w:b/>
                <w:i/>
              </w:rPr>
              <w:t>λαμβάνοντας υπόψη ότι σημαντικό μέρος της ρωσικής παραπληροφόρησης που καταναλώνεται στη Βόρεια Μακεδονία μεταδίδεται μέσω σκανδαλοθηρικών εφημερίδων και μέσων ενημέρωσης στη σερβική γλώσσα που λειτουργούν ως περιφερειακοί ενισχυτές των αφηγημάτων του Κρεμλίνου και ασκούν σημαντική επιρροή στο μακεδονικό κοινό λόγω της γλωσσικής και πολιτιστικής εγγύτητας·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Δγ.</w:t>
            </w:r>
            <w:r>
              <w:tab/>
            </w:r>
            <w:r>
              <w:rPr>
                <w:b/>
                <w:i/>
              </w:rPr>
              <w:t>λαμβάνοντας υπόψη ότι ο ΜΠΒ ΙΙΙ, ο Μηχανισμός Προενταξιακής Βοήθειας για την περίοδο 2021-2027, παρέχει 14,2 δισεκατομμύρια EUR για τη στήριξη μεταρρυθμίσεων και της κοινωνικοοικονομικής ανάπτυξης στα Δυτικά Βαλκάνια και την Τουρκία·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Δδ.</w:t>
            </w:r>
            <w:r>
              <w:tab/>
            </w:r>
            <w:r>
              <w:rPr>
                <w:b/>
                <w:i/>
              </w:rPr>
              <w:t>λαμβάνοντας υπόψη ότι η Κίνα επιδίωξε να επεκτείνει την επιρροή της μέσω του ελέγχου των πληροφοριών, της επενδυτικής διπλωματίας και των ρητρών εξαναγκασμού στις δανειακές συμβάσεις υποδομών·</w:t>
            </w:r>
            <w:r>
              <w:t xml:space="preserve"> </w:t>
            </w:r>
            <w:r>
              <w:rPr>
                <w:b/>
                <w:i/>
              </w:rPr>
              <w:t>λαμβάνοντας υπόψη ότι μια συμφωνία κατασκευής αυτοκινητοδρόμων ύψους 580 εκατομμυρίων EUR, η οποία χρηματοδοτήθηκε από κινεζική κρατική τράπεζα, αποτέλεσε αντικείμενο διαφθοράς στο οποίο ενεπλάκησαν κορυφαίοι πρώην κυβερνητικοί αξιωματούχοι και ανέδειξε την αδιαφάνεια των εν λόγω επενδύσεων·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Δε.</w:t>
            </w:r>
            <w:r>
              <w:tab/>
            </w:r>
            <w:r>
              <w:rPr>
                <w:b/>
                <w:i/>
              </w:rPr>
              <w:t>λαμβάνοντας υπόψη ότι, κατά τη διάρκεια της πανδημίας COVID-19, η Κίνα άσκησε ενεργά διπλωματία στον τομέα των εμβολίων στη Βόρεια Μακεδονία, χρησιμοποιώντας διαδικτυακές πλατφόρμες και χρηματοδοτούμενο περιεχόμενο μέσων ενημέρωσης για να προβάλει μια καλοπροαίρετη εικόνα, ενισχύοντας παράλληλα τα αφηγήματα που απεικόνιζαν τις προσπάθειες ανταπόκρισης της ΕΕ ως αναποτελεσματικές·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Δστ.</w:t>
            </w:r>
            <w:r>
              <w:tab/>
            </w:r>
            <w:r>
              <w:rPr>
                <w:b/>
                <w:i/>
              </w:rPr>
              <w:t>λαμβάνοντας υπόψη ότι η Βόρεια Μακεδονία απέλασε 13 Ρώσους διπλωμάτες μεταξύ 2018 και 2023 για δραστηριότητες που δεν συνάδουν με το διπλωματικό καθεστώς τους, γεγονός που υποδηλώνει τη συνεχιζόμενη παρουσία συγκεκαλυμμένων δικτύων επιρροής·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Δζ.</w:t>
            </w:r>
            <w:r>
              <w:tab/>
            </w:r>
            <w:r>
              <w:rPr>
                <w:b/>
                <w:i/>
              </w:rPr>
              <w:t>λαμβάνοντας υπόψη ότι η προεδρία του ΟΑΣΕ και ο Υπουργός Εξωτερικών της Βόρειας Μακεδονίας το 2024 προειδοποίησαν δημοσίως για τις προσπάθειες παραπληροφόρησης της Μόσχας με σκοπό τη διάρρηξη του κοινωνικού ιστού της χώρας και την εργαλειοποίηση του αισθήματος κατά της ΕΕ, δηλώνοντας ότι κακόβουλοι παράγοντες «εκμεταλλεύονται τη δημόσια απογοήτευση» για να σταματήσουν τη διεύρυνση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Δη.</w:t>
            </w:r>
            <w:r>
              <w:tab/>
            </w:r>
            <w:r>
              <w:rPr>
                <w:b/>
                <w:i/>
              </w:rPr>
              <w:t>λαμβάνοντας υπόψη ότι, σύμφωνα με το Metamorphosis Foundation, μεταξύ Ιανουαρίου και Σεπτεμβρίου 2023, δημοσιεύθηκαν στη Βόρεια Μακεδονία περισσότερα από 700 άρθρα παραπληροφόρησης που προωθούν αφηγήματα υπέρ του Κρεμλίνου, με το 60 % να στοχεύει την Ουκρανία και την ΕΕ και πολλά από αυτά να προέρχονται από σερβικά μέσα ενημέρωσης που ενεργούν ως περιφερειακοί ενισχυτές ρωσικής επιρροής·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επαναλαμβάνει την πλήρη υποστήριξή του στην</w:t>
            </w:r>
            <w:r>
              <w:t xml:space="preserve"> επιθυμία της Βόρειας Μακεδονίας να προσχωρήσει στην ΕΕ·</w:t>
            </w:r>
          </w:p>
        </w:tc>
        <w:tc>
          <w:tcPr>
            <w:tcW w:w="4876" w:type="dxa"/>
            <w:tcBorders>
              <w:top w:val="nil"/>
              <w:left w:val="nil"/>
              <w:bottom w:val="nil"/>
              <w:right w:val="nil"/>
            </w:tcBorders>
          </w:tcPr>
          <w:p>
            <w:pPr>
              <w:pStyle w:val="Normal6a"/>
            </w:pPr>
            <w:r>
              <w:t>1.</w:t>
            </w:r>
            <w:r>
              <w:tab/>
            </w:r>
            <w:r>
              <w:rPr>
                <w:b/>
                <w:i/>
              </w:rPr>
              <w:t>απορρίπτει κατηγορηματικά την</w:t>
            </w:r>
            <w:r>
              <w:t xml:space="preserve"> επιθυμία της Βόρειας Μακεδονίας να προσχωρήσει στην ΕΕ </w:t>
            </w:r>
            <w:r>
              <w:rPr>
                <w:b/>
                <w:i/>
              </w:rPr>
              <w:t>και σε οποιαδήποτε περαιτέρω διεύρυνση της ΕΕ, καθώς οι υποψήφιες χώρες, ιδίως στα Δυτικά Βαλκάνια, απέχουν ακόμη πολύ από την εκπλήρωση των κριτηρίων πολιτικής, οικονομικής και κοινωνικής σταθερότητας που περιγράφονται στα κριτήρια της Κοπεγχάγης, με συνεχιζόμενη πολιτική αστάθεια, εκτεταμένη διαφθορά και επίμονο οργανωμένο έγκλημα που συνιστούν σημαντικούς κινδύνους για την ασφάλεια και την προστασία των Ευρωπαίων πολιτών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επαναλαμβάνει την πλήρη υποστήριξή του στην επιθυμία της Βόρειας Μακεδονίας να προσχωρήσει στην ΕΕ·</w:t>
            </w:r>
          </w:p>
        </w:tc>
        <w:tc>
          <w:tcPr>
            <w:tcW w:w="4876" w:type="dxa"/>
            <w:tcBorders>
              <w:top w:val="nil"/>
              <w:left w:val="nil"/>
              <w:bottom w:val="nil"/>
              <w:right w:val="nil"/>
            </w:tcBorders>
          </w:tcPr>
          <w:p>
            <w:pPr>
              <w:pStyle w:val="Normal6a"/>
            </w:pPr>
            <w:r>
              <w:t>1.</w:t>
            </w:r>
            <w:r>
              <w:tab/>
            </w:r>
            <w:r>
              <w:t xml:space="preserve">επαναλαμβάνει την πλήρη υποστήριξή του στην επιθυμία της Βόρειας Μακεδονίας να προσχωρήσει στην ΕΕ· </w:t>
            </w:r>
            <w:r>
              <w:rPr>
                <w:b/>
                <w:i/>
              </w:rPr>
              <w:t>επαινεί τη δέσμευση της χώρας για την ευρωπαϊκή ολοκλήρωση και ενθαρρύνει τις συνεχείς προσπάθειες για την προώθηση μεταρρυθμίσεων ευθυγραμμισμένων με την ΕΕ, παρά τις προκλήσεις και τα προσκόμματα που έχουν δοκιμάσει την υπομονή και την εμπιστοσύνη της μακεδονικής κοινωνίας·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επαναλαμβάνει την πλήρη υποστήριξή του στην επιθυμία της Βόρειας Μακεδονίας να προσχωρήσει στην ΕΕ·</w:t>
            </w:r>
          </w:p>
        </w:tc>
        <w:tc>
          <w:tcPr>
            <w:tcW w:w="4876" w:type="dxa"/>
            <w:tcBorders>
              <w:top w:val="nil"/>
              <w:left w:val="nil"/>
              <w:bottom w:val="nil"/>
              <w:right w:val="nil"/>
            </w:tcBorders>
          </w:tcPr>
          <w:p>
            <w:pPr>
              <w:pStyle w:val="Normal6a"/>
            </w:pPr>
            <w:r>
              <w:t>1.</w:t>
            </w:r>
            <w:r>
              <w:tab/>
            </w:r>
            <w:r>
              <w:t xml:space="preserve">επαναλαμβάνει την πλήρη υποστήριξή του στην επιθυμία της Βόρειας Μακεδονίας να προσχωρήσει στην ΕΕ· </w:t>
            </w:r>
            <w:r>
              <w:rPr>
                <w:b/>
                <w:i/>
              </w:rPr>
              <w:t>υπενθυμίζει ότι η προσχώρηση στην ΕΕ παραμένει ζήτημα πολιτικής βούλησης για την εκπλήρωση των κριτηρίων και την υλοποίηση των ανειλημμένων δεσμεύσεων·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επαναλαμβάνει την πλήρη υποστήριξή του στην επιθυμία</w:t>
            </w:r>
            <w:r>
              <w:t xml:space="preserve"> της Βόρειας Μακεδονίας να προσχωρήσει στην ΕΕ·</w:t>
            </w:r>
          </w:p>
        </w:tc>
        <w:tc>
          <w:tcPr>
            <w:tcW w:w="4876" w:type="dxa"/>
            <w:tcBorders>
              <w:top w:val="nil"/>
              <w:left w:val="nil"/>
              <w:bottom w:val="nil"/>
              <w:right w:val="nil"/>
            </w:tcBorders>
          </w:tcPr>
          <w:p>
            <w:pPr>
              <w:pStyle w:val="Normal6a"/>
            </w:pPr>
            <w:r>
              <w:t>1.</w:t>
            </w:r>
            <w:r>
              <w:tab/>
            </w:r>
            <w:r>
              <w:rPr>
                <w:b/>
                <w:i/>
              </w:rPr>
              <w:t>αναγνωρίζει τις προσδοκίες</w:t>
            </w:r>
            <w:r>
              <w:t xml:space="preserve"> της Βόρειας Μακεδονίας να προσχωρήσει στην ΕΕ </w:t>
            </w:r>
            <w:r>
              <w:rPr>
                <w:b/>
                <w:i/>
              </w:rPr>
              <w:t>και υποστηρίζει πλήρως τη συνέχιση της διαδικασίας προσχώρησής της, μόλις εκπληρωθούν οι αναγκαίες προηγουμένως συμφωνηθείσες μεταρρυθμίσεις και προϋποθέσεις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επαναλαμβάνει την πλήρη υποστήριξή του στην επιθυμία της Βόρειας Μακεδονίας να προσχωρήσει στην ΕΕ·</w:t>
            </w:r>
          </w:p>
        </w:tc>
        <w:tc>
          <w:tcPr>
            <w:tcW w:w="4876" w:type="dxa"/>
            <w:tcBorders>
              <w:top w:val="nil"/>
              <w:left w:val="nil"/>
              <w:bottom w:val="nil"/>
              <w:right w:val="nil"/>
            </w:tcBorders>
          </w:tcPr>
          <w:p>
            <w:pPr>
              <w:pStyle w:val="Normal6a"/>
            </w:pPr>
            <w:r>
              <w:t>1.</w:t>
            </w:r>
            <w:r>
              <w:tab/>
            </w:r>
            <w:r>
              <w:t xml:space="preserve">επαναλαμβάνει την πλήρη υποστήριξή του στην επιθυμία της Βόρειας Μακεδονίας να προσχωρήσει στην ΕΕ </w:t>
            </w:r>
            <w:r>
              <w:rPr>
                <w:b/>
                <w:i/>
              </w:rPr>
              <w:t>και στις αναγκαίες μετασχηματιστικές αλλαγές που απαιτούνται για την εκπλήρωση των κριτηρίων προσχώρησης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επαναλαμβάνει την πλήρη υποστήριξή του στην </w:t>
            </w:r>
            <w:r>
              <w:rPr>
                <w:b/>
                <w:i/>
              </w:rPr>
              <w:t>επιθυμία</w:t>
            </w:r>
            <w:r>
              <w:t xml:space="preserve"> της Βόρειας Μακεδονίας να προσχωρήσει στην ΕΕ·</w:t>
            </w:r>
          </w:p>
        </w:tc>
        <w:tc>
          <w:tcPr>
            <w:tcW w:w="4876" w:type="dxa"/>
            <w:tcBorders>
              <w:top w:val="nil"/>
              <w:left w:val="nil"/>
              <w:bottom w:val="nil"/>
              <w:right w:val="nil"/>
            </w:tcBorders>
          </w:tcPr>
          <w:p>
            <w:pPr>
              <w:pStyle w:val="Normal6a"/>
            </w:pPr>
            <w:r>
              <w:t>1.</w:t>
            </w:r>
            <w:r>
              <w:tab/>
            </w:r>
            <w:r>
              <w:t xml:space="preserve">επαναλαμβάνει την πλήρη υποστήριξή του στην </w:t>
            </w:r>
            <w:r>
              <w:rPr>
                <w:b/>
                <w:i/>
              </w:rPr>
              <w:t>συνεχή και διαρκή δέσμευση</w:t>
            </w:r>
            <w:r>
              <w:t> της Βόρειας Μακεδονίας να προσχωρήσει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επαναλαμβάνει </w:t>
            </w:r>
            <w:r>
              <w:rPr>
                <w:b/>
                <w:i/>
              </w:rPr>
              <w:t>την πλήρη υποστήριξή του στην επιθυμία της Βόρειας Μακεδονίας να προσχωρήσει στην ΕΕ</w:t>
            </w:r>
            <w:r>
              <w:t>·</w:t>
            </w:r>
          </w:p>
        </w:tc>
        <w:tc>
          <w:tcPr>
            <w:tcW w:w="4876" w:type="dxa"/>
            <w:tcBorders>
              <w:top w:val="nil"/>
              <w:left w:val="nil"/>
              <w:bottom w:val="nil"/>
              <w:right w:val="nil"/>
            </w:tcBorders>
          </w:tcPr>
          <w:p>
            <w:pPr>
              <w:pStyle w:val="Normal6a"/>
            </w:pPr>
            <w:r>
              <w:t>1.</w:t>
            </w:r>
            <w:r>
              <w:tab/>
            </w:r>
            <w:r>
              <w:t xml:space="preserve">επαναλαμβάνει </w:t>
            </w:r>
            <w:r>
              <w:rPr>
                <w:b/>
                <w:i/>
              </w:rPr>
              <w:t>τη σημασία της παύσης των ενταξιακών διαπραγματεύσεων με τα Σκόπια</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υπογραμμίζει ότι η προσχώρηση στην ΕΕ παραμένει ζήτημα πολιτικής βούλησης για την εκπλήρωση των κριτηρίων και την υλοποίηση των ανειλημμένων δεσμεύσεων, τόσο όσον αφορά την πραγματοποίηση των απαραίτητων μεταρρυθμίσεων όσο και την έγκριση των απαραίτητων συνταγματικών τροποποιήσεων·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υπενθυμίζει ότι η προσχώρηση στην ΕΕ παραμένει ζήτημα πολιτικής βούλησης για την εκπλήρωση των κριτηρίων και την υλοποίηση των ανειλημμένων δεσμεύσεων.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τη σημασία της έγκρισης της </w:t>
            </w:r>
            <w:r>
              <w:rPr>
                <w:b/>
                <w:i/>
              </w:rPr>
              <w:t>εναρμονισμένης</w:t>
            </w:r>
            <w:r>
              <w:t xml:space="preserve">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c>
          <w:tcPr>
            <w:tcW w:w="4876" w:type="dxa"/>
            <w:tcBorders>
              <w:top w:val="nil"/>
              <w:left w:val="nil"/>
              <w:bottom w:val="nil"/>
              <w:right w:val="nil"/>
            </w:tcBorders>
          </w:tcPr>
          <w:p>
            <w:pPr>
              <w:pStyle w:val="Normal6a"/>
            </w:pPr>
            <w:r>
              <w:t>2.</w:t>
            </w:r>
            <w:r>
              <w:tab/>
            </w:r>
            <w:r>
              <w:t xml:space="preserve">υπενθυμίζει την ανάγκη </w:t>
            </w:r>
            <w:r>
              <w:rPr>
                <w:b/>
                <w:i/>
              </w:rPr>
              <w:t>τόσο η Ευρωπαϊκή Ένωση όσο και η Βόρεια Μακεδονία να καταβάλουν κάθε δυνατή προσπάθεια</w:t>
            </w:r>
            <w:r>
              <w:t xml:space="preserve"> να διατηρηθεί η δυναμική και η αξιοπιστία της διαδικασίας ευρωπαϊκής ολοκλήρωσης·</w:t>
            </w:r>
            <w:r>
              <w:rPr>
                <w:b/>
                <w:i/>
              </w:rPr>
              <w:t xml:space="preserve"> </w:t>
            </w:r>
            <w:r>
              <w:t xml:space="preserve">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τη σημασία της έγκρισης της συνταγματικής αναθεώρησης· </w:t>
            </w:r>
            <w:r>
              <w:rPr>
                <w:b/>
                <w:i/>
              </w:rPr>
              <w:t>παροτρύνει το Ευρωπαϊκό Συμβούλιο να παράσχει δημόσια και αδιαμφισβήτητη στήριξη στη Βόρεια Μακεδονία ότι προτίθεται να λάβει γρήγορα και άνευ όρων θετική απόφαση σχετικά με την έναρξη των ενταξιακών διαπραγματεύσεων μετά την εκπλήρωση των όρων των συμπερασμάτων του της 18ης Ιουλίου 2022·</w:t>
            </w:r>
            <w:r>
              <w:t xml:space="preserve"> </w:t>
            </w:r>
            <w:r>
              <w:rPr>
                <w:b/>
                <w:i/>
              </w:rPr>
              <w:t>ενώ σέβεται πλήρως τη μακεδονική γλώσσα και ταυτότητα,</w:t>
            </w:r>
            <w:r>
              <w:t xml:space="preserve">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 </w:t>
            </w:r>
            <w:r>
              <w:rPr>
                <w:b/>
                <w:i/>
              </w:rPr>
              <w:t>ζητεί ειδικότερα από τις κυβερνήσεις των κρατών μελών που επέμειναν στους νέους όρους του Ιουλίου 2022 να πράξουν ό,τι είναι δυνατό ώστε να στηρίξουν τις εν λόγω προσπάθειες·</w:t>
            </w:r>
            <w:r>
              <w:t xml:space="preserve"> </w:t>
            </w:r>
            <w:r>
              <w:rPr>
                <w:b/>
                <w:i/>
              </w:rPr>
              <w:t>υπενθυμίζει ότι η ενταξιακή διαδικασία θα πρέπει να παραμείνει αξιοκρατική διαδικασία και δεν θα πρέπει να χρησιμοποιείται καταχρηστικά για την επίλυση διμερών διαφορών, ιδίως σε αυτή την κρίσιμη γεωπολιτική συγκυρία·</w:t>
            </w:r>
            <w:r>
              <w:t xml:space="preserve"> </w:t>
            </w:r>
            <w:r>
              <w:rPr>
                <w:b/>
                <w:i/>
              </w:rPr>
              <w:t>καλεί τις κυβερνήσεις της Βόρειας Μακεδονίας και των γειτονικών χωρών να συνεργαστούν εποικοδομητικά για την επίλυση των εκκρεμών διμερών διαφορών·</w:t>
            </w:r>
            <w:r>
              <w:t xml:space="preserve"> </w:t>
            </w:r>
            <w:r>
              <w:rPr>
                <w:b/>
                <w:i/>
              </w:rPr>
              <w:t>καλεί τα κράτη μέλη της ΕΕ, το Συμβούλιο και την Επιτροπή να διασφαλίσουν την προβλεψιμότητα και την αξιοπιστία της διαδικασίας προσχώρησης, μεταξύ άλλων με σκοπό τη διατήρηση της λαϊκής στήριξης για την προσχώρηση στις χώρες της διεύρυνσης·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w:t>
            </w:r>
            <w:r>
              <w:rPr>
                <w:b/>
                <w:i/>
              </w:rPr>
              <w:t>·</w:t>
            </w:r>
            <w:r>
              <w:t xml:space="preserve"> </w:t>
            </w:r>
            <w:r>
              <w:rPr>
                <w:b/>
                <w:i/>
              </w:rPr>
              <w:t>ζητεί</w:t>
            </w:r>
            <w:r>
              <w:t xml:space="preserve"> την ταχεία πρόοδο των ενταξιακών διαπραγματεύσεων, </w:t>
            </w:r>
            <w:r>
              <w:rPr>
                <w:b/>
                <w:i/>
              </w:rPr>
              <w:t>επισημαίνοντας παράλληλα τη σημασία της έγκρισης της εναρμονισμένης συνταγματικής αναθεώρησης</w:t>
            </w:r>
            <w:r>
              <w:t xml:space="preserve">·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w:t>
            </w:r>
            <w:r>
              <w:rPr>
                <w:b/>
                <w:i/>
              </w:rPr>
              <w:t>την εν λόγω αναθεώρηση</w:t>
            </w:r>
            <w:r>
              <w:t>, οι οποίες θα ενισχύσουν τον πολυεθνοτικό χαρακτήρα της χώρας και θα επιταχύνουν την πρόοδό της προς την ένταξη στην ΕΕ·</w:t>
            </w:r>
          </w:p>
        </w:tc>
        <w:tc>
          <w:tcPr>
            <w:tcW w:w="4876" w:type="dxa"/>
            <w:tcBorders>
              <w:top w:val="nil"/>
              <w:left w:val="nil"/>
              <w:bottom w:val="nil"/>
              <w:right w:val="nil"/>
            </w:tcBorders>
          </w:tcPr>
          <w:p>
            <w:pPr>
              <w:pStyle w:val="Normal6a"/>
            </w:pPr>
            <w:r>
              <w:t>2.</w:t>
            </w:r>
            <w:r>
              <w:tab/>
            </w:r>
            <w:r>
              <w:t>υπενθυμίζει την ανάγκη να διατηρηθεί η δυναμική και η αξιοπιστία της διαδικασίας ευρωπαϊκής ολοκλήρωσης</w:t>
            </w:r>
            <w:r>
              <w:rPr>
                <w:b/>
                <w:i/>
              </w:rPr>
              <w:t>, τονίζοντας ότι η προσχώρηση είναι αξιοκρατική διαδικασία, στο πλαίσιο της οποίας κάθε χώρα αξιολογείται με βάση την πρόοδο και τα επιτεύγματά της, και ότι η ιδιότητα του μέλους δεν αποτελεί αυτόματο δικαίωμα αλλά αποτέλεσμα της εκπλήρωσης των απαιτούμενων κριτηρίων</w:t>
            </w:r>
            <w:r>
              <w:t>· σημειώνει ότι η Βόρεια Μακεδονία εξακολουθεί να επιδεικνύει προσήλωση στην προσχώρηση στην ΕΕ και στην ευθυγράμμισή της με τις πολιτικές της ΕΕ</w:t>
            </w:r>
            <w:r>
              <w:rPr>
                <w:b/>
                <w:i/>
              </w:rPr>
              <w:t> μολονότι πρόσφατες ενέργειες, όπως η συνυποστήριξή της σε εναλλακτικό ψήφισμα του ΟΗΕ υπό την ηγεσία των Ηνωμένων Πολιτειών, εγείρουν ανησυχίες σχετικά με τη συνοχή της με την εξωτερική πολιτική της ΕΕ·</w:t>
            </w:r>
            <w:r>
              <w:t xml:space="preserve"> </w:t>
            </w:r>
            <w:r>
              <w:rPr>
                <w:b/>
                <w:i/>
              </w:rPr>
              <w:t>καλεί την κυβέρνηση της Βόρειας Μακεδονίας να εργαστεί για</w:t>
            </w:r>
            <w:r>
              <w:t xml:space="preserve"> την ταχεία πρόοδο των ενταξιακών διαπραγματεύσεων, </w:t>
            </w:r>
            <w:r>
              <w:rPr>
                <w:b/>
                <w:i/>
              </w:rPr>
              <w:t>εκπληρώνοντας την υποχρέωση της χώρας να εγκρίνει τις συνταγματικές μεταρρυθμίσεις, συμπεριλαμβανομένων των αναγνωρίσεων των Βουλγάρων ως επίσημης εθνοτικής ομάδας</w:t>
            </w:r>
            <w:r>
              <w:t xml:space="preserve">·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w:t>
            </w:r>
            <w:r>
              <w:rPr>
                <w:b/>
                <w:i/>
              </w:rPr>
              <w:t>τις απαιτούμενες μεταρρυθμίσεις</w:t>
            </w:r>
            <w:r>
              <w:t>, οι οποίες θα ενισχύσουν τον πολυεθνοτικό χαρακτήρα της χώρας και θα επιταχύνουν την πρόοδό της προς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υπενθυμίζει την ανάγκη να διατηρηθεί η δυναμική και η αξιοπιστία της διαδικασίας ευρωπαϊκής ολοκλήρωσης·</w:t>
            </w:r>
            <w:r>
              <w:t xml:space="preserve"> σημειώνει ότι </w:t>
            </w:r>
            <w:r>
              <w:rPr>
                <w:b/>
                <w:i/>
              </w:rPr>
              <w:t>η Βόρεια Μακεδονία εξακολουθεί να επιδεικνύει προσήλωση στην προσχώρηση</w:t>
            </w:r>
            <w:r>
              <w:t xml:space="preserve"> στην ΕΕ και </w:t>
            </w:r>
            <w:r>
              <w:rPr>
                <w:b/>
                <w:i/>
              </w:rPr>
              <w:t>στην ευθυγράμμισή της με τις πολιτικές της ΕΕ</w:t>
            </w:r>
            <w:r>
              <w:t xml:space="preserve">· ζητεί την </w:t>
            </w:r>
            <w:r>
              <w:rPr>
                <w:b/>
                <w:i/>
              </w:rPr>
              <w:t>ταχεία πρόοδο</w:t>
            </w:r>
            <w:r>
              <w:t xml:space="preserve"> των ενταξιακών διαπραγματεύσεων</w:t>
            </w:r>
            <w:r>
              <w:rPr>
                <w:b/>
                <w:i/>
              </w:rPr>
              <w:t>, επισημαίνοντας παράλληλα τη σημασία της έγκρισης της εναρμονισμένης συνταγματικής αναθεώρησης</w:t>
            </w:r>
            <w:r>
              <w:t xml:space="preserve">· </w:t>
            </w:r>
            <w:r>
              <w:rPr>
                <w:b/>
                <w:i/>
              </w:rPr>
              <w:t>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c>
          <w:tcPr>
            <w:tcW w:w="4876" w:type="dxa"/>
            <w:tcBorders>
              <w:top w:val="nil"/>
              <w:left w:val="nil"/>
              <w:bottom w:val="nil"/>
              <w:right w:val="nil"/>
            </w:tcBorders>
          </w:tcPr>
          <w:p>
            <w:pPr>
              <w:pStyle w:val="Normal6a"/>
            </w:pPr>
            <w:r>
              <w:t>2.</w:t>
            </w:r>
            <w:r>
              <w:tab/>
            </w:r>
            <w:r>
              <w:t xml:space="preserve">σημειώνει ότι </w:t>
            </w:r>
            <w:r>
              <w:rPr>
                <w:b/>
                <w:i/>
              </w:rPr>
              <w:t>τα Σκόπια δεν έχουν, επ' ουδενί, προβεί στις απαραίτητες ενέργειες για να ενταχθούν</w:t>
            </w:r>
            <w:r>
              <w:t xml:space="preserve"> στην ΕΕ και </w:t>
            </w:r>
            <w:r>
              <w:rPr>
                <w:b/>
                <w:i/>
              </w:rPr>
              <w:t>να ευθυγραμμιστούν με την ευρωπαϊκή εξωτερική πολιτική</w:t>
            </w:r>
            <w:r>
              <w:t xml:space="preserve">· ζητεί την </w:t>
            </w:r>
            <w:r>
              <w:rPr>
                <w:b/>
                <w:i/>
              </w:rPr>
              <w:t>άμεση παύση</w:t>
            </w:r>
            <w:r>
              <w:t xml:space="preserve"> των ενταξιακών διαπραγματεύσεων·</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w:t>
            </w:r>
            <w:r>
              <w:rPr>
                <w:b/>
                <w:i/>
              </w:rPr>
              <w:t>τη σημασία</w:t>
            </w:r>
            <w:r>
              <w:t xml:space="preserve">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w:t>
            </w:r>
            <w:r>
              <w:rPr>
                <w:b/>
                <w:i/>
              </w:rPr>
              <w:t>υπενθυμίζει ότι όλες οι χώρες που φιλοδοξούν να γίνουν κράτη μέλη θα κριθούν με βάση την πρόοδο και τις επιδόσεις τους όσον αφορά την εκπλήρωση, την εφαρμογή και τη συμμόρφωση με το σύνολο των κριτηρίων και των κοινών ευρωπαϊκών αξιών·</w:t>
            </w:r>
            <w:r>
              <w:t xml:space="preserve">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w:t>
            </w:r>
            <w:r>
              <w:rPr>
                <w:b/>
                <w:i/>
              </w:rPr>
              <w:t>την απαίτηση για επίτευξη απτών αποτελεσμάτων όσον αφορά την εκπλήρωση των υποχρεώσεών της βάσει του διαπραγματευτικού πλαισίου της ΕΕ και των συμπερασμάτων του Συμβουλίου της ΕΕ της 18ης Ιουλίου 2022, μεταξύ άλλων μέσω</w:t>
            </w:r>
            <w:r>
              <w:t xml:space="preserve">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υπενθυμίζει την ανάγκη να διατηρηθεί η δυναμική και η αξιοπιστία της διαδικασίας ευρωπαϊκής ολοκλήρωσης·</w:t>
            </w:r>
            <w:r>
              <w:t xml:space="preserve"> </w:t>
            </w:r>
            <w:r>
              <w:rPr>
                <w:b/>
                <w:i/>
              </w:rPr>
              <w:t>σημειώνει ότι η</w:t>
            </w:r>
            <w:r>
              <w:t xml:space="preserve"> Βόρεια Μακεδονία </w:t>
            </w:r>
            <w:r>
              <w:rPr>
                <w:b/>
                <w:i/>
              </w:rPr>
              <w:t>εξακολουθεί να επιδεικνύει προσήλωση στην προσχώρηση στην ΕΕ και στην ευθυγράμμισή της με τις πολιτικές της ΕΕ·</w:t>
            </w:r>
            <w:r>
              <w:t xml:space="preserve"> </w:t>
            </w:r>
            <w:r>
              <w:rPr>
                <w:b/>
                <w:i/>
              </w:rPr>
              <w:t>ζητεί την ταχεία πρόοδο των ενταξιακών διαπραγματεύσεων, επισημαίνοντας παράλληλα τη σημασία της έγκρισης της εναρμονισμένης συνταγματικής αναθεώρησης·</w:t>
            </w:r>
            <w:r>
              <w:t xml:space="preserve"> </w:t>
            </w:r>
            <w:r>
              <w:rPr>
                <w:b/>
                <w:i/>
              </w:rPr>
              <w:t>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r>
              <w:t>·</w:t>
            </w:r>
          </w:p>
        </w:tc>
        <w:tc>
          <w:tcPr>
            <w:tcW w:w="4876" w:type="dxa"/>
            <w:tcBorders>
              <w:top w:val="nil"/>
              <w:left w:val="nil"/>
              <w:bottom w:val="nil"/>
              <w:right w:val="nil"/>
            </w:tcBorders>
          </w:tcPr>
          <w:p>
            <w:pPr>
              <w:pStyle w:val="Normal6a"/>
            </w:pPr>
            <w:r>
              <w:t>2.</w:t>
            </w:r>
            <w:r>
              <w:tab/>
            </w:r>
            <w:r>
              <w:rPr>
                <w:b/>
                <w:i/>
              </w:rPr>
              <w:t>προειδοποιεί για τους κινδύνους της τυφλής προώθησης της πολυπολιτισμικότητας στη</w:t>
            </w:r>
            <w:r>
              <w:t xml:space="preserve"> Βόρεια Μακεδονία</w:t>
            </w:r>
            <w:r>
              <w:rPr>
                <w:b/>
                <w:i/>
              </w:rPr>
              <w:t>, η οποία θα μπορούσε να συμβάλει στον κατακερματισμό της χώρας, ενισχύοντας τις μειονότητες στα σύνορα στη δημιουργία μια συνέχειας της πατρίδας τους·</w:t>
            </w:r>
            <w:r>
              <w:t xml:space="preserve"> </w:t>
            </w:r>
            <w:r>
              <w:rPr>
                <w:b/>
                <w:i/>
              </w:rPr>
              <w:t>επαναλαμβάνει ότι η ενοποιημένη μορφή του κράτους της Βόρειας Μακεδονίας δεν θα πρέπει να αμφισβητηθεί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τη σημασία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w:t>
            </w:r>
            <w:r>
              <w:rPr>
                <w:b/>
                <w:i/>
              </w:rPr>
              <w:t>και θα επιταχύνουν την πρόοδό της</w:t>
            </w:r>
            <w:r>
              <w:t xml:space="preserve"> προς την ένταξη στην ΕΕ·</w:t>
            </w:r>
          </w:p>
        </w:tc>
        <w:tc>
          <w:tcPr>
            <w:tcW w:w="4876" w:type="dxa"/>
            <w:tcBorders>
              <w:top w:val="nil"/>
              <w:left w:val="nil"/>
              <w:bottom w:val="nil"/>
              <w:right w:val="nil"/>
            </w:tcBorders>
          </w:tcPr>
          <w:p>
            <w:pPr>
              <w:pStyle w:val="Normal6a"/>
            </w:pPr>
            <w:r>
              <w:t>2.</w:t>
            </w:r>
            <w:r>
              <w:tab/>
            </w:r>
            <w:r>
              <w:t>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τη σημασία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w:t>
            </w:r>
            <w:r>
              <w:rPr>
                <w:b/>
                <w:i/>
              </w:rPr>
              <w:t>·</w:t>
            </w:r>
            <w:r>
              <w:t xml:space="preserve"> </w:t>
            </w:r>
            <w:r>
              <w:rPr>
                <w:b/>
                <w:i/>
              </w:rPr>
              <w:t>πιστεύει ότι η ενίσχυση των δεσμών μεταξύ των πολλαπλών εθνοτήτων είναι απαραίτητη για τη βελτίωση της κοινωνικής συνοχής, τη διασφάλιση αποτελεσματικότερης διακυβέρνησης και, κατ'επέκταση, την επιτάχυνση της προόδου της χώρας</w:t>
            </w:r>
            <w:r>
              <w:t xml:space="preserve"> προς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w:t>
            </w:r>
            <w:r>
              <w:rPr>
                <w:b/>
                <w:i/>
              </w:rPr>
              <w:t>επιδεικνύει</w:t>
            </w:r>
            <w:r>
              <w:t xml:space="preserve">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w:t>
            </w:r>
            <w:r>
              <w:rPr>
                <w:b/>
                <w:i/>
              </w:rPr>
              <w:t>τη σημασία</w:t>
            </w:r>
            <w:r>
              <w:t xml:space="preserve">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c>
          <w:tcPr>
            <w:tcW w:w="4876" w:type="dxa"/>
            <w:tcBorders>
              <w:top w:val="nil"/>
              <w:left w:val="nil"/>
              <w:bottom w:val="nil"/>
              <w:right w:val="nil"/>
            </w:tcBorders>
          </w:tcPr>
          <w:p>
            <w:pPr>
              <w:pStyle w:val="Normal6a"/>
            </w:pPr>
            <w:r>
              <w:t>2.</w:t>
            </w:r>
            <w:r>
              <w:tab/>
            </w:r>
            <w:r>
              <w:t>υπενθυμίζει την ανάγκη να διατηρηθεί η δυναμική και η αξιοπιστία της διαδικασίας ευρωπαϊκής ολοκλήρωσης</w:t>
            </w:r>
            <w:r>
              <w:rPr>
                <w:b/>
                <w:i/>
              </w:rPr>
              <w:t>, βάσει της αρχής των ίδιων επιδόσεων</w:t>
            </w:r>
            <w:r>
              <w:t xml:space="preserve">· σημειώνει ότι η Βόρεια Μακεδονία εξακολουθεί να </w:t>
            </w:r>
            <w:r>
              <w:rPr>
                <w:b/>
                <w:i/>
              </w:rPr>
              <w:t>δηλώνει</w:t>
            </w:r>
            <w:r>
              <w:t xml:space="preserve"> προσήλωση στην προσχώρηση στην ΕΕ και στην ευθυγράμμισή της με τις πολιτικές της ΕΕ· ζητεί την ταχεία πρόοδο των ενταξιακών διαπραγματεύσεων, </w:t>
            </w:r>
            <w:r>
              <w:rPr>
                <w:b/>
                <w:i/>
              </w:rPr>
              <w:t>βάσει ιδίων επιδόσεων,</w:t>
            </w:r>
            <w:r>
              <w:t xml:space="preserve"> επισημαίνοντας παράλληλα </w:t>
            </w:r>
            <w:r>
              <w:rPr>
                <w:b/>
                <w:i/>
              </w:rPr>
              <w:t>την ανάγκη</w:t>
            </w:r>
            <w:r>
              <w:t xml:space="preserve"> της έγκρισης της εναρμονισμένης συνταγματικής αναθεώρησης </w:t>
            </w:r>
            <w:r>
              <w:rPr>
                <w:b/>
                <w:i/>
              </w:rPr>
              <w:t>που αφορά τη βουλγαρική μειονότητα</w:t>
            </w:r>
            <w:r>
              <w:t>·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w:t>
            </w:r>
            <w:r>
              <w:rPr>
                <w:b/>
                <w:i/>
              </w:rPr>
              <w:t>επισημαίνοντας</w:t>
            </w:r>
            <w:r>
              <w:t xml:space="preserve"> παράλληλα </w:t>
            </w:r>
            <w:r>
              <w:rPr>
                <w:b/>
                <w:i/>
              </w:rPr>
              <w:t>τη σημασία</w:t>
            </w:r>
            <w:r>
              <w:t xml:space="preserve">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w:t>
            </w:r>
            <w:r>
              <w:rPr>
                <w:b/>
                <w:i/>
              </w:rPr>
              <w:t>και αναγνωρίζοντας</w:t>
            </w:r>
            <w:r>
              <w:t xml:space="preserve"> παράλληλα </w:t>
            </w:r>
            <w:r>
              <w:rPr>
                <w:b/>
                <w:i/>
              </w:rPr>
              <w:t>πλήρως τη μακεδονική ταυτότητα και γλώσσα τονίζει την ανάγκη</w:t>
            </w:r>
            <w:r>
              <w:t xml:space="preserve">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τη σημασία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τη σημασία της έγκρισης της εναρμονισμένης συνταγματικής αναθεώρησης </w:t>
            </w:r>
            <w:r>
              <w:rPr>
                <w:b/>
                <w:i/>
              </w:rPr>
              <w:t>και σεβόμενο πλήρως τη μακεδονική γλώσσα και ταυτότητα</w:t>
            </w:r>
            <w:r>
              <w:t>·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w:t>
            </w:r>
            <w:r>
              <w:rPr>
                <w:b/>
                <w:i/>
              </w:rPr>
              <w:t>τη σημασία</w:t>
            </w:r>
            <w:r>
              <w:t xml:space="preserve">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c>
          <w:tcPr>
            <w:tcW w:w="4876" w:type="dxa"/>
            <w:tcBorders>
              <w:top w:val="nil"/>
              <w:left w:val="nil"/>
              <w:bottom w:val="nil"/>
              <w:right w:val="nil"/>
            </w:tcBorders>
          </w:tcPr>
          <w:p>
            <w:pPr>
              <w:pStyle w:val="Normal6a"/>
            </w:pPr>
            <w:r>
              <w:t>2.</w:t>
            </w:r>
            <w:r>
              <w:tab/>
            </w:r>
            <w:r>
              <w:t xml:space="preserve">υπενθυμίζει την ανάγκη να διατηρηθεί η δυναμική και η αξιοπιστία της διαδικασίας ευρωπαϊκής ολοκλήρωσης·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w:t>
            </w:r>
            <w:r>
              <w:rPr>
                <w:b/>
                <w:i/>
              </w:rPr>
              <w:t>την αναγκαιότητα</w:t>
            </w:r>
            <w:r>
              <w:t xml:space="preserve"> της έγκρισης της εναρμονισμένης συνταγματικής αναθεώρησης·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πολυεθνοτικό χαρακτήρα της χώρας και θα επιταχύνουν την πρόοδό της προς την ένταξη στην ΕΕ·</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Andrey Kovatchev, Ivaylo Valchev, Emil Radev, Eva Maydell, Radan Kanev, Kristian Vigenin, Tsvetelina Penkova, Ilia Lazarov, Andrey Novakov,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υπενθυμίζει ότι η κυβέρνηση της Δημοκρατίας της Βόρειας Μακεδονίας συμφωνεί ότι η επόμενη διακυβερνητική διάσκεψη με την ΕΕ για την περάτωση της εναρκτήριας φάσης των διαπραγματεύσεων για την προσχώρηση της Δημοκρατίας της Βόρειας Μακεδονίας στην ΕΕ θα πραγματοποιηθεί μετά την έναρξη ισχύος των τροποποιήσεων του Συντάγματος της Δημοκρατίας της Βόρειας Μακεδονίας, ώστε να συμπεριληφθούν οι πολίτες της που ζουν στο έδαφος της εν λόγω χώρας και αποτελούν μέρος άλλων λαών, όπως ο βουλγαρικός λαός, σύμφωνα με εσωτερικές διαδικασίες, μεταξύ άλλων μέσω συνταγματικού νόμου για την εφαρμογή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επαινεί τη δέσμευση του μακεδονικού λαού στην ένταξη στην ΕΕ και τη στήριξη που επιδεικνύει σε αυτό το εγχείρημα δύο δεκαετίες μετά την έναρξη της διαδικασίας·</w:t>
            </w:r>
            <w:r>
              <w:t xml:space="preserve"> </w:t>
            </w:r>
            <w:r>
              <w:rPr>
                <w:b/>
                <w:i/>
              </w:rPr>
              <w:t>παροτρύνει την Ευρωπαϊκή Επιτροπή να καταβάλει κάθε δυνατή προσπάθεια για να βοηθήσει τις αρχές της Βόρειας Μακεδονίας να προβούν στις απαραίτητες ενέργειες πριν από την έναρξη των διαπραγματεύσεων και να προχωρήσουν στη φάση των διαπραγματεύσεων, να συμβάλει στην υλοποίηση των προσδοκιών του μακεδονικού λαού και να διερευνήσει όλα τα μέτρα σταδιακής ενσωμάτωσης στις δομές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τονίζει ότι τα υφιστάμενα διμερή ζητήματα δεν θα πρέπει ποτέ να παρεμποδίζουν την αξιοκρατική πρόοδο στην ευρωπαϊκή πορεία ή να υπερτερούν των ευρύτερων στρατηγικών συμφερόντων της Ένωσης, αλλά πρέπει μάλλον να αντιμετωπίζονται μέσω ανοικτού διαλόγου και γνήσιας συνεργασίας·</w:t>
            </w:r>
            <w:r>
              <w:t xml:space="preserve"> </w:t>
            </w:r>
            <w:r>
              <w:rPr>
                <w:b/>
                <w:i/>
              </w:rPr>
              <w:t>υπογραμμίζει ότι οι ενταξιακές διαπραγματεύσεις θα πρέπει να ακολουθούν μια σαφή πορεία, να καθοδηγούνται από αντικειμενικά κριτήρια και να βασίζονται αποκλειστικά στην αξία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επαναλαμβάνει ότι η προσχώρηση στην ΕΕ εξαρτάται από την εκπλήρωση των κριτηρίων προσχώρησης (Κοπεγχάγη), τα οποία απαιτούν σταθερούς θεσμούς που εγγυώνται τη δημοκρατία, το κράτος δικαίου, τα ανθρώπινα δικαιώματα και τον σεβασμό και την προστασία των μειονοτήτων·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χαιρετίζει την επιτυχή ολοκλήρωση της διαδικασίας ελέγχου για τη Βόρεια Μακεδονία στο τέλος του 2023·</w:t>
            </w:r>
            <w:r>
              <w:t xml:space="preserve"> </w:t>
            </w:r>
            <w:r>
              <w:rPr>
                <w:b/>
                <w:i/>
              </w:rPr>
              <w:t>ζητεί την έναρξη της επόμενης φάσης των διαπραγματεύσεων χωρίς περαιτέρω καθυστέρηση·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Σημειώνει ότι οι λέξεις "Μακεδονία", "Μακεδονικός" και τα παράγωγά τους, αποτελούν μέρος της Ελληνικής ιστορίας για πάνω από δύο χιλιετίες.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2β.</w:t>
            </w:r>
            <w:r>
              <w:tab/>
            </w:r>
            <w:r>
              <w:rPr>
                <w:b/>
                <w:i/>
              </w:rPr>
              <w:t>επιβεβαιώνει τη σημασία της αδιαμφισβήτητης αναγνώρισης και σεβασμού της μακεδονικής γλώσσας και ταυτότητας ως αναπόσπαστου μέρους της κληρονομιάς της χώρας, της συνταγματικής τάξης, αλλά και των ευρωπαϊκών αξιών·</w:t>
            </w:r>
            <w:r>
              <w:t xml:space="preserve"> </w:t>
            </w:r>
            <w:r>
              <w:rPr>
                <w:b/>
                <w:i/>
              </w:rPr>
              <w:t>σημειώνει ότι τα ευρωπαϊκά θεσμικά όργανα, στις ανά χώρα εκθέσεις και στα επίσημα έγγραφά τους, αναφέρονται συστηματικά στη μακεδονική γλώσσα σύμφωνα με τη διεθνή αναγνώριση και την εφαρμογή της συμφωνίας των Πρεσπών·</w:t>
            </w:r>
            <w:r>
              <w:t xml:space="preserve"> </w:t>
            </w:r>
            <w:r>
              <w:rPr>
                <w:b/>
                <w:i/>
              </w:rPr>
              <w:t>επαναβεβαιώνει ότι ο σεβασμός της γλωσσικής, πολιτιστικής και εθνικής ταυτότητας αποτελεί θεμελιώδες στοιχείο της διαδικασίας προσχώρησης στην ΕΕ και ακρογωνιαίο λίθο των δημοκρατικών κοινωνιών ο οποίος θα επιβεβαιωθεί περαιτέρω με την προσχώρηση στην οικογένεια των ευρωπαϊκών εθνών·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2β.</w:t>
            </w:r>
            <w:r>
              <w:tab/>
            </w:r>
            <w:r>
              <w:rPr>
                <w:b/>
                <w:i/>
              </w:rPr>
              <w:t>υπενθυμίζει ότι η πρόοδος των ενταξιακών διαπραγματεύσεων στο πλαίσιο της αναθεωρημένης μεθοδολογίας διεύρυνσης εξακολουθεί να εξαρτάται από την υλοποίηση ανθεκτικών μεταρρυθμίσεων εις βάθος σε θεμελιώδεις τομείς.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w:t>
            </w:r>
          </w:p>
        </w:tc>
        <w:tc>
          <w:tcPr>
            <w:tcW w:w="4876" w:type="dxa"/>
            <w:tcBorders>
              <w:top w:val="nil"/>
              <w:left w:val="nil"/>
              <w:bottom w:val="nil"/>
              <w:right w:val="nil"/>
            </w:tcBorders>
          </w:tcPr>
          <w:p>
            <w:pPr>
              <w:pStyle w:val="Normal6a"/>
            </w:pPr>
            <w:r>
              <w:t>3.</w:t>
            </w:r>
            <w:r>
              <w:tab/>
            </w:r>
            <w:r>
              <w:t xml:space="preserve">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 </w:t>
            </w:r>
            <w:r>
              <w:rPr>
                <w:b/>
                <w:i/>
              </w:rPr>
              <w:t>υπογραμμίζει την ανάγκη εστίασης στις προτεραιότητες της δημόσιας διοίκησης, στο κράτος δικαίου και την καταπολέμηση της διαφθοράς, την απαλλαγή από τις ανθρακούχες εκπομπές και την ψηφιοποίηση, τη συνδεσιμότητα και την ανάπτυξη ανθρώπινου κεφαλαίου, με παράλληλη αντιμετώπιση των κοινωνικών προκλήσεων, εφαρμογή ποιοτικών πολιτικών απασχόλησης, προώθηση της ανοδικής κοινωνικής συνοχής και της σύγκλισης προς τα πρότυπα της Ένωσης και στήριξη της προόδου προς τον ευρωπαϊκό πυλώνα κοινωνικών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w:t>
            </w:r>
          </w:p>
        </w:tc>
        <w:tc>
          <w:tcPr>
            <w:tcW w:w="4876" w:type="dxa"/>
            <w:tcBorders>
              <w:top w:val="nil"/>
              <w:left w:val="nil"/>
              <w:bottom w:val="nil"/>
              <w:right w:val="nil"/>
            </w:tcBorders>
          </w:tcPr>
          <w:p>
            <w:pPr>
              <w:pStyle w:val="Normal6a"/>
            </w:pPr>
            <w:r>
              <w:t>3.</w:t>
            </w:r>
            <w:r>
              <w:tab/>
            </w:r>
            <w:r>
              <w:t>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w:t>
            </w:r>
            <w:r>
              <w:rPr>
                <w:b/>
                <w:i/>
              </w:rPr>
              <w:t>, όταν αυτή εκπληρώσει τους όρους που καθορίζονται στο θεματολόγιο μεταρρυθμίσεων που έχει καταρτίσει·</w:t>
            </w:r>
            <w:r>
              <w:t xml:space="preserve"> </w:t>
            </w:r>
            <w:r>
              <w:rPr>
                <w:b/>
                <w:i/>
              </w:rPr>
              <w:t>χαιρετίζει, στο πλαίσιο αυτό, το εξαιρετικό και φιλόδοξο θεματολόγιο μεταρρυθμίσεων, το οποίο θέτει σαφείς, διαφανείς σκοπούς και στόχους και καλεί τις αρχές να επικεντρωθούν στην αυστηρή εφαρμογή του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w:t>
            </w:r>
          </w:p>
        </w:tc>
        <w:tc>
          <w:tcPr>
            <w:tcW w:w="4876" w:type="dxa"/>
            <w:tcBorders>
              <w:top w:val="nil"/>
              <w:left w:val="nil"/>
              <w:bottom w:val="nil"/>
              <w:right w:val="nil"/>
            </w:tcBorders>
          </w:tcPr>
          <w:p>
            <w:pPr>
              <w:pStyle w:val="Normal6a"/>
            </w:pPr>
            <w:r>
              <w:t>3.</w:t>
            </w:r>
            <w:r>
              <w:tab/>
            </w:r>
            <w:r>
              <w:t xml:space="preserve">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 </w:t>
            </w:r>
            <w:r>
              <w:rPr>
                <w:b/>
                <w:i/>
              </w:rPr>
              <w:t>σημειώνει ότι τα κονδύλια αυτά θα επιταχύνουν τις μεταρρυθμίσεις στους τομείς προτεραιότητας του κράτους δικαίου και άλλων θεμελιωδών αρχών, της διακυβέρνησης, της ψηφιακής και πράσινης μετάβασης, της ανάπτυξης του ανθρώπινου κεφαλαίου και του επιχειρηματικού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w:t>
            </w:r>
          </w:p>
        </w:tc>
        <w:tc>
          <w:tcPr>
            <w:tcW w:w="4876" w:type="dxa"/>
            <w:tcBorders>
              <w:top w:val="nil"/>
              <w:left w:val="nil"/>
              <w:bottom w:val="nil"/>
              <w:right w:val="nil"/>
            </w:tcBorders>
          </w:tcPr>
          <w:p>
            <w:pPr>
              <w:pStyle w:val="Normal6a"/>
            </w:pPr>
            <w:r>
              <w:t>3.</w:t>
            </w:r>
            <w:r>
              <w:tab/>
            </w:r>
            <w:r>
              <w:t>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w:t>
            </w:r>
            <w:r>
              <w:rPr>
                <w:b/>
                <w:i/>
              </w:rPr>
              <w:t>, παρέχοντας κίνητρα για μεταρρυθμίσεις, ισχυροποιώντας τους δεσμούς με την ΕΕ και ενισχύοντας την οικονομική σταθερότητα, απελευθερώνοντας παράλληλα επενδυτικές ευκαιρίες και τονώνοντας την απασχόληση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εκφράζει την ικανοποίησή του για</w:t>
            </w:r>
            <w:r>
              <w:t xml:space="preserve"> τη νέα διευκόλυνση μεταρρυθμίσεων και ανάπτυξης για τα Δυτικά Βαλκάνια, η οποία </w:t>
            </w:r>
            <w:r>
              <w:rPr>
                <w:b/>
                <w:i/>
              </w:rPr>
              <w:t>θα παράσχει</w:t>
            </w:r>
            <w:r>
              <w:t xml:space="preserve"> 750 εκατομμύρια EUR σε επιχορηγήσεις και δάνεια στη Βόρεια Μακεδονία·</w:t>
            </w:r>
          </w:p>
        </w:tc>
        <w:tc>
          <w:tcPr>
            <w:tcW w:w="4876" w:type="dxa"/>
            <w:tcBorders>
              <w:top w:val="nil"/>
              <w:left w:val="nil"/>
              <w:bottom w:val="nil"/>
              <w:right w:val="nil"/>
            </w:tcBorders>
          </w:tcPr>
          <w:p>
            <w:pPr>
              <w:pStyle w:val="Normal6a"/>
            </w:pPr>
            <w:r>
              <w:t>3.</w:t>
            </w:r>
            <w:r>
              <w:tab/>
            </w:r>
            <w:r>
              <w:rPr>
                <w:b/>
                <w:i/>
              </w:rPr>
              <w:t>απορρίπτει</w:t>
            </w:r>
            <w:r>
              <w:t xml:space="preserve"> τη νέα διευκόλυνση μεταρρυθμίσεων και ανάπτυξης </w:t>
            </w:r>
            <w:r>
              <w:rPr>
                <w:b/>
                <w:i/>
              </w:rPr>
              <w:t>της ΕΕ</w:t>
            </w:r>
            <w:r>
              <w:t xml:space="preserve"> για τα Δυτικά Βαλκάνια, η οποία </w:t>
            </w:r>
            <w:r>
              <w:rPr>
                <w:b/>
                <w:i/>
              </w:rPr>
              <w:t>διαθέτει</w:t>
            </w:r>
            <w:r>
              <w:t xml:space="preserve"> 750 εκατομμύρια EUR σε επιχορηγήσεις και δάνεια στη Βόρεια Μακεδονία</w:t>
            </w:r>
            <w:r>
              <w:rPr>
                <w:b/>
                <w:i/>
              </w:rPr>
              <w:t>, και αμφισβητεί την καταλληλότητα της χρηματοδότησης τρίτων χωρών από την Ευρωπαϊκή Ένωση, ενώ αντιμετωπίζει τις δικές της οικονομικές και γεωπολιτικές κρίσεις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χαιρετίζει την ευθυγράμμιση της Βόρειας Μακεδονίας με την κοινή εξωτερική πολιτική της Ευρωπαϊκής Ένωσης και τη στήριξη προς την Ουκρανία·</w:t>
            </w:r>
            <w:r>
              <w:t xml:space="preserve"> </w:t>
            </w:r>
            <w:r>
              <w:rPr>
                <w:b/>
                <w:i/>
              </w:rPr>
              <w:t>σημειώνει, ωστόσο, με ανησυχία την ψήφο της Βόρειας Μακεδονίας στις 25 Φεβρουαρίου 2025 για το ψήφισμα της Γενικής Συνέλευσης των Ηνωμένων Εθνών που εκφράζει την υποστήριξή της προς την Ουκρανία, στην περίπτωση του οποίου η χώρα απέκλινε από τη θέση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σημειώνει τη χρηματοδοτική στήριξη που λαμβάνει η χώρα από μεμονωμένα κράτη μέλη και την καλή συνεργασία μεταξύ τους·</w:t>
            </w:r>
            <w:r>
              <w:t xml:space="preserve"> </w:t>
            </w:r>
            <w:r>
              <w:rPr>
                <w:b/>
                <w:i/>
              </w:rPr>
              <w:t>προειδοποιεί, ωστόσο, για την ενίσχυση των συμμαχιών με ανελεύθερα καθεστώτα·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χαιρετίζει τη συνεχιζόμενη σταθερότητα των σχέσεων μεταξύ των εθνικοτήτων και την εφαρμογή της συμφωνίας-πλαισίου της Οχρίδας·</w:t>
            </w:r>
          </w:p>
        </w:tc>
        <w:tc>
          <w:tcPr>
            <w:tcW w:w="4876" w:type="dxa"/>
            <w:tcBorders>
              <w:top w:val="nil"/>
              <w:left w:val="nil"/>
              <w:bottom w:val="nil"/>
              <w:right w:val="nil"/>
            </w:tcBorders>
          </w:tcPr>
          <w:p>
            <w:pPr>
              <w:pStyle w:val="Normal6a"/>
            </w:pPr>
            <w:r>
              <w:t>4.</w:t>
            </w:r>
            <w:r>
              <w:tab/>
            </w:r>
            <w:r>
              <w:rPr>
                <w:b/>
                <w:i/>
              </w:rPr>
              <w:t>συγχαίρει τη Βόρεια Μακεδονία για τη συνεχιζόμενη προσήλωσή της στη διαδικασία ένταξης στην ΕΕ και εκφράζει τη λύπη του για τις καθυστερήσεις στη διαδικασία προσχώρησης·</w:t>
            </w:r>
            <w:r>
              <w:t xml:space="preserve"> χαιρετίζει τη συνεχιζόμενη σταθερότητα των σχέσεων μεταξύ των εθνικοτήτων και την εφαρμογή της συμφωνίας-πλαισίου της Οχρίδας·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χαιρετίζει</w:t>
            </w:r>
            <w:r>
              <w:t xml:space="preserve"> τη συνεχιζόμενη σταθερότητα των σχέσεων μεταξύ των εθνικοτήτων και </w:t>
            </w:r>
            <w:r>
              <w:rPr>
                <w:b/>
                <w:i/>
              </w:rPr>
              <w:t>την</w:t>
            </w:r>
            <w:r>
              <w:t xml:space="preserve"> εφαρμογή της συμφωνίας-πλαισίου της Οχρίδας·</w:t>
            </w:r>
          </w:p>
        </w:tc>
        <w:tc>
          <w:tcPr>
            <w:tcW w:w="4876" w:type="dxa"/>
            <w:tcBorders>
              <w:top w:val="nil"/>
              <w:left w:val="nil"/>
              <w:bottom w:val="nil"/>
              <w:right w:val="nil"/>
            </w:tcBorders>
          </w:tcPr>
          <w:p>
            <w:pPr>
              <w:pStyle w:val="Normal6a"/>
            </w:pPr>
            <w:r>
              <w:t>4.</w:t>
            </w:r>
            <w:r>
              <w:tab/>
            </w:r>
            <w:r>
              <w:rPr>
                <w:b/>
                <w:i/>
              </w:rPr>
              <w:t>παρατηρεί</w:t>
            </w:r>
            <w:r>
              <w:t xml:space="preserve"> τη συνεχιζόμενη σταθερότητα των σχέσεων μεταξύ των εθνικοτήτων και </w:t>
            </w:r>
            <w:r>
              <w:rPr>
                <w:b/>
                <w:i/>
              </w:rPr>
              <w:t>καλεί για την πλήρη</w:t>
            </w:r>
            <w:r>
              <w:t xml:space="preserve"> εφαρμογή της συμφωνίας-πλαισίου της Οχρίδας·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Εμμανουήλ Κεφαλογιάννης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χαιρετίζει τη συνεχιζόμενη σταθερότητα</w:t>
            </w:r>
            <w:r>
              <w:t xml:space="preserve"> των σχέσεων μεταξύ των εθνικοτήτων και την εφαρμογή της συμφωνίας-πλαισίου της Οχρίδας·</w:t>
            </w:r>
          </w:p>
        </w:tc>
        <w:tc>
          <w:tcPr>
            <w:tcW w:w="4876" w:type="dxa"/>
            <w:tcBorders>
              <w:top w:val="nil"/>
              <w:left w:val="nil"/>
              <w:bottom w:val="nil"/>
              <w:right w:val="nil"/>
            </w:tcBorders>
          </w:tcPr>
          <w:p>
            <w:pPr>
              <w:pStyle w:val="Normal6a"/>
            </w:pPr>
            <w:r>
              <w:t>4.</w:t>
            </w:r>
            <w:r>
              <w:tab/>
            </w:r>
            <w:r>
              <w:rPr>
                <w:b/>
                <w:i/>
              </w:rPr>
              <w:t>ενθαρρύνει τις προσπάθειες διασφάλισης</w:t>
            </w:r>
            <w:r>
              <w:t xml:space="preserve"> των σχέσεων μεταξύ των εθνικοτήτων και την εφαρμογή της συμφωνίας-πλαισίου της Οχρίδας·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Βαγγέλης Μεϊμαράκης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χαιρετίζει τη συνεχιζόμενη σταθερότητα</w:t>
            </w:r>
            <w:r>
              <w:t xml:space="preserve"> των σχέσεων μεταξύ των εθνικοτήτων και την εφαρμογή της συμφωνίας-πλαισίου της Οχρίδας·</w:t>
            </w:r>
          </w:p>
        </w:tc>
        <w:tc>
          <w:tcPr>
            <w:tcW w:w="4876" w:type="dxa"/>
            <w:tcBorders>
              <w:top w:val="nil"/>
              <w:left w:val="nil"/>
              <w:bottom w:val="nil"/>
              <w:right w:val="nil"/>
            </w:tcBorders>
          </w:tcPr>
          <w:p>
            <w:pPr>
              <w:pStyle w:val="Normal6a"/>
            </w:pPr>
            <w:r>
              <w:t>4.</w:t>
            </w:r>
            <w:r>
              <w:tab/>
            </w:r>
            <w:r>
              <w:rPr>
                <w:b/>
                <w:i/>
              </w:rPr>
              <w:t>ενθαρρύνει τις προσπάθειες διασφάλισης</w:t>
            </w:r>
            <w:r>
              <w:t xml:space="preserve"> των σχέσεων μεταξύ των εθνικοτήτων και την εφαρμογή της συμφωνίας-πλαισίου της Οχρίδας·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4α.</w:t>
            </w:r>
            <w:r>
              <w:tab/>
            </w:r>
            <w:r>
              <w:rPr>
                <w:b/>
                <w:i/>
              </w:rPr>
              <w:t>σημειώνει με ανησυχία την έλλειψη απτών αποτελεσμάτων όσον αφορά την εκπλήρωση των υποχρεώσεών της βάσει των συμπερασμάτων του Συμβουλίου της ΕΕ και του διαπραγματευτικού πλαισίου της ΕΕ της 18ης Ιουλίου 2022, συμπεριλαμβανομένων των σχετικών συνταγματικών αλλαγών, σύμφωνα με τις δεσμεύσεις 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4β.</w:t>
            </w:r>
            <w:r>
              <w:tab/>
            </w:r>
            <w:r>
              <w:rPr>
                <w:b/>
                <w:i/>
              </w:rPr>
              <w:t>καλεί την πολιτική ελίτ στη Βόρεια Μακεδονία να προχωρήσει ταχέως στην εφαρμογή των προηγουμένως αναληφθεισών υποχρεώσεων·</w:t>
            </w:r>
            <w:r>
              <w:t xml:space="preserve"> </w:t>
            </w:r>
            <w:r>
              <w:rPr>
                <w:b/>
                <w:i/>
              </w:rPr>
              <w:t>υπενθυμίζει ότι επί του παρόντος η διαδικασία εξαρτάται εξ ολοκλήρου από την κυβέρνηση και τη συνέλευση·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ζητεί από τη Βόρεια Μακεδονία να εντείνει τις προσπάθειες για την ενίσχυση του κράτους δικαίου και της ανεξαρτησίας της δικαιοσύνης,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w:t>
            </w:r>
          </w:p>
        </w:tc>
        <w:tc>
          <w:tcPr>
            <w:tcW w:w="4876" w:type="dxa"/>
            <w:tcBorders>
              <w:top w:val="nil"/>
              <w:left w:val="nil"/>
              <w:bottom w:val="nil"/>
              <w:right w:val="nil"/>
            </w:tcBorders>
          </w:tcPr>
          <w:p>
            <w:pPr>
              <w:pStyle w:val="Normal6a"/>
            </w:pPr>
            <w:r>
              <w:t>5.</w:t>
            </w:r>
            <w:r>
              <w:tab/>
            </w:r>
            <w:r>
              <w:t xml:space="preserve">ζητεί από τη Βόρεια Μακεδονία να εντείνει τις προσπάθειες για την ενίσχυση του κράτους δικαίου και της ανεξαρτησίας της δικαιοσύνης,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 </w:t>
            </w:r>
            <w:r>
              <w:rPr>
                <w:b/>
                <w:i/>
              </w:rPr>
              <w:t>ζητεί να βελτιωθεί η επιβολή των μέτρων κατά της διαφθοράς με την ενίσχυση της θεσμικής ικανότητας, τον προορατικό εντοπισμό παραπτωμάτων και τη διασφάλιση επαρκών οικονομικών και ανθρώπινων πόρων·</w:t>
            </w:r>
            <w:r>
              <w:t xml:space="preserve"> </w:t>
            </w:r>
            <w:r>
              <w:rPr>
                <w:b/>
                <w:i/>
              </w:rPr>
              <w:t>τονίζει την ανάγκη για μια πιο προσηλωμένη εφαρμογή της εθνικής στρατηγικής για την πρόληψη της διαφθοράς και της σύγκρουσης συμφερόντων (2021-2025)·</w:t>
            </w:r>
            <w:r>
              <w:t xml:space="preserve"> </w:t>
            </w:r>
            <w:r>
              <w:rPr>
                <w:b/>
                <w:i/>
              </w:rPr>
              <w:t>ενθαρρύνει περαιτέρω μεταρρυθμίσεις στη δημόσια διοίκηση και μεγαλύτερη διαφάνεια στη συγκέντρωση της ιδιοκτησίας των μέσων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ζητεί από τη Βόρεια Μακεδονία να εντείνει τις προσπάθειες για την ενίσχυση του κράτους δικαίου και της ανεξαρτησίας της δικαιοσύνης,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w:t>
            </w:r>
          </w:p>
        </w:tc>
        <w:tc>
          <w:tcPr>
            <w:tcW w:w="4876" w:type="dxa"/>
            <w:tcBorders>
              <w:top w:val="nil"/>
              <w:left w:val="nil"/>
              <w:bottom w:val="nil"/>
              <w:right w:val="nil"/>
            </w:tcBorders>
          </w:tcPr>
          <w:p>
            <w:pPr>
              <w:pStyle w:val="Normal6a"/>
            </w:pPr>
            <w:r>
              <w:t>5.</w:t>
            </w:r>
            <w:r>
              <w:tab/>
            </w:r>
            <w:r>
              <w:t xml:space="preserve">ζητεί από τη Βόρεια Μακεδονία να εντείνει τις προσπάθειες για την ενίσχυση του κράτους δικαίου και της ανεξαρτησίας της δικαιοσύνης,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 </w:t>
            </w:r>
            <w:r>
              <w:rPr>
                <w:b/>
                <w:i/>
              </w:rPr>
              <w:t>χαιρετίζει τις προσπάθειες της Βόρειας Μακεδονίας για την ενίσχυση της ανεξαρτησίας της δικαιοσύνης και την καταπολέμηση της διαφθοράς, συμπεριλαμβανομένης της έγκρισης της στρατηγικής για τη δικαστική μεταρρύθμιση 2024-2028, και ενθαρρύνει την περαιτέρω εφαρμογή συστημικών μέτρων για τη διασφάλιση της διαφάνειας και της αποτελεσματικότητας στη διακυβέρνηση·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ζητεί από τη Βόρεια Μακεδονία να εντείνει τις προσπάθειες για την ενίσχυση του κράτους δικαίου και της ανεξαρτησίας της δικαιοσύνης,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w:t>
            </w:r>
          </w:p>
        </w:tc>
        <w:tc>
          <w:tcPr>
            <w:tcW w:w="4876" w:type="dxa"/>
            <w:tcBorders>
              <w:top w:val="nil"/>
              <w:left w:val="nil"/>
              <w:bottom w:val="nil"/>
              <w:right w:val="nil"/>
            </w:tcBorders>
          </w:tcPr>
          <w:p>
            <w:pPr>
              <w:pStyle w:val="Normal6a"/>
            </w:pPr>
            <w:r>
              <w:t>5.</w:t>
            </w:r>
            <w:r>
              <w:tab/>
            </w:r>
            <w:r>
              <w:t xml:space="preserve">ζητεί από τη Βόρεια Μακεδονία να εντείνει τις προσπάθειες για την ενίσχυση του κράτους δικαίου και της ανεξαρτησίας της δικαιοσύνης,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 </w:t>
            </w:r>
            <w:r>
              <w:rPr>
                <w:b/>
                <w:i/>
              </w:rPr>
              <w:t>υπογραμμίζει την έλλειψη προόδου όσον αφορά την εφαρμογή των στρατηγικών του 2020 για τη διαχείριση των ανθρώπινων πόρων στα δικαστήρια και στην εισαγγελία·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ζητεί από τη Βόρεια Μακεδονία να εντείνει τις προσπάθειες για την ενίσχυση του κράτους δικαίου και της ανεξαρτησίας της δικαιοσύνης,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w:t>
            </w:r>
          </w:p>
        </w:tc>
        <w:tc>
          <w:tcPr>
            <w:tcW w:w="4876" w:type="dxa"/>
            <w:tcBorders>
              <w:top w:val="nil"/>
              <w:left w:val="nil"/>
              <w:bottom w:val="nil"/>
              <w:right w:val="nil"/>
            </w:tcBorders>
          </w:tcPr>
          <w:p>
            <w:pPr>
              <w:pStyle w:val="Normal6a"/>
            </w:pPr>
            <w:r>
              <w:t>5.</w:t>
            </w:r>
            <w:r>
              <w:tab/>
            </w:r>
            <w:r>
              <w:t xml:space="preserve">ζητεί από τη Βόρεια Μακεδονία να εντείνει τις προσπάθειες για την ενίσχυση του κράτους δικαίου και της ανεξαρτησίας της δικαιοσύνης, </w:t>
            </w:r>
            <w:r>
              <w:rPr>
                <w:b/>
                <w:i/>
              </w:rPr>
              <w:t>μεταξύ άλλων στους διορισμούς δικαστών και στη λειτουργία του δικαστικού συμβουλίου,</w:t>
            </w:r>
            <w:r>
              <w:t xml:space="preserve">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επαναλαμβάνει τις εκκλήσεις του για ενίσχυση της ικανότητας ενεργειών της ΕΕ μεταρρυθμίζοντας τη διαδικασία λήψης αποφάσεών της, μεταξύ άλλων με την καθιέρωση ψηφοφορίας με ειδική πλειοψηφία σχετικά με τα ενδιάμεσα στάδια της διαδικασίας προσχώρησης, ιδίως όσον αφορά την έναρξη των διαπραγματεύσεων και το άνοιγμα και το κλείσιμο επιμέρους διαπραγματευτικών ομάδων και κεφαλαίων·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εκφράζει την ειλικρινή αλληλεγγύη του προς τον λαό της Βόρειας Μακεδονίας μετά το τραγικό συμβάν στο νυχτερινό κέντρο διασκέδασης στις 16 Μαρτίου 2025, εκφράζοντας συλλυπητήρια στα θύματα και τις οικογένειές τους, καθώς και τη στήριξη στο έθνος για αυτή τη δύσκολη περίοδο·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σημειώνει ότι, ενώ οι δημοκρατικοί θεσμοί στη Βόρεια Μακεδονία λειτουργούν ικανοποιητικά, η πολιτική πόλωση εξακολουθεί να αποτελεί τροχοπέδη για τις αναγκαίες μεταρρυθμίσεις·</w:t>
            </w:r>
          </w:p>
        </w:tc>
        <w:tc>
          <w:tcPr>
            <w:tcW w:w="4876" w:type="dxa"/>
            <w:tcBorders>
              <w:top w:val="nil"/>
              <w:left w:val="nil"/>
              <w:bottom w:val="nil"/>
              <w:right w:val="nil"/>
            </w:tcBorders>
          </w:tcPr>
          <w:p>
            <w:pPr>
              <w:pStyle w:val="Normal6a"/>
            </w:pPr>
            <w:r>
              <w:t>6.</w:t>
            </w:r>
            <w:r>
              <w:tab/>
            </w:r>
            <w:r>
              <w:t xml:space="preserve">σημειώνει ότι, ενώ οι δημοκρατικοί θεσμοί στη Βόρεια Μακεδονία λειτουργούν ικανοποιητικά, η πολιτική πόλωση εξακολουθεί να αποτελεί τροχοπέδη για τις αναγκαίες μεταρρυθμίσεις· </w:t>
            </w:r>
            <w:r>
              <w:rPr>
                <w:b/>
                <w:i/>
              </w:rPr>
              <w:t>χαιρετίζει το έργο των πολιτικών φορέων για την αντιμετώπιση αυτής της υπερβολικής πολιτικής πόλωσης που επιβραδύνει την υλοποίηση μεταρρυθμίσεων που ωφελούν τους πολίτες της χώρας και την πορεία της ευρωπαϊκής ολοκλήρωσης·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σημειώνει ότι, ενώ οι δημοκρατικοί θεσμοί στη Βόρεια Μακεδονία λειτουργούν ικανοποιητικά, η πολιτική πόλωση εξακολουθεί να αποτελεί τροχοπέδη για τις αναγκαίες μεταρρυθμίσεις·</w:t>
            </w:r>
          </w:p>
        </w:tc>
        <w:tc>
          <w:tcPr>
            <w:tcW w:w="4876" w:type="dxa"/>
            <w:tcBorders>
              <w:top w:val="nil"/>
              <w:left w:val="nil"/>
              <w:bottom w:val="nil"/>
              <w:right w:val="nil"/>
            </w:tcBorders>
          </w:tcPr>
          <w:p>
            <w:pPr>
              <w:pStyle w:val="Normal6a"/>
            </w:pPr>
            <w:r>
              <w:t>6.</w:t>
            </w:r>
            <w:r>
              <w:tab/>
            </w:r>
            <w:r>
              <w:t xml:space="preserve">σημειώνει ότι, ενώ οι δημοκρατικοί θεσμοί στη Βόρεια Μακεδονία λειτουργούν ικανοποιητικά, η πολιτική πόλωση εξακολουθεί να αποτελεί τροχοπέδη για τις αναγκαίες μεταρρυθμίσεις· </w:t>
            </w:r>
            <w:r>
              <w:rPr>
                <w:b/>
                <w:i/>
              </w:rPr>
              <w:t>καλεί τα πολιτικά κόμματα που εκπροσωπούνται στο Κοινοβούλιο να συνεργαστούν για την επίτευξη συμφωνίας σχετικά με τις μεταρρυθμίσεις αυτές·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σημειώνει ότι, ενώ </w:t>
            </w:r>
            <w:r>
              <w:rPr>
                <w:b/>
                <w:i/>
              </w:rPr>
              <w:t>οι δημοκρατικοί θεσμοί</w:t>
            </w:r>
            <w:r>
              <w:t xml:space="preserve"> στη Βόρεια Μακεδονία </w:t>
            </w:r>
            <w:r>
              <w:rPr>
                <w:b/>
                <w:i/>
              </w:rPr>
              <w:t>λειτουργούν ικανοποιητικά</w:t>
            </w:r>
            <w:r>
              <w:t>, η πολιτική πόλωση εξακολουθεί να αποτελεί τροχοπέδη για τις αναγκαίες μεταρρυθμίσεις·</w:t>
            </w:r>
          </w:p>
        </w:tc>
        <w:tc>
          <w:tcPr>
            <w:tcW w:w="4876" w:type="dxa"/>
            <w:tcBorders>
              <w:top w:val="nil"/>
              <w:left w:val="nil"/>
              <w:bottom w:val="nil"/>
              <w:right w:val="nil"/>
            </w:tcBorders>
          </w:tcPr>
          <w:p>
            <w:pPr>
              <w:pStyle w:val="Normal6a"/>
            </w:pPr>
            <w:r>
              <w:t>6.</w:t>
            </w:r>
            <w:r>
              <w:tab/>
            </w:r>
            <w:r>
              <w:t xml:space="preserve">σημειώνει ότι, ενώ </w:t>
            </w:r>
            <w:r>
              <w:rPr>
                <w:b/>
                <w:i/>
              </w:rPr>
              <w:t>η λειτουργία των δημοκρατικών θεσμών</w:t>
            </w:r>
            <w:r>
              <w:t xml:space="preserve"> στη Βόρεια Μακεδονία </w:t>
            </w:r>
            <w:r>
              <w:rPr>
                <w:b/>
                <w:i/>
              </w:rPr>
              <w:t>έχει βελτιωθεί</w:t>
            </w:r>
            <w:r>
              <w:t xml:space="preserve">, η πολιτική πόλωση εξακολουθεί να αποτελεί </w:t>
            </w:r>
            <w:r>
              <w:rPr>
                <w:b/>
                <w:i/>
              </w:rPr>
              <w:t>μείζων</w:t>
            </w:r>
            <w:r>
              <w:t xml:space="preserve"> τροχοπέδη για τις αναγκαίες μεταρρυθμίσεις </w:t>
            </w:r>
            <w:r>
              <w:rPr>
                <w:b/>
                <w:i/>
              </w:rPr>
              <w:t>για την ευρωπαϊκή ολοκλήρωση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σημειώνει ότι, ενώ οι δημοκρατικοί θεσμοί στη Βόρεια Μακεδονία λειτουργούν ικανοποιητικά, η πολιτική πόλωση εξακολουθεί να αποτελεί τροχοπέδη για τις αναγκαίες μεταρρυθμίσεις·</w:t>
            </w:r>
          </w:p>
        </w:tc>
        <w:tc>
          <w:tcPr>
            <w:tcW w:w="4876" w:type="dxa"/>
            <w:tcBorders>
              <w:top w:val="nil"/>
              <w:left w:val="nil"/>
              <w:bottom w:val="nil"/>
              <w:right w:val="nil"/>
            </w:tcBorders>
          </w:tcPr>
          <w:p>
            <w:pPr>
              <w:pStyle w:val="Normal6a"/>
            </w:pPr>
            <w:r>
              <w:t>6.</w:t>
            </w:r>
            <w:r>
              <w:tab/>
            </w:r>
            <w:r>
              <w:t xml:space="preserve">σημειώνει ότι, ενώ οι δημοκρατικοί θεσμοί στη Βόρεια Μακεδονία λειτουργούν ικανοποιητικά, η πολιτική πόλωση εξακολουθεί να αποτελεί </w:t>
            </w:r>
            <w:r>
              <w:rPr>
                <w:b/>
                <w:i/>
              </w:rPr>
              <w:t>μείζων</w:t>
            </w:r>
            <w:r>
              <w:t xml:space="preserve"> τροχοπέδη για τις αναγκαίες μεταρρυθμίσεις·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6α.</w:t>
            </w:r>
            <w:r>
              <w:tab/>
            </w:r>
            <w:r>
              <w:rPr>
                <w:b/>
                <w:i/>
              </w:rPr>
              <w:t>παροτρύνει όλα τα πολιτικά κόμματα και τους εκπροσώπους να απέχουν από την εκμετάλλευση εθνοτικών διαιρέσεων για πολιτικούς ή εκλογικούς σκοπούς·</w:t>
            </w:r>
            <w:r>
              <w:t xml:space="preserve"> </w:t>
            </w:r>
            <w:r>
              <w:rPr>
                <w:b/>
                <w:i/>
              </w:rPr>
              <w:t>υπενθυμίζει ότι η πρακτική αυτή θέτει σε κίνδυνο την ενίσχυση της δημοκρατίας και της εθνικής ενότητας·</w:t>
            </w:r>
            <w:r>
              <w:t xml:space="preserve"> </w:t>
            </w:r>
            <w:r>
              <w:rPr>
                <w:b/>
                <w:i/>
              </w:rPr>
              <w:t>τονίζει την αξία της διακυβέρνησης χωρίς αποκλεισμούς, η οποία διασφαλίζει τη δίκαιη εκπροσώπηση και τη συμμετοχή όλων των κοινοτήτων στη διαδικασία λήψης αποφάσεων.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6α.</w:t>
            </w:r>
            <w:r>
              <w:tab/>
            </w:r>
            <w:r>
              <w:rPr>
                <w:b/>
                <w:i/>
              </w:rPr>
              <w:t>ζητεί αποτελεσματικότερο σχεδιασμό και συντονισμό του κοινοβουλευτικού έργου μεταξύ του κυβερνώντος συνασπισμού και της αντιπολίτευσης, ιδίως ενόψει των συμπερασμάτων του διαλόγου Jean Monnet·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χαιρετίζει την έγκριση νέου εσωτερικού κανονισμού από τη Συνέλευση της Δημοκρατίας της Βόρειας Μακεδονίας (Sobranie), με τη διευκόλυνση του Ευρωπαϊκού Κοινοβουλίου στο πλαίσιο του διαλόγου Jean Monnet· τονίζει ότι η διακομματική συνεργασία παραμένει ζωτικής σημασίας για την επιτάχυνση της εφαρμογής των μεταρρυθμίσεων που σχετίζονται με την ΕΕ και την ενίσχυση των δημοκρατικών θεσμών·</w:t>
            </w:r>
          </w:p>
        </w:tc>
        <w:tc>
          <w:tcPr>
            <w:tcW w:w="4876" w:type="dxa"/>
            <w:tcBorders>
              <w:top w:val="nil"/>
              <w:left w:val="nil"/>
              <w:bottom w:val="nil"/>
              <w:right w:val="nil"/>
            </w:tcBorders>
          </w:tcPr>
          <w:p>
            <w:pPr>
              <w:pStyle w:val="Normal6a"/>
            </w:pPr>
            <w:r>
              <w:t>7.</w:t>
            </w:r>
            <w:r>
              <w:tab/>
            </w:r>
            <w:r>
              <w:t>χαιρετίζει την έγκριση νέου εσωτερικού κανονισμού από τη Συνέλευση της Δημοκρατίας της Βόρειας Μακεδονίας (Sobranie), με τη διευκόλυνση του Ευρωπαϊκού Κοινοβουλίου στο πλαίσιο του διαλόγου Jean Monnet· τονίζει</w:t>
            </w:r>
            <w:r>
              <w:rPr>
                <w:b/>
                <w:i/>
              </w:rPr>
              <w:t>, ωστόσο, ότι η συνεχιζόμενη πολιτική πόλωση εξακολουθεί να καθυστερεί σημαντικές μεταρρυθμίσεις και διορισμούς·</w:t>
            </w:r>
            <w:r>
              <w:t xml:space="preserve"> </w:t>
            </w:r>
            <w:r>
              <w:rPr>
                <w:b/>
                <w:i/>
              </w:rPr>
              <w:t>τονίζει</w:t>
            </w:r>
            <w:r>
              <w:t xml:space="preserve"> ότι η διακομματική συνεργασία παραμένει ζωτικής σημασίας για την επιτάχυνση της εφαρμογής των μεταρρυθμίσεων που σχετίζονται με την ΕΕ και την ενίσχυση των δημοκρατικών θεσμών·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χαιρετίζει την έγκριση νέου εσωτερικού κανονισμού από τη Συνέλευση της Δημοκρατίας της Βόρειας Μακεδονίας (Sobranie)</w:t>
            </w:r>
            <w:r>
              <w:rPr>
                <w:b/>
                <w:i/>
              </w:rPr>
              <w:t>, με τη διευκόλυνση του Ευρωπαϊκού Κοινοβουλίου στο πλαίσιο του διαλόγου Jean Monnet</w:t>
            </w:r>
            <w:r>
              <w:t>· τονίζει ότι η διακομματική συνεργασία παραμένει ζωτικής σημασίας για την επιτάχυνση της εφαρμογής των μεταρρυθμίσεων που σχετίζονται με την ΕΕ και την ενίσχυση των δημοκρατικών θεσμών·</w:t>
            </w:r>
          </w:p>
        </w:tc>
        <w:tc>
          <w:tcPr>
            <w:tcW w:w="4876" w:type="dxa"/>
            <w:tcBorders>
              <w:top w:val="nil"/>
              <w:left w:val="nil"/>
              <w:bottom w:val="nil"/>
              <w:right w:val="nil"/>
            </w:tcBorders>
          </w:tcPr>
          <w:p>
            <w:pPr>
              <w:pStyle w:val="Normal6a"/>
            </w:pPr>
            <w:r>
              <w:t>7.</w:t>
            </w:r>
            <w:r>
              <w:tab/>
            </w:r>
            <w:r>
              <w:t>χαιρετίζει την έγκριση νέου εσωτερικού κανονισμού από τη Συνέλευση της Δημοκρατίας της Βόρειας Μακεδονίας (Sobranie)· τονίζει ότι η διακομματική συνεργασία παραμένει ζωτικής σημασίας για την επιτάχυνση της εφαρμογής των μεταρρυθμίσεων που σχετίζονται με την ΕΕ και την ενίσχυση των δημοκρατικών θεσμών·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χαιρετίζει την έγκριση νέου εσωτερικού κανονισμού από τη Συνέλευση της Δημοκρατίας της Βόρειας Μακεδονίας (Sobranie), με τη διευκόλυνση του Ευρωπαϊκού Κοινοβουλίου στο πλαίσιο του διαλόγου Jean Monnet· τονίζει ότι η διακομματική συνεργασία </w:t>
            </w:r>
            <w:r>
              <w:rPr>
                <w:b/>
                <w:i/>
              </w:rPr>
              <w:t>παραμένει</w:t>
            </w:r>
            <w:r>
              <w:t xml:space="preserve"> ζωτικής σημασίας για την επιτάχυνση της εφαρμογής των μεταρρυθμίσεων που σχετίζονται με την ΕΕ και την ενίσχυση των δημοκρατικών θεσμών·</w:t>
            </w:r>
          </w:p>
        </w:tc>
        <w:tc>
          <w:tcPr>
            <w:tcW w:w="4876" w:type="dxa"/>
            <w:tcBorders>
              <w:top w:val="nil"/>
              <w:left w:val="nil"/>
              <w:bottom w:val="nil"/>
              <w:right w:val="nil"/>
            </w:tcBorders>
          </w:tcPr>
          <w:p>
            <w:pPr>
              <w:pStyle w:val="Normal6a"/>
            </w:pPr>
            <w:r>
              <w:t>7.</w:t>
            </w:r>
            <w:r>
              <w:tab/>
            </w:r>
            <w:r>
              <w:t xml:space="preserve">χαιρετίζει την έγκριση νέου εσωτερικού κανονισμού από τη Συνέλευση της Δημοκρατίας της Βόρειας Μακεδονίας (Sobranie), με τη διευκόλυνση του Ευρωπαϊκού Κοινοβουλίου στο πλαίσιο του διαλόγου Jean Monnet· τονίζει ότι η διακομματική συνεργασία </w:t>
            </w:r>
            <w:r>
              <w:rPr>
                <w:b/>
                <w:i/>
              </w:rPr>
              <w:t>και το βελτιωμένο πολιτικό κλίμα παραμένουν</w:t>
            </w:r>
            <w:r>
              <w:t xml:space="preserve"> ζωτικής σημασίας για την επιτάχυνση της εφαρμογής των μεταρρυθμίσεων που σχετίζονται με την ΕΕ και την ενίσχυση των δημοκρατικών θεσμών·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σημειώνει με ανησυχία ότι περίπου οι μισοί από τους νόμους που θεσπίστηκαν από τη Sobranie το 2023 εγκρίθηκαν μέσω συντομευμένων διαδικασιών·</w:t>
            </w:r>
            <w:r>
              <w:t xml:space="preserve"> </w:t>
            </w:r>
            <w:r>
              <w:rPr>
                <w:b/>
                <w:i/>
              </w:rPr>
              <w:t>καλεί το Κοινοβούλιο να βελτιώσει τον νομοθετικό σχεδιασμό και την ποιότητά του μέσω κατάλληλων διαδικασιών διαβούλευσης και κοινοβουλευτικής εποπτείας και να αποφύγει ταχείες διαδικασίες·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τονίζει ότι, ενώ έχουν γίνει τροποποιήσεις στον εκλογικό κώδικα, απαιτείται ακόμα συνολική εκλογική μεταρρύθμιση· ζητεί επιτακτικά την εφαρμογή των εκκρεμών συστάσεων του Γραφείου Δημοκρατικών Θεσμών και Ανθρωπίνων Δικαιωμάτων και της Επιτροπής της Βενετίας·</w:t>
            </w:r>
          </w:p>
        </w:tc>
        <w:tc>
          <w:tcPr>
            <w:tcW w:w="4876" w:type="dxa"/>
            <w:tcBorders>
              <w:top w:val="nil"/>
              <w:left w:val="nil"/>
              <w:bottom w:val="nil"/>
              <w:right w:val="nil"/>
            </w:tcBorders>
          </w:tcPr>
          <w:p>
            <w:pPr>
              <w:pStyle w:val="Normal6a"/>
            </w:pPr>
            <w:r>
              <w:t>8.</w:t>
            </w:r>
            <w:r>
              <w:tab/>
            </w:r>
            <w:r>
              <w:t xml:space="preserve">τονίζει ότι, ενώ έχουν γίνει τροποποιήσεις στον εκλογικό κώδικα, απαιτείται ακόμα συνολική εκλογική μεταρρύθμιση· ζητεί επιτακτικά την εφαρμογή των εκκρεμών συστάσεων του Γραφείου Δημοκρατικών Θεσμών και Ανθρωπίνων Δικαιωμάτων και της Επιτροπής της Βενετίας· </w:t>
            </w:r>
            <w:r>
              <w:rPr>
                <w:b/>
                <w:i/>
              </w:rPr>
              <w:t>εκφράζει την ικανοποίησή του για τον ανταγωνιστικό χαρακτήρα των εκλογών του 2024, όπως αξιολογήθηκαν από διεθνείς παρατηρητές, υπογραμμίζοντας παράλληλα τη σημασία της απομόνωσης των μελλοντικών εκλογικών διαδικασιών από κακόβουλες εξωτερικές παρεμβάσεις και χειραγώγηση των πληροφοριών, μεταξύ άλλων μέσω της έγκρισης ισχυρών κανόνων για την κυβερνοασφάλεια και τη διαφάνεια των διαδικτυακών προεκλογικών εκστρατειών, όπως συνιστά το Γραφείο Δημοκρατικών Θεσμών και Ανθρωπίνων Δικαιωμάτων του ΟΑΣΕ·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τονίζει ότι, ενώ έχουν γίνει τροποποιήσεις στον εκλογικό κώδικα, απαιτείται ακόμα συνολική εκλογική μεταρρύθμιση· </w:t>
            </w:r>
            <w:r>
              <w:rPr>
                <w:b/>
                <w:i/>
              </w:rPr>
              <w:t>ζητεί επιτακτικά την εφαρμογή των εκκρεμών συστάσεων</w:t>
            </w:r>
            <w:r>
              <w:t xml:space="preserve"> του Γραφείου Δημοκρατικών Θεσμών και Ανθρωπίνων Δικαιωμάτων και της Επιτροπής της Βενετίας·</w:t>
            </w:r>
          </w:p>
        </w:tc>
        <w:tc>
          <w:tcPr>
            <w:tcW w:w="4876" w:type="dxa"/>
            <w:tcBorders>
              <w:top w:val="nil"/>
              <w:left w:val="nil"/>
              <w:bottom w:val="nil"/>
              <w:right w:val="nil"/>
            </w:tcBorders>
          </w:tcPr>
          <w:p>
            <w:pPr>
              <w:pStyle w:val="Normal6a"/>
            </w:pPr>
            <w:r>
              <w:t>8.</w:t>
            </w:r>
            <w:r>
              <w:tab/>
            </w:r>
            <w:r>
              <w:t xml:space="preserve">τονίζει ότι, ενώ </w:t>
            </w:r>
            <w:r>
              <w:rPr>
                <w:b/>
                <w:i/>
              </w:rPr>
              <w:t>οι βουλευτικές και προεδρικές εκλογές του 2024 ήταν ανταγωνιστικές και δημοκρατικές και</w:t>
            </w:r>
            <w:r>
              <w:t xml:space="preserve"> έχουν γίνει τροποποιήσεις στον εκλογικό κώδικα, απαιτείται ακόμα συνολική εκλογική μεταρρύθμιση·</w:t>
            </w:r>
            <w:r>
              <w:rPr>
                <w:b/>
                <w:i/>
              </w:rPr>
              <w:t> </w:t>
            </w:r>
            <w:r>
              <w:t xml:space="preserve"> </w:t>
            </w:r>
            <w:r>
              <w:rPr>
                <w:b/>
                <w:i/>
              </w:rPr>
              <w:t>υπογραμμίζει ότι οι συστάσεις</w:t>
            </w:r>
            <w:r>
              <w:t xml:space="preserve"> του Γραφείου Δημοκρατικών Θεσμών και Ανθρωπίνων Δικαιωμάτων και της Επιτροπής της Βενετίας </w:t>
            </w:r>
            <w:r>
              <w:rPr>
                <w:b/>
                <w:i/>
              </w:rPr>
              <w:t>χρησιμεύουν ως κατευθυντήριες γραμμές στο πλαίσιο αυτό</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τονίζει ότι, ενώ έχουν γίνει τροποποιήσεις στον εκλογικό κώδικα, απαιτείται ακόμα συνολική εκλογική μεταρρύθμιση· ζητεί επιτακτικά την εφαρμογή των εκκρεμών συστάσεων του Γραφείου Δημοκρατικών Θεσμών και Ανθρωπίνων Δικαιωμάτων και της Επιτροπής της Βενετίας·</w:t>
            </w:r>
          </w:p>
        </w:tc>
        <w:tc>
          <w:tcPr>
            <w:tcW w:w="4876" w:type="dxa"/>
            <w:tcBorders>
              <w:top w:val="nil"/>
              <w:left w:val="nil"/>
              <w:bottom w:val="nil"/>
              <w:right w:val="nil"/>
            </w:tcBorders>
          </w:tcPr>
          <w:p>
            <w:pPr>
              <w:pStyle w:val="Normal6a"/>
            </w:pPr>
            <w:r>
              <w:t>8.</w:t>
            </w:r>
            <w:r>
              <w:tab/>
            </w:r>
            <w:r>
              <w:t xml:space="preserve">τονίζει ότι, ενώ έχουν γίνει τροποποιήσεις στον εκλογικό κώδικα, απαιτείται ακόμα συνολική εκλογική μεταρρύθμιση· ζητεί επιτακτικά την εφαρμογή των εκκρεμών </w:t>
            </w:r>
            <w:r>
              <w:rPr>
                <w:b/>
                <w:i/>
              </w:rPr>
              <w:t>βασικών</w:t>
            </w:r>
            <w:r>
              <w:t xml:space="preserve"> συστάσεων του Γραφείου Δημοκρατικών Θεσμών και Ανθρωπίνων Δικαιωμάτων </w:t>
            </w:r>
            <w:r>
              <w:rPr>
                <w:b/>
                <w:i/>
              </w:rPr>
              <w:t>του ΟΑΣΕ</w:t>
            </w:r>
            <w:r>
              <w:t xml:space="preserve"> και της Επιτροπής της Βενετίας </w:t>
            </w:r>
            <w:r>
              <w:rPr>
                <w:b/>
                <w:i/>
              </w:rPr>
              <w:t>μέσω μιας χωρίς αποκλεισμούς αναθεώρησης του εκλογικού κώδικα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ζητεί να βελτιωθεί η ρύθμιση της χρηματοδότησης των πολιτικών κομμάτων και των εκστρατειών, συμπεριλαμβανομένων μέτρων για την ενίσχυση της διαφάνειας·</w:t>
            </w:r>
          </w:p>
        </w:tc>
        <w:tc>
          <w:tcPr>
            <w:tcW w:w="4876" w:type="dxa"/>
            <w:tcBorders>
              <w:top w:val="nil"/>
              <w:left w:val="nil"/>
              <w:bottom w:val="nil"/>
              <w:right w:val="nil"/>
            </w:tcBorders>
          </w:tcPr>
          <w:p>
            <w:pPr>
              <w:pStyle w:val="Normal6a"/>
            </w:pPr>
            <w:r>
              <w:t>9.</w:t>
            </w:r>
            <w:r>
              <w:tab/>
            </w:r>
            <w:r>
              <w:t xml:space="preserve">ζητεί να βελτιωθεί η ρύθμιση της χρηματοδότησης των πολιτικών κομμάτων και των εκστρατειών, συμπεριλαμβανομένων μέτρων για την ενίσχυση της διαφάνειας· </w:t>
            </w:r>
            <w:r>
              <w:rPr>
                <w:b/>
                <w:i/>
              </w:rPr>
              <w:t>ζητεί την αναθεώρηση των κανόνων για την κρατική διαφήμιση στα εμπορικά μέσα ενημέρωσης και την επί πληρωμή πολιτική διαφήμιση·</w:t>
            </w:r>
            <w:r>
              <w:t xml:space="preserve"> </w:t>
            </w:r>
            <w:r>
              <w:rPr>
                <w:b/>
                <w:i/>
              </w:rPr>
              <w:t>τονίζει την ανάγκη λειτουργικών μηχανισμών εποπτείας για τη διασφάλιση της ακεραιότητας στη χρηματοδότηση των κομμάτων·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ζητεί να βελτιωθεί η ρύθμιση της χρηματοδότησης των πολιτικών κομμάτων και των εκστρατειών, συμπεριλαμβανομένων μέτρων για την ενίσχυση της διαφάνειας·</w:t>
            </w:r>
          </w:p>
        </w:tc>
        <w:tc>
          <w:tcPr>
            <w:tcW w:w="4876" w:type="dxa"/>
            <w:tcBorders>
              <w:top w:val="nil"/>
              <w:left w:val="nil"/>
              <w:bottom w:val="nil"/>
              <w:right w:val="nil"/>
            </w:tcBorders>
          </w:tcPr>
          <w:p>
            <w:pPr>
              <w:pStyle w:val="Normal6a"/>
            </w:pPr>
            <w:r>
              <w:t>9.</w:t>
            </w:r>
            <w:r>
              <w:tab/>
            </w:r>
            <w:r>
              <w:t xml:space="preserve">ζητεί να βελτιωθεί η ρύθμιση της χρηματοδότησης των πολιτικών κομμάτων και των εκστρατειών, συμπεριλαμβανομένων μέτρων για την ενίσχυση της διαφάνειας </w:t>
            </w:r>
            <w:r>
              <w:rPr>
                <w:b/>
                <w:i/>
              </w:rPr>
              <w:t>όσον αφορά τα κονδύλια και τις δαπάνες των πολιτικών κομμάτων και για τη διασφάλιση δίκαιης κρατικής χρηματοδότησης και ισότιμης και επαρκούς πρόσβασης των πολιτικών κομμάτων και των ανεξάρτητων υποψηφίων στα μέσα ενημέρωσης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ζητεί να βελτιωθεί η ρύθμιση της χρηματοδότησης των πολιτικών κομμάτων και των εκστρατειών</w:t>
            </w:r>
            <w:r>
              <w:rPr>
                <w:b/>
                <w:i/>
              </w:rPr>
              <w:t>, συμπεριλαμβανομένων μέτρων για την ενίσχυση της διαφάνειας</w:t>
            </w:r>
            <w:r>
              <w:t>·</w:t>
            </w:r>
          </w:p>
        </w:tc>
        <w:tc>
          <w:tcPr>
            <w:tcW w:w="4876" w:type="dxa"/>
            <w:tcBorders>
              <w:top w:val="nil"/>
              <w:left w:val="nil"/>
              <w:bottom w:val="nil"/>
              <w:right w:val="nil"/>
            </w:tcBorders>
          </w:tcPr>
          <w:p>
            <w:pPr>
              <w:pStyle w:val="Normal6a"/>
            </w:pPr>
            <w:r>
              <w:t>9.</w:t>
            </w:r>
            <w:r>
              <w:tab/>
            </w:r>
            <w:r>
              <w:t xml:space="preserve">ζητεί να βελτιωθεί η </w:t>
            </w:r>
            <w:r>
              <w:rPr>
                <w:b/>
                <w:i/>
              </w:rPr>
              <w:t>διαφάνεια και η</w:t>
            </w:r>
            <w:r>
              <w:t xml:space="preserve"> ρύθμιση της χρηματοδότησης των πολιτικών κομμάτων και των εκστρατειών·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τον συνεχή εκσυγχρονισμό μιας αξιοκρατικής δημόσιας διοίκησης, την αντιμετώπιση των συστημικών προκλήσεων της πολιτικοποίησης και την ενίσχυση διαφανών διαδικασιών πρόσληψης·</w:t>
            </w:r>
          </w:p>
        </w:tc>
        <w:tc>
          <w:tcPr>
            <w:tcW w:w="4876" w:type="dxa"/>
            <w:tcBorders>
              <w:top w:val="nil"/>
              <w:left w:val="nil"/>
              <w:bottom w:val="nil"/>
              <w:right w:val="nil"/>
            </w:tcBorders>
          </w:tcPr>
          <w:p>
            <w:pPr>
              <w:pStyle w:val="Normal6a"/>
            </w:pPr>
            <w:r>
              <w:t>10.</w:t>
            </w:r>
            <w:r>
              <w:tab/>
            </w:r>
            <w:r>
              <w:t xml:space="preserve">ζητεί τον συνεχή εκσυγχρονισμό μιας αξιοκρατικής δημόσιας διοίκησης, την αντιμετώπιση των συστημικών προκλήσεων της πολιτικοποίησης και την ενίσχυση διαφανών διαδικασιών πρόσληψης· </w:t>
            </w:r>
            <w:r>
              <w:rPr>
                <w:b/>
                <w:i/>
              </w:rPr>
              <w:t>επαινεί τη στρατηγική για τη δημόσια διοίκηση 2023-2030 και το σχετικό σχέδιο δράσης για την περίοδο 2023-2026 που εγκρίθηκε τον Ιούλιο του 2023·</w:t>
            </w:r>
            <w:r>
              <w:t xml:space="preserve"> </w:t>
            </w:r>
            <w:r>
              <w:rPr>
                <w:b/>
                <w:i/>
              </w:rPr>
              <w:t>αναγνωρίζει ότι καλύπτονται όλοι οι σχετικοί τομείς μεταρρυθμίσεων και ότι καθορίζει σαφή βάση, γενικούς και ειδικούς στόχους, προσδιορίζοντας έτσι κρίσιμες προκλήσεις πολιτικής·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ζητεί </w:t>
            </w:r>
            <w:r>
              <w:rPr>
                <w:b/>
                <w:i/>
              </w:rPr>
              <w:t>τον</w:t>
            </w:r>
            <w:r>
              <w:t xml:space="preserve"> συνεχή εκσυγχρονισμό μιας αξιοκρατικής δημόσιας διοίκησης, την αντιμετώπιση των συστημικών προκλήσεων της πολιτικοποίησης και την ενίσχυση διαφανών διαδικασιών πρόσληψης·</w:t>
            </w:r>
          </w:p>
        </w:tc>
        <w:tc>
          <w:tcPr>
            <w:tcW w:w="4876" w:type="dxa"/>
            <w:tcBorders>
              <w:top w:val="nil"/>
              <w:left w:val="nil"/>
              <w:bottom w:val="nil"/>
              <w:right w:val="nil"/>
            </w:tcBorders>
          </w:tcPr>
          <w:p>
            <w:pPr>
              <w:pStyle w:val="Normal6a"/>
            </w:pPr>
            <w:r>
              <w:t>10.</w:t>
            </w:r>
            <w:r>
              <w:tab/>
            </w:r>
            <w:r>
              <w:t xml:space="preserve">ζητεί </w:t>
            </w:r>
            <w:r>
              <w:rPr>
                <w:b/>
                <w:i/>
              </w:rPr>
              <w:t>να συνεχιστεί η μεταρρύθμιση της τοπικής οικονομικής αυτοδιοίκησης που θα επιτρέψει στην τοπική διοίκηση να παρέχει καλύτερες κοινωνικές υπηρεσίες στους πολίτες και να χαράξει εξατομικευμένες στρατηγικές τοπικής και περιφερειακής ανάπτυξης·</w:t>
            </w:r>
            <w:r>
              <w:t xml:space="preserve"> </w:t>
            </w:r>
            <w:r>
              <w:rPr>
                <w:b/>
                <w:i/>
              </w:rPr>
              <w:t>τονίζει την ανάγκη για</w:t>
            </w:r>
            <w:r>
              <w:t xml:space="preserve"> συνεχή εκσυγχρονισμό μιας αξιοκρατικής δημόσιας διοίκησης, την αντιμετώπιση των συστημικών προκλήσεων της πολιτικοποίησης και την ενίσχυση διαφανών διαδικασιών πρόσληψης·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τον συνεχή εκσυγχρονισμό μιας αξιοκρατικής δημόσιας διοίκησης, την αντιμετώπιση των συστημικών προκλήσεων της πολιτικοποίησης και την ενίσχυση διαφανών διαδικασιών πρόσληψης·</w:t>
            </w:r>
          </w:p>
        </w:tc>
        <w:tc>
          <w:tcPr>
            <w:tcW w:w="4876" w:type="dxa"/>
            <w:tcBorders>
              <w:top w:val="nil"/>
              <w:left w:val="nil"/>
              <w:bottom w:val="nil"/>
              <w:right w:val="nil"/>
            </w:tcBorders>
          </w:tcPr>
          <w:p>
            <w:pPr>
              <w:pStyle w:val="Normal6a"/>
            </w:pPr>
            <w:r>
              <w:t>10.</w:t>
            </w:r>
            <w:r>
              <w:tab/>
            </w:r>
            <w:r>
              <w:t xml:space="preserve">ζητεί τον συνεχή εκσυγχρονισμό μιας αξιοκρατικής δημόσιας διοίκησης, την αντιμετώπιση των συστημικών προκλήσεων της πολιτικοποίησης και την ενίσχυση διαφανών διαδικασιών πρόσληψης </w:t>
            </w:r>
            <w:r>
              <w:rPr>
                <w:b/>
                <w:i/>
              </w:rPr>
              <w:t>και τη μεταρρύθμιση της τοπικής αυτοδιοίκησης·</w:t>
            </w:r>
            <w:r>
              <w:t xml:space="preserve"> </w:t>
            </w:r>
            <w:r>
              <w:rPr>
                <w:b/>
                <w:i/>
              </w:rPr>
              <w:t>παροτρύνει τις αρχές να εντείνουν τις προσπάθειές τους και να εγκρίνουν και να εφαρμόσουν την αναγκαία νομοθεσία με σκοπό τη βελτίωση της εμπιστοσύνης του κοινού στη διοίκηση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απευθύνει έκκληση για την ανάγκη αντιμετώπισης των συστημικών προκλήσεων που σχετίζονται με την πολιτικοποίηση.</w:t>
            </w:r>
            <w:r>
              <w:t xml:space="preserve"> </w:t>
            </w:r>
            <w:r>
              <w:rPr>
                <w:b/>
                <w:i/>
              </w:rPr>
              <w:t>Η προσπάθεια αυτή περιλαμβάνει την ενίσχυση διαφανών διαδικασιών πρόσληψης, οι οποίες είναι απαραίτητες για την οικοδόμηση ισχυρής αξιοκρατίας.</w:t>
            </w:r>
            <w:r>
              <w:t xml:space="preserve"> </w:t>
            </w:r>
            <w:r>
              <w:rPr>
                <w:b/>
                <w:i/>
              </w:rPr>
              <w:t>Η ενίσχυση των αξιοκρατικών αρχών μπορεί να ενισχύσει την αποτελεσματικότητα και την ακεραιότητα της δημόσιας διοίκησης, οδηγώντας τελικά σε βελτίωση της διακυβέρνησης και της εμπιστοσύνης του κοινού.</w:t>
            </w:r>
            <w:r>
              <w:t xml:space="preserve"> </w:t>
            </w:r>
            <w:r>
              <w:rPr>
                <w:b/>
                <w:i/>
              </w:rPr>
              <w:t>Αυτή η προσπάθεια εκσυγχρονισμού είναι ζωτικής σημασίας για την προώθηση μιας ανθεκτικής και ικανής δημόσιας διοίκησης που μπορεί να ανταποκριθεί αποτελεσματικά στις σύγχρονες προκλήσεις και να εξυπηρετήσει τις ανάγκες της κοινωνίας.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ζητεί να ληφθούν περαιτέρω μέτρα για τη διασφάλιση της συστημικής λογοδοσίας των δημόσιων οργανισμών μέσω ουσιαστικών και δημόσιων διαβουλεύσεων με τα ενδιαφερόμενα μέρη·</w:t>
            </w:r>
          </w:p>
        </w:tc>
        <w:tc>
          <w:tcPr>
            <w:tcW w:w="4876" w:type="dxa"/>
            <w:tcBorders>
              <w:top w:val="nil"/>
              <w:left w:val="nil"/>
              <w:bottom w:val="nil"/>
              <w:right w:val="nil"/>
            </w:tcBorders>
          </w:tcPr>
          <w:p>
            <w:pPr>
              <w:pStyle w:val="Normal6a"/>
            </w:pPr>
            <w:r>
              <w:t>11.</w:t>
            </w:r>
            <w:r>
              <w:tab/>
            </w:r>
            <w:r>
              <w:t xml:space="preserve">ζητεί να ληφθούν περαιτέρω μέτρα για τη διασφάλιση της συστημικής λογοδοσίας των δημόσιων οργανισμών μέσω ουσιαστικών και δημόσιων διαβουλεύσεων με τα ενδιαφερόμενα μέρη· </w:t>
            </w:r>
            <w:r>
              <w:rPr>
                <w:b/>
                <w:i/>
              </w:rPr>
              <w:t>επαινεί τη θέσπιση νόμου για τις γενικές διοικητικές διαδικασίες που προβλέπει απλούστευση, αλλά συνιστά ένθερμα να εφαρμόζεται συστηματικά σε ολόκληρη τη διοίκηση·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ζητεί να ληφθούν περαιτέρω μέτρα για τη διασφάλιση της συστημικής λογοδοσίας των δημόσιων οργανισμών μέσω ουσιαστικών και δημόσιων διαβουλεύσεων με τα ενδιαφερόμενα μέρη·</w:t>
            </w:r>
          </w:p>
        </w:tc>
        <w:tc>
          <w:tcPr>
            <w:tcW w:w="4876" w:type="dxa"/>
            <w:tcBorders>
              <w:top w:val="nil"/>
              <w:left w:val="nil"/>
              <w:bottom w:val="nil"/>
              <w:right w:val="nil"/>
            </w:tcBorders>
          </w:tcPr>
          <w:p>
            <w:pPr>
              <w:pStyle w:val="Normal6a"/>
            </w:pPr>
            <w:r>
              <w:t>11.</w:t>
            </w:r>
            <w:r>
              <w:tab/>
            </w:r>
            <w:r>
              <w:t>ζητεί να ληφθούν περαιτέρω μέτρα για τη διασφάλιση της συστημικής λογοδοσίας των δημόσιων οργανισμών μέσω ουσιαστικών και δημόσιων διαβουλεύσεων με τα ενδιαφερόμενα μέρη</w:t>
            </w:r>
            <w:r>
              <w:rPr>
                <w:b/>
                <w:i/>
              </w:rPr>
              <w:t>, μεταξύ άλλων όσον αφορά την εφαρμογή του θεματολογίου μεταρρυθμίσεων, και για την παροχή αναπληροφόρησης από τις διεξαχθείσες διαβουλεύσεις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καλεί τις αρχές της Βόρειας Μακεδονίας να απόσχουν από αδιαφανείς, πολιτικοποιημένες απολύσεις και διορισμούς σε θέσεις σε ανεξάρτητα όργανα και οργανισμούς, καθώς και να διασφαλίσουν ότι οι </w:t>
            </w:r>
            <w:r>
              <w:rPr>
                <w:b/>
                <w:i/>
              </w:rPr>
              <w:t>οργανισμοί</w:t>
            </w:r>
            <w:r>
              <w:t xml:space="preserve"> χρηματοδοτούνται επαρκώς και ότι οι αποφάσεις και οι συστάσεις εφαρμόζονται με συνέπεια·</w:t>
            </w:r>
          </w:p>
        </w:tc>
        <w:tc>
          <w:tcPr>
            <w:tcW w:w="4876" w:type="dxa"/>
            <w:tcBorders>
              <w:top w:val="nil"/>
              <w:left w:val="nil"/>
              <w:bottom w:val="nil"/>
              <w:right w:val="nil"/>
            </w:tcBorders>
          </w:tcPr>
          <w:p>
            <w:pPr>
              <w:pStyle w:val="Normal6a"/>
            </w:pPr>
            <w:r>
              <w:t>12.</w:t>
            </w:r>
            <w:r>
              <w:tab/>
            </w:r>
            <w:r>
              <w:t xml:space="preserve">καλεί τις αρχές της Βόρειας Μακεδονίας να απόσχουν από αδιαφανείς, πολιτικοποιημένες απολύσεις και διορισμούς σε θέσεις σε ανεξάρτητα όργανα και οργανισμούς, καθώς και να διασφαλίσουν ότι οι </w:t>
            </w:r>
            <w:r>
              <w:rPr>
                <w:b/>
                <w:i/>
              </w:rPr>
              <w:t>θεσμοί</w:t>
            </w:r>
            <w:r>
              <w:t xml:space="preserve"> χρηματοδοτούνται επαρκώς και ότι οι αποφάσεις και οι συστάσεις εφαρμόζονται με συνέπεια</w:t>
            </w:r>
            <w:r>
              <w:rPr>
                <w:b/>
                <w:i/>
              </w:rPr>
              <w:t>, όπως επίσης και οι αποφάσεις του διαμεσολαβητή·</w:t>
            </w:r>
            <w:r>
              <w:t xml:space="preserve"> </w:t>
            </w:r>
            <w:r>
              <w:rPr>
                <w:b/>
                <w:i/>
              </w:rPr>
              <w:t>σημειώνει με λύπη τη συνεχιζόμενη έλλειψη προόδου όσον αφορά την ενίσχυση του Γραφείου του Διαμεσολαβητή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υπενθυμίζει την ανάγκη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Pr>
                <w:vertAlign w:val="superscript"/>
              </w:rPr>
              <w:t>4</w:t>
            </w:r>
            <w:r>
              <w:t>·</w:t>
            </w:r>
          </w:p>
        </w:tc>
        <w:tc>
          <w:tcPr>
            <w:tcW w:w="4876" w:type="dxa"/>
            <w:tcBorders>
              <w:top w:val="nil"/>
              <w:left w:val="nil"/>
              <w:bottom w:val="nil"/>
              <w:right w:val="nil"/>
            </w:tcBorders>
          </w:tcPr>
          <w:p>
            <w:pPr>
              <w:pStyle w:val="Normal6a"/>
            </w:pPr>
            <w:r>
              <w:t>13.</w:t>
            </w:r>
            <w:r>
              <w:tab/>
            </w:r>
            <w:r>
              <w:rPr>
                <w:b/>
                <w:i/>
              </w:rPr>
              <w:t>εκφράζει την ικανοποίησή του για τον διορισμό ειδικού εισαγγελέα για την παρακολούθηση των επιθέσεων κατά δημοσιογράφων,</w:t>
            </w:r>
            <w:r>
              <w:t xml:space="preserve"> υπενθυμίζει</w:t>
            </w:r>
            <w:r>
              <w:rPr>
                <w:b/>
                <w:i/>
              </w:rPr>
              <w:t>, ωστόσο,</w:t>
            </w:r>
            <w:r>
              <w:t xml:space="preserve"> την ανάγκη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Pr>
                <w:vertAlign w:val="superscript"/>
              </w:rPr>
              <w:t>4</w:t>
            </w:r>
            <w:r>
              <w:rPr>
                <w:b/>
                <w:i/>
              </w:rPr>
              <w:t> και με την οδηγία (ΕΕ) 2024/1069 κατά των στρατηγικών δικαστικών αγωγών προς αποθάρρυνση της συμμετοχής του κοινού, καθώς και θέσπισης μηχανισμών στήριξης για τις στρατηγικές αγωγές προς αποθάρρυνση της συμμετοχής του κοινού</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r>
              <w:rPr>
                <w:b/>
                <w:i/>
              </w:rPr>
              <w:t>)</w:t>
            </w:r>
            <w:r>
              <w:t>, ΕΕ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υπενθυμίζει την ανάγκη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Pr>
                <w:vertAlign w:val="superscript"/>
              </w:rPr>
              <w:t>4</w:t>
            </w:r>
            <w:r>
              <w:t>·</w:t>
            </w:r>
          </w:p>
        </w:tc>
        <w:tc>
          <w:tcPr>
            <w:tcW w:w="4876" w:type="dxa"/>
            <w:tcBorders>
              <w:top w:val="nil"/>
              <w:left w:val="nil"/>
              <w:bottom w:val="nil"/>
              <w:right w:val="nil"/>
            </w:tcBorders>
          </w:tcPr>
          <w:p>
            <w:pPr>
              <w:pStyle w:val="Normal6a"/>
            </w:pPr>
            <w:r>
              <w:t>13.</w:t>
            </w:r>
            <w:r>
              <w:tab/>
            </w:r>
            <w:r>
              <w:t>υπενθυμίζει την ανάγκη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Pr>
                <w:vertAlign w:val="superscript"/>
              </w:rPr>
              <w:t>4</w:t>
            </w:r>
            <w:r>
              <w:t xml:space="preserve">· </w:t>
            </w:r>
            <w:r>
              <w:rPr>
                <w:b/>
                <w:i/>
              </w:rPr>
              <w:t>τονίζει την επείγουσα ανάγκη να αντιμετωπιστεί η κακόβουλη ξένη επιρροή στο τοπίο των μέσων ενημέρωσης, συμπεριλαμβανομένης της παραπληροφόρησης που διαδίδεται από παράγοντες που συνδέονται με τη Ρωσία και την Κίνα, συχνά μέσω διαφόρων μέσων ενημέρωσης ή μη ρυθμιζόμενων διαδικτυακών πλατφορμών·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r>
              <w:rPr>
                <w:b/>
                <w:i/>
              </w:rPr>
              <w:t>)</w:t>
            </w:r>
            <w:r>
              <w:t>, ΕΕ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υπενθυμίζει την ανάγκη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Pr>
                <w:vertAlign w:val="superscript"/>
              </w:rPr>
              <w:t>4</w:t>
            </w:r>
            <w:r>
              <w:t>·</w:t>
            </w:r>
          </w:p>
        </w:tc>
        <w:tc>
          <w:tcPr>
            <w:tcW w:w="4876" w:type="dxa"/>
            <w:tcBorders>
              <w:top w:val="nil"/>
              <w:left w:val="nil"/>
              <w:bottom w:val="nil"/>
              <w:right w:val="nil"/>
            </w:tcBorders>
          </w:tcPr>
          <w:p>
            <w:pPr>
              <w:pStyle w:val="Normal6a"/>
            </w:pPr>
            <w:r>
              <w:t>13.</w:t>
            </w:r>
            <w:r>
              <w:tab/>
            </w:r>
            <w:r>
              <w:t>υπενθυμίζει την ανάγκη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Pr>
                <w:vertAlign w:val="superscript"/>
              </w:rPr>
              <w:t>4</w:t>
            </w:r>
            <w:r>
              <w:rPr>
                <w:b/>
                <w:i/>
              </w:rPr>
              <w:t>, αντιμετωπίζοντας τις επίμονες προκλήσεις όσον αφορά τη διαφάνεια του ιδιοκτησιακού καθεστώτος των μέσων ενημέρωσης, τη δημοσιοποίηση ψηφιακών μέσων και τη συγκέντρωση των μέσων ενημέρωσης·</w:t>
            </w:r>
            <w:r>
              <w:t xml:space="preserve"> </w:t>
            </w:r>
            <w:r>
              <w:rPr>
                <w:b/>
                <w:i/>
              </w:rPr>
              <w:t>υπογραμμίζει την ανάγκη να συμπεριληφθούν και να ρυθμιστούν τα επιγραμμικά μέσα ενημέρωσης στον νόμο για τα μέσα ενημέρωσης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r>
              <w:rPr>
                <w:b/>
                <w:i/>
              </w:rPr>
              <w:t>)</w:t>
            </w:r>
            <w:r>
              <w:t>, ΕΕ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υπενθυμίζει την ανάγκη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Pr>
                <w:vertAlign w:val="superscript"/>
              </w:rPr>
              <w:t>4</w:t>
            </w:r>
            <w:r>
              <w:t>·</w:t>
            </w:r>
          </w:p>
        </w:tc>
        <w:tc>
          <w:tcPr>
            <w:tcW w:w="4876" w:type="dxa"/>
            <w:tcBorders>
              <w:top w:val="nil"/>
              <w:left w:val="nil"/>
              <w:bottom w:val="nil"/>
              <w:right w:val="nil"/>
            </w:tcBorders>
          </w:tcPr>
          <w:p>
            <w:pPr>
              <w:pStyle w:val="Normal6a"/>
            </w:pPr>
            <w:r>
              <w:t>13.</w:t>
            </w:r>
            <w:r>
              <w:tab/>
            </w:r>
            <w:r>
              <w:rPr>
                <w:b/>
                <w:i/>
              </w:rPr>
              <w:t>χαιρετίζει τη σταθερή πρόοδο της Βόρειας Μακεδονίας όσον αφορά τη διασφάλιση των ελευθεριών των μέσων ενημέρωσης·</w:t>
            </w:r>
            <w:r>
              <w:t xml:space="preserve"> υπενθυμίζει την ανάγκη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r>
              <w:rPr>
                <w:b/>
                <w:i/>
              </w:rPr>
              <w:t>)</w:t>
            </w:r>
            <w:r>
              <w:t>, ΕΕ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υπενθυμίζει ότι, σύμφωνα με ανάλυση του 2023, παράγοντες που συνδέονται με το ρωσικό κράτος χρησιμοποίησαν σερβικά εικονικά μέσα για τη διάδοση αφηγημάτων εχθρικών προς το ΝΑΤΟ, και της άποψης ότι η ΕΕ πιέζει τη Βόρεια Μακεδονία να «εγκαταλείψει την ταυτότητά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παροτρύνει τις αρχές να διασφαλίσουν πλήρη διαφάνεια και απρόσκοπτη πρόσβαση των πολιτών σε πληροφορίες·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επαναλαμβάνει τις εκκλήσεις του για ολοκληρωμένη μεταρρύθμιση των κανόνων που διέπουν την κρατική χρηματοδότηση και τη διαφήμιση των πολιτικών κομμάτων στα μέσα ενημέρωσης·</w:t>
            </w:r>
          </w:p>
        </w:tc>
        <w:tc>
          <w:tcPr>
            <w:tcW w:w="4876" w:type="dxa"/>
            <w:tcBorders>
              <w:top w:val="nil"/>
              <w:left w:val="nil"/>
              <w:bottom w:val="nil"/>
              <w:right w:val="nil"/>
            </w:tcBorders>
          </w:tcPr>
          <w:p>
            <w:pPr>
              <w:pStyle w:val="Normal6a"/>
            </w:pPr>
            <w:r>
              <w:t>14.</w:t>
            </w:r>
            <w:r>
              <w:tab/>
            </w:r>
            <w:r>
              <w:t>επαναλαμβάνει τις εκκλήσεις του για ολοκληρωμένη μεταρρύθμιση των κανόνων που διέπουν την κρατική χρηματοδότηση και τη διαφήμιση των πολιτικών κομμάτων στα μέσα ενημέρωσης</w:t>
            </w:r>
            <w:r>
              <w:rPr>
                <w:b/>
                <w:i/>
              </w:rPr>
              <w:t>, επισημαίνοντας την έλλειψη διαφάνειας, τη συνεχιζόμενη κατάχρηση κρατικών κονδυλίων για πολιτική διαφήμιση και τον συνεχιζόμενο κίνδυνο υπονόμευσης της ανεξαρτησίας των μέσων ενημέρωσης μέσω αδιαφανών μηχανισμών χρηματοδότησης·</w:t>
            </w:r>
            <w:r>
              <w:t xml:space="preserve"> </w:t>
            </w:r>
            <w:r>
              <w:rPr>
                <w:b/>
                <w:i/>
              </w:rPr>
              <w:t>ζητεί οι μεταρρυθμίσεις αυτές να εγκριθούν και να εφαρμοστούν πριν από τις τοπικές εκλογές που προβλέπονται για το φθινόπωρο του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Hristo Petrov,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επαναλαμβάνει τις εκκλήσεις του για ολοκληρωμένη μεταρρύθμιση των κανόνων που διέπουν την κρατική χρηματοδότηση και τη διαφήμιση των πολιτικών κομμάτων στα μέσα ενημέρωσης·</w:t>
            </w:r>
          </w:p>
        </w:tc>
        <w:tc>
          <w:tcPr>
            <w:tcW w:w="4876" w:type="dxa"/>
            <w:tcBorders>
              <w:top w:val="nil"/>
              <w:left w:val="nil"/>
              <w:bottom w:val="nil"/>
              <w:right w:val="nil"/>
            </w:tcBorders>
          </w:tcPr>
          <w:p>
            <w:pPr>
              <w:pStyle w:val="Normal6a"/>
            </w:pPr>
            <w:r>
              <w:t>14.</w:t>
            </w:r>
            <w:r>
              <w:tab/>
            </w:r>
            <w:r>
              <w:rPr>
                <w:b/>
                <w:i/>
              </w:rPr>
              <w:t>σημειώνει με ανησυχία την επαναφορά της κρατικής διαφήμισης στα εμπορικά μέσα ενημέρωσης στη Βόρεια Μακεδονία·</w:t>
            </w:r>
            <w:r>
              <w:t xml:space="preserve"> </w:t>
            </w:r>
            <w:r>
              <w:rPr>
                <w:b/>
                <w:i/>
              </w:rPr>
              <w:t>τονίζει τον αυξημένο κίνδυνο αυτού του μέτρου να ανοίξει η αγορά των μέσων ενημέρωσης σε διαταραχές και αδικαιολόγητες πολιτικές επιρροές, θέτοντας έτσι σε κίνδυνο την ανεξαρτησία και την πολυφωνία των μέσων ενημέρωσης·</w:t>
            </w:r>
            <w:r>
              <w:t xml:space="preserve"> επαναλαμβάνει τις εκκλήσεις του για ολοκληρωμένη μεταρρύθμιση των κανόνων που διέπουν την κρατική χρηματοδότηση και τη διαφήμιση των πολιτικών κομμάτων στα μέσα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υπογραμμίζει την ανάγκη ενίσχυσης της ανεξαρτησίας και των ικανοτήτων της ρυθμιστικής αρχής των μέσων ενημέρωσης, του δημόσιου ραδιοτηλεοπτικού φορέα και της ρυθμιστικής αρχής για τις ηλεκτρονικές επικοινωνίες·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ενθαρρύνει δράσεις για την ενίσχυση της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w:t>
            </w:r>
          </w:p>
        </w:tc>
        <w:tc>
          <w:tcPr>
            <w:tcW w:w="4876" w:type="dxa"/>
            <w:tcBorders>
              <w:top w:val="nil"/>
              <w:left w:val="nil"/>
              <w:bottom w:val="nil"/>
              <w:right w:val="nil"/>
            </w:tcBorders>
          </w:tcPr>
          <w:p>
            <w:pPr>
              <w:pStyle w:val="Normal6a"/>
            </w:pPr>
            <w:r>
              <w:t>15.</w:t>
            </w:r>
            <w:r>
              <w:tab/>
            </w:r>
            <w:r>
              <w:t xml:space="preserve">ενθαρρύνει δράσεις για την ενίσχυση της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 </w:t>
            </w:r>
            <w:r>
              <w:rPr>
                <w:b/>
                <w:i/>
              </w:rPr>
              <w:t>ζητεί αυστηρότερους κανόνες διαφάνειας και ιδιοκτησίας για την αποκάλυψη συγκεκαλυμμένης επιρροής, συμπεριλαμβανομένου του περιεχομένου μέσων ενημέρωσης χρηματοδοτούμενων από το εξωτερικό, και τη θέσπιση μηχανισμών για τον εντοπισμό και την εξάρθρωση συντονισμένων ξένων δικτύων παραπληροφόρησης·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ενθαρρύνει δράσεις για την ενίσχυση της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w:t>
            </w:r>
          </w:p>
        </w:tc>
        <w:tc>
          <w:tcPr>
            <w:tcW w:w="4876" w:type="dxa"/>
            <w:tcBorders>
              <w:top w:val="nil"/>
              <w:left w:val="nil"/>
              <w:bottom w:val="nil"/>
              <w:right w:val="nil"/>
            </w:tcBorders>
          </w:tcPr>
          <w:p>
            <w:pPr>
              <w:pStyle w:val="Normal6a"/>
            </w:pPr>
            <w:r>
              <w:t>15.</w:t>
            </w:r>
            <w:r>
              <w:tab/>
            </w:r>
            <w:r>
              <w:t>ενθαρρύνει δράσεις για την ενίσχυση της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w:t>
            </w:r>
            <w:r>
              <w:rPr>
                <w:b/>
                <w:i/>
              </w:rPr>
              <w:t>, επισημαίνοντας παράλληλα τη συνεχιζόμενη καθυστέρηση στον διορισμό βασικών εποπτικών οργάνων και την ανάγκη για ολοκληρωμένες προσπάθειες εκσυγχρονισμού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ενθαρρύνει δράσεις για την ενίσχυση της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w:t>
            </w:r>
          </w:p>
        </w:tc>
        <w:tc>
          <w:tcPr>
            <w:tcW w:w="4876" w:type="dxa"/>
            <w:tcBorders>
              <w:top w:val="nil"/>
              <w:left w:val="nil"/>
              <w:bottom w:val="nil"/>
              <w:right w:val="nil"/>
            </w:tcBorders>
          </w:tcPr>
          <w:p>
            <w:pPr>
              <w:pStyle w:val="Normal6a"/>
            </w:pPr>
            <w:r>
              <w:t>15.</w:t>
            </w:r>
            <w:r>
              <w:tab/>
            </w:r>
            <w:r>
              <w:t xml:space="preserve">ενθαρρύνει δράσεις για την ενίσχυση της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 </w:t>
            </w:r>
            <w:r>
              <w:rPr>
                <w:b/>
                <w:i/>
              </w:rPr>
              <w:t>παροτρύνει τη Βόρεια Μακεδονία να λάβει συγκεκριμένα μέτρα για την ενίσχυση της διαφάνειας όσον αφορά την ιδιοκτησία των μέσων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ενθαρρύνει δράσεις για την ενίσχυση της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w:t>
            </w:r>
          </w:p>
        </w:tc>
        <w:tc>
          <w:tcPr>
            <w:tcW w:w="4876" w:type="dxa"/>
            <w:tcBorders>
              <w:top w:val="nil"/>
              <w:left w:val="nil"/>
              <w:bottom w:val="nil"/>
              <w:right w:val="nil"/>
            </w:tcBorders>
          </w:tcPr>
          <w:p>
            <w:pPr>
              <w:pStyle w:val="Normal6a"/>
            </w:pPr>
            <w:r>
              <w:t>15.</w:t>
            </w:r>
            <w:r>
              <w:tab/>
            </w:r>
            <w:r>
              <w:t xml:space="preserve">ενθαρρύνει δράσεις για την ενίσχυση της </w:t>
            </w:r>
            <w:r>
              <w:rPr>
                <w:b/>
                <w:i/>
              </w:rPr>
              <w:t>διαφάνειας της ιδιοκτησίας των μέσων ενημέρωσης, της</w:t>
            </w:r>
            <w:r>
              <w:t xml:space="preserve">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15α.</w:t>
            </w:r>
            <w:r>
              <w:tab/>
            </w:r>
            <w:r>
              <w:rPr>
                <w:b/>
                <w:i/>
              </w:rPr>
              <w:t>εκφράζει την ανησυχία του για τη στρατηγική αγορά βασικών τηλεοπτικών σταθμών και ειδησεογραφικών πυλών από στελέχη των ουγγρικών μέσων ενημέρωσης, προσκείμενα στο κυβερνών κόμμα στη Βουδαπέστη, το οποίο επιτρέπει της διείσδυση αντιευρωπαϊκών αφηγημάτων στον δημόσιο διάλογο στη Βόρεια Μακεδονία σε καθημερινή βάση·</w:t>
            </w:r>
            <w:r>
              <w:t xml:space="preserve"> </w:t>
            </w:r>
            <w:r>
              <w:rPr>
                <w:b/>
                <w:i/>
              </w:rPr>
              <w:t>εκφράζει τη λύπη του για τους ισχυρισμούς ότι τα μέσα ενημέρωσης έχουν λάβει έμμεση χρηματοδοτική στήριξη μέσω διαφήμισης από ουγγρικές επιχειρήσεις·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15α.</w:t>
            </w:r>
            <w:r>
              <w:tab/>
            </w:r>
            <w:r>
              <w:rPr>
                <w:b/>
                <w:i/>
              </w:rPr>
              <w:t>αναγνωρίζει τη σταθερή βελτίωση των ελευθεριών των μέσων ενημέρωσης, όπως αποδεικνύεται από την άνοδο των διεθνών κατατάξεών τους, και ενθαρρύνει τη συνέχιση των μεταρρυθμίσεων για τη διασφάλιση ενός ανεξάρτητου και ανθεκτικού τοπίου των μέσων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σημειώνει με ανησυχία τις συνεχιζόμενες απειλές και επιθέσεις κατά δημοσιογράφων· εκφράζει την ικανοποίησή του για τον διορισμό ειδικού εισαγγελέα για την παρακολούθηση των επιθέσεων κατά δημοσιογράφων και τη δημιουργία μηχανισμών αναφοράς κυβερνοεκφοβισμού·</w:t>
            </w:r>
          </w:p>
        </w:tc>
        <w:tc>
          <w:tcPr>
            <w:tcW w:w="4876" w:type="dxa"/>
            <w:tcBorders>
              <w:top w:val="nil"/>
              <w:left w:val="nil"/>
              <w:bottom w:val="nil"/>
              <w:right w:val="nil"/>
            </w:tcBorders>
          </w:tcPr>
          <w:p>
            <w:pPr>
              <w:pStyle w:val="Normal6a"/>
            </w:pPr>
            <w:r>
              <w:t>16.</w:t>
            </w:r>
            <w:r>
              <w:tab/>
            </w:r>
            <w:r>
              <w:t xml:space="preserve">σημειώνει με ανησυχία τις συνεχιζόμενες απειλές και επιθέσεις κατά </w:t>
            </w:r>
            <w:r>
              <w:rPr>
                <w:b/>
                <w:i/>
              </w:rPr>
              <w:t>ανεξάρτητων</w:t>
            </w:r>
            <w:r>
              <w:t xml:space="preserve"> δημοσιογράφων </w:t>
            </w:r>
            <w:r>
              <w:rPr>
                <w:b/>
                <w:i/>
              </w:rPr>
              <w:t>και επαγγελματιών των μέσων ενημέρωσης, συμπεριλαμβανομένης της μισογυνιστικής διαδικτυακής παρενόχλησης κατά γυναικών δημοσιογράφων, συχνά εναντίον όσων διερευνούν το κράτος δικαίου, τη διαφθορά και τη δικαιοσύνη</w:t>
            </w:r>
            <w:r>
              <w:t xml:space="preserve">· εκφράζει την ικανοποίησή του για τον διορισμό ειδικού εισαγγελέα για την παρακολούθηση των επιθέσεων κατά δημοσιογράφων και τη δημιουργία μηχανισμών αναφοράς κυβερνοεκφοβισμού· </w:t>
            </w:r>
            <w:r>
              <w:rPr>
                <w:b/>
                <w:i/>
              </w:rPr>
              <w:t>ζητεί να ληφθούν ισχυρότερα μέτρα για την προστασία των επαγγελματιών των μέσων ενημέρωσης από σωματικές και μη σωματικές απειλές, παρενόχληση και ακατάλληλη γλώσσα από δημόσια πρόσωπα·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σημειώνει με</w:t>
            </w:r>
            <w:r>
              <w:t xml:space="preserve"> ανησυχία τις συνεχιζόμενες απειλές και επιθέσεις κατά δημοσιογράφων· εκφράζει την ικανοποίησή του για τον διορισμό ειδικού εισαγγελέα για την </w:t>
            </w:r>
            <w:r>
              <w:rPr>
                <w:b/>
                <w:i/>
              </w:rPr>
              <w:t>παρακολούθηση</w:t>
            </w:r>
            <w:r>
              <w:t xml:space="preserve"> των επιθέσεων κατά δημοσιογράφων και τη δημιουργία μηχανισμών αναφοράς κυβερνοεκφοβισμού</w:t>
            </w:r>
            <w:r>
              <w:rPr>
                <w:b/>
                <w:i/>
              </w:rPr>
              <w:t>·</w:t>
            </w:r>
          </w:p>
        </w:tc>
        <w:tc>
          <w:tcPr>
            <w:tcW w:w="4876" w:type="dxa"/>
            <w:tcBorders>
              <w:top w:val="nil"/>
              <w:left w:val="nil"/>
              <w:bottom w:val="nil"/>
              <w:right w:val="nil"/>
            </w:tcBorders>
          </w:tcPr>
          <w:p>
            <w:pPr>
              <w:pStyle w:val="Normal6a"/>
            </w:pPr>
            <w:r>
              <w:t>16.</w:t>
            </w:r>
            <w:r>
              <w:tab/>
            </w:r>
            <w:r>
              <w:rPr>
                <w:b/>
                <w:i/>
              </w:rPr>
              <w:t>εκφράζει</w:t>
            </w:r>
            <w:r>
              <w:t xml:space="preserve"> ανησυχία </w:t>
            </w:r>
            <w:r>
              <w:rPr>
                <w:b/>
                <w:i/>
              </w:rPr>
              <w:t>για</w:t>
            </w:r>
            <w:r>
              <w:t xml:space="preserve"> τις συνεχιζόμενες απειλές και επιθέσεις κατά δημοσιογράφων· εκφράζει την ικανοποίησή του για τον διορισμό ειδικού εισαγγελέα για την </w:t>
            </w:r>
            <w:r>
              <w:rPr>
                <w:b/>
                <w:i/>
              </w:rPr>
              <w:t>επίβλεψη αυτών</w:t>
            </w:r>
            <w:r>
              <w:t xml:space="preserve"> των επιθέσεων κατά δημοσιογράφων και τη δημιουργία μηχανισμών αναφοράς κυβερνοεκφοβισμού</w:t>
            </w:r>
            <w:r>
              <w:rPr>
                <w:b/>
                <w:i/>
              </w:rPr>
              <w:t>.</w:t>
            </w:r>
            <w:r>
              <w:t xml:space="preserve"> </w:t>
            </w:r>
            <w:r>
              <w:rPr>
                <w:b/>
                <w:i/>
              </w:rPr>
              <w:t>Επιπλέον, τονίζει την ανάγκη μεταρρύθμισης των μέσων ενημέρωσης που δίνει προτεραιότητα σε μέτρα κατά της συγκέντρωσης για τη διασφάλιση της δημοσιογραφικής ακεραιότητας.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Andrey Kovatchev, Ivaylo Valchev, Emil Radev, Eva Maydell, Radan Kanev, Kristian Vigenin, Tsvetelina Penkova, Ilia Lazarov, Andrey Novakov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ζητεί από τους αρμόδιους φορείς να προλαμβάνουν ενεργά και να διώκουν συστηματικά όλες τις περιπτώσεις ρητορικής μίσους, εγκλημάτων μίσους και εκφοβισμού, να διερευνούν ενδελεχώς σχετικές επιθέσεις και να διασφαλίζουν την ασφάλεια και την προστασία των στοχευόμενων, όπως οι δημοσιογράφοι, τα άτομα που ανήκουν σε μειονότητες, κοινότητες και άλλες ευάλωτες ομάδες·</w:t>
            </w:r>
            <w:r>
              <w:t xml:space="preserve"> </w:t>
            </w:r>
            <w:r>
              <w:rPr>
                <w:b/>
                <w:i/>
              </w:rPr>
              <w:t>καταδικάζει τα μέσα ενημέρωσης που προωθούν επιλεκτικά την αρνητική κάλυψη, τη ρητορική μίσους και τις εθνοτικές προκαταλήψεις κατά των Βουλγάρων·</w:t>
            </w:r>
            <w:r>
              <w:t xml:space="preserve"> </w:t>
            </w:r>
            <w:r>
              <w:rPr>
                <w:b/>
                <w:i/>
              </w:rPr>
              <w:t>καλεί μετ’ επιτάσεως τα μέσα ενημέρωσης και τις αρχές της Δημοκρατίας της Βόρειας Μακεδονίας να μην προβαίνουν στη χρήση και στη δημοσιοποίηση ρητορικής μίσους εις βάρος κρατών μελών της ΕΕ και γειτονικών χωρών·</w:t>
            </w:r>
            <w:r>
              <w:t xml:space="preserve"> </w:t>
            </w:r>
            <w:r>
              <w:rPr>
                <w:b/>
                <w:i/>
              </w:rPr>
              <w:t>παροτρύνει τις αρχές να καταπολεμήσουν αποτελεσματικά τα υποκινούμενα από μίσος εγκλήματα μέσω συντονισμένων ερευνών και διώξεων που οδηγούν σε τελεσίδικες καταδικαστικές αποφάσεις·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ζητεί να ενισχυθούν τα μέτρα για τη στήριξη της ερευνητικής δημοσιογραφίας και της παιδείας στα Μέσα, προκειμένου να καταπολεμηθεί η ρητορική μίσους, η παραπληροφόρηση και οι εξωτερικές παρεμβάσεις·</w:t>
            </w:r>
          </w:p>
        </w:tc>
        <w:tc>
          <w:tcPr>
            <w:tcW w:w="4876" w:type="dxa"/>
            <w:tcBorders>
              <w:top w:val="nil"/>
              <w:left w:val="nil"/>
              <w:bottom w:val="nil"/>
              <w:right w:val="nil"/>
            </w:tcBorders>
          </w:tcPr>
          <w:p>
            <w:pPr>
              <w:pStyle w:val="Normal6a"/>
            </w:pPr>
            <w:r>
              <w:t>17.</w:t>
            </w:r>
            <w:r>
              <w:tab/>
            </w:r>
            <w:r>
              <w:rPr>
                <w:b/>
                <w:i/>
              </w:rPr>
              <w:t>εκφράζει την ανησυχία του για την αύξηση της ρητορικής μίσους και των αυξανόμενων απειλών από την παραπληροφόρηση στα διαδικτυακά μέσα ενημέρωσης·</w:t>
            </w:r>
            <w:r>
              <w:t xml:space="preserve"> ζητεί να ενισχυθούν τα μέτρα για τη στήριξη της ερευνητικής δημοσιογραφίας</w:t>
            </w:r>
            <w:r>
              <w:rPr>
                <w:b/>
                <w:i/>
              </w:rPr>
              <w:t>, των ικανοτήτων επαλήθευσης των γεγονότων</w:t>
            </w:r>
            <w:r>
              <w:t xml:space="preserve"> και της παιδείας στα Μέσα, προκειμένου να καταπολεμηθεί η ρητορική μίσους, η παραπληροφόρηση και οι εξωτερικές παρεμβάσεις· </w:t>
            </w:r>
            <w:r>
              <w:rPr>
                <w:b/>
                <w:i/>
              </w:rPr>
              <w:t>εκφράζει την ανησυχία του για τις εκτεταμένες εκστρατείες παραπληροφόρησης που θέτουν υπό αμφισβήτηση τις δημοκρατικές αξίες και τον στόχο της χώρας για ένταξη στην ΕΕ·</w:t>
            </w:r>
            <w:r>
              <w:t xml:space="preserve"> </w:t>
            </w:r>
            <w:r>
              <w:rPr>
                <w:b/>
                <w:i/>
              </w:rPr>
              <w:t>στο πλαίσιο αυτό, ζητεί τη στήριξη των θεσμικών οργάνων της ΕΕ για να βοηθήσει τη χώρα να μετριάσει αυτές τις κακόβουλες επιπτώσεις·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ζητεί να ενισχυθούν τα μέτρα για τη στήριξη της ερευνητικής δημοσιογραφίας και της παιδείας στα Μέσα, προκειμένου να καταπολεμηθεί η ρητορική μίσους, η παραπληροφόρηση και οι εξωτερικές παρεμβάσεις·</w:t>
            </w:r>
          </w:p>
        </w:tc>
        <w:tc>
          <w:tcPr>
            <w:tcW w:w="4876" w:type="dxa"/>
            <w:tcBorders>
              <w:top w:val="nil"/>
              <w:left w:val="nil"/>
              <w:bottom w:val="nil"/>
              <w:right w:val="nil"/>
            </w:tcBorders>
          </w:tcPr>
          <w:p>
            <w:pPr>
              <w:pStyle w:val="Normal6a"/>
            </w:pPr>
            <w:r>
              <w:t>17.</w:t>
            </w:r>
            <w:r>
              <w:tab/>
            </w:r>
            <w:r>
              <w:t xml:space="preserve">ζητεί να ενισχυθούν τα μέτρα για τη στήριξη της ερευνητικής δημοσιογραφίας και της παιδείας στα Μέσα, προκειμένου να καταπολεμηθεί η ρητορική μίσους, η παραπληροφόρηση και οι εξωτερικές παρεμβάσεις· </w:t>
            </w:r>
            <w:r>
              <w:rPr>
                <w:b/>
                <w:i/>
              </w:rPr>
              <w:t>εκφράζει την ικανοποίησή του για τις πρωτοβουλίες της κοινωνίας των πολιτών που προωθούν την επαλήθευση των γεγονότων στα μέσα ενημέρωσης και σημειώνει ότι σχεδόν το 50 % των πολιτών της Βόρειας Μακεδονίας έχουν υιοθετήσει ψευδή αφηγήματα σχετικά με τα διεθνή γεγονότα, ιδίως όσον αφορά τον πόλεμο στην Ουκρανία, υπογραμμίζοντας την επείγουσα ανάγκη ενίσχυσης της ανθεκτικότητας της κοινωνίας έναντι της κακόβουλης χειραγώγησης των πληροφοριών·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ζητεί να ενισχυθούν τα μέτρα για τη στήριξη της ερευνητικής δημοσιογραφίας και της παιδείας στα Μέσα, προκειμένου να καταπολεμηθεί η ρητορική μίσους, η παραπληροφόρηση και οι εξωτερικές παρεμβάσεις·</w:t>
            </w:r>
          </w:p>
        </w:tc>
        <w:tc>
          <w:tcPr>
            <w:tcW w:w="4876" w:type="dxa"/>
            <w:tcBorders>
              <w:top w:val="nil"/>
              <w:left w:val="nil"/>
              <w:bottom w:val="nil"/>
              <w:right w:val="nil"/>
            </w:tcBorders>
          </w:tcPr>
          <w:p>
            <w:pPr>
              <w:pStyle w:val="Normal6a"/>
            </w:pPr>
            <w:r>
              <w:t>17.</w:t>
            </w:r>
            <w:r>
              <w:tab/>
            </w:r>
            <w:r>
              <w:t xml:space="preserve">ζητεί να ενισχυθούν τα μέτρα για τη στήριξη της ερευνητικής δημοσιογραφίας και της παιδείας στα Μέσα, </w:t>
            </w:r>
            <w:r>
              <w:rPr>
                <w:b/>
                <w:i/>
              </w:rPr>
              <w:t>καθώς και για τη βελτίωση του νομικού πλαισίου και των ικανοτήτων όλων των θεσμικών υπηρεσιών</w:t>
            </w:r>
            <w:r>
              <w:t xml:space="preserve"> προκειμένου να καταπολεμηθεί η ρητορική μίσους, η παραπληροφόρηση και οι εξωτερικές παρεμβάσεις·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ζητεί να ενισχυθούν τα μέτρα για τη στήριξη της ερευνητικής δημοσιογραφίας </w:t>
            </w:r>
            <w:r>
              <w:rPr>
                <w:b/>
                <w:i/>
              </w:rPr>
              <w:t>και</w:t>
            </w:r>
            <w:r>
              <w:t xml:space="preserve"> της παιδείας στα Μέσα</w:t>
            </w:r>
            <w:r>
              <w:rPr>
                <w:b/>
                <w:i/>
              </w:rPr>
              <w:t>, προκειμένου</w:t>
            </w:r>
            <w:r>
              <w:t xml:space="preserve"> να καταπολεμηθεί η ρητορική μίσους, η παραπληροφόρηση και οι εξωτερικές παρεμβάσεις·</w:t>
            </w:r>
          </w:p>
        </w:tc>
        <w:tc>
          <w:tcPr>
            <w:tcW w:w="4876" w:type="dxa"/>
            <w:tcBorders>
              <w:top w:val="nil"/>
              <w:left w:val="nil"/>
              <w:bottom w:val="nil"/>
              <w:right w:val="nil"/>
            </w:tcBorders>
          </w:tcPr>
          <w:p>
            <w:pPr>
              <w:pStyle w:val="Normal6a"/>
            </w:pPr>
            <w:r>
              <w:t>17.</w:t>
            </w:r>
            <w:r>
              <w:tab/>
            </w:r>
            <w:r>
              <w:t>ζητεί να ενισχυθούν τα μέτρα για τη στήριξη της ερευνητικής δημοσιογραφίας</w:t>
            </w:r>
            <w:r>
              <w:rPr>
                <w:b/>
                <w:i/>
              </w:rPr>
              <w:t>,</w:t>
            </w:r>
            <w:r>
              <w:t xml:space="preserve"> της παιδείας στα Μέσα </w:t>
            </w:r>
            <w:r>
              <w:rPr>
                <w:b/>
                <w:i/>
              </w:rPr>
              <w:t>και της βελτίωσης του νομικού πλαισίου και των ικανοτήτων όλων των θεσμικών υπηρεσιών για</w:t>
            </w:r>
            <w:r>
              <w:t xml:space="preserve"> να καταπολεμηθεί η ρητορική μίσους, η παραπληροφόρηση και οι εξωτερικές παρεμβάσεις·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Hristo Petrov,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17α.</w:t>
            </w:r>
            <w:r>
              <w:tab/>
            </w:r>
            <w:r>
              <w:rPr>
                <w:b/>
                <w:i/>
              </w:rPr>
              <w:t>σημειώνει με ανησυχία ότι η ρητορική μίσους έχει μετατοπιστεί σημαντικά από τα παραδοσιακά μέσα ενημέρωσης προς το διαδίκτυο, επί του οποίου ο εθνικός οργανισμός για τις υπηρεσίες οπτικοακουστικών μέσων δεν διαθέτει ρυθμιστική εξουσία·</w:t>
            </w:r>
            <w:r>
              <w:t xml:space="preserve"> </w:t>
            </w:r>
            <w:r>
              <w:rPr>
                <w:b/>
                <w:i/>
              </w:rPr>
              <w:t>εκφράζει την ικανοποίησή του για τις πρωτοβουλίες που αποσκοπούν στην προώθηση του ψηφιακού γραμματισμού στα σχολεία και στην καταπολέμηση της διάδοσης ρητορικής μίσους·</w:t>
            </w:r>
            <w:r>
              <w:t xml:space="preserve"> </w:t>
            </w:r>
            <w:r>
              <w:rPr>
                <w:b/>
                <w:i/>
              </w:rPr>
              <w:t>ενθαρρύνει τη Βόρεια Μακεδονία να εντείνει τις προσπάθειες για την καταπολέμηση της ρητορικής μίσους σε όλες τις μορφές της και να στοχεύσει όλες τις ομάδες·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17α.</w:t>
            </w:r>
            <w:r>
              <w:tab/>
            </w:r>
            <w:r>
              <w:rPr>
                <w:b/>
                <w:i/>
              </w:rPr>
              <w:t>σημειώνει με ανησυχία τις δημόσιες δηλώσεις εκπροσώπων της κυβέρνησης και αξιωματούχων που υποκινούν τη βία, τις διακρίσεις και τα εγκλήματα μίσους κατά πολιτών της Βόρειας Μακεδονίας που προσδιορίζονται ως Βούλγαροι·</w:t>
            </w:r>
            <w:r>
              <w:t xml:space="preserve"> </w:t>
            </w:r>
            <w:r>
              <w:rPr>
                <w:b/>
                <w:i/>
              </w:rPr>
              <w:t>υπογραμμίζει τον ρόλο των μέσων ενημέρωσης όσον αφορά τις διεθνοτικές σχέσεις και τις σχέσεις καλής γειτονίας·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17β.</w:t>
            </w:r>
            <w:r>
              <w:tab/>
            </w:r>
            <w:r>
              <w:rPr>
                <w:b/>
                <w:i/>
              </w:rPr>
              <w:t>εκφράζει τη λύπη του για τις νομοθετικές τροποποιήσεις του νόμου για τα ιδρύματα και τις ενώσεις που ανατρέπουν τη νομική καταχώριση των βουλγαρικών πολιτιστικών ιδρυμάτων·</w:t>
            </w:r>
            <w:r>
              <w:t xml:space="preserve"> </w:t>
            </w:r>
            <w:r>
              <w:rPr>
                <w:b/>
                <w:i/>
              </w:rPr>
              <w:t>επαναλαμβάνει τον μεροληπτικό χαρακτήρα του νόμου που επιβλήθηκε αναδρομικά και στόχευε βουλγαρικά πολιτιστικά ιδρύματα·</w:t>
            </w:r>
            <w:r>
              <w:t xml:space="preserve"> </w:t>
            </w:r>
            <w:r>
              <w:rPr>
                <w:b/>
                <w:i/>
              </w:rPr>
              <w:t>καλεί τη Βόρεια Μακεδονία να θυμηθεί τις εν λόγω νομοθετικές τροποποιήσεις και να προστατεύσει την ύπαρξη των θεσμών των πολιτών της Μακεδονίας που αυτοπροσδιορίζονται ως Βούλγαροι·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εκφράζει την ικανοποίησή του για τη δυναμική και εποικοδομητική κοινωνία των πολιτών της χώρας, η οποία διαδραματίζει πολύ καίριο και θετικό ρόλο στη μεταρρυθμιστική διαδικασία· σημειώνει ότι, ενώ οι οργανώσεις της κοινωνίας των πολιτών λειτουργούν σε ένα συνολικό ευνοϊκό περιβάλλον, πρέπει να εφαρμόζονται νομικά και δημοσιονομικά πλαίσια για τη διασφάλιση διαφανών μηχανισμών δημόσιας χρηματοδότησης·</w:t>
            </w:r>
          </w:p>
        </w:tc>
        <w:tc>
          <w:tcPr>
            <w:tcW w:w="4876" w:type="dxa"/>
            <w:tcBorders>
              <w:top w:val="nil"/>
              <w:left w:val="nil"/>
              <w:bottom w:val="nil"/>
              <w:right w:val="nil"/>
            </w:tcBorders>
          </w:tcPr>
          <w:p>
            <w:pPr>
              <w:pStyle w:val="Normal6a"/>
            </w:pPr>
            <w:r>
              <w:t>18.</w:t>
            </w:r>
            <w:r>
              <w:tab/>
            </w:r>
            <w:r>
              <w:rPr>
                <w:b/>
                <w:i/>
              </w:rPr>
              <w:t>υπογραμμίζει ότι η κοινωνία των πολιτών είναι ζωτικής σημασίας για την προώθηση της δημοκρατίας και του πλουραλισμού, καθώς και για την προώθηση της χρηστής διακυβέρνησης και της κοινωνικής προόδου·</w:t>
            </w:r>
            <w:r>
              <w:t xml:space="preserve"> εκφράζει την ικανοποίησή του για τη δυναμική και εποικοδομητική κοινωνία των πολιτών της χώρας, η οποία διαδραματίζει πολύ καίριο και θετικό ρόλο στη μεταρρυθμιστική διαδικασία </w:t>
            </w:r>
            <w:r>
              <w:rPr>
                <w:b/>
                <w:i/>
              </w:rPr>
              <w:t>και υπενθυμίζει ότι απαιτούνται περαιτέρω προσπάθειες για τη διασφάλιση έγκαιρων και ουσιαστικών διαβουλεύσεων χωρίς αποκλεισμούς και διαφάνειας, καθώς και επίσημων μηχανισμών συνεργασίας·</w:t>
            </w:r>
            <w:r>
              <w:t xml:space="preserve"> </w:t>
            </w:r>
            <w:r>
              <w:rPr>
                <w:b/>
                <w:i/>
              </w:rPr>
              <w:t>χαιρετίζει, στο πλαίσιο αυτό, την πρόσφατη έναρξη της διαδικασίας για την επανασύσταση του Συμβουλίου συνεργασίας μεταξύ της κυβέρνησης και του τομέα της κοινωνίας των πολιτών και ζητεί ενισχυμένη συνεργασία, ιδίως όσον αφορά τον μετριασμό των επιπτώσεων του πρόσφατου «παγώματος» των κεφαλαίων USAID στον τομέα της κοινωνίας των πολιτών</w:t>
            </w:r>
            <w:r>
              <w:t xml:space="preserve">· σημειώνει ότι, ενώ οι οργανώσεις της κοινωνίας των πολιτών λειτουργούν σε ένα συνολικό ευνοϊκό περιβάλλον, πρέπει να εφαρμόζονται νομικά και δημοσιονομικά πλαίσια για τη διασφάλιση </w:t>
            </w:r>
            <w:r>
              <w:rPr>
                <w:b/>
                <w:i/>
              </w:rPr>
              <w:t>αυξημένης δημόσιας χρηματοδότησης για ΟΚΠ, καθώς και</w:t>
            </w:r>
            <w:r>
              <w:t xml:space="preserve"> διαφανών μηχανισμών δημόσιας χρηματοδότησης· </w:t>
            </w:r>
            <w:r>
              <w:rPr>
                <w:b/>
                <w:i/>
              </w:rPr>
              <w:t>εκφράζει την ανησυχία του για τις αναφορές για αύξηση των εχθρικών δηλώσεων προς την κοινωνία των πολιτών και ενθαρρύνει το Υπουργείο Εσωτερικών να αναπτύξει ένα πρωτόκολλο ασφάλειας για τους υπερασπιστές των ανθρωπίνων δικαιωμάτων με οργανώσεις της κοινωνίας των πολιτών, ώστε να διασφαλιστεί η προστασία τους από απειλές από μη κρατικούς φορείς·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εκφράζει την ικανοποίησή του για τη δυναμική </w:t>
            </w:r>
            <w:r>
              <w:rPr>
                <w:b/>
                <w:i/>
              </w:rPr>
              <w:t>και εποικοδομητική</w:t>
            </w:r>
            <w:r>
              <w:t xml:space="preserve"> κοινωνία των πολιτών της χώρας, η οποία διαδραματίζει </w:t>
            </w:r>
            <w:r>
              <w:rPr>
                <w:b/>
                <w:i/>
              </w:rPr>
              <w:t>πολύ καίριο και</w:t>
            </w:r>
            <w:r>
              <w:t xml:space="preserve"> θετικό ρόλο στη μεταρρυθμιστική διαδικασία· σημειώνει ότι, ενώ οι οργανώσεις της κοινωνίας των πολιτών λειτουργούν σε ένα συνολικό ευνοϊκό περιβάλλον, πρέπει να εφαρμόζονται νομικά και δημοσιονομικά πλαίσια για τη διασφάλιση διαφανών μηχανισμών δημόσιας χρηματοδότησης·</w:t>
            </w:r>
          </w:p>
        </w:tc>
        <w:tc>
          <w:tcPr>
            <w:tcW w:w="4876" w:type="dxa"/>
            <w:tcBorders>
              <w:top w:val="nil"/>
              <w:left w:val="nil"/>
              <w:bottom w:val="nil"/>
              <w:right w:val="nil"/>
            </w:tcBorders>
          </w:tcPr>
          <w:p>
            <w:pPr>
              <w:pStyle w:val="Normal6a"/>
            </w:pPr>
            <w:r>
              <w:t>18.</w:t>
            </w:r>
            <w:r>
              <w:tab/>
            </w:r>
            <w:r>
              <w:t xml:space="preserve">εκφράζει την ικανοποίησή του για τη δυναμική κοινωνία των πολιτών της χώρας, η οποία διαδραματίζει θετικό ρόλο στη μεταρρυθμιστική διαδικασία· σημειώνει ότι, ενώ οι οργανώσεις της κοινωνίας των πολιτών λειτουργούν σε ένα συνολικό ευνοϊκό περιβάλλον, πρέπει να εφαρμόζονται νομικά και δημοσιονομικά πλαίσια για τη διασφάλιση διαφανών μηχανισμών δημόσιας χρηματοδότησης· </w:t>
            </w:r>
            <w:r>
              <w:rPr>
                <w:b/>
                <w:i/>
              </w:rPr>
              <w:t>σημειώνει τη συνεργασία της κυβέρνησης της Βόρειας Μακεδονίας με την κοινωνία των πολιτών και υπογραμμίζει τη σημασία της διασφάλισης των διαβουλεύσεων χωρίς αποκλεισμούς και της διαφάνειας·</w:t>
            </w:r>
            <w:r>
              <w:t xml:space="preserve"> </w:t>
            </w:r>
            <w:r>
              <w:rPr>
                <w:b/>
                <w:i/>
              </w:rPr>
              <w:t>σημειώνει ωστόσο με ανησυχία την έλλειψη δέσμευσης για την εκπροσώπηση και υπεράσπιση από την κοινωνία των πολιτών των δικαιωμάτων των διάφορων εθνοτικών κοινοτήτων στη χώρα·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Andrey Kovatchev, Ivaylo Valchev, Emil Radev, Eva Maydell, Radan Kanev, Kristian Vigenin, Tsvetelina Penkova, Ilia Lazarov, Andrey Novakov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εκφράζει τη λύπη του για τη συνεχιζόμενη διάκριση εις βάρος των πολιτών της Βόρειας Μακεδονίας που προσδιορίζονται ως Βούλγαροι, η οποία περιλαμβάνει, μεταξύ άλλων, τον εμπρησμό της ΜΚΟ του βουλγαρικού πολιτιστικού συλλόγου «Ivan Mihaylov» στην Μπίτολα τον Ιούνιο του 2022, τους πυροβολισμούς κατά της ΜΚΟ του βουλγαρικού πολιτιστικού συλλόγου «Tsar Boris III» στην Οχρίδα τον Νοέμβριο του 2022, την επίθεση κατά του κέντρου πολιτισμού και πληροφοριών του βουλγαρικού κράτους στα Σκόπια, το οποίο διαρρήχθηκε το Μάρτιο του 2023 και, κυρίως, τον σοβαρό ξυλοδαρμό του Christian Pendikov τον Ιανουάριο του 2023, ο οποίος δέχθηκε επίθεση λόγω του αυτοπροσδιορισμού του ως Βούλγαρος, όπως επισημάνθηκε από την εισαγγελία της Οχρίδας στη Βόρεια Μακεδονία·</w:t>
            </w:r>
            <w:r>
              <w:t xml:space="preserve"> </w:t>
            </w:r>
            <w:r>
              <w:rPr>
                <w:b/>
                <w:i/>
              </w:rPr>
              <w:t>καταδικάζει απερίφραστα τέτοιες πράξεις βίας εγκλημάτων μίσους·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υπενθυμίζει την ανάγκη για επείγουσα νομοθετική δράση προκειμένου να διασφαλιστεί η διαφάνεια όσον αφορά την ιδιοκτησία των μέσων ενημέρωσης και τις ξένες παρεμβάσεις·</w:t>
            </w:r>
            <w:r>
              <w:t xml:space="preserve"> </w:t>
            </w:r>
            <w:r>
              <w:rPr>
                <w:b/>
                <w:i/>
              </w:rPr>
              <w:t>σημειώνει ότι ορισμένες κινεζικές διπλωματικές οντότητες έχουν χρηματοδοτήσει πληρωμένο περιεχόμενο και άρθρα γνώμης σε μακεδονικά μέσα χωρίς σαφή επισήμανση·</w:t>
            </w:r>
            <w:r>
              <w:t xml:space="preserve"> </w:t>
            </w:r>
            <w:r>
              <w:rPr>
                <w:b/>
                <w:i/>
              </w:rPr>
              <w:t>ζητεί την υποχρεωτική δημοσιοποίηση περιεχομένου μέσων ενημέρωσης αλλοδαπής προέλευσης, συμπεριλαμβανομένων των επιγραμμικών πλατφορμών, και συνιστά τη δημιουργία εθνικού μητρώου επιρροής στα μέσα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ζητεί να ενισχυθεί περαιτέρω ο ρόλος της κοινωνίας των πολιτών με τη διασφάλιση της συνεχούς ουσιαστικής συμμετοχής της στη διαδικασία λήψης αποφάσεων και με τη διαβούλευση με την Επιτροπή της Βενετίας πριν από τη θέσπιση μελλοντικής νομοθεσίας στον τομέα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καλεί τις αρχές να εγκρίνουν ένα νομικό πλαίσιο που θα προστατεύει αποτελεσματικά τους δημοσιογράφους, τους υπερασπιστές των ανθρωπίνων δικαιωμάτων, τους περιβαλλοντικούς ακτιβιστές και άλλους συμφεροντούχους από στρατηγικές αγωγές προς αποθάρρυνση της συμμετοχής του κοινού (SLAPP)·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Andrey Kovatchev, Ivaylo Valchev, Emil Radev, Eva Maydell, Radan Kanev, Kristian Vigenin, Tsvetelina Penkova, Ilia Lazarov, Andrey Novakov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18β.</w:t>
            </w:r>
            <w:r>
              <w:tab/>
            </w:r>
            <w:r>
              <w:rPr>
                <w:b/>
                <w:i/>
              </w:rPr>
              <w:t>εκφράζει τη βαθιά του ανησυχία για τη συνεχιζόμενη νομική διαδικασία κατά του Ljupco Georgievski, πρώην επικεφαλής της βουλγαρικής ένωσης με έδρα τη Μπίτολα η οποία φέρει το όνομα του Vancho Mihailov, με κατηγορίες για διάδοση ρατσιστικού και ξενοφοβικού υλικού·</w:t>
            </w:r>
            <w:r>
              <w:t xml:space="preserve"> </w:t>
            </w:r>
            <w:r>
              <w:rPr>
                <w:b/>
                <w:i/>
              </w:rPr>
              <w:t>εκφράζει τη λύπη του για το γεγονός ότι ο Ljupco Georgievski αντιμετωπίζει 3-5 χρόνια φυλάκισης με κατασκευασμένες κατηγορίες χωρίς να υπάρχουν αποδεικτικά στοιχεία για αξιόποινες πράξεις·</w:t>
            </w:r>
            <w:r>
              <w:t xml:space="preserve"> </w:t>
            </w:r>
            <w:r>
              <w:rPr>
                <w:b/>
                <w:i/>
              </w:rPr>
              <w:t>καταδικάζει απερίφραστα τη χρήση κατασταλτικών τακτικών και τη δίωξη ατόμων με βάση την εθνοτική τους ταυτότητα και το δικαίωμά τους στην αυτοδιάθεση·</w:t>
            </w:r>
            <w:r>
              <w:t xml:space="preserve"> </w:t>
            </w:r>
            <w:r>
              <w:rPr>
                <w:b/>
                <w:i/>
              </w:rPr>
              <w:t>ζητεί την άμεση απόσυρση όλων των κατηγοριών κατά του Ljupco Georgievski·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3α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ζητεί μετ’ επιτάσεως να επανεκκινήσουν οι εργασίες για τα εγχειρίδια σχολικής ιστορίας στη Βουλγαρία και τη Δημοκρατία της Βόρειας Μακεδονίας·</w:t>
            </w:r>
            <w:r>
              <w:t xml:space="preserve"> </w:t>
            </w:r>
            <w:r>
              <w:rPr>
                <w:b/>
                <w:i/>
              </w:rPr>
              <w:t>τονίζει ότι τα κείμενα θα πρέπει να αντικατοπτρίζουν την ερμηνεία ιστορικών γεγονότων και αριθμών από την κοινή ιστορία και των δύο λαών, βάσει αυθεντικών ιστορικών εγγράφων και πηγών, όπως συμφωνήθηκε στο πρωτόκολλο της δεύτερης συνόδου της κοινής διακυβερνητικής επιτροπής που συστάθηκε δυνάμει του άρθρου 12 της Συνθήκης φιλίας, σχέσεων καλής γειτονίας και συνεργασίας με τη Βουλγαρία·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εκφράζει την ανησυχία του για την έλλειψη προόδου όσον αφορά την ισότητα των φύλων και την αύξηση των κινημάτων κατά της ισότητας των φύλων· καλεί τις αρχές της χώρας να βελτιώσουν την πρόσβαση σε υπηρεσίες για τα θύματα έμφυλης βίας·</w:t>
            </w:r>
          </w:p>
        </w:tc>
        <w:tc>
          <w:tcPr>
            <w:tcW w:w="4876" w:type="dxa"/>
            <w:tcBorders>
              <w:top w:val="nil"/>
              <w:left w:val="nil"/>
              <w:bottom w:val="nil"/>
              <w:right w:val="nil"/>
            </w:tcBorders>
          </w:tcPr>
          <w:p>
            <w:pPr>
              <w:pStyle w:val="Normal6a"/>
            </w:pPr>
            <w:r>
              <w:t>19.</w:t>
            </w:r>
            <w:r>
              <w:tab/>
            </w:r>
            <w:r>
              <w:t xml:space="preserve">εκφράζει την ανησυχία του για την έλλειψη προόδου όσον αφορά την ισότητα των φύλων και την αύξηση των κινημάτων κατά της ισότητας των φύλων </w:t>
            </w:r>
            <w:r>
              <w:rPr>
                <w:b/>
                <w:i/>
              </w:rPr>
              <w:t>και την αύξηση της επιρροής τους, η οποία επηρεάζει αρνητικά τις νομοθετικές διαδικασίες και τις διαδικασίες χάραξης πολιτικής·</w:t>
            </w:r>
            <w:r>
              <w:t xml:space="preserve"> </w:t>
            </w:r>
            <w:r>
              <w:rPr>
                <w:b/>
                <w:i/>
              </w:rPr>
              <w:t>καλεί τις αρχές να ενισχύσουν την εφαρμογή της εθνικής στρατηγικής για την ισότητα των φύλων (2022-2027) εξασφαλίζοντας επαρκή χρηματοδότηση, ενισχύοντας τον συντονισμό μεταξύ των θεσμών και ευθυγραμμίζοντας τις εθνικές πολιτικές με το κεκτημένο της ΕΕ·</w:t>
            </w:r>
            <w:r>
              <w:t xml:space="preserve"> </w:t>
            </w:r>
            <w:r>
              <w:rPr>
                <w:b/>
                <w:i/>
              </w:rPr>
              <w:t>παροτρύνει την κυβέρνηση να εφαρμόσει πλήρως τη Σύμβαση της Κωνσταντινούπολης</w:t>
            </w:r>
            <w:r>
              <w:t>· καλεί τις αρχές της χώρας να βελτιώσουν την πρόσβαση σε υπηρεσίες για τα θύματα έμφυλης 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εκφράζει την ανησυχία του για την έλλειψη προόδου όσον αφορά την ισότητα των φύλων και την αύξηση των κινημάτων κατά της ισότητας των φύλων· καλεί </w:t>
            </w:r>
            <w:r>
              <w:rPr>
                <w:b/>
                <w:i/>
              </w:rPr>
              <w:t>τις αρχές της χώρας να βελτιώσουν την πρόσβαση σε υπηρεσίες για τα θύματα έμφυλης βίας</w:t>
            </w:r>
            <w:r>
              <w:t>·</w:t>
            </w:r>
          </w:p>
        </w:tc>
        <w:tc>
          <w:tcPr>
            <w:tcW w:w="4876" w:type="dxa"/>
            <w:tcBorders>
              <w:top w:val="nil"/>
              <w:left w:val="nil"/>
              <w:bottom w:val="nil"/>
              <w:right w:val="nil"/>
            </w:tcBorders>
          </w:tcPr>
          <w:p>
            <w:pPr>
              <w:pStyle w:val="Normal6a"/>
            </w:pPr>
            <w:r>
              <w:t>19.</w:t>
            </w:r>
            <w:r>
              <w:tab/>
            </w:r>
            <w:r>
              <w:t xml:space="preserve">εκφράζει την ανησυχία του για την έλλειψη προόδου όσον αφορά την ισότητα των φύλων και την αύξηση των κινημάτων κατά της ισότητας των φύλων· καλεί </w:t>
            </w:r>
            <w:r>
              <w:rPr>
                <w:b/>
                <w:i/>
              </w:rPr>
              <w:t>την κυβέρνηση να εγκρίνει τον νέο νόμο για την ισότητα των φύλων με σκοπό την ενίσχυση των επίσημων κυβερνητικών δομών που έχουν ανατεθεί για την προώθηση της ισότητας των φύλων και τη βελτίωση του καθεστώτος και των δικαιωμάτων των γυναικών σε όλα τα επίπεδα και τη διασφάλιση της αποτελεσματικής εφαρμογής της στρατηγικής για την ισότητα των φύλων και του εθνικού σχεδίου δράσης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εκφράζει την ανησυχία του για την έλλειψη προόδου όσον αφορά την ισότητα των φύλων και την αύξηση των κινημάτων κατά της ισότητας των φύλων· καλεί τις αρχές της χώρας να βελτιώσουν την πρόσβαση σε υπηρεσίες για τα θύματα έμφυλης βίας·</w:t>
            </w:r>
          </w:p>
        </w:tc>
        <w:tc>
          <w:tcPr>
            <w:tcW w:w="4876" w:type="dxa"/>
            <w:tcBorders>
              <w:top w:val="nil"/>
              <w:left w:val="nil"/>
              <w:bottom w:val="nil"/>
              <w:right w:val="nil"/>
            </w:tcBorders>
          </w:tcPr>
          <w:p>
            <w:pPr>
              <w:pStyle w:val="Normal6a"/>
            </w:pPr>
            <w:r>
              <w:t>19.</w:t>
            </w:r>
            <w:r>
              <w:tab/>
            </w:r>
            <w:r>
              <w:rPr>
                <w:b/>
                <w:i/>
              </w:rPr>
              <w:t>διατάζει τη Βόρεια Μακεδονία να κυρώσει τις περισσότερες διεθνείς πράξεις για τα ανθρώπινα δικαιώματα,</w:t>
            </w:r>
            <w:r>
              <w:t xml:space="preserve"> εκφράζει</w:t>
            </w:r>
            <w:r>
              <w:rPr>
                <w:b/>
                <w:i/>
              </w:rPr>
              <w:t>, ωστόσο,</w:t>
            </w:r>
            <w:r>
              <w:t xml:space="preserve"> την ανησυχία του για </w:t>
            </w:r>
            <w:r>
              <w:rPr>
                <w:b/>
                <w:i/>
              </w:rPr>
              <w:t>τον βαθμό υλοποίησης,</w:t>
            </w:r>
            <w:r>
              <w:t xml:space="preserve"> την έλλειψη προόδου όσον αφορά την ισότητα των φύλων και την αύξηση των κινημάτων κατά της ισότητας των φύλων· καλεί τις αρχές της χώρας να βελτιώσουν την πρόσβαση σε υπηρεσίες για τα θύματα έμφυλης 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εκφράζει την ανησυχία του για την έλλειψη προόδου όσον αφορά την ισότητα των φύλων </w:t>
            </w:r>
            <w:r>
              <w:rPr>
                <w:b/>
                <w:i/>
              </w:rPr>
              <w:t>και την αύξηση των κινημάτων κατά της ισότητας των φύλων</w:t>
            </w:r>
            <w:r>
              <w:t>· καλεί τις αρχές της χώρας να βελτιώσουν την πρόσβαση σε υπηρεσίες για τα θύματα έμφυλης βίας·</w:t>
            </w:r>
          </w:p>
        </w:tc>
        <w:tc>
          <w:tcPr>
            <w:tcW w:w="4876" w:type="dxa"/>
            <w:tcBorders>
              <w:top w:val="nil"/>
              <w:left w:val="nil"/>
              <w:bottom w:val="nil"/>
              <w:right w:val="nil"/>
            </w:tcBorders>
          </w:tcPr>
          <w:p>
            <w:pPr>
              <w:pStyle w:val="Normal6a"/>
            </w:pPr>
            <w:r>
              <w:t>19.</w:t>
            </w:r>
            <w:r>
              <w:tab/>
            </w:r>
            <w:r>
              <w:t>εκφράζει την ανησυχία του για την έλλειψη προόδου όσον αφορά την ισότητα των φύλων· καλεί τις αρχές της χώρας να βελτιώσουν την πρόσβαση σε υπηρεσίες για τα θύματα έμφυλης 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παροτρύνει τις αρχές να διασφαλίσουν την πλήρη και αποτελεσματική εφαρμογή του υφιστάμενου νομικού πλαισίου για την προστασία των θυμάτων έμφυλης και ενδοοικογενειακής βίας, διαθέτοντας επαρκείς δημοσιονομικούς πόρους για την πρόληψη και βελτιώνοντας την πρόσβαση σε υπηρεσίες υποστήριξης, μηχανισμούς προστασίας και την επιβολή των νομικά κατοχυρωμένων κοινωνικών και οικονομικών δικαιωμάτων των επιζώντων·</w:t>
            </w:r>
            <w:r>
              <w:t xml:space="preserve"> </w:t>
            </w:r>
            <w:r>
              <w:rPr>
                <w:b/>
                <w:i/>
              </w:rPr>
              <w:t>ενθαρρύνει τις αρχές, στο πλαίσιο αυτό, να αυξήσουν την ικανότητα στέγασης και το προσωπικό, καθώς και τον αριθμό καλά καταρτισμένων και ευαισθητοποιημένων ως προς τη διάσταση του φύλου υπαλλήλων επιβολής του νόμου και δικαστών, ιατρικού προσωπικού και κοινωνικών λειτουργών·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εκφράζει τη λύπη του για το κλίμα εχθρότητας έναντι της Βουλγαρίας·</w:t>
            </w:r>
            <w:r>
              <w:t xml:space="preserve"> </w:t>
            </w:r>
            <w:r>
              <w:rPr>
                <w:b/>
                <w:i/>
              </w:rPr>
              <w:t>υπενθυμίζει το γεγονός ότι η ρητορική μίσους κατά της βουλγαρικής κοινότητας από πολιτικούς έχει οδηγήσει σε βίαιες επιθέσεις κατά των πολιτών της Βόρειας Μακεδονίας, οι οποίοι προσδιορίζονται ως Βούλγαροι, καθώς και βουλγαρικά πολιτιστικά ιδρύματα στη Βόρεια Μακεδονία·</w:t>
            </w:r>
            <w:r>
              <w:t xml:space="preserve"> </w:t>
            </w:r>
            <w:r>
              <w:rPr>
                <w:b/>
                <w:i/>
              </w:rPr>
              <w:t>παροτρύνει, ως εκ τούτου, την πολιτική ελίτ της Μακεδονίας να απόσχει από τη χρήση ρητορικής μίσους κατά της Βουλγαρίας, καθώς μπορεί να οδηγήσει σε παρενόχληση, σωματική κακοποίηση και βία·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Σημειώνει με ανησυχία τη δεινή κατάσταση των νέων γυναικών στις φυλακές και των νεαρών κοριτσιών ηλικίας 14 έως 16 ετών, οι οποίες στερούνται εκπαίδευσης και επαγγελματικής κατάρτισης και συχνά λαμβάνουν υπερβολικά φάρμακα, με ανεπαρκή υγειονομική περίθαλψη·</w:t>
            </w:r>
            <w:r>
              <w:t xml:space="preserve"> </w:t>
            </w:r>
            <w:r>
              <w:rPr>
                <w:b/>
                <w:i/>
              </w:rPr>
              <w:t>παροτρύνει τις αρχές της Βόρειας Μακεδονίας να λάβουν επείγοντα μέτρα για να βελτιώσουν την κατάσταση κράτησης όλων των κρατουμένων, να μειώσουν τη διαφθορά και να σταματήσουν την απάνθρωπη μεταχείριση·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19β.</w:t>
            </w:r>
            <w:r>
              <w:tab/>
            </w:r>
            <w:r>
              <w:rPr>
                <w:b/>
                <w:i/>
              </w:rPr>
              <w:t>καλεί τη Βόρεια Μακεδονία να εφαρμόσει τις συστάσεις της έκθεσης της Ευρωπαϊκής Επιτροπής κατά του ρατσισμού και της μισαλλοδοξίας (ECRI) για τη Βόρεια Μακεδονία του 2023, προκειμένου να αντιμετωπιστούν επειγόντως οι παραβιάσεις των ανθρωπίνων δικαιωμάτων που στοχεύουν τη βουλγαρική κοινότητα στη χώρα·</w:t>
            </w:r>
            <w:r>
              <w:t xml:space="preserve"> </w:t>
            </w:r>
            <w:r>
              <w:rPr>
                <w:b/>
                <w:i/>
              </w:rPr>
              <w:t>καλεί τη Βόρεια Μακεδονία να δώσει ολοκληρωμένη συνέχεια στη σύσταση γενικής πολιτικής της ECRI για την καταπολέμηση της ρητορικής μίσους και να λάβει πλήρως υπόψη τα πορίσματα και τις συστάσεις που διατυπώνονται στην έκθεσή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19β.</w:t>
            </w:r>
            <w:r>
              <w:tab/>
            </w:r>
            <w:r>
              <w:rPr>
                <w:b/>
                <w:i/>
              </w:rPr>
              <w:t>σημειώνει την έγκριση του νόμου για την καταβολή χρηματικής αποζημίωσης στα θύματα βίαιων εγκλημάτων το 2023, ο οποίος ενσωματώνει τα πρότυπα της Σύμβασης της Κωνσταντινούπολης για την παροχή καλύτερης προστασίας στα θύματα έμφυλης βίας·</w:t>
            </w:r>
            <w:r>
              <w:t xml:space="preserve"> </w:t>
            </w:r>
            <w:r>
              <w:rPr>
                <w:b/>
                <w:i/>
              </w:rPr>
              <w:t>παροτρύνει τις αρχές να εντείνουν τις προσπάθειές τους για τη μείωση και τον μετριασμό της έμφυλης βίας και της ενδοοικογενειακής 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19β.</w:t>
            </w:r>
            <w:r>
              <w:tab/>
            </w:r>
            <w:r>
              <w:rPr>
                <w:b/>
                <w:i/>
              </w:rPr>
              <w:t>καλεί τις αρχές της Βόρειας Μακεδονίας να βελτιώσουν επειγόντως την κατάσταση στις εγκαταστάσεις κράτησης και να ενισχύσουν την αναστολή εκτέλεσης ποινών ή την απόλυση υπό όρους και την επανένταξη πρώην κρατουμένων στην κοινωνία·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σημειώνει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w:t>
            </w:r>
          </w:p>
        </w:tc>
        <w:tc>
          <w:tcPr>
            <w:tcW w:w="4876" w:type="dxa"/>
            <w:tcBorders>
              <w:top w:val="nil"/>
              <w:left w:val="nil"/>
              <w:bottom w:val="nil"/>
              <w:right w:val="nil"/>
            </w:tcBorders>
          </w:tcPr>
          <w:p>
            <w:pPr>
              <w:pStyle w:val="Normal6a"/>
            </w:pPr>
            <w:r>
              <w:t>20.</w:t>
            </w:r>
            <w:r>
              <w:tab/>
            </w:r>
            <w:r>
              <w:t xml:space="preserve">σημειώνει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 </w:t>
            </w:r>
            <w:r>
              <w:rPr>
                <w:b/>
                <w:i/>
              </w:rPr>
              <w:t>παροτρύνει τη Βόρεια Μακεδονία να εφαρμόσει πλήρως τις συστάσεις της συμβουλευτικής επιτροπής για τη σύμβαση-πλαίσιο για την προστασία των εθνικών μειονοτήτων όσον αφορά τη στρατηγική «Μία κοινωνία για όλους και διαπολιτισμικότητα»·</w:t>
            </w:r>
            <w:r>
              <w:t xml:space="preserve"> </w:t>
            </w:r>
            <w:r>
              <w:rPr>
                <w:b/>
                <w:i/>
              </w:rPr>
              <w:t>καλεί τη Βόρεια Μακεδονία να παράσχει επαρκή χρηματοδότηση και προσωπικό στον οργανισμό υλοποίησης γλωσσικής πολιτικής και στον οργανισμό για την πραγμάτωση των δικαιωμάτων των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σημειώνει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w:t>
            </w:r>
          </w:p>
        </w:tc>
        <w:tc>
          <w:tcPr>
            <w:tcW w:w="4876" w:type="dxa"/>
            <w:tcBorders>
              <w:top w:val="nil"/>
              <w:left w:val="nil"/>
              <w:bottom w:val="nil"/>
              <w:right w:val="nil"/>
            </w:tcBorders>
          </w:tcPr>
          <w:p>
            <w:pPr>
              <w:pStyle w:val="Normal6a"/>
            </w:pPr>
            <w:r>
              <w:t>20.</w:t>
            </w:r>
            <w:r>
              <w:tab/>
            </w:r>
            <w:r>
              <w:t xml:space="preserve">σημειώνει ότι οι σχέσεις μεταξύ των εθνοτήτων παραμένουν σταθερές και η συμφωνία-πλαίσιο της Οχρίδας συνεχίζει να εφαρμόζεται. </w:t>
            </w:r>
            <w:r>
              <w:rPr>
                <w:b/>
                <w:i/>
              </w:rPr>
              <w:t>εκφράζει την ανησυχία του για την κατάργηση, με απόφαση του Συνταγματικού Δικαστηρίου, των ποσοστώσεων που θεσπίστηκαν με τη συμφωνία της Οχρίδας για τις ποσοστώσεις των εκπροσώπων της αλβανικής και άλλων κοινοτήτων στη διοίκηση·</w:t>
            </w:r>
            <w:r>
              <w:t xml:space="preserve"> </w:t>
            </w:r>
            <w:r>
              <w:rPr>
                <w:b/>
                <w:i/>
              </w:rPr>
              <w:t>υπογραμμίζει ότι η διοίκηση της χώρας θα πρέπει να αντικατοπτρίζει την πολυεθνοτική σύνθεση της χώρας·</w:t>
            </w:r>
            <w:r>
              <w:t xml:space="preserve"> ζητεί επαρκή χρηματοδότηση και στελέχωση των θεσμών που προστατεύουν τα δικαιώματα των μη πλειοψηφικών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σημειώνει </w:t>
            </w:r>
            <w:r>
              <w:rPr>
                <w:b/>
                <w:i/>
              </w:rPr>
              <w:t>ότι οι</w:t>
            </w:r>
            <w:r>
              <w:t xml:space="preserve"> σχέσεις μεταξύ των εθνοτήτων </w:t>
            </w:r>
            <w:r>
              <w:rPr>
                <w:b/>
                <w:i/>
              </w:rPr>
              <w:t>παραμένουν σταθερές και</w:t>
            </w:r>
            <w:r>
              <w:t xml:space="preserve"> η συμφωνία-πλαίσιο της Οχρίδας συνεχίζει να εφαρμόζεται. </w:t>
            </w:r>
            <w:r>
              <w:rPr>
                <w:b/>
                <w:i/>
              </w:rPr>
              <w:t>ζητεί επαρκή χρηματοδότηση</w:t>
            </w:r>
            <w:r>
              <w:t xml:space="preserve"> και στελέχωση των θεσμών που προστατεύουν τα δικαιώματα των μη πλειοψηφικών κοινοτήτων·</w:t>
            </w:r>
          </w:p>
        </w:tc>
        <w:tc>
          <w:tcPr>
            <w:tcW w:w="4876" w:type="dxa"/>
            <w:tcBorders>
              <w:top w:val="nil"/>
              <w:left w:val="nil"/>
              <w:bottom w:val="nil"/>
              <w:right w:val="nil"/>
            </w:tcBorders>
          </w:tcPr>
          <w:p>
            <w:pPr>
              <w:pStyle w:val="Normal6a"/>
            </w:pPr>
            <w:r>
              <w:t>20.</w:t>
            </w:r>
            <w:r>
              <w:tab/>
            </w:r>
            <w:r>
              <w:t xml:space="preserve">σημειώνει </w:t>
            </w:r>
            <w:r>
              <w:rPr>
                <w:b/>
                <w:i/>
              </w:rPr>
              <w:t>τη συνεχιζόμενη σταθερότητα στις</w:t>
            </w:r>
            <w:r>
              <w:t xml:space="preserve"> σχέσεις μεταξύ των εθνοτήτων </w:t>
            </w:r>
            <w:r>
              <w:rPr>
                <w:b/>
                <w:i/>
              </w:rPr>
              <w:t>και το γεγονός ότι</w:t>
            </w:r>
            <w:r>
              <w:t xml:space="preserve"> η συμφωνία-πλαίσιο της Οχρίδας συνεχίζει να εφαρμόζεται. </w:t>
            </w:r>
            <w:r>
              <w:rPr>
                <w:b/>
                <w:i/>
              </w:rPr>
              <w:t>επαινεί τις προσπάθειες της Βόρειας Μακεδονίας για την ενίσχυση της προστασίας των δικαιωμάτων των μειονοτήτων, ενθαρρύνοντας παράλληλα την περαιτέρω χρηματοδοτική στήριξη</w:t>
            </w:r>
            <w:r>
              <w:t xml:space="preserve"> και στελέχωση των θεσμών που προστατεύουν τα δικαιώματα των μη πλειοψηφικών κοινοτήτων· </w:t>
            </w:r>
            <w:r>
              <w:rPr>
                <w:b/>
                <w:i/>
              </w:rPr>
              <w:t>καλεί τους πολιτικούς εκπροσώπους των μειονοτικών κοινοτήτων να αποφύγουν την προώθηση διχαστικών εθνοτικών αφηγημάτων που απηχούν πολιτικές που προκάλεσαν βαθιά δεινά και πολέμους στο πρόσφατο παρελθόν της περιοχής·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σημειώνει ότι οι </w:t>
            </w:r>
            <w:r>
              <w:rPr>
                <w:b/>
                <w:i/>
              </w:rPr>
              <w:t>σχέσεις μεταξύ των εθνοτήτων</w:t>
            </w:r>
            <w:r>
              <w:t xml:space="preserve"> παραμένουν σταθερές </w:t>
            </w:r>
            <w:r>
              <w:rPr>
                <w:b/>
                <w:i/>
              </w:rPr>
              <w:t>και η συμφωνία-πλαίσιο της Οχρίδας συνεχίζει να εφαρμόζεται.</w:t>
            </w:r>
            <w:r>
              <w:t xml:space="preserve"> ζητεί επαρκή χρηματοδότηση και στελέχωση των θεσμών που προστατεύουν τα δικαιώματα των μη πλειοψηφικών κοινοτήτων·</w:t>
            </w:r>
          </w:p>
        </w:tc>
        <w:tc>
          <w:tcPr>
            <w:tcW w:w="4876" w:type="dxa"/>
            <w:tcBorders>
              <w:top w:val="nil"/>
              <w:left w:val="nil"/>
              <w:bottom w:val="nil"/>
              <w:right w:val="nil"/>
            </w:tcBorders>
          </w:tcPr>
          <w:p>
            <w:pPr>
              <w:pStyle w:val="Normal6a"/>
            </w:pPr>
            <w:r>
              <w:t>20.</w:t>
            </w:r>
            <w:r>
              <w:tab/>
            </w:r>
            <w:r>
              <w:t xml:space="preserve">Σημειώνει ότι οι </w:t>
            </w:r>
            <w:r>
              <w:rPr>
                <w:b/>
                <w:i/>
              </w:rPr>
              <w:t>διεθνοτικές σχέσεις</w:t>
            </w:r>
            <w:r>
              <w:t xml:space="preserve"> παραμένουν σταθερές</w:t>
            </w:r>
            <w:r>
              <w:rPr>
                <w:b/>
                <w:i/>
              </w:rPr>
              <w:t>·</w:t>
            </w:r>
            <w:r>
              <w:t xml:space="preserve"> ζητεί επαρκή χρηματοδότηση και στελέχωση των θεσμών που προστατεύουν τα δικαιώματα των μη πλειοψηφικών κοινοτήτων· </w:t>
            </w:r>
            <w:r>
              <w:rPr>
                <w:b/>
                <w:i/>
              </w:rPr>
              <w:t>καλεί τη Βόρεια Μακεδονία να δώσει ολοκληρωμένη συνέχεια στη σύσταση γενικής πολιτικής αριθ. 15 της ECRI για την καταπολέμηση της ρητορικής μίσους και να λάβει πλήρως υπόψη τα πορίσματα και τις συστάσεις που διατυπώνονται στην έκθεσή της ECRI του Σεπτεμβρίου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Εμμανουήλ Κεφαλογιάννης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σημειώνει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w:t>
            </w:r>
          </w:p>
        </w:tc>
        <w:tc>
          <w:tcPr>
            <w:tcW w:w="4876" w:type="dxa"/>
            <w:tcBorders>
              <w:top w:val="nil"/>
              <w:left w:val="nil"/>
              <w:bottom w:val="nil"/>
              <w:right w:val="nil"/>
            </w:tcBorders>
          </w:tcPr>
          <w:p>
            <w:pPr>
              <w:pStyle w:val="Normal6a"/>
            </w:pPr>
            <w:r>
              <w:t>20.</w:t>
            </w:r>
            <w:r>
              <w:tab/>
            </w:r>
            <w:r>
              <w:t xml:space="preserve">σημειώνει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 </w:t>
            </w:r>
            <w:r>
              <w:rPr>
                <w:b/>
                <w:i/>
              </w:rPr>
              <w:t>αναμένει την έκδοση οριστικής απόφασης επί του προσβαλλόμενου νόμου για τη χρήση των γλωσσών η οποία μπορεί να έχει αντίκτυπο στις διεθνοτικές σχέσεις.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Βαγγέλης Μεϊμαράκης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σημειώνει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w:t>
            </w:r>
          </w:p>
        </w:tc>
        <w:tc>
          <w:tcPr>
            <w:tcW w:w="4876" w:type="dxa"/>
            <w:tcBorders>
              <w:top w:val="nil"/>
              <w:left w:val="nil"/>
              <w:bottom w:val="nil"/>
              <w:right w:val="nil"/>
            </w:tcBorders>
          </w:tcPr>
          <w:p>
            <w:pPr>
              <w:pStyle w:val="Normal6a"/>
            </w:pPr>
            <w:r>
              <w:t>20.</w:t>
            </w:r>
            <w:r>
              <w:tab/>
            </w:r>
            <w:r>
              <w:t xml:space="preserve">σημειώνει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 </w:t>
            </w:r>
            <w:r>
              <w:rPr>
                <w:b/>
                <w:i/>
              </w:rPr>
              <w:t>αναμένει την έκδοση οριστικής απόφασης επί του προσβαλλόμενου νόμου για τη χρήση των γλωσσών η οποία μπορεί να έχει αντίκτυπο στις διεθνοτικές σχέσεις.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σημειώνει</w:t>
            </w:r>
            <w:r>
              <w:t xml:space="preserve">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w:t>
            </w:r>
          </w:p>
        </w:tc>
        <w:tc>
          <w:tcPr>
            <w:tcW w:w="4876" w:type="dxa"/>
            <w:tcBorders>
              <w:top w:val="nil"/>
              <w:left w:val="nil"/>
              <w:bottom w:val="nil"/>
              <w:right w:val="nil"/>
            </w:tcBorders>
          </w:tcPr>
          <w:p>
            <w:pPr>
              <w:pStyle w:val="Normal6a"/>
            </w:pPr>
            <w:r>
              <w:t>20.</w:t>
            </w:r>
            <w:r>
              <w:tab/>
            </w:r>
            <w:r>
              <w:rPr>
                <w:b/>
                <w:i/>
              </w:rPr>
              <w:t>εκφράζει την ικανοποίησή του για το γεγονός</w:t>
            </w:r>
            <w:r>
              <w:t xml:space="preserve"> ότι οι σχέσεις μεταξύ των εθνοτήτων παραμένουν σταθερές και η συμφωνία-πλαίσιο της Οχρίδας συνεχίζει να εφαρμόζεται. ζητεί επαρκή χρηματοδότηση και στελέχωση των θεσμών που προστατεύουν τα δικαιώματα των μη πλειοψηφικών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εκφράζει την ικανοποίησή του για την πρόοδο που έχει επιτύχει η χώρα ως προς την ευθυγράμμιση του νομοθετικού και θεσμικού της πλαισίου για τα δικαιώματα του παιδιού με το κεκτημένο της ΕΕ και τα διεθνή πρότυπα για τα ανθρώπινα δικαιώματα·</w:t>
            </w:r>
            <w:r>
              <w:t xml:space="preserve"> </w:t>
            </w:r>
            <w:r>
              <w:rPr>
                <w:b/>
                <w:i/>
              </w:rPr>
              <w:t>σημειώνει, ωστόσο, με ανησυχία τα συνεχιζόμενα περιστατικά παιδικής βίας και διακρίσεων, μεταξύ άλλων εις βάρος παιδιών Ρομά·</w:t>
            </w:r>
            <w:r>
              <w:t xml:space="preserve"> </w:t>
            </w:r>
            <w:r>
              <w:rPr>
                <w:b/>
                <w:i/>
              </w:rPr>
              <w:t>καλεί, ως εκ τούτου, τη χώρα να συστήσει εθνικό φορέα αρμόδιο για τον συντονισμό όλων των πολιτικών που σχετίζονται με την εφαρμογή της Σύμβασης των Ηνωμένων Εθνών για τα Δικαιώματα του Παιδιού και των Προαιρετικών Πρωτοκόλλων·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καλεί τη Δημοκρατία της Βόρειας Μακεδονίας να εγγυηθεί πλήρως ίσα δικαιώματα και ευκαιρίες για όλες τις εθνοτικές κοινότητες στη χώρα, μεταξύ άλλων μέσω κατάλληλων συνταγματικών και νομικών τροποποιήσεων, καθώς και μέσω τροποποίησης όλης της σχετικής νομοθεσίας, και να διασφαλίσει ότι δεν θα προκύψει κανένα μειονέκτημα στους πολίτες εκείνους που θα ασκήσουν ο δικαίωμά τους να αυτοπροσδιοριστούν ως μέλη οποιασδήποτε εθνοτικής ομάδας·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εκφράζει τη λύπη του για το γεγονός ότι η Βόρεια Μακεδονία δεν επικύρωσε τον Ευρωπαϊκό Χάρτη για τις περιφερειακές ή μειονοτικές γλώσσες που υπογράφηκε το 1996·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Andrey Kovatchev, 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20β.</w:t>
            </w:r>
            <w:r>
              <w:tab/>
            </w:r>
            <w:r>
              <w:rPr>
                <w:b/>
                <w:i/>
              </w:rPr>
              <w:t>καλεί τη Δημοκρατία της Βόρειας Μακεδονίας να τροποποιήσει το σύνταγμά της ώστε να συμπεριλάβει τις εθνοτικές κοινότητες με μαυροβουνιακή, κροατική και βουλγαρική ταυτότητα τόσο στο προοίμιο όσο και σε όλα τα άλλα σχετικά εσωτερικά μέρη που σχετίζονται με τα δικαιώματα των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Hristo Petrov,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20β.</w:t>
            </w:r>
            <w:r>
              <w:tab/>
            </w:r>
            <w:r>
              <w:rPr>
                <w:b/>
                <w:i/>
              </w:rPr>
              <w:t>σημειώνει την πρόοδο στην εφαρμογή της στρατηγικής για την αποϊδρυματοποίηση·</w:t>
            </w:r>
            <w:r>
              <w:t xml:space="preserve"> </w:t>
            </w:r>
            <w:r>
              <w:rPr>
                <w:b/>
                <w:i/>
              </w:rPr>
              <w:t>εκφράζει την ικανοποίησή του για την επιτυχή μετεγκατάσταση παιδιών από ιδρύματα σε ανάδοχες οικογένειες ή σε μικρές ομαδικές κατοικίες·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20γ.</w:t>
            </w:r>
            <w:r>
              <w:tab/>
            </w:r>
            <w:r>
              <w:rPr>
                <w:b/>
                <w:i/>
              </w:rPr>
              <w:t>εκφράζει τη λύπη του για την συνεχιζόμενη απουσία προόδου στην εφαρμογή των προηγούμενων συστάσεων του Ευρωπαϊκού Κοινοβουλίου σχετικά με τις διακρίσεις, τη ρητορική μίσους, τις απειλές και τον εκφοβισμό πολιτών που εκφράζουν ανοικτά την βουλγαρική τους ταυτότητα και/ή το εθνοτικό τους υπόβαθρο·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ότι τα άτομα με αναπηρία εξακολουθούν να αντιμετωπίζουν σημαντικά εμπόδια, καθώς η νομοθεσία της χώρας εξακολουθεί να μην ευθυγραμμίζεται με τη Σύμβαση των Ηνωμένων Εθνών για τα δικαιώματα των ατόμων με αναπηρία·</w:t>
            </w:r>
          </w:p>
        </w:tc>
        <w:tc>
          <w:tcPr>
            <w:tcW w:w="4876" w:type="dxa"/>
            <w:tcBorders>
              <w:top w:val="nil"/>
              <w:left w:val="nil"/>
              <w:bottom w:val="nil"/>
              <w:right w:val="nil"/>
            </w:tcBorders>
          </w:tcPr>
          <w:p>
            <w:pPr>
              <w:pStyle w:val="Normal6a"/>
            </w:pPr>
            <w:r>
              <w:t>21.</w:t>
            </w:r>
            <w:r>
              <w:tab/>
            </w:r>
            <w:r>
              <w:t xml:space="preserve">σημειώνει ότι τα άτομα με αναπηρία εξακολουθούν να αντιμετωπίζουν σημαντικά εμπόδια, καθώς η νομοθεσία της χώρας εξακολουθεί να μην ευθυγραμμίζεται με τη Σύμβαση των Ηνωμένων Εθνών για τα δικαιώματα των ατόμων με αναπηρία· </w:t>
            </w:r>
            <w:r>
              <w:rPr>
                <w:b/>
                <w:i/>
              </w:rPr>
              <w:t>χαιρετίζει την εθνική στρατηγική για τα δικαιώματα των ατόμων με αναπηρία για την περίοδο 2023-2030 και ζητεί την ορθή εφαρμογή της, μεταξύ άλλων όσον αφορά τη διασφάλιση επαρκούς αριθμού εκπαιδευτικών βοηθών, προκειμένου να συμπεριληφθούν αποτελεσματικά και ομαλά τα παιδιά με αναπηρία στην εκπαιδευτική διαδικασία·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ότι τα άτομα με αναπηρία εξακολουθούν να αντιμετωπίζουν σημαντικά εμπόδια, καθώς η νομοθεσία της χώρας εξακολουθεί να μην ευθυγραμμίζεται με τη Σύμβαση των Ηνωμένων Εθνών για τα δικαιώματα των ατόμων με αναπηρία·</w:t>
            </w:r>
          </w:p>
        </w:tc>
        <w:tc>
          <w:tcPr>
            <w:tcW w:w="4876" w:type="dxa"/>
            <w:tcBorders>
              <w:top w:val="nil"/>
              <w:left w:val="nil"/>
              <w:bottom w:val="nil"/>
              <w:right w:val="nil"/>
            </w:tcBorders>
          </w:tcPr>
          <w:p>
            <w:pPr>
              <w:pStyle w:val="Normal6a"/>
            </w:pPr>
            <w:r>
              <w:t>21.</w:t>
            </w:r>
            <w:r>
              <w:tab/>
            </w:r>
            <w:r>
              <w:t xml:space="preserve">σημειώνει ότι τα άτομα με αναπηρία εξακολουθούν να αντιμετωπίζουν σημαντικά εμπόδια, καθώς η νομοθεσία της χώρας εξακολουθεί να μην ευθυγραμμίζεται με τη Σύμβαση των Ηνωμένων Εθνών για τα δικαιώματα των ατόμων με αναπηρία· </w:t>
            </w:r>
            <w:r>
              <w:rPr>
                <w:b/>
                <w:i/>
              </w:rPr>
              <w:t>καλεί τη Βόρεια Μακεδονία να εγγυηθεί ποιοτική εκπαίδευση για τα παιδιά με αναπηρία·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σημειώνει με ανησυχία την εκτεταμένη ρητορική μίσους στα μέσα κοινωνικής δικτύωσης, ιδίως εναντίον των Ρομά, των ΛΟΑΤΚΙ+ και άλλων περιθωριοποιημένων ομάδων·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εκφράζει την ικανοποίησή του για την πρώτη δικαστική απόφαση σχετικά με τη ρητορική μίσους κατά της κοινότητας ΛΟΑΤΚΙ, αλλά ζητεί επιτακτικά τη συστηματική δίωξη όλων των περιπτώσεων ρητορικής μίσους, εγκλημάτων μίσους και εκφοβισμού·</w:t>
            </w:r>
          </w:p>
        </w:tc>
        <w:tc>
          <w:tcPr>
            <w:tcW w:w="4876" w:type="dxa"/>
            <w:tcBorders>
              <w:top w:val="nil"/>
              <w:left w:val="nil"/>
              <w:bottom w:val="nil"/>
              <w:right w:val="nil"/>
            </w:tcBorders>
          </w:tcPr>
          <w:p>
            <w:pPr>
              <w:pStyle w:val="Normal6a"/>
            </w:pPr>
            <w:r>
              <w:t>22.</w:t>
            </w:r>
            <w:r>
              <w:tab/>
            </w:r>
            <w:r>
              <w:t>εκφράζει την ικανοποίησή του για την πρώτη δικαστική απόφαση σχετικά με τη ρητορική μίσους κατά της κοινότητας ΛΟΑΤΚΙ, αλλά ζητεί επιτακτικά τη συστηματική δίωξη όλων των περιπτώσεων ρητορικής μίσους, εγκλημάτων μίσους και εκφοβισμού</w:t>
            </w:r>
            <w:r>
              <w:rPr>
                <w:b/>
                <w:i/>
              </w:rPr>
              <w:t>, την προσθήκη της ρητορικής μίσους στον ποινικό κώδικα και την τήρηση επαρκών στατιστικών στοιχείων από τους αρμόδιους κρατικούς θεσμούς σχετικά με τις περιπτώσεις ρητορικής μίσους και εγκλημάτων μίσους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εκφράζει την ικανοποίησή του για την πρώτη δικαστική απόφαση σχετικά με τη ρητορική μίσους κατά της κοινότητας ΛΟΑΤΚΙ, αλλά ζητεί επιτακτικά τη συστηματική δίωξη όλων των περιπτώσεων ρητορικής μίσους, εγκλημάτων μίσους και εκφοβισμού·</w:t>
            </w:r>
          </w:p>
        </w:tc>
        <w:tc>
          <w:tcPr>
            <w:tcW w:w="4876" w:type="dxa"/>
            <w:tcBorders>
              <w:top w:val="nil"/>
              <w:left w:val="nil"/>
              <w:bottom w:val="nil"/>
              <w:right w:val="nil"/>
            </w:tcBorders>
          </w:tcPr>
          <w:p>
            <w:pPr>
              <w:pStyle w:val="Normal6a"/>
            </w:pPr>
            <w:r>
              <w:t>22.</w:t>
            </w:r>
            <w:r>
              <w:tab/>
            </w:r>
            <w:r>
              <w:t xml:space="preserve">εκφράζει την ικανοποίησή του για την πρώτη δικαστική απόφαση σχετικά με τη ρητορική μίσους κατά της κοινότητας ΛΟΑΤΚΙ, αλλά ζητεί επιτακτικά τη συστηματική δίωξη όλων των </w:t>
            </w:r>
            <w:r>
              <w:rPr>
                <w:b/>
                <w:i/>
              </w:rPr>
              <w:t>ειδών διακρίσεων, όλων των</w:t>
            </w:r>
            <w:r>
              <w:t xml:space="preserve"> περιπτώσεων ρητορικής μίσους, εγκλημάτων μίσους και εκφοβισμού·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καλεί τη Βόρεια Μακεδονία να ενισχύσει περαιτέρω τα θεμελιώδη δικαιώματα, συμπεριλαμβανομένων των δικαιωμάτων των ατόμων που ανήκουν σε μειονότητες ή κοινότητες, της ελευθερίας των μέσων ενημέρωσης και της ελευθερίας έκφρασης·</w:t>
            </w:r>
            <w:r>
              <w:t xml:space="preserve"> </w:t>
            </w:r>
            <w:r>
              <w:rPr>
                <w:b/>
                <w:i/>
              </w:rPr>
              <w:t>εκφράζει τη βαθιά του λύπη για τις συνεχιζόμενες βίαιες επιθέσεις και τον αντιβουλγαρικό δημόσιο λόγο και τη ρητορική μίσους κατά ατόμων που αυτοπροσδιορίζονται ως Βούλγαροι, ιδίως τις εμπρηστικές δηλώσεις κατά της Βουλγαρίας, του βουλγαρικού λαού και της βουλγαρικής πολιτικής ελίτ από κυβερνητικούς αξιωματούχους·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καλεί τη Βόρεια Μακεδονία να δώσει ολοκληρωμένη συνέχεια στη σύσταση γενικής πολιτικής αριθ. 15 της Ευρωπαϊκής Επιτροπής κατά του Ρατσισμού και της Μισαλλοδοξίας για την καταπολέμηση της ρητορικής μίσους και να λάβει πλήρως υπόψη τα πορίσματα και τις συστάσεις που διατυπώνονται στην έκθεσή της ECRI του Σεπτεμβρίου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ενθαρρύνει το Κοινοβούλιο να συγκροτήσει και να ενεργοποιήσει άμεσα μια διακομματική, διακοινοβουλευτική ομάδα ΛΟΑΤΚΙ + για τη στήριξη και την προώθηση των δικαιωμάτων των ΛΟΑΤΚΙ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22β.</w:t>
            </w:r>
            <w:r>
              <w:tab/>
            </w:r>
            <w:r>
              <w:rPr>
                <w:b/>
                <w:i/>
              </w:rPr>
              <w:t>παροτρύνει όλους τους πολιτικούς παράγοντες να τροποποιήσουν τον νόμο για το ληξιαρχείο και να διασφαλίσουν την ταχεία και απρόσκοπτη νομική αναγνώριση του φύλου με βάση την αυτοδιάθεση, να προασπίσουν τα ανθρώπινα δικαιώματα, να διασφαλίσουν την αξιοπρέπεια και να καθιερώσουν μια σαφή και προσβάσιμη νομική διαδικασία σύμφωνα με τα διεθνή πρότυπα·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22γ.</w:t>
            </w:r>
            <w:r>
              <w:tab/>
            </w:r>
            <w:r>
              <w:rPr>
                <w:b/>
                <w:i/>
              </w:rPr>
              <w:t>συνιστά ο νέος νόμος για την πρωτοβάθμια εκπαίδευση να διατηρεί σαφή προστασία κατά των διακρίσεων όσον αφορά το φύλο, τον γενετήσιο προσανατολισμό και την ταυτότητα φύλου, διασφαλίζοντας την ευθυγράμμιση με τις εθνικές και διεθνείς δεσμεύσεις·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καλεί τη Βόρεια Μακεδονία να ενισχύσει τη διαχείριση της μετανάστευσης, να βελτιώσει την ευθυγράμμιση με το κεκτημένο της ΕΕ και να αντιμετωπίσει τις επίμονες προκλήσεις στον χειρισμό της νόμιμης και της παράτυπης μετανάστευσης·</w:t>
            </w:r>
          </w:p>
        </w:tc>
        <w:tc>
          <w:tcPr>
            <w:tcW w:w="4876" w:type="dxa"/>
            <w:tcBorders>
              <w:top w:val="nil"/>
              <w:left w:val="nil"/>
              <w:bottom w:val="nil"/>
              <w:right w:val="nil"/>
            </w:tcBorders>
          </w:tcPr>
          <w:p>
            <w:pPr>
              <w:pStyle w:val="Normal6a"/>
            </w:pPr>
            <w:r>
              <w:t>23.</w:t>
            </w:r>
            <w:r>
              <w:tab/>
            </w:r>
            <w:r>
              <w:t xml:space="preserve">καλεί τη Βόρεια Μακεδονία να ενισχύσει τη διαχείριση της μετανάστευσης, να βελτιώσει την ευθυγράμμιση με το κεκτημένο της ΕΕ και να αντιμετωπίσει τις επίμονες προκλήσεις στον χειρισμό της νόμιμης και της παράτυπης μετανάστευσης· </w:t>
            </w:r>
            <w:r>
              <w:rPr>
                <w:b/>
                <w:i/>
              </w:rPr>
              <w:t>χαιρετίζει την πρόσφατη συμφωνία περί καθεστώτος με τον Frontex, η οποία ενισχύει τη συνεργασία για τη διαχείριση των συνόρων και ενισχύει την ικανότητα της χώρας να καταπολεμά την παράτυπη μετανάστευση, την εμπορία ανθρώπων και το οργανωμένο έγκλημα.</w:t>
            </w:r>
            <w:r>
              <w:t xml:space="preserve"> </w:t>
            </w:r>
            <w:r>
              <w:rPr>
                <w:b/>
                <w:i/>
              </w:rPr>
              <w:t>ενθαρρύνει τη συνεχή ανάπτυξη των διαδικασιών ασύλου, των συνθηκών υποδοχής και των πολιτικών ένταξης σε ευθυγράμμιση με τα πλαίσια της ΕΕ για τη μετανάστευση·</w:t>
            </w:r>
            <w:r>
              <w:t xml:space="preserve"> </w:t>
            </w:r>
            <w:r>
              <w:rPr>
                <w:b/>
                <w:i/>
              </w:rPr>
              <w:t>τονίζει τη σημασία της περιφερειακής συνεργασίας για τη διαχείριση της μετανάστευσης και ζητεί περαιτέρω στήριξη από την ΕΕ όσον αφορά τους πόρους, την τεχνική βοήθεια και την ανάπτυξη ικανοτήτων για την αποτελεσματική αντιμετώπιση των μεταναστευτικών προκλήσεων·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καλεί τη Βόρεια Μακεδονία να ενισχύσει τη διαχείριση της μετανάστευσης, να βελτιώσει την ευθυγράμμιση με το κεκτημένο της ΕΕ και να αντιμετωπίσει τις επίμονες προκλήσεις στον χειρισμό της νόμιμης και της παράτυπης μετανάστευσης·</w:t>
            </w:r>
          </w:p>
        </w:tc>
        <w:tc>
          <w:tcPr>
            <w:tcW w:w="4876" w:type="dxa"/>
            <w:tcBorders>
              <w:top w:val="nil"/>
              <w:left w:val="nil"/>
              <w:bottom w:val="nil"/>
              <w:right w:val="nil"/>
            </w:tcBorders>
          </w:tcPr>
          <w:p>
            <w:pPr>
              <w:pStyle w:val="Normal6a"/>
            </w:pPr>
            <w:r>
              <w:t>23.</w:t>
            </w:r>
            <w:r>
              <w:tab/>
            </w:r>
            <w:r>
              <w:t xml:space="preserve">καλεί τη Βόρεια Μακεδονία να ενισχύσει τη διαχείριση της μετανάστευσης, να βελτιώσει την ευθυγράμμιση με το κεκτημένο της ΕΕ και να αντιμετωπίσει τις επίμονες προκλήσεις στον χειρισμό της νόμιμης και της παράτυπης μετανάστευσης </w:t>
            </w:r>
            <w:r>
              <w:rPr>
                <w:b/>
                <w:i/>
              </w:rPr>
              <w:t>προασπίζοντας παράλληλα τα θεμελιώδη ανθρώπινα δικαιώματα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καλεί τη</w:t>
            </w:r>
            <w:r>
              <w:t xml:space="preserve"> Βόρεια Μακεδονία να ενισχύσει τη διαχείριση της μετανάστευσης, να βελτιώσει την ευθυγράμμιση με το κεκτημένο της ΕΕ και να αντιμετωπίσει τις επίμονες προκλήσεις στον χειρισμό της νόμιμης και της </w:t>
            </w:r>
            <w:r>
              <w:rPr>
                <w:b/>
                <w:i/>
              </w:rPr>
              <w:t>παράτυπης</w:t>
            </w:r>
            <w:r>
              <w:t xml:space="preserve"> μετανάστευσης·</w:t>
            </w:r>
          </w:p>
        </w:tc>
        <w:tc>
          <w:tcPr>
            <w:tcW w:w="4876" w:type="dxa"/>
            <w:tcBorders>
              <w:top w:val="nil"/>
              <w:left w:val="nil"/>
              <w:bottom w:val="nil"/>
              <w:right w:val="nil"/>
            </w:tcBorders>
          </w:tcPr>
          <w:p>
            <w:pPr>
              <w:pStyle w:val="Normal6a"/>
            </w:pPr>
            <w:r>
              <w:t>23.</w:t>
            </w:r>
            <w:r>
              <w:tab/>
            </w:r>
            <w:r>
              <w:rPr>
                <w:b/>
                <w:i/>
              </w:rPr>
              <w:t>επιμένει ότι η</w:t>
            </w:r>
            <w:r>
              <w:t xml:space="preserve"> Βόρεια Μακεδονία </w:t>
            </w:r>
            <w:r>
              <w:rPr>
                <w:b/>
                <w:i/>
              </w:rPr>
              <w:t>θα πρέπει</w:t>
            </w:r>
            <w:r>
              <w:t xml:space="preserve"> να ενισχύσει τη διαχείριση της μετανάστευσης, να βελτιώσει την ευθυγράμμιση με το κεκτημένο της ΕΕ και να αντιμετωπίσει τις επίμονες προκλήσεις στον χειρισμό της νόμιμης και της </w:t>
            </w:r>
            <w:r>
              <w:rPr>
                <w:b/>
                <w:i/>
              </w:rPr>
              <w:t>παράνομης</w:t>
            </w:r>
            <w:r>
              <w:t xml:space="preserve"> μετανάστευσης·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σημειώνει τη σημασία της συνεργασίας με την ΕΕ για την καταπολέμηση της εμπορίας ανθρώπων και της παράνομης διακίνησης μεταναστών μέσω της «βαλκανικής οδού»·</w:t>
            </w:r>
            <w:r>
              <w:t xml:space="preserve"> </w:t>
            </w:r>
            <w:r>
              <w:rPr>
                <w:b/>
                <w:i/>
              </w:rPr>
              <w:t>ζητεί την περαιτέρω ευθυγράμμιση του ποινικού κώδικα με το κεκτημένο της ΕΕ στον τομέα της εμπορίας ανθρώπων, ιδίως όσον αφορά τις ποινές για ορισμένα αδικήματα·</w:t>
            </w:r>
            <w:r>
              <w:t xml:space="preserve"> </w:t>
            </w:r>
            <w:r>
              <w:rPr>
                <w:b/>
                <w:i/>
              </w:rPr>
              <w:t>ζητεί την ενίσχυση των ικανοτήτων των υπηρεσιών επιβολής του νόμου προκειμένου να καταστεί δυνατή περαιτέρω η διεξαγωγή προληπτικών ερευνών·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ενθαρρύνει τη Βόρεια Μακεδονία να λάβει ουσιαστικά μέτρα για την αναγνώριση και την ενσωμάτωση των εθνικών μειονοτήτων στο σύνταγμά της, την προώθηση της συμμετοχικότητας, την προστασία της διαφορετικότητας και την ενίσχυση της κοινωνικής συνοχής σύμφωνα με τις ευρωπαϊκές αξίες και τις δημοκρατικές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καλεί τη Βόρεια Μακεδονία να παύσει να χορηγεί αυτομάτως ιθαγένεια για ειδικό οικονομικό συμφέρον σύμφωνα με νόμο που εγκρίθηκε το 2012·</w:t>
            </w:r>
            <w:r>
              <w:t xml:space="preserve"> </w:t>
            </w:r>
            <w:r>
              <w:rPr>
                <w:b/>
                <w:i/>
              </w:rPr>
              <w:t>υπενθυμίζει ότι οι διατάξεις του εν λόγω νόμου προκαλούν κινδύνους για την ασφάλεια και τη μετανάστευση·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23β.</w:t>
            </w:r>
            <w:r>
              <w:tab/>
            </w:r>
            <w:r>
              <w:rPr>
                <w:b/>
                <w:i/>
              </w:rPr>
              <w:t>υπογραμμίζει τον ρόλο του FRONTEX στη διαχείριση της μετανάστευσης·</w:t>
            </w:r>
            <w:r>
              <w:t xml:space="preserve"> </w:t>
            </w:r>
            <w:r>
              <w:rPr>
                <w:b/>
                <w:i/>
              </w:rPr>
              <w:t>σημειώνει ότι από τότε που ο FRONTEX άρχισε να λειτουργεί στα νότια σύνορα, η καταγραφή των συλληφθέντων παράνομων μεταναστών έχει βελτιωθεί σημαντικά.</w:t>
            </w:r>
            <w:r>
              <w:t xml:space="preserve"> </w:t>
            </w:r>
            <w:r>
              <w:rPr>
                <w:b/>
                <w:i/>
              </w:rPr>
              <w:t>Η καταπολέμηση της παράνομης διακίνησης μεταναστών πρέπει να ενισχυθεί με τη στόχευση μεμονωμένων μελών ομάδων παράνομης διακίνησης μεταναστών, μεταξύ άλλων μέσω της διεθνούς συνεργασίας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με σοβαρή ανησυχία ότι το ιστορικό επιδόσεων της χώρας στην καταπολέμηση της διαφθοράς έχει επιδεινωθεί, ιδίως λόγω των τροποποιήσεων του ποινικού κώδικα που έχουν αποδυναμώσει το νομικό πλαίσιο, με αποτέλεσμα τον τερματισμό πολλών εν εξελίξει υποθέσεων·</w:t>
            </w:r>
          </w:p>
        </w:tc>
        <w:tc>
          <w:tcPr>
            <w:tcW w:w="4876" w:type="dxa"/>
            <w:tcBorders>
              <w:top w:val="nil"/>
              <w:left w:val="nil"/>
              <w:bottom w:val="nil"/>
              <w:right w:val="nil"/>
            </w:tcBorders>
          </w:tcPr>
          <w:p>
            <w:pPr>
              <w:pStyle w:val="Normal6a"/>
            </w:pPr>
            <w:r>
              <w:t>24.</w:t>
            </w:r>
            <w:r>
              <w:tab/>
            </w:r>
            <w:r>
              <w:t xml:space="preserve">σημειώνει με σοβαρή ανησυχία ότι το ιστορικό επιδόσεων της χώρας στην καταπολέμηση της διαφθοράς έχει επιδεινωθεί, ιδίως λόγω των τροποποιήσεων του ποινικού κώδικα που έχουν αποδυναμώσει το νομικό πλαίσιο, με αποτέλεσμα τον τερματισμό πολλών εν εξελίξει υποθέσεων· </w:t>
            </w:r>
            <w:r>
              <w:rPr>
                <w:b/>
                <w:i/>
              </w:rPr>
              <w:t>ζητεί επιτακτικά να αναθεωρηθούν οι πρόσφατες τροποποιήσεις του ποινικού κώδικα σε σχέση με τα πρότυπα επιβολής ποινών και τις προθεσμίες παραγραφής, ώστε να διασφαλιστεί ότι δεν θα επηρεαστεί αρνητικά η δίωξη της διαφθοράς, ιδίως περίπλοκων και υψηλού επιπέδου υποθέσεων·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με σοβαρή ανησυχία ότι το ιστορικό επιδόσεων της χώρας στην καταπολέμηση της διαφθοράς έχει επιδεινωθεί, ιδίως λόγω των τροποποιήσεων του ποινικού κώδικα που έχουν αποδυναμώσει το νομικό πλαίσιο, με αποτέλεσμα τον τερματισμό πολλών εν εξελίξει υποθέσεων·</w:t>
            </w:r>
          </w:p>
        </w:tc>
        <w:tc>
          <w:tcPr>
            <w:tcW w:w="4876" w:type="dxa"/>
            <w:tcBorders>
              <w:top w:val="nil"/>
              <w:left w:val="nil"/>
              <w:bottom w:val="nil"/>
              <w:right w:val="nil"/>
            </w:tcBorders>
          </w:tcPr>
          <w:p>
            <w:pPr>
              <w:pStyle w:val="Normal6a"/>
            </w:pPr>
            <w:r>
              <w:t>24.</w:t>
            </w:r>
            <w:r>
              <w:tab/>
            </w:r>
            <w:r>
              <w:t>σημειώνει με σοβαρή ανησυχία ότι το ιστορικό επιδόσεων της χώρας στην καταπολέμηση της διαφθοράς</w:t>
            </w:r>
            <w:r>
              <w:rPr>
                <w:b/>
                <w:i/>
              </w:rPr>
              <w:t>, συμπεριλαμβανομένης της διαφθοράς σε υψηλό επίπεδο,</w:t>
            </w:r>
            <w:r>
              <w:t xml:space="preserve"> έχει επιδεινωθεί, ιδίως λόγω των τροποποιήσεων του ποινικού κώδικα που έχουν αποδυναμώσει το νομικό πλαίσιο, με αποτέλεσμα τον τερματισμό πολλών εν εξελίξει υποθέσεων· </w:t>
            </w:r>
            <w:r>
              <w:rPr>
                <w:b/>
                <w:i/>
              </w:rPr>
              <w:t>ζητεί την ενίσχυση του πλαισίου για την καταπολέμηση της διαφθοράς και τη διασφάλιση αποτελεσματικής λογοδοσίας, ιδίως σε υποθέσεις διαφθοράς υψηλού επιπέδου, μέσω κατάλληλης έρευνας, δίωξης και τελεσίδικων καταδικαστικών αποφάσεων·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εκφράζει την ανησυχία του για την κλιμάκωση της διαφθοράς στη Βόρεια Μακεδονία, όπως καταδεικνύεται από τη μείωση του Δείκτη Αντίληψης της Διαφθοράς (CPI) της Διεθνούς Διαφάνειας.</w:t>
            </w:r>
            <w:r>
              <w:t xml:space="preserve"> </w:t>
            </w:r>
            <w:r>
              <w:rPr>
                <w:b/>
                <w:i/>
              </w:rPr>
              <w:t>σημειώνει ότι το 2024 η βαθμολογία του CPI στη Βόρεια Μακεδονία μειώθηκε στο 40 το οποίο την κατατάσσει στην 88η θέση σε σύνολο 180 χωρών, σημειώνοντας μείωση από τη βαθμολογία της για το 2023 που ήταν 42 και την κατέτασσε στην 76η θέση.</w:t>
            </w:r>
            <w:r>
              <w:t xml:space="preserve"> </w:t>
            </w:r>
            <w:r>
              <w:rPr>
                <w:b/>
                <w:i/>
              </w:rPr>
              <w:t>επαναλαμβάνει ότι η μείωση αυτή υπογραμμίζει την επείγουσα ανάγκη για ολοκληρωμένες μεταρρυθμίσεις για την ενίσχυση της ανεξαρτησίας της δικαιοσύνης, την ενίσχυση της διαφάνειας και την καταπολέμηση της διαφθοράς υψηλού επιπέδου·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καταδικάζει τις νομοθετικές τροποποιήσεις που εισάγουν διακρίσεις στον νόμο για τα ιδρύματα και τις ενώσεις, οι οποίες επιβάλλουν περιορισμούς και ελέγχους στην ονομασία των ΜΚΟ, ανατρέποντας τη νομική καταχώριση των βουλγαρικών οργανώσεων της κοινωνίας των πολιτών·</w:t>
            </w:r>
            <w:r>
              <w:t xml:space="preserve"> </w:t>
            </w:r>
            <w:r>
              <w:rPr>
                <w:b/>
                <w:i/>
              </w:rPr>
              <w:t>υπενθυμίζει ότι οι τροποποιήσεις αυτές έχουν εφαρμοστεί αναδρομικά και για τις 17000 ήδη υφιστάμενες οργανώσεις και έχουν χρησιμοποιηθεί επιλεκτικά για το κλείσιμο των δύο ΜΚΟ βουλγαρικών πολιτιστικών κέντρων στη χώρα·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υπενθυμίζει ότι απαιτούνται επαρκείς οικονομικοί και ανθρώπινοι πόροι για την εξασφάλιση αποτελεσματικής και συνεκτικής εφαρμογής των μηχανισμών αποτροπής, πρόληψης, εντοπισμού, έρευνας και επιβολής κυρώσεων για δημόσιους λειτουργούς με τη λήψη ευρέων μέτρων που καλύπτουν τις συγκρούσεις συμφερόντων, τις ομάδες συμφερόντων, τους κώδικες δεοντολογίας και την προστασία των πληροφοριοδοτών δημοσίου συμφέροντος·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24β.</w:t>
            </w:r>
            <w:r>
              <w:tab/>
            </w:r>
            <w:r>
              <w:rPr>
                <w:b/>
                <w:i/>
              </w:rPr>
              <w:t>σημειώνει με ανησυχία τη μερική ευθυγράμμιση της Βόρειας Μακεδονίας με το κεκτημένο της ΕΕ στον τομέα της καταπολέμησης του οργανωμένου εγκλήματος·</w:t>
            </w:r>
            <w:r>
              <w:t xml:space="preserve"> </w:t>
            </w:r>
            <w:r>
              <w:rPr>
                <w:b/>
                <w:i/>
              </w:rPr>
              <w:t>επαναλαμβάνει την έκκλησή του για περαιτέρω ευθυγράμμιση με το κεκτημένο της ΕΕ και τη διεξαγωγή συστηματικών χρηματοοικονομικών ερευνών, γεγονός που ενισχύει τη δέσμευση, τη δήμευση και τη διαχείριση παρανόμως αποκτηθέντων περιουσιακών στοιχείων·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24β.</w:t>
            </w:r>
            <w:r>
              <w:tab/>
            </w:r>
            <w:r>
              <w:rPr>
                <w:b/>
                <w:i/>
              </w:rPr>
              <w:t>παροτρύνει τη Βόρεια Μακεδονία να εφαρμόσει τις συστάσεις για την αντιμετώπιση αυτών των παραβιάσεων ανθρωπίνων δικαιωμάτων που διατυπώνονται στην έκθεση της ECRI του 2023 για τη Βόρεια Μακεδονία·</w:t>
            </w:r>
            <w:r>
              <w:t xml:space="preserve"> </w:t>
            </w:r>
            <w:r>
              <w:rPr>
                <w:b/>
                <w:i/>
              </w:rPr>
              <w:t>καλεί τη Βόρεια Μακεδονία να μην ξεχνά τις νομοθετικές τροποποιήσεις και να προστατεύσει την ύπαρξη ενώσεων προσώπων που αυτοπροσδιορίζονται ως Βούλγαροι στη Βόρεια Μακεδονία·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σημειώνει ότι το αντιληπτό επίπεδο εμπιστοσύνης στο δικαστικό σώμα παραμένει πολύ χαμηλό· ζητεί να ενισχυθούν η ανεξαρτησία, η διαφάνεια και η αποτελεσματική λειτουργία των δικαστικών οργάνων·</w:t>
            </w:r>
          </w:p>
        </w:tc>
        <w:tc>
          <w:tcPr>
            <w:tcW w:w="4876" w:type="dxa"/>
            <w:tcBorders>
              <w:top w:val="nil"/>
              <w:left w:val="nil"/>
              <w:bottom w:val="nil"/>
              <w:right w:val="nil"/>
            </w:tcBorders>
          </w:tcPr>
          <w:p>
            <w:pPr>
              <w:pStyle w:val="Normal6a"/>
            </w:pPr>
            <w:r>
              <w:t>25.</w:t>
            </w:r>
            <w:r>
              <w:tab/>
            </w:r>
            <w:r>
              <w:t xml:space="preserve">σημειώνει ότι το αντιληπτό επίπεδο εμπιστοσύνης στο δικαστικό σώμα παραμένει πολύ χαμηλό </w:t>
            </w:r>
            <w:r>
              <w:rPr>
                <w:b/>
                <w:i/>
              </w:rPr>
              <w:t>και ότι απαιτούνται περαιτέρω προσπάθειες για την πρόληψη της αθέμιτης επιρροής και του εκφοβισμού·</w:t>
            </w:r>
            <w:r>
              <w:t xml:space="preserve"> </w:t>
            </w:r>
            <w:r>
              <w:rPr>
                <w:b/>
                <w:i/>
              </w:rPr>
              <w:t>ζητεί μετ’ επιτάσεως να αντιμετωπιστεί η κρίσιμη έλλειψη δικαστών και εισαγγελέων που επηρεάζει την ποιότητα και την αποτελεσματικότητα της δικαιοσύνης</w:t>
            </w:r>
            <w:r>
              <w:t>· ζητεί να ενισχυθούν η ανεξαρτησία, η διαφάνεια και η αποτελεσματική λειτουργία των δικαστικών οργάνων·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σημειώνει ότι το αντιληπτό επίπεδο εμπιστοσύνης στο δικαστικό σώμα παραμένει πολύ χαμηλό· ζητεί να ενισχυθούν η ανεξαρτησία, η διαφάνεια και η αποτελεσματική λειτουργία των δικαστικών οργάνων·</w:t>
            </w:r>
          </w:p>
        </w:tc>
        <w:tc>
          <w:tcPr>
            <w:tcW w:w="4876" w:type="dxa"/>
            <w:tcBorders>
              <w:top w:val="nil"/>
              <w:left w:val="nil"/>
              <w:bottom w:val="nil"/>
              <w:right w:val="nil"/>
            </w:tcBorders>
          </w:tcPr>
          <w:p>
            <w:pPr>
              <w:pStyle w:val="Normal6a"/>
            </w:pPr>
            <w:r>
              <w:t>25.</w:t>
            </w:r>
            <w:r>
              <w:tab/>
            </w:r>
            <w:r>
              <w:t xml:space="preserve">σημειώνει ότι το αντιληπτό επίπεδο εμπιστοσύνης στο δικαστικό σώμα παραμένει πολύ χαμηλό· ζητεί να ενισχυθούν η ανεξαρτησία, η διαφάνεια και η αποτελεσματική λειτουργία των δικαστικών οργάνων· </w:t>
            </w:r>
            <w:r>
              <w:rPr>
                <w:b/>
                <w:i/>
              </w:rPr>
              <w:t>συμπεριλαμβανομένων των διορισμών δικαστών και της λειτουργίας του Δικαστικού Συμβουλίου·</w:t>
            </w:r>
            <w:r>
              <w:t xml:space="preserve"> </w:t>
            </w:r>
            <w:r>
              <w:rPr>
                <w:b/>
                <w:i/>
              </w:rPr>
              <w:t>παροτρύνει όλα τα ενδιαφερόμενα μέρη να σεβαστούν πλήρως την ανεξαρτησία της δικαιοσύνης·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σημειώνει ότι το αντιληπτό επίπεδο εμπιστοσύνης στο δικαστικό σώμα παραμένει πολύ χαμηλό· ζητεί να ενισχυθούν η ανεξαρτησία, η διαφάνεια και η αποτελεσματική λειτουργία των δικαστικών οργάνων·</w:t>
            </w:r>
          </w:p>
        </w:tc>
        <w:tc>
          <w:tcPr>
            <w:tcW w:w="4876" w:type="dxa"/>
            <w:tcBorders>
              <w:top w:val="nil"/>
              <w:left w:val="nil"/>
              <w:bottom w:val="nil"/>
              <w:right w:val="nil"/>
            </w:tcBorders>
          </w:tcPr>
          <w:p>
            <w:pPr>
              <w:pStyle w:val="Normal6a"/>
            </w:pPr>
            <w:r>
              <w:t>25.</w:t>
            </w:r>
            <w:r>
              <w:tab/>
            </w:r>
            <w:r>
              <w:t xml:space="preserve">σημειώνει ότι το αντιληπτό επίπεδο εμπιστοσύνης στο δικαστικό σώμα παραμένει πολύ χαμηλό· ζητεί να ενισχυθούν η ανεξαρτησία, η διαφάνεια και η </w:t>
            </w:r>
            <w:r>
              <w:rPr>
                <w:b/>
                <w:i/>
              </w:rPr>
              <w:t>διάθεση των απαραίτητων κονδυλίων για την</w:t>
            </w:r>
            <w:r>
              <w:t xml:space="preserve"> αποτελεσματική λειτουργία των δικαστικών οργάνων·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επαινεί την πρόοδο που έχει σημειωθεί όσον αφορά την εφαρμογή των συστάσεων του γραφείου του διαμεσολαβητή και παροτρύνει τις αρχές να συνεχίσουν την πορεία αποτελεσματικής εφαρμογής των συστάσεών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ζητεί την ενίσχυση του Δικαστικού Συμβουλίου και του Συμβουλίου Εισαγγελέων, διασφαλίζοντας παράλληλα την ανεξαρτησία τους·</w:t>
            </w:r>
            <w:r>
              <w:t xml:space="preserve"> </w:t>
            </w:r>
            <w:r>
              <w:rPr>
                <w:b/>
                <w:i/>
              </w:rPr>
              <w:t>καλεί μετ’ επιτάσεως τους πολιτικούς παράγοντες να παύσουν να παρεμβαίνουν στους δικαστικούς θεσμούς·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σημειώνει με ανησυχία την έλλειψη προόδου όσον αφορά την πρόληψη και την καταπολέμηση της διαφθοράς και ότι οι χρηματοοικονομικές έρευνες </w:t>
            </w:r>
            <w:r>
              <w:rPr>
                <w:b/>
                <w:i/>
              </w:rPr>
              <w:t>εξακολουθούν να αποτελούν αδύνατο σημείο</w:t>
            </w:r>
            <w:r>
              <w:t xml:space="preserve">· ζητεί να ενισχυθεί η επιχειρησιακή ικανότητα και η συνεργασία των </w:t>
            </w:r>
            <w:r>
              <w:rPr>
                <w:b/>
                <w:i/>
              </w:rPr>
              <w:t>δομών</w:t>
            </w:r>
            <w:r>
              <w:t xml:space="preserve"> που είναι αρμόδιες για την καταπολέμηση του οργανωμένου εγκλήματος και του οικονομικού εγκλήματος·</w:t>
            </w:r>
          </w:p>
        </w:tc>
        <w:tc>
          <w:tcPr>
            <w:tcW w:w="4876" w:type="dxa"/>
            <w:tcBorders>
              <w:top w:val="nil"/>
              <w:left w:val="nil"/>
              <w:bottom w:val="nil"/>
              <w:right w:val="nil"/>
            </w:tcBorders>
          </w:tcPr>
          <w:p>
            <w:pPr>
              <w:pStyle w:val="Normal6a"/>
            </w:pPr>
            <w:r>
              <w:t>26.</w:t>
            </w:r>
            <w:r>
              <w:tab/>
            </w:r>
            <w:r>
              <w:t xml:space="preserve">σημειώνει με ανησυχία την έλλειψη προόδου όσον αφορά την πρόληψη και την καταπολέμηση της διαφθοράς και ότι οι χρηματοοικονομικές έρευνες </w:t>
            </w:r>
            <w:r>
              <w:rPr>
                <w:b/>
                <w:i/>
              </w:rPr>
              <w:t>παραμένουν προβληματικές</w:t>
            </w:r>
            <w:r>
              <w:t xml:space="preserve">· ζητεί να ενισχυθεί η επιχειρησιακή ικανότητα και η συνεργασία των </w:t>
            </w:r>
            <w:r>
              <w:rPr>
                <w:b/>
                <w:i/>
              </w:rPr>
              <w:t>υπηρεσιών</w:t>
            </w:r>
            <w:r>
              <w:t xml:space="preserve"> που είναι αρμόδιες για την καταπολέμηση του οργανωμένου εγκλήματος και του οικονομικού εγκλήματος· </w:t>
            </w:r>
            <w:r>
              <w:rPr>
                <w:b/>
                <w:i/>
              </w:rPr>
              <w:t>ενθαρρύνει τη βελτίωση της καταπολέμησης του οργανωμένου και οικονομικού εγκλήματος και του κυβερνοεγκλήματος μέσω μιας ενισχυμένης εταιρικής σχέσης με την Ευρωπόλ, το Ευρωπαϊκό Κέντρο για το Κυβερνοέγκλημα και τον Eurojust·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σημειώνει με ανησυχία την έλλειψη προόδου όσον αφορά την πρόληψη και την καταπολέμηση της διαφθοράς και ότι οι χρηματοοικονομικές έρευνες εξακολουθούν να αποτελούν αδύνατο σημείο· ζητεί να ενισχυθεί η επιχειρησιακή ικανότητα και η συνεργασία των δομών που είναι αρμόδιες για την καταπολέμηση του οργανωμένου εγκλήματος και του οικονομικού εγκλήματος·</w:t>
            </w:r>
          </w:p>
        </w:tc>
        <w:tc>
          <w:tcPr>
            <w:tcW w:w="4876" w:type="dxa"/>
            <w:tcBorders>
              <w:top w:val="nil"/>
              <w:left w:val="nil"/>
              <w:bottom w:val="nil"/>
              <w:right w:val="nil"/>
            </w:tcBorders>
          </w:tcPr>
          <w:p>
            <w:pPr>
              <w:pStyle w:val="Normal6a"/>
            </w:pPr>
            <w:r>
              <w:t>26.</w:t>
            </w:r>
            <w:r>
              <w:tab/>
            </w:r>
            <w:r>
              <w:t xml:space="preserve">σημειώνει με ανησυχία την έλλειψη προόδου όσον αφορά την πρόληψη και την καταπολέμηση της διαφθοράς και ότι οι χρηματοοικονομικές έρευνες εξακολουθούν να αποτελούν αδύνατο σημείο· </w:t>
            </w:r>
            <w:r>
              <w:rPr>
                <w:b/>
                <w:i/>
              </w:rPr>
              <w:t>υπογραμμίζει τον τρόπο με τον οποίο η διαφθορά εξακολουθεί να επηρεάζει σοβαρά κρίσιμους τομείς πολιτικής·</w:t>
            </w:r>
            <w:r>
              <w:t xml:space="preserve"> ζητεί να ενισχυθεί η επιχειρησιακή ικανότητα και η συνεργασία των δομών που είναι αρμόδιες για την καταπολέμηση του οργανωμένου εγκλήματος και του οικονομικού εγκλήματος·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σημειώνει με ανησυχία την έλλειψη προόδου όσον αφορά την πρόληψη και την καταπολέμηση της διαφθοράς και ότι οι χρηματοοικονομικές έρευνες εξακολουθούν να αποτελούν αδύνατο σημείο· ζητεί να ενισχυθεί η επιχειρησιακή ικανότητα και η συνεργασία των δομών που είναι αρμόδιες για την καταπολέμηση του οργανωμένου εγκλήματος και του οικονομικού εγκλήματος·</w:t>
            </w:r>
          </w:p>
        </w:tc>
        <w:tc>
          <w:tcPr>
            <w:tcW w:w="4876" w:type="dxa"/>
            <w:tcBorders>
              <w:top w:val="nil"/>
              <w:left w:val="nil"/>
              <w:bottom w:val="nil"/>
              <w:right w:val="nil"/>
            </w:tcBorders>
          </w:tcPr>
          <w:p>
            <w:pPr>
              <w:pStyle w:val="Normal6a"/>
            </w:pPr>
            <w:r>
              <w:t>26.</w:t>
            </w:r>
            <w:r>
              <w:tab/>
            </w:r>
            <w:r>
              <w:t xml:space="preserve">σημειώνει με ανησυχία την έλλειψη προόδου όσον αφορά την πρόληψη και την καταπολέμηση της διαφθοράς και ότι οι χρηματοοικονομικές έρευνες εξακολουθούν να αποτελούν αδύνατο σημείο· ζητεί να ενισχυθεί η επιχειρησιακή ικανότητα και η συνεργασία των δομών που είναι αρμόδιες για την καταπολέμηση του οργανωμένου εγκλήματος και του οικονομικού εγκλήματος· </w:t>
            </w:r>
            <w:r>
              <w:rPr>
                <w:b/>
                <w:i/>
              </w:rPr>
              <w:t>καλεί τη Βόρεια Μακεδονία να εντείνει τις προσπάθειές της για την καταπολέμηση της νομιμοποίησης εσόδων από παράνομες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σημειώνει με ανησυχία την έλλειψη προόδου όσον αφορά την πρόληψη και την καταπολέμηση της διαφθοράς και ότι οι χρηματοοικονομικές έρευνες εξακολουθούν να αποτελούν αδύνατο σημείο· ζητεί να ενισχυθεί η επιχειρησιακή ικανότητα και η συνεργασία των δομών που είναι αρμόδιες για την καταπολέμηση του οργανωμένου εγκλήματος και του οικονομικού εγκλήματος·</w:t>
            </w:r>
          </w:p>
        </w:tc>
        <w:tc>
          <w:tcPr>
            <w:tcW w:w="4876" w:type="dxa"/>
            <w:tcBorders>
              <w:top w:val="nil"/>
              <w:left w:val="nil"/>
              <w:bottom w:val="nil"/>
              <w:right w:val="nil"/>
            </w:tcBorders>
          </w:tcPr>
          <w:p>
            <w:pPr>
              <w:pStyle w:val="Normal6a"/>
            </w:pPr>
            <w:r>
              <w:t>26.</w:t>
            </w:r>
            <w:r>
              <w:tab/>
            </w:r>
            <w:r>
              <w:t>σημειώνει με ανησυχία την έλλειψη προόδου όσον αφορά την πρόληψη και την καταπολέμηση της διαφθοράς και ότι οι χρηματοοικονομικές έρευνες εξακολουθούν να αποτελούν αδύνατο σημείο· ζητεί να ενισχυθεί η επιχειρησιακή ικανότητα και η συνεργασία των δομών που είναι αρμόδιες για την καταπολέμηση του οργανωμένου εγκλήματος και του οικονομικού εγκλήματος</w:t>
            </w:r>
            <w:r>
              <w:rPr>
                <w:b/>
                <w:i/>
              </w:rPr>
              <w:t>, μεταξύ άλλων με την εξασφάλιση των απαραίτητων χρηματικών πόρων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σημειώνει με ανησυχία την έλλειψη προόδου όσον αφορά την πρόληψη και την καταπολέμηση της διαφθοράς και ότι οι χρηματοοικονομικές έρευνες εξακολουθούν να αποτελούν αδύνατο σημείο· ζητεί να ενισχυθεί η επιχειρησιακή ικανότητα και η συνεργασία των δομών που είναι αρμόδιες για την καταπολέμηση του οργανωμένου εγκλήματος και του οικονομικού εγκλήματος·</w:t>
            </w:r>
          </w:p>
        </w:tc>
        <w:tc>
          <w:tcPr>
            <w:tcW w:w="4876" w:type="dxa"/>
            <w:tcBorders>
              <w:top w:val="nil"/>
              <w:left w:val="nil"/>
              <w:bottom w:val="nil"/>
              <w:right w:val="nil"/>
            </w:tcBorders>
          </w:tcPr>
          <w:p>
            <w:pPr>
              <w:pStyle w:val="Normal6a"/>
            </w:pPr>
            <w:r>
              <w:t>26.</w:t>
            </w:r>
            <w:r>
              <w:tab/>
            </w:r>
            <w:r>
              <w:t xml:space="preserve">σημειώνει με ανησυχία την έλλειψη προόδου όσον αφορά την πρόληψη και την καταπολέμηση της διαφθοράς και ότι οι χρηματοοικονομικές έρευνες εξακολουθούν να αποτελούν αδύνατο σημείο· ζητεί να ενισχυθεί </w:t>
            </w:r>
            <w:r>
              <w:rPr>
                <w:b/>
                <w:i/>
              </w:rPr>
              <w:t>σημαντικά</w:t>
            </w:r>
            <w:r>
              <w:t xml:space="preserve"> η επιχειρησιακή ικανότητα και η συνεργασία των δομών που είναι αρμόδιες για την καταπολέμηση του οργανωμένου εγκλήματος και του οικονομικού εγκλήματος·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ζητεί να ληφθούν όλα τα αναγκαία μέτρα για την αποτελεσματική καταπολέμηση του οργανωμένου εγκλήματος·</w:t>
            </w:r>
            <w:r>
              <w:t xml:space="preserve"> </w:t>
            </w:r>
            <w:r>
              <w:rPr>
                <w:b/>
                <w:i/>
              </w:rPr>
              <w:t>παροτρύνει τις αρχές να βελτιώσουν τον συντονισμό μέσω του Εθνικού Κέντρου Συντονισμού για την Καταπολέμηση του Οργανωμένου Εγκλήματος, καθώς και να διαθέσουν τα αναγκαία κονδύλια και προσωπικό στο γραφείο της βασικής εισαγγελικής αρχής για το οργανωμένο έγκλημα και τη διαφθορά·</w:t>
            </w:r>
            <w:r>
              <w:t xml:space="preserve"> </w:t>
            </w:r>
            <w:r>
              <w:rPr>
                <w:b/>
                <w:i/>
              </w:rPr>
              <w:t>υπογραμμίζει την ανάγκη να δοθεί ιδιαίτερη προσοχή και πόροι στην αποκάλυψη συστημάτων νομιμοποίησης εσόδων από παράνομες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καλεί τη Βόρεια Μακεδονία να εντείνει τις προσπάθειές της για την καταπολέμηση της εμπορίας ανθρώπων, ιδίως με την περαιτέρω ευθυγράμμιση του ποινικού κώδικα με το κεκτημένο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26β.</w:t>
            </w:r>
            <w:r>
              <w:tab/>
            </w:r>
            <w:r>
              <w:rPr>
                <w:b/>
                <w:i/>
              </w:rPr>
              <w:t>καλεί τη Βόρεια Μακεδονία να ευθυγραμμίσει τη νομοθεσία της για τα ναρκωτικά με το κεκτημένο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ζητεί </w:t>
            </w:r>
            <w:r>
              <w:rPr>
                <w:b/>
                <w:i/>
              </w:rPr>
              <w:t>να ενισχυθεί η ανεξαρτησία</w:t>
            </w:r>
            <w:r>
              <w:t xml:space="preserve"> των υπηρεσιών ασφάλειας και πληροφοριών μέσω κατάλληλων ρυθμιστικών πλαισίων</w:t>
            </w:r>
            <w:r>
              <w:rPr>
                <w:b/>
                <w:i/>
              </w:rPr>
              <w:t>·</w:t>
            </w:r>
          </w:p>
        </w:tc>
        <w:tc>
          <w:tcPr>
            <w:tcW w:w="4876" w:type="dxa"/>
            <w:tcBorders>
              <w:top w:val="nil"/>
              <w:left w:val="nil"/>
              <w:bottom w:val="nil"/>
              <w:right w:val="nil"/>
            </w:tcBorders>
          </w:tcPr>
          <w:p>
            <w:pPr>
              <w:pStyle w:val="Normal6a"/>
            </w:pPr>
            <w:r>
              <w:t>27.</w:t>
            </w:r>
            <w:r>
              <w:tab/>
            </w:r>
            <w:r>
              <w:t xml:space="preserve">ζητεί </w:t>
            </w:r>
            <w:r>
              <w:rPr>
                <w:b/>
                <w:i/>
              </w:rPr>
              <w:t>την ενίσχυση της ανεξαρτησίας</w:t>
            </w:r>
            <w:r>
              <w:t xml:space="preserve"> των υπηρεσιών ασφάλειας και πληροφοριών μέσω </w:t>
            </w:r>
            <w:r>
              <w:rPr>
                <w:b/>
                <w:i/>
              </w:rPr>
              <w:t>της θέσπισης</w:t>
            </w:r>
            <w:r>
              <w:t xml:space="preserve"> κατάλληλων ρυθμιστικών πλαισίων</w:t>
            </w:r>
            <w:r>
              <w:rPr>
                <w:b/>
                <w:i/>
              </w:rPr>
              <w:t>, με παράλληλη ενίσχυση των μηχανισμών εποπτείας.</w:t>
            </w:r>
            <w:r>
              <w:t xml:space="preserve"> </w:t>
            </w:r>
            <w:r>
              <w:rPr>
                <w:b/>
                <w:i/>
              </w:rPr>
              <w:t>Η ενίσχυση των μηχανισμών εποπτείας αυξάνει την εμπιστοσύνη των πολιτών, μετριάζει τους κινδύνους κατάχρησης εξουσίας και διασφαλίζει ότι οι επιχειρήσεις ασφάλειας και πληροφοριών διεξάγονται με ακεραιότητα και σεβασμό των δημοκρατικών αρχών.</w:t>
            </w:r>
            <w:r>
              <w:t xml:space="preserve"> </w:t>
            </w:r>
            <w:r>
              <w:rPr>
                <w:b/>
                <w:i/>
              </w:rPr>
              <w:t>Αυτή η ολοκληρωμένη προσέγγιση όχι μόνο θα ενισχύσει την εθνική ασφάλεια, αλλά και θα διαφυλάξει τα δικαιώματα των πολιτών.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ζητεί να ενισχυθεί η ανεξαρτησία των υπηρεσιών ασφάλειας και πληροφοριών μέσω κατάλληλων ρυθμιστικών πλαισίων·</w:t>
            </w:r>
          </w:p>
        </w:tc>
        <w:tc>
          <w:tcPr>
            <w:tcW w:w="4876" w:type="dxa"/>
            <w:tcBorders>
              <w:top w:val="nil"/>
              <w:left w:val="nil"/>
              <w:bottom w:val="nil"/>
              <w:right w:val="nil"/>
            </w:tcBorders>
          </w:tcPr>
          <w:p>
            <w:pPr>
              <w:pStyle w:val="Normal6a"/>
            </w:pPr>
            <w:r>
              <w:t>27.</w:t>
            </w:r>
            <w:r>
              <w:tab/>
            </w:r>
            <w:r>
              <w:t xml:space="preserve">ζητεί να ενισχυθεί η </w:t>
            </w:r>
            <w:r>
              <w:rPr>
                <w:b/>
                <w:i/>
              </w:rPr>
              <w:t>ταχεία εφαρμογή των εν εξελίξει μεταρρυθμίσεων στους τομείς της ασφάλειας και των πληροφοριών και η</w:t>
            </w:r>
            <w:r>
              <w:t xml:space="preserve"> ανεξαρτησία των υπηρεσιών ασφάλειας και πληροφοριών μέσω κατάλληλων ρυθμιστικών πλαισίων· </w:t>
            </w:r>
            <w:r>
              <w:rPr>
                <w:b/>
                <w:i/>
              </w:rPr>
              <w:t>σημειώνει με ανησυχία ότι η Εθνική Υπηρεσία Ασφάλειας εξακολουθεί να βρίσκεται στις εγκαταστάσεις του Υπουργείου Εσωτερικών, θέτοντας υπό αμφισβήτηση το καθεστώς της ως ανεξάρτητου φορέα κρατικής διοίκησης·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ζητεί να ενισχυθεί η ανεξαρτησία των υπηρεσιών ασφάλειας και πληροφοριών μέσω κατάλληλων ρυθμιστικών πλαισίων·</w:t>
            </w:r>
          </w:p>
        </w:tc>
        <w:tc>
          <w:tcPr>
            <w:tcW w:w="4876" w:type="dxa"/>
            <w:tcBorders>
              <w:top w:val="nil"/>
              <w:left w:val="nil"/>
              <w:bottom w:val="nil"/>
              <w:right w:val="nil"/>
            </w:tcBorders>
          </w:tcPr>
          <w:p>
            <w:pPr>
              <w:pStyle w:val="Normal6a"/>
            </w:pPr>
            <w:r>
              <w:t>27.</w:t>
            </w:r>
            <w:r>
              <w:tab/>
            </w:r>
            <w:r>
              <w:t xml:space="preserve">ζητεί να ενισχυθεί η ανεξαρτησία </w:t>
            </w:r>
            <w:r>
              <w:rPr>
                <w:b/>
                <w:i/>
              </w:rPr>
              <w:t>και η δημοκρατική εποπτεία</w:t>
            </w:r>
            <w:r>
              <w:t xml:space="preserve"> των υπηρεσιών ασφάλειας και πληροφοριών μέσω κατάλληλων ρυθμιστικών πλαισίων·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p>
        </w:tc>
        <w:tc>
          <w:tcPr>
            <w:tcW w:w="4876" w:type="dxa"/>
            <w:tcBorders>
              <w:top w:val="nil"/>
              <w:left w:val="nil"/>
              <w:bottom w:val="nil"/>
              <w:right w:val="nil"/>
            </w:tcBorders>
          </w:tcPr>
          <w:p>
            <w:pPr>
              <w:pStyle w:val="Normal6a"/>
            </w:pPr>
            <w:r>
              <w:t>28.</w:t>
            </w:r>
            <w:r>
              <w:tab/>
            </w:r>
            <w:r>
              <w:t xml:space="preserve">ζητεί να καταβληθούν περαιτέρω προσπάθειες για την οικοδόμηση ανθεκτικότητας έναντι των εξωτερικών παρεμβάσεων και της χειραγώγησης των πληροφοριών· </w:t>
            </w:r>
            <w:r>
              <w:rPr>
                <w:b/>
                <w:i/>
              </w:rPr>
              <w:t>σημειώνει με ανησυχία ότι ξένοι παράγοντες, ιδίως από τη Ρωσία και την Κίνα, εξακολουθούν να ασκούν κακόβουλη επιρροή μέσω παραπληροφόρησης, υβριδικών απειλών και στρατηγικής διαφθοράς, μεταξύ άλλων μέσω αδιαφανών χρηματοοικονομικών ροών και πρακτικών εξαναγκαστικών επενδύσεων·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p>
        </w:tc>
        <w:tc>
          <w:tcPr>
            <w:tcW w:w="4876" w:type="dxa"/>
            <w:tcBorders>
              <w:top w:val="nil"/>
              <w:left w:val="nil"/>
              <w:bottom w:val="nil"/>
              <w:right w:val="nil"/>
            </w:tcBorders>
          </w:tcPr>
          <w:p>
            <w:pPr>
              <w:pStyle w:val="Normal6a"/>
            </w:pPr>
            <w:r>
              <w:t>28.</w:t>
            </w:r>
            <w:r>
              <w:tab/>
            </w:r>
            <w:r>
              <w:rPr>
                <w:b/>
                <w:i/>
              </w:rPr>
              <w:t>επαινεί την ισχυρή αποφασιστικότητα της Βόρειας Μακεδονίας να αντιμετωπίσει τις υβριδικές απειλές·</w:t>
            </w:r>
            <w:r>
              <w:t xml:space="preserve"> </w:t>
            </w:r>
            <w:r>
              <w:rPr>
                <w:b/>
                <w:i/>
              </w:rPr>
              <w:t>χαιρετίζει την πρωτοβουλία της κυβέρνησης να δημιουργήσει ένα εθνικό στρατηγικό πλαίσιο για την αντιμετώπιση της παραπληροφόρησης·</w:t>
            </w:r>
            <w:r>
              <w:t xml:space="preserve"> 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p>
        </w:tc>
        <w:tc>
          <w:tcPr>
            <w:tcW w:w="4876" w:type="dxa"/>
            <w:tcBorders>
              <w:top w:val="nil"/>
              <w:left w:val="nil"/>
              <w:bottom w:val="nil"/>
              <w:right w:val="nil"/>
            </w:tcBorders>
          </w:tcPr>
          <w:p>
            <w:pPr>
              <w:pStyle w:val="Normal6a"/>
            </w:pPr>
            <w:r>
              <w:t>28.</w:t>
            </w:r>
            <w:r>
              <w:tab/>
            </w:r>
            <w:r>
              <w:t xml:space="preserve">ζητεί να καταβληθούν περαιτέρω προσπάθειες για την οικοδόμηση ανθεκτικότητας έναντι των εξωτερικών παρεμβάσεων και της χειραγώγησης των πληροφοριών· </w:t>
            </w:r>
            <w:r>
              <w:rPr>
                <w:b/>
                <w:i/>
              </w:rPr>
              <w:t>εκφράζει την ανησυχία του για το δάνειο ύψους 500 εκατομμυρίων δολαρίων που χορήγησε η ουγγρική κυβέρνηση αμέσως μετά τη λήψη δανείου ύψους 1 δισεκατομμυρίων δολαρίων από την Κίνα·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p>
        </w:tc>
        <w:tc>
          <w:tcPr>
            <w:tcW w:w="4876" w:type="dxa"/>
            <w:tcBorders>
              <w:top w:val="nil"/>
              <w:left w:val="nil"/>
              <w:bottom w:val="nil"/>
              <w:right w:val="nil"/>
            </w:tcBorders>
          </w:tcPr>
          <w:p>
            <w:pPr>
              <w:pStyle w:val="Normal6a"/>
            </w:pPr>
            <w:r>
              <w:t>28.</w:t>
            </w:r>
            <w:r>
              <w:tab/>
            </w:r>
            <w:r>
              <w:t xml:space="preserve">ζητεί να καταβληθούν περαιτέρω προσπάθειες για την οικοδόμηση ανθεκτικότητας έναντι των εξωτερικών παρεμβάσεων και της χειραγώγησης των πληροφοριών· </w:t>
            </w:r>
            <w:r>
              <w:rPr>
                <w:b/>
                <w:i/>
              </w:rPr>
              <w:t>υπογραμμίζει την ανάγκη να καταβληθούν προσπάθειες για μια εθνική στρατηγική για την οικοδόμηση ανθεκτικότητας έναντι της παραπληροφόρησης ως απειλής για την ασφάλεια του κράτους·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p>
        </w:tc>
        <w:tc>
          <w:tcPr>
            <w:tcW w:w="4876" w:type="dxa"/>
            <w:tcBorders>
              <w:top w:val="nil"/>
              <w:left w:val="nil"/>
              <w:bottom w:val="nil"/>
              <w:right w:val="nil"/>
            </w:tcBorders>
          </w:tcPr>
          <w:p>
            <w:pPr>
              <w:pStyle w:val="Normal6a"/>
            </w:pPr>
            <w:r>
              <w:t>28.</w:t>
            </w:r>
            <w:r>
              <w:tab/>
            </w:r>
            <w:r>
              <w:t>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r>
              <w:rPr>
                <w:b/>
                <w:i/>
              </w:rPr>
              <w:t>, μεταξύ άλλων μέσω ενισχυμένων μέτρων κυβερνοασφάλειας και στρατηγικής επικοινωνίας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p>
        </w:tc>
        <w:tc>
          <w:tcPr>
            <w:tcW w:w="4876" w:type="dxa"/>
            <w:tcBorders>
              <w:top w:val="nil"/>
              <w:left w:val="nil"/>
              <w:bottom w:val="nil"/>
              <w:right w:val="nil"/>
            </w:tcBorders>
          </w:tcPr>
          <w:p>
            <w:pPr>
              <w:pStyle w:val="Normal6a"/>
            </w:pPr>
            <w:r>
              <w:t>28.</w:t>
            </w:r>
            <w:r>
              <w:tab/>
            </w:r>
            <w:r>
              <w:t>ζητεί να καταβληθούν περαιτέρω προσπάθειες για την οικοδόμηση ανθεκτικότητας έναντι των εξωτερικών παρεμβάσεων και της χειραγώγησης των πληροφοριών</w:t>
            </w:r>
            <w:r>
              <w:rPr>
                <w:b/>
                <w:i/>
              </w:rPr>
              <w:t>, μεταξύ άλλων μέσω νομοθετικών προτάσεων, εκπαίδευσης και γραμματισμού στα μέσα επικοινωνίας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εκφράζει τη βαθιά θλίψη και αλληλεγγύη του προς τον λαό της Βόρειας Μακεδονίας μετά την καταστροφική πυρκαγιά στo νυχτερινό κέντρο Pulse στο Κότσανι στις 16 Μαρτίου 2025, η οποία στοίχισε τη ζωή σε 59 ανθρώπους και προκάλεσε τραυματισμό περισσότερων από 150.</w:t>
            </w:r>
            <w:r>
              <w:t xml:space="preserve"> </w:t>
            </w:r>
            <w:r>
              <w:rPr>
                <w:b/>
                <w:i/>
              </w:rPr>
              <w:t>Το τραγικό αυτό γεγονός ανέδειξε κρίσιμα ζητήματα όσον αφορά τη δημόσια ασφάλεια και τη συμμόρφωση με τις κανονιστικές ρυθμίσεις.</w:t>
            </w:r>
            <w:r>
              <w:t xml:space="preserve"> </w:t>
            </w:r>
            <w:r>
              <w:rPr>
                <w:b/>
                <w:i/>
              </w:rPr>
              <w:t>Αναγνωρίζουμε τις ταχείες δράσεις που ανέλαβαν οι αρχές της Βόρειας Μακεδονίας, συμπεριλαμβανομένης της κράτησης ατόμων υπόπτων για διαφθορά και της έναρξης επιθεωρήσεων χώρων ψυχαγωγίας σε εθνικό επίπεδο, προκειμένου να διασφαλιστεί η τήρηση των προτύπων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σημειώνει με βαθιά θλίψη την τραγική πυρκαγιά σε νυχτερινό κέντρο στην πόλη Κότσανι που οδήγησε στον θάνατο περισσότερων από 50 νέων, ενώ περισσότεροι από 150 τραυματίστηκαν·</w:t>
            </w:r>
            <w:r>
              <w:t xml:space="preserve"> </w:t>
            </w:r>
            <w:r>
              <w:rPr>
                <w:b/>
                <w:i/>
              </w:rPr>
              <w:t>επαινεί την ταχεία χρήση του μηχανισμού πολιτικής προστασίας της ΕΕ και τη βοήθεια που παρείχαν τα κράτη μέλη για τη διάσωση όσο το δυνατόν περισσότερων ανθρώπινων ζωών·</w:t>
            </w:r>
            <w:r>
              <w:t xml:space="preserve"> </w:t>
            </w:r>
            <w:r>
              <w:rPr>
                <w:b/>
                <w:i/>
              </w:rPr>
              <w:t>καλεί τις μακεδονικές αρχές να προβούν σε όλες τις απαραίτητες έρευνες και διαδικασίες για την προσαγωγή των υπευθύνων στη δικαιοσύνη, καθώς και να επικαιροποιήσουν και να εφαρμόσουν διεξοδικά τη νομοθεσία για την πρόληψη παρόμοιων τραγωδιών και τη διασφάλιση της ασφάλειας των πολιτών.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εκφράζει τη βαθιά του ανησυχία για το γεγονός ότι η Βόρεια Μακεδονία και άλλες υποψήφιες προς ένταξη στην ΕΕ χώρες των Δυτικών Βαλκανίων πλήττονται ιδιαιτέρως σοβαρά από εξωτερικές παρεμβάσεις και εκστρατείες παραπληροφόρησης προερχόμενες από τη Ρωσία και την Κίνα·</w:t>
            </w:r>
            <w:r>
              <w:t xml:space="preserve"> </w:t>
            </w:r>
            <w:r>
              <w:rPr>
                <w:b/>
                <w:i/>
              </w:rPr>
              <w:t>δηλώνει θορυβημένο από το ρόλο της Ουγγαρίας και της Σερβίας στην προώθηση των γεωπολιτικών στόχων της Κίνας και της Ρωσίας·</w:t>
            </w:r>
            <w:r>
              <w:t xml:space="preserve"> </w:t>
            </w:r>
            <w:r>
              <w:rPr>
                <w:b/>
                <w:i/>
              </w:rPr>
              <w:t>στο πλαίσιο αυτό, σημειώνει τον κίνδυνο εξάρτησης από την Κίνα λόγω ασύμμετρων δανειακών συμβάσεων, καθώς και το πρόσφατο δάνειο από την Ουγγαρία, το οποίο προφανώς προέρχεται από την Κίνα·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σημειώνει ότι οι παράνομες χρηματοοικονομικές ροές από ρωσικές πηγές προς τη Βόρεια Μακεδονία, οι οποίες εκτιμάται ότι υπερβαίνουν συνολικά τα 6 δισεκατομμύρια δολάρια ΗΠΑ μεταξύ 2000 και 2022, έχουν συνδεθεί με προσπάθειες για τον σφετερισμό της πολιτικής επιρροής και της ιδιοκτησίας των μέσων ενημέρωσης, με σκοπό την υπονόμευση της δημοκρατικής διακυβέρνησης και της ένταξης στην ΕΕ·</w:t>
            </w:r>
            <w:r>
              <w:t xml:space="preserve"> </w:t>
            </w:r>
            <w:r>
              <w:rPr>
                <w:b/>
                <w:i/>
              </w:rPr>
              <w:t>παροτρύνει τις αρχές να ενισχύσουν την επιβολή της νομοθεσίας για την καταπολέμηση της νομιμοποίησης εσόδων από παράνομες δραστηριότητες και να ενισχύσουν τη διαφάνεια όσον αφορά τις ξένες δωρεές σε πολιτικά κόμματα, ΜΚΟ και μέσα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εκφράζει την ανησυχία του για τον ρόλο των μέσων ενημέρωσης που χρηματοδοτούνται από ουγγρικό δίκτυο τα οποία περιλαμβάνουν μεγάλα μέσα όπως το TV Alpha, οι δικτυακές πύλες «Republika», «Kurir», «Lider», «Denesen», «Ekonomki», «Vistina» και «Netpres»·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28β.</w:t>
            </w:r>
            <w:r>
              <w:tab/>
            </w:r>
            <w:r>
              <w:rPr>
                <w:b/>
                <w:i/>
              </w:rPr>
              <w:t>εκφράζει την ικανοποίησή του για την απέλαση 13 Ρώσων διπλωματών από τη Βόρεια Μακεδονία μεταξύ 2018 και 2023 λόγω εικαζόμενης ανατρεπτικής δραστηριότητας·</w:t>
            </w:r>
            <w:r>
              <w:t xml:space="preserve"> </w:t>
            </w:r>
            <w:r>
              <w:rPr>
                <w:b/>
                <w:i/>
              </w:rPr>
              <w:t>ενθαρρύνει τη χώρα να συνεχίσει να εφαρμόζει εργαλεία αντικατασκοπίας και δέουσας επιμέλειας για τον εντοπισμό αδήλωτων ξένων πρακτόρων που δραστηριοποιούνται μέσω διαύλων της διπλωματίας ή άσκησης ήπιας ισχύος·</w:t>
            </w:r>
            <w:r>
              <w:t xml:space="preserve"> </w:t>
            </w:r>
            <w:r>
              <w:rPr>
                <w:b/>
                <w:i/>
              </w:rPr>
              <w:t>συνιστά την έγκριση εθνικού ελέγχου ασφαλείας για διορισμούς υψηλού επιπέδου, ιδίως όταν πρόκειται για ευαίσθητες πληροφορίες ή στρατηγικούς τομείς πολιτικής·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συνιστά στη Βόρεια Μακεδονία να συνεχίσει να λαμβάνει μέτρα για τη βελτίωση του επιχειρηματικού κλίματος και των επιχειρηματικών υποδομών, την ενίσχυση της εκπαίδευσης και των ψηφιακών υποδομών και την ενίσχυση των συστημάτων κοινωνικής προστασίας·</w:t>
            </w:r>
          </w:p>
        </w:tc>
        <w:tc>
          <w:tcPr>
            <w:tcW w:w="4876" w:type="dxa"/>
            <w:tcBorders>
              <w:top w:val="nil"/>
              <w:left w:val="nil"/>
              <w:bottom w:val="nil"/>
              <w:right w:val="nil"/>
            </w:tcBorders>
          </w:tcPr>
          <w:p>
            <w:pPr>
              <w:pStyle w:val="Normal6a"/>
            </w:pPr>
            <w:r>
              <w:t>29.</w:t>
            </w:r>
            <w:r>
              <w:tab/>
            </w:r>
            <w:r>
              <w:t xml:space="preserve">συνιστά στη Βόρεια Μακεδονία να συνεχίσει να λαμβάνει μέτρα για τη βελτίωση του επιχειρηματικού κλίματος και των επιχειρηματικών υποδομών, την ενίσχυση της εκπαίδευσης και των ψηφιακών υποδομών και την ενίσχυση των συστημάτων κοινωνικής προστασίας· </w:t>
            </w:r>
            <w:r>
              <w:rPr>
                <w:b/>
                <w:i/>
              </w:rPr>
              <w:t>εκφράζει την ικανοποίησή του για προσθήκη μεταρρυθμίσεων που σχετίζονται με το ανθρώπινο κεφάλαιο στο θεματολόγιο μεταρρυθμίσεων του αναπτυξιακού σχεδίου και καλεί τη Βόρεια Μακεδονία να καταβάλει επαρκείς προσπάθειες για την εφαρμογή των εν λόγω μεταρρυθμίσεων για την επίτευξη βιώσιμων αποτελεσμάτων όσον αφορά την ανάπτυξη του ανθρώπινου κεφαλαίου για τα παιδιά και τους νέους, ως θεμέλιο των ανθεκτικών κοινωνιών και της βιώσιμης ανάπτυξης·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συνιστά στη Βόρεια Μακεδονία να συνεχίσει να λαμβάνει μέτρα για τη βελτίωση του επιχειρηματικού κλίματος και των επιχειρηματικών υποδομών, την ενίσχυση της εκπαίδευσης και των ψηφιακών υποδομών και την ενίσχυση των συστημάτων κοινωνικής προστασίας·</w:t>
            </w:r>
          </w:p>
        </w:tc>
        <w:tc>
          <w:tcPr>
            <w:tcW w:w="4876" w:type="dxa"/>
            <w:tcBorders>
              <w:top w:val="nil"/>
              <w:left w:val="nil"/>
              <w:bottom w:val="nil"/>
              <w:right w:val="nil"/>
            </w:tcBorders>
          </w:tcPr>
          <w:p>
            <w:pPr>
              <w:pStyle w:val="Normal6a"/>
            </w:pPr>
            <w:r>
              <w:t>29.</w:t>
            </w:r>
            <w:r>
              <w:tab/>
            </w:r>
            <w:r>
              <w:t xml:space="preserve">συνιστά στη Βόρεια Μακεδονία να συνεχίσει να λαμβάνει μέτρα για τη βελτίωση του επιχειρηματικού κλίματος και των επιχειρηματικών υποδομών, την ενίσχυση της εκπαίδευσης και των ψηφιακών υποδομών και την ενίσχυση των συστημάτων κοινωνικής προστασίας </w:t>
            </w:r>
            <w:r>
              <w:rPr>
                <w:b/>
                <w:i/>
              </w:rPr>
              <w:t>και της σύνδεσής τους με πρωτοβουλίες απασχόλησης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29α.</w:t>
            </w:r>
            <w:r>
              <w:tab/>
            </w:r>
            <w:r>
              <w:rPr>
                <w:b/>
                <w:i/>
              </w:rPr>
              <w:t>λαμβάνει υπόψη τη μακροπρόθεσμη βελτίωση των ποσοστών ανεργίας.</w:t>
            </w:r>
            <w:r>
              <w:t xml:space="preserve"> </w:t>
            </w:r>
            <w:r>
              <w:rPr>
                <w:b/>
                <w:i/>
              </w:rPr>
              <w:t>σημειώνει, ωστόσο, ότι αυτό πρέπει να συνοδεύεται από αύξηση των πραγματικών μισθών, βελτίωση των συνθηκών εργασίας και διασφάλιση των εργασιακών δικαιωμάτων, συμπεριλαμβανομένων των συνδικαλιστικών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29β.</w:t>
            </w:r>
            <w:r>
              <w:tab/>
            </w:r>
            <w:r>
              <w:rPr>
                <w:b/>
                <w:i/>
              </w:rPr>
              <w:t>ζητεί την πλήρη εφαρμογή του νόμου για την ειρηνική επίλυση των εργατικών διαφορών·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29γ.</w:t>
            </w:r>
            <w:r>
              <w:tab/>
            </w:r>
            <w:r>
              <w:rPr>
                <w:b/>
                <w:i/>
              </w:rPr>
              <w:t>ενθαρρύνει την εφαρμογή στρατηγικών ενεργοποίησης της αγοράς εργασίας για τους νέους, τους μακροχρόνια ανέργους και τα άτομα χαμηλής ειδίκευσης, καθώς και για τις γυναίκες, τα άτομα με αναπηρία και τους Ρομά, και την διασφάλιση ότι τα μέτρα αυτά αξιολογούνται δεόντως·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ενθαρρύνει τη Βόρεια Μακεδονία να προωθήσει τον ψηφιακό μετασχηματισμό της· υπογραμμίζει την ανάγκη να αντιμετωπιστεί η διαρροή εγκεφάλων, ιδίως </w:t>
            </w:r>
            <w:r>
              <w:rPr>
                <w:b/>
                <w:i/>
              </w:rPr>
              <w:t>των επαγγελματιών του</w:t>
            </w:r>
            <w:r>
              <w:t xml:space="preserve"> τομέα </w:t>
            </w:r>
            <w:r>
              <w:rPr>
                <w:b/>
                <w:i/>
              </w:rPr>
              <w:t>της υγείας και των νέων επαγγελματιών</w:t>
            </w:r>
            <w:r>
              <w:t>·</w:t>
            </w:r>
          </w:p>
        </w:tc>
        <w:tc>
          <w:tcPr>
            <w:tcW w:w="4876" w:type="dxa"/>
            <w:tcBorders>
              <w:top w:val="nil"/>
              <w:left w:val="nil"/>
              <w:bottom w:val="nil"/>
              <w:right w:val="nil"/>
            </w:tcBorders>
          </w:tcPr>
          <w:p>
            <w:pPr>
              <w:pStyle w:val="Normal6a"/>
            </w:pPr>
            <w:r>
              <w:t>30.</w:t>
            </w:r>
            <w:r>
              <w:tab/>
            </w:r>
            <w:r>
              <w:t xml:space="preserve">ενθαρρύνει τη Βόρεια Μακεδονία να προωθήσει τον ψηφιακό μετασχηματισμό της· </w:t>
            </w:r>
            <w:r>
              <w:rPr>
                <w:b/>
                <w:i/>
              </w:rPr>
              <w:t>αναγνωρίζει τις δημογραφικές προκλήσεις που αντιμετωπίζει η Βόρεια Μακεδονία, συμπεριλαμβανομένης της μείωσης του πληθυσμού, της μετανάστευσης νέων επαγγελματιών και της γήρανσης του εργατικού δυναμικού, και</w:t>
            </w:r>
            <w:r>
              <w:t xml:space="preserve"> υπογραμμίζει την ανάγκη να αντιμετωπιστεί η διαρροή εγκεφάλων, ιδίως </w:t>
            </w:r>
            <w:r>
              <w:rPr>
                <w:b/>
                <w:i/>
              </w:rPr>
              <w:t>στον ιατρικό, τεχνολογικό και εκπαιδευτικό</w:t>
            </w:r>
            <w:r>
              <w:t xml:space="preserve"> τομέα</w:t>
            </w:r>
            <w:r>
              <w:rPr>
                <w:b/>
                <w:i/>
              </w:rPr>
              <w:t>·</w:t>
            </w:r>
            <w:r>
              <w:t xml:space="preserve"> </w:t>
            </w:r>
            <w:r>
              <w:rPr>
                <w:b/>
                <w:i/>
              </w:rPr>
              <w:t>ζητεί την εφαρμογή στοχευμένων πολιτικών για την αντιστροφή της διαρροής εγκεφάλων, την ενίσχυση φιλικών προς την οικογένεια κοινωνικών πολιτικών και την παλιννόστηση·</w:t>
            </w:r>
            <w:r>
              <w:t xml:space="preserve"> </w:t>
            </w:r>
            <w:r>
              <w:rPr>
                <w:b/>
                <w:i/>
              </w:rPr>
              <w:t>ενθαρρύνει τη συνεργασία με την ΕΕ για στρατηγικές δημογραφικής ανθεκτικότητας, συμπεριλαμβανομένων των κινήτρων για την αγορά εργασίας, της στεγαστικής στήριξης για νέες οικογένειες και των επενδύσεων στην εκπαίδευση και την ανάπτυξη δεξιοτήτων, ώστε να ευθυγραμμιστούν με τις μελλοντικές ανάγκες της αγοράς εργασίας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ενθαρρύνει τη Βόρεια Μακεδονία να προωθήσει τον ψηφιακό μετασχηματισμό της· υπογραμμίζει την ανάγκη να αντιμετωπιστεί η διαρροή εγκεφάλων, ιδίως των επαγγελματιών του τομέα της υγείας και των νέων επαγγελματιών·</w:t>
            </w:r>
          </w:p>
        </w:tc>
        <w:tc>
          <w:tcPr>
            <w:tcW w:w="4876" w:type="dxa"/>
            <w:tcBorders>
              <w:top w:val="nil"/>
              <w:left w:val="nil"/>
              <w:bottom w:val="nil"/>
              <w:right w:val="nil"/>
            </w:tcBorders>
          </w:tcPr>
          <w:p>
            <w:pPr>
              <w:pStyle w:val="Normal6a"/>
            </w:pPr>
            <w:r>
              <w:t>30.</w:t>
            </w:r>
            <w:r>
              <w:tab/>
            </w:r>
            <w:r>
              <w:t>ενθαρρύνει τη Βόρεια Μακεδονία να προωθήσει τον ψηφιακό μετασχηματισμό της</w:t>
            </w:r>
            <w:r>
              <w:rPr>
                <w:b/>
                <w:i/>
              </w:rPr>
              <w:t>, ιδίως όσον αφορά τη βελτίωση των ψηφιακών δεξιοτήτων όλων των πολιτών και με την παροχή επιγραμμικής πρόσβασης σε δημόσιες υπηρεσίες</w:t>
            </w:r>
            <w:r>
              <w:t>· υπογραμμίζει την ανάγκη να αντιμετωπιστεί η διαρροή εγκεφάλων, ιδίως των επαγγελματιών του τομέα της υγείας και των νέων επαγγελματιών</w:t>
            </w:r>
            <w:r>
              <w:rPr>
                <w:b/>
                <w:i/>
              </w:rPr>
              <w:t>, ζητεί αυξημένη στήριξη για την καινοτομία και την ανταγωνιστικότητα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ενθαρρύνει τη Βόρεια Μακεδονία να προωθήσει τον ψηφιακό μετασχηματισμό της· υπογραμμίζει την ανάγκη να </w:t>
            </w:r>
            <w:r>
              <w:rPr>
                <w:b/>
                <w:i/>
              </w:rPr>
              <w:t>αντιμετωπιστεί η</w:t>
            </w:r>
            <w:r>
              <w:t xml:space="preserve"> διαρροή εγκεφάλων, ιδίως των επαγγελματιών του τομέα της υγείας και των νέων επαγγελματιών·</w:t>
            </w:r>
          </w:p>
        </w:tc>
        <w:tc>
          <w:tcPr>
            <w:tcW w:w="4876" w:type="dxa"/>
            <w:tcBorders>
              <w:top w:val="nil"/>
              <w:left w:val="nil"/>
              <w:bottom w:val="nil"/>
              <w:right w:val="nil"/>
            </w:tcBorders>
          </w:tcPr>
          <w:p>
            <w:pPr>
              <w:pStyle w:val="Normal6a"/>
            </w:pPr>
            <w:r>
              <w:t>30.</w:t>
            </w:r>
            <w:r>
              <w:tab/>
            </w:r>
            <w:r>
              <w:t xml:space="preserve">ενθαρρύνει τη Βόρεια Μακεδονία να προωθήσει τον ψηφιακό μετασχηματισμό της· υπογραμμίζει την ανάγκη να </w:t>
            </w:r>
            <w:r>
              <w:rPr>
                <w:b/>
                <w:i/>
              </w:rPr>
              <w:t>επικεντρωθεί στη</w:t>
            </w:r>
            <w:r>
              <w:t xml:space="preserve"> διαρροή εγκεφάλων, ιδίως των επαγγελματιών του τομέα της υγείας και των νέων επαγγελματιών·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προειδοποιεί ότι ορισμένες συμφωνίες ξένων επενδύσεων, ιδίως με κινεζικές εταιρείες συνδεδεμένες με το κράτος, έχουν συμπεριλάβει ρήτρες εξαναγκασμού και έχουν συνδεθεί με υποθέσεις διαφθοράς υψηλού επιπέδου·</w:t>
            </w:r>
            <w:r>
              <w:t xml:space="preserve"> </w:t>
            </w:r>
            <w:r>
              <w:rPr>
                <w:b/>
                <w:i/>
              </w:rPr>
              <w:t>υπενθυμίζει ότι μια συμφωνία κατασκευής αυτοκινητοδρόμων ύψους 580 εκατομμυρίων EUR που χρηματοδοτήθηκε από την κινεζική Exim Bank είχε ως αποτέλεσμα την απαγγελία κατηγοριών σε ανώτερους αξιωματούχους, συμπεριλαμβανομένου ενός πρώην πρωθυπουργού, για δωροδοκία·</w:t>
            </w:r>
            <w:r>
              <w:t xml:space="preserve"> </w:t>
            </w:r>
            <w:r>
              <w:rPr>
                <w:b/>
                <w:i/>
              </w:rPr>
              <w:t>ζητεί μεγαλύτερο έλεγχο των στρατηγικών ξένων επενδύσεων, ιδίως στους τομείς των υποδομών, της ενέργειας και των μέσων ενημέρωσης, προκειμένου να διασφαλιστεί η ευθυγράμμιση με τους κανόνες της ΕΕ και να αποφευχθεί η αθέμιτη πολιτική επιρροή·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Andrey Kovatchev, Davor Ivo Stier, Tomislav Sokol, 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εκφράζει ανησυχία για το δάνειο ύψους 500 εκατομμυρίων EUR από την ουγγρική κυβέρνηση, το οποίο αποτελεί μέρος δανείου ύψους 1 δισεκατομμυρίου EUR που έλαβε η Ουγγαρία από την Κίνα·</w:t>
            </w:r>
            <w:r>
              <w:t xml:space="preserve"> </w:t>
            </w:r>
            <w:r>
              <w:rPr>
                <w:b/>
                <w:i/>
              </w:rPr>
              <w:t>εκφράζει την ανησυχία του για την αυξανόμενη ευθυγράμμιση της Βόρειας Μακεδονίας με χώρες όπως η Κίνα, η Ουγγαρία, η Ρωσία και η Σερβία·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συγχαίρει τη Βόρεια Μακεδονία για την ένταξή της στον Ενιαίο Χώρο Πληρωμών σε Ευρώ (SEPA), αναγνωρίζοντας ότι αυτό αποτελεί σημαντικό βήμα προς τη βαθύτερη χρηματοπιστωτική ενοποίηση με την ευρωπαϊκή αγορά και τη διευκόλυνση ταχύτερων και αποτελεσματικότερων διασυνοριακών συναλλαγών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εκφράζει την ικανοποίησή του για τη θετική επίδραση των εγγυήσεων για τη νεολαία στη μείωση της ανεργίας των νέων·</w:t>
            </w:r>
            <w:r>
              <w:t xml:space="preserve"> </w:t>
            </w:r>
            <w:r>
              <w:rPr>
                <w:b/>
                <w:i/>
              </w:rPr>
              <w:t>καλεί τη Βόρεια Μακεδονία να εντείνει τις προσπάθειές της για τη μείωση του ποσοστού ανεργίας των νέων ηλικίας από 15 έως 24 ετών, το οποίο παραμένει υψηλό στο 29,3 %·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υπογραμμίζει την ανάγκη να αντιμετωπιστούν οι κοινωνικές προκλήσεις, να διασφαλιστούν ποιοτικές πολιτικές απασχόλησης, να προωθηθεί η ανοδική κοινωνική συνοχή και η σύγκλιση προς τα πρότυπα της Ένωσης και να υποστηριχθεί η πρόοδος προς την κατεύθυνση του ευρωπαϊκού πυλώνα κοινωνικών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επικροτεί τις εκκλήσεις για ταχεία ενσωμάτωση όλων των Δυτικών Βαλκανίων στην ψηφιακή ενιαία αγορά της ΕΕ πριν από την πραγματική προσχώρησή τους στην ΕΕ, το οποίο θα ωφελήσει σημαντικά τη δημιουργία ενός ψηφιακά ασφαλούς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30α.</w:t>
            </w:r>
            <w:r>
              <w:tab/>
            </w:r>
            <w:r>
              <w:rPr>
                <w:b/>
                <w:i/>
              </w:rPr>
              <w:t>παροτρύνει τη Βόρεια Μακεδονία να εισαγάγει διαρθρωτικές μεταρρυθμίσεις για την ενίσχυση της οικονομίας και τη διασφάλιση της βιωσιμότητας του χρέους της χώρας·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30β.</w:t>
            </w:r>
            <w:r>
              <w:tab/>
            </w:r>
            <w:r>
              <w:rPr>
                <w:b/>
                <w:i/>
              </w:rPr>
              <w:t>εκφράζει την ικανοποίησή του για τις προσπάθειες τροποποίησης του εργατικού δικαίου·</w:t>
            </w:r>
            <w:r>
              <w:t xml:space="preserve"> </w:t>
            </w:r>
            <w:r>
              <w:rPr>
                <w:b/>
                <w:i/>
              </w:rPr>
              <w:t>ζητεί την πλήρη ευθυγράμμιση του νόμου για τις εργασιακές σχέσεις με τις οδηγίες της ΕΕ για την αποτελεσματική διασφάλιση του δικαιώματος ίσης αμοιβής για όμοια εργασία, τη διασφάλιση της μισθολογικής διαφάνειας, την ενίσχυση της προστασίας από τις διακρίσεις λόγω εγκυμοσύνης και μητρότητας·</w:t>
            </w:r>
            <w:r>
              <w:t xml:space="preserve"> </w:t>
            </w:r>
            <w:r>
              <w:rPr>
                <w:b/>
                <w:i/>
              </w:rPr>
              <w:t>επιμένει στην ανάγκη να ενισχυθούν οι αρμοδιότητες και οι ικανότητες της κρατικής υπηρεσίας επιθεώρηση εργασίας για τη διασφάλιση της αποτελεσματικής προστασίας των δικαιωμάτων των εργαζομένων, συμπεριλαμβανομένων διασφαλίσεων κατά των εργασιακών διακρίσεων·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30γ.</w:t>
            </w:r>
            <w:r>
              <w:tab/>
            </w:r>
            <w:r>
              <w:rPr>
                <w:b/>
                <w:i/>
              </w:rPr>
              <w:t>παροτρύνει τις αρχές να εφαρμόσουν πλήρως τις υφιστάμενες νομικές διατάξεις για τη διασφάλιση της πρόσβασης σε υπηρεσίες πρωτοβάθμιας υγειονομικής περίθαλψης, με ιδιαίτερη έμφαση στη σεξουαλική και αναπαραγωγική υγεία των γυναικών, των μητέρων και των παιδιών, εξαλείφοντας τα εμπόδια που σχετίζονται με τη γεωγραφία, τα οικονομικά ή άλλα προβλήματα·</w:t>
            </w:r>
            <w:r>
              <w:t xml:space="preserve"> </w:t>
            </w:r>
            <w:r>
              <w:rPr>
                <w:b/>
                <w:i/>
              </w:rPr>
              <w:t>ζητεί τη λήψη στοχευμένων μέτρων για τη στήριξη ευάλωτων ομάδων γυναικών όσον αφορά την πρόσβαση σε υγειονομική περίθαλψη, συμπεριλαμβανομένων των γυναικών Ρομά, των γυναικών σε αγροτικές περιοχές και όσων ζουν σε συνθήκες φτώχειας·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30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30δ.</w:t>
            </w:r>
            <w:r>
              <w:tab/>
            </w:r>
            <w:r>
              <w:rPr>
                <w:b/>
                <w:i/>
              </w:rPr>
              <w:t>εκφράζει την ικανοποίησή του για την πρόοδο που έχει σημειωθεί στην εφαρμογή της στρατηγικής για τους Ρομά 2022-2030, εκφράζει, ωστόσο, τη λύπη του για το γεγονός ότι η στρατηγική στερείται σαφούς προσέγγισης όσον αφορά τη συμμετοχή, την ενδυνάμωση και την ανάπτυξη ικανοτήτων·</w:t>
            </w:r>
            <w:r>
              <w:t xml:space="preserve"> </w:t>
            </w:r>
            <w:r>
              <w:rPr>
                <w:b/>
                <w:i/>
              </w:rPr>
              <w:t>καλεί τις αρχές να εφαρμόσουν τα αντίστοιχα σχέδια δράσης, διασφαλίζοντας την κατάλληλη παρακολούθηση και την ουσιαστική και διαφανή συμμετοχή των οργανώσεων της κοινωνίας των πολιτών, ιδίως από την κοινότητα των Ρομά·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Περιβάλλον, ενέργεια και μεταφορές</w:t>
            </w:r>
          </w:p>
        </w:tc>
        <w:tc>
          <w:tcPr>
            <w:tcW w:w="4876" w:type="dxa"/>
            <w:tcBorders>
              <w:top w:val="nil"/>
              <w:left w:val="nil"/>
              <w:bottom w:val="nil"/>
              <w:right w:val="nil"/>
            </w:tcBorders>
          </w:tcPr>
          <w:p>
            <w:pPr>
              <w:pStyle w:val="Normal6a"/>
            </w:pPr>
            <w:r>
              <w:t xml:space="preserve">Περιβάλλον, </w:t>
            </w:r>
            <w:r>
              <w:rPr>
                <w:b/>
                <w:i/>
              </w:rPr>
              <w:t>βιοποικιλότητα,</w:t>
            </w:r>
            <w:r>
              <w:t xml:space="preserve"> ενέργεια και μεταφορές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υπενθυμίζει ότι απαιτούνται επιπλέον προσπάθειες για την επίτευξη των στόχων για την ενεργειακή απόδοση, τις ανανεώσιμες πηγές ενέργειας, την ασφάλεια του εφοδιασμού και τη μείωση των εκπομπών· ζητεί από τις αρχές της χώρας να ευθυγραμμίσουν τη νομοθεσία για το περιβάλλον και την κλιματική αλλαγή με το κεκτημένο της ΕΕ και να διασφαλίσουν την επιβολή της·</w:t>
            </w:r>
          </w:p>
        </w:tc>
        <w:tc>
          <w:tcPr>
            <w:tcW w:w="4876" w:type="dxa"/>
            <w:tcBorders>
              <w:top w:val="nil"/>
              <w:left w:val="nil"/>
              <w:bottom w:val="nil"/>
              <w:right w:val="nil"/>
            </w:tcBorders>
          </w:tcPr>
          <w:p>
            <w:pPr>
              <w:pStyle w:val="Normal6a"/>
            </w:pPr>
            <w:r>
              <w:t>31.</w:t>
            </w:r>
            <w:r>
              <w:tab/>
            </w:r>
            <w:r>
              <w:t xml:space="preserve">υπενθυμίζει ότι απαιτούνται επιπλέον προσπάθειες για την επίτευξη των στόχων για την ενεργειακή απόδοση, τις ανανεώσιμες πηγές ενέργειας, την ασφάλεια του εφοδιασμού και τη μείωση των εκπομπών· ζητεί από τις αρχές της χώρας να ευθυγραμμίσουν τη νομοθεσία για το περιβάλλον και την κλιματική αλλαγή με το κεκτημένο της ΕΕ και να διασφαλίσουν την επιβολή της· </w:t>
            </w:r>
            <w:r>
              <w:rPr>
                <w:b/>
                <w:i/>
              </w:rPr>
              <w:t>σημειώνει με ανησυχία την έλλειψη προόδου όσον αφορά τη δράση για το κλίμα και την εκκρεμούσα έγκριση βασικής νομοθεσίας·</w:t>
            </w:r>
            <w:r>
              <w:t xml:space="preserve"> </w:t>
            </w:r>
            <w:r>
              <w:rPr>
                <w:b/>
                <w:i/>
              </w:rPr>
              <w:t>τονίζει την ανάγκη ενσωμάτωσης της ισότητας των φύλων και της κοινωνικής ένταξης στον σχεδιασμό της δράσης για το κλίμα, ώστε να ζητείται ενεργά η γνώμη των γυναικών, των νοικοκυριών χαμηλού εισοδήματος και των περιθωριοποιημένων κοινοτήτων και να επωφελούνται ισότιμα από τη μετάβαση·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υπενθυμίζει ότι απαιτούνται επιπλέον προσπάθειες για την επίτευξη των στόχων για την ενεργειακή απόδοση, τις ανανεώσιμες πηγές ενέργειας, την ασφάλεια του εφοδιασμού και τη μείωση των εκπομπών· ζητεί από τις αρχές της χώρας να ευθυγραμμίσουν τη νομοθεσία για το περιβάλλον και την κλιματική αλλαγή με το κεκτημένο της ΕΕ και να διασφαλίσουν την επιβολή της·</w:t>
            </w:r>
          </w:p>
        </w:tc>
        <w:tc>
          <w:tcPr>
            <w:tcW w:w="4876" w:type="dxa"/>
            <w:tcBorders>
              <w:top w:val="nil"/>
              <w:left w:val="nil"/>
              <w:bottom w:val="nil"/>
              <w:right w:val="nil"/>
            </w:tcBorders>
          </w:tcPr>
          <w:p>
            <w:pPr>
              <w:pStyle w:val="Normal6a"/>
            </w:pPr>
            <w:r>
              <w:t>31.</w:t>
            </w:r>
            <w:r>
              <w:tab/>
            </w:r>
            <w:r>
              <w:rPr>
                <w:b/>
                <w:i/>
              </w:rPr>
              <w:t>χαιρετίζει την έγκριση του νόμου για την ενέργεια το 2024 και υπογραμμίζει τη σημασία του για τη διασφάλιση ασφαλούς, προστατευμένου και υψηλής ποιότητας ενεργειακού εφοδιασμού, καθώς και για τη δημιουργία ενός αποδοτικού, ανταγωνιστικού και οικονομικά βιώσιμου ενεργειακού τομέα·</w:t>
            </w:r>
            <w:r>
              <w:t xml:space="preserve"> </w:t>
            </w:r>
            <w:r>
              <w:rPr>
                <w:b/>
                <w:i/>
              </w:rPr>
              <w:t>ενθαρρύνει τις αρχές να συνεχίσουν αυτή τη φιλόδοξη πορεία και</w:t>
            </w:r>
            <w:r>
              <w:t xml:space="preserve"> υπενθυμίζει ότι απαιτούνται επιπλέον προσπάθειες για την </w:t>
            </w:r>
            <w:r>
              <w:rPr>
                <w:b/>
                <w:i/>
              </w:rPr>
              <w:t>πλήρη</w:t>
            </w:r>
            <w:r>
              <w:t xml:space="preserve"> επίτευξη των στόχων για την ενεργειακή απόδοση, τις ανανεώσιμες πηγές ενέργειας, την ασφάλεια του εφοδιασμού και τη μείωση των εκπομπών· ζητεί από τις αρχές της χώρας να ευθυγραμμίσουν τη νομοθεσία </w:t>
            </w:r>
            <w:r>
              <w:rPr>
                <w:b/>
                <w:i/>
              </w:rPr>
              <w:t>τους</w:t>
            </w:r>
            <w:r>
              <w:t xml:space="preserve"> για το περιβάλλον και την κλιματική αλλαγή με το κεκτημένο της ΕΕ και να διασφαλίσουν την επιβολή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31α.</w:t>
            </w:r>
            <w:r>
              <w:tab/>
            </w:r>
            <w:r>
              <w:rPr>
                <w:b/>
                <w:i/>
              </w:rPr>
              <w:t>σημειώνει με ανησυχία ότι η ποιότητα του αέρα και των υδάτων, καθώς και η διαχείριση των υγρών αποβλήτων, εξακολουθούν να αποτελούν ιδιαίτερα προβληματικά ζητήματα για τη χώρα·</w:t>
            </w:r>
            <w:r>
              <w:t xml:space="preserve"> </w:t>
            </w:r>
            <w:r>
              <w:rPr>
                <w:b/>
                <w:i/>
              </w:rPr>
              <w:t>καλεί την κεντρική κυβέρνηση και τις τοπικές αρχές να εντείνουν τις προσπάθειές τους για τη βελτίωση της ποιότητας του αέρα και τη μείωση της δυνητικά θανατηφόρου ρύπανσης·</w:t>
            </w:r>
            <w:r>
              <w:t xml:space="preserve"> </w:t>
            </w:r>
            <w:r>
              <w:rPr>
                <w:b/>
                <w:i/>
              </w:rPr>
              <w:t>υπενθυμίζει ότι η κατάσταση είναι ιδιαίτερα ανησυχητική στα Σκόπια, τα οποία αποτελούν σταθερά μία από τις πλέον μολυσμένες πόλεις στην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31α.</w:t>
            </w:r>
            <w:r>
              <w:tab/>
            </w:r>
            <w:r>
              <w:rPr>
                <w:b/>
                <w:i/>
              </w:rPr>
              <w:t>ζητεί εσπευσμένη και βιώσιμη πράσινη μετάβαση, με παράλληλη προστασία των κοινωνικά ευάλωτων, σύμφωνα με το πράσινο θεματολόγιο του 2020 και τη συμφωνία του Παρισιού·</w:t>
            </w:r>
            <w:r>
              <w:t xml:space="preserve"> </w:t>
            </w:r>
            <w:r>
              <w:rPr>
                <w:b/>
                <w:i/>
              </w:rPr>
              <w:t>τονίζει την ανάγκη να αντιμετωπιστεί το πρόβλημα της έλλειψης εξειδικευμένου προσωπικού και της ανεπαρκούς θεσμικής και διοικητικής ικανότητας το οποίο υπονομεύει τον ποιοτικό έλεγχο και την επαρκή απόδοση των εκτιμήσεων περιβαλλοντικών επιπτώσεων·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31α.</w:t>
            </w:r>
            <w:r>
              <w:tab/>
            </w:r>
            <w:r>
              <w:rPr>
                <w:b/>
                <w:i/>
              </w:rPr>
              <w:t>εκφράζει την ικανοποίησή του για τη συνεχιζόμενη χρηματοδοτική και τεχνική στήριξη της Ευρωπαϊκής Τράπεζας Επενδύσεων στη Βόρεια Μακεδονία, συμπεριλαμβανομένων στρατηγικών έργων υποδομής, όπως το Rail Corridor(σιδηροδρομικός άξονας) VIII, η μονάδα επεξεργασίας υγρών αποβλήτων των Σκοπίων και η ενίσχυση των δημοτικών υποδομών ύδρευσης·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31α.</w:t>
            </w:r>
            <w:r>
              <w:tab/>
            </w:r>
            <w:r>
              <w:rPr>
                <w:b/>
                <w:i/>
              </w:rPr>
              <w:t>εκφράζει την ικανοποίηση του για την υπογραφή του θεματολογίου μεταρρυθμίσεων και του πολυετούς προγράμματος εργασίας στο πλαίσιο της διευκόλυνση μεταρρυθμίσεων και ανάπτυξης για τη Βόρεια Μακεδονία, που θα παράσχουν στήριξη στις ΜΜΕ, μειώνοντας τη γραφειοκρατία και ψηφιοποιώντας το δημόσιο σύστημα.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31α.</w:t>
            </w:r>
            <w:r>
              <w:tab/>
            </w:r>
            <w:r>
              <w:rPr>
                <w:b/>
                <w:i/>
              </w:rPr>
              <w:t>ζητεί μια δίκαιη και χωρίς αποκλεισμούς μετάβαση με την κινητοποίηση δημόσιας και ιδιωτικής χρηματοδότησης για την πράσινη μετάβαση, την πλήρη αξιοποίηση ειδικών μηχανισμών χρηματοδότησης και τη μόχλευση ενωσιακής και διεθνούς στήριξης·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31α.</w:t>
            </w:r>
            <w:r>
              <w:tab/>
            </w:r>
            <w:r>
              <w:rPr>
                <w:b/>
                <w:i/>
              </w:rPr>
              <w:t>aναγνωρίζει το μεγάλο δυναμικό της Βόρειας Μακεδονίας ως περιφερειακού κόμβου όσον αφορά τη χρήση ανανεώσιμων πηγών ενέργειας·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31β.</w:t>
            </w:r>
            <w:r>
              <w:tab/>
            </w:r>
            <w:r>
              <w:rPr>
                <w:b/>
                <w:i/>
              </w:rPr>
              <w:t>εκφράζει την ικανοποίησή του για τα μέτρα που προβλέπονται στο θεματολόγιο μεταρρυθμίσεων όσον αφορά την ανάπτυξη ψηφιακών υποδομών και τον νέο νόμο για τις ηλεκτρονικές επικοινωνίες, ευθυγραμμίζοντας την εθνική νομοθεσία με το σχετικό κεκτημένο της ΕΕ που συμβαδίζει με την ψηφιακή μετάβαση παγκοσμίως.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31β.</w:t>
            </w:r>
            <w:r>
              <w:tab/>
            </w:r>
            <w:r>
              <w:rPr>
                <w:b/>
                <w:i/>
              </w:rPr>
              <w:t>παροτρύνει τη Βόρεια Μακεδονία να ευθυγραμμίσει πλήρως την εκτίμηση περιβαλλοντικών επιπτώσεων (ΕΠΕ) με το κεκτημένο της ΕΕ, με ιδιαίτερη έμφαση στο παράγωγο δίκαιο που αφορά μικρά υδροηλεκτρικά έργα·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τονίζει την επείγουσα ανάγκη </w:t>
            </w:r>
            <w:r>
              <w:rPr>
                <w:b/>
                <w:i/>
              </w:rPr>
              <w:t>βελτίωσης της ποιότητας του αέρα</w:t>
            </w:r>
            <w:r>
              <w:t xml:space="preserve">· καλεί επιτακτικά τις αρχές να εντείνουν τα μέτρα για τη βιοποικιλότητα, το νερό, τον αέρα, </w:t>
            </w:r>
            <w:r>
              <w:rPr>
                <w:b/>
                <w:i/>
              </w:rPr>
              <w:t>την προστασία του κλίματος</w:t>
            </w:r>
            <w:r>
              <w:t xml:space="preserve"> και τα περιφερειακά σχέδια διαχείρισης των αποβλήτων·</w:t>
            </w:r>
          </w:p>
        </w:tc>
        <w:tc>
          <w:tcPr>
            <w:tcW w:w="4876" w:type="dxa"/>
            <w:tcBorders>
              <w:top w:val="nil"/>
              <w:left w:val="nil"/>
              <w:bottom w:val="nil"/>
              <w:right w:val="nil"/>
            </w:tcBorders>
          </w:tcPr>
          <w:p>
            <w:pPr>
              <w:pStyle w:val="Normal6a"/>
            </w:pPr>
            <w:r>
              <w:t>32.</w:t>
            </w:r>
            <w:r>
              <w:tab/>
            </w:r>
            <w:r>
              <w:t xml:space="preserve">τονίζει την επείγουσα ανάγκη </w:t>
            </w:r>
            <w:r>
              <w:rPr>
                <w:b/>
                <w:i/>
              </w:rPr>
              <w:t>να δοθεί προτεραιότητα στην προστασία του περιβάλλοντος</w:t>
            </w:r>
            <w:r>
              <w:t xml:space="preserve">· καλεί επιτακτικά τις αρχές να </w:t>
            </w:r>
            <w:r>
              <w:rPr>
                <w:b/>
                <w:i/>
              </w:rPr>
              <w:t>εγκρίνουν την αναγκαία νομοθεσία να</w:t>
            </w:r>
            <w:r>
              <w:t xml:space="preserve"> εντείνουν τα μέτρα για τη βιοποικιλότητα, το νερό, τον αέρα, </w:t>
            </w:r>
            <w:r>
              <w:rPr>
                <w:b/>
                <w:i/>
              </w:rPr>
              <w:t>τις δράσεις για το κλίμα</w:t>
            </w:r>
            <w:r>
              <w:t xml:space="preserve"> και τα περιφερειακά σχέδια διαχείρισης των αποβλήτων</w:t>
            </w:r>
            <w:r>
              <w:rPr>
                <w:b/>
                <w:i/>
              </w:rPr>
              <w:t>, μεταξύ άλλων μέσω ολοκληρωμένων εκτιμήσεων επιπτώσεων, αυστηρής δίωξης του περιβαλλοντικού εγκλήματος και κατάλληλων δημόσιων διαβουλεύσεων, που επιτρέπουν την ουσιαστική και διαφανή συμμετοχή των τοπικών κοινοτήτων, των ΜΚΟ και των επιστημονικών ιδρυμάτων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32α.</w:t>
            </w:r>
            <w:r>
              <w:tab/>
            </w:r>
            <w:r>
              <w:rPr>
                <w:b/>
                <w:i/>
              </w:rPr>
              <w:t>καλεί τη Βόρεια Μακεδονία να θεσπίσει νομική προστασία για τις περιοχές που έχουν χαρακτηριστεί ως τόποι του δικτύου Emerald βάσει της σύμβασης για τη διατήρηση της άγριας ζωής και του φυσικού περιβάλλοντος της Ευρώπης (σύμβαση της Βέρνης), ώστε να προστατεύονται από περιβαλλοντικά επιβλαβή έργα·</w:t>
            </w:r>
            <w:r>
              <w:t xml:space="preserve"> </w:t>
            </w:r>
            <w:r>
              <w:rPr>
                <w:b/>
                <w:i/>
              </w:rPr>
              <w:t>ενθαρρύνει τη χώρα να επεκτείνει τις προστατευόμενες περιοχές της, ώστε να επιτύχει τους στόχους που θέτει το παγκόσμιο πλαίσιο για τη βιοποικιλότητα Κουνμίνγκ-Μόντρεαλ·</w:t>
            </w:r>
            <w:r>
              <w:t xml:space="preserve"> </w:t>
            </w:r>
            <w:r>
              <w:rPr>
                <w:b/>
                <w:i/>
              </w:rPr>
              <w:t>επαναλαμβάνει την επείγουσα ανάγκη να εγκριθεί ο νόμος για την επανακήρυξη του Mavrovo ως εθνικού πάρκου, προκειμένου να διασφαλιστεί η συνέχιση και η ολοκλήρωση των βασικών προσπαθειών διατήρησης·</w:t>
            </w:r>
            <w:r>
              <w:t xml:space="preserve"> </w:t>
            </w:r>
            <w:r>
              <w:rPr>
                <w:b/>
                <w:i/>
              </w:rPr>
              <w:t>ενθαρρύνει τη Βόρεια Μακεδονία να συμπεριλάβει τη Jablanica στον κατάλογο των προστατευόμενων περιοχών της, διασφαλίζοντας έτσι τη διατήρηση οικοτόπων ζωτικής σημασίας για την επιβίωση των ειδών·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32β.</w:t>
            </w:r>
            <w:r>
              <w:tab/>
            </w:r>
            <w:r>
              <w:rPr>
                <w:b/>
                <w:i/>
              </w:rPr>
              <w:t>ενθαρρύνει τις μακεδονικές αρχές να εφαρμόσουν αυστηρότερες στρατηγικές προστασίας και διαχείρισης για τους οικοτόπους των ειδών που απειλούνται με εξαφάνιση, καθώς και για τα ίδια τα είδη, ιδίως για τον βαλκανικό λύγκα, συμπεριλαμβανομένης της αυστηρής επιβολής κανόνων κατά των εγκλημάτων εις βάρος άγριων ειδών, ιδίως της παράνομης θανάτωσης και λαθροθηρίας, για τη διαφύλαξη της βιοποικιλότητας·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32γ.</w:t>
            </w:r>
            <w:r>
              <w:tab/>
            </w:r>
            <w:r>
              <w:rPr>
                <w:b/>
                <w:i/>
              </w:rPr>
              <w:t>εκφράζει την ικανοποίησή του για τη συνεχιζόμενη συνεργασία της Βόρειας Μακεδονίας με το Κόσοβο και την Αλβανία όσον αφορά το διασυνοριακό εθνικό πάρκο της οροσειράς Σαρ (Sharr Mountains)·</w:t>
            </w:r>
            <w:r>
              <w:t xml:space="preserve"> </w:t>
            </w:r>
            <w:r>
              <w:rPr>
                <w:b/>
                <w:i/>
              </w:rPr>
              <w:t>ενθαρρύνει τη Βόρεια Μακεδονία να εντείνει και να επιταχύνει τις προσπάθειες συνεργασίας με τις γειτονικές της χώρες για τον καθορισμό διασυνοριακών προστατευόμενων περιοχών και την κατάρτιση συνεκτικών διασυνοριακών σχεδίων διαχείρισης·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32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32δ.</w:t>
            </w:r>
            <w:r>
              <w:tab/>
            </w:r>
            <w:r>
              <w:rPr>
                <w:b/>
                <w:i/>
              </w:rPr>
              <w:t>τονίζει την ανάγκη αντιμετώπισης των οικονομικών προκλήσεων των εθνικών πάρκων για τη βελτίωση διαφόρων πτυχών, συμπεριλαμβανομένων των ανθρώπινων πόρων και της συνολικής διαχείρισης, με στόχο την ενίσχυση του ρόλου τους στη διατήρηση της βιοποικιλότητας, την παροχή ευκαιριών αναψυχής και τη στήριξη των τοπικών οικονομιών·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καλεί τις αρχές της χώρας να εντείνουν τις προσπάθειες για την αναβάθμιση των υποδομών μεταφορών και ενέργειας και της περιφερειακής συνδεσιμότητας και να αντιμετωπίσουν τις επίμονες καθυστερήσεις στην ανάπτυξη υποδομών ζωτικής σημασίας·</w:t>
            </w:r>
          </w:p>
        </w:tc>
        <w:tc>
          <w:tcPr>
            <w:tcW w:w="4876" w:type="dxa"/>
            <w:tcBorders>
              <w:top w:val="nil"/>
              <w:left w:val="nil"/>
              <w:bottom w:val="nil"/>
              <w:right w:val="nil"/>
            </w:tcBorders>
          </w:tcPr>
          <w:p>
            <w:pPr>
              <w:pStyle w:val="Normal6a"/>
            </w:pPr>
            <w:r>
              <w:t>33.</w:t>
            </w:r>
            <w:r>
              <w:tab/>
            </w:r>
            <w:r>
              <w:t xml:space="preserve">καλεί τις αρχές της χώρας να εντείνουν τις προσπάθειες για την αναβάθμιση των υποδομών μεταφορών και ενέργειας και της περιφερειακής συνδεσιμότητας και να αντιμετωπίσουν τις επίμονες καθυστερήσεις στην ανάπτυξη υποδομών ζωτικής σημασίας· </w:t>
            </w:r>
            <w:r>
              <w:rPr>
                <w:b/>
                <w:i/>
              </w:rPr>
              <w:t>ζητεί να ενταθούν οι προσπάθειες για την επιτάχυνση της ανάπτυξης του Rail Corridor VIII (σιδηροδρομικού άξονα VIII) για την ενίσχυση της περιφερειακής συνδεσιμότητας και της οικονομικής ολοκλήρωσης·</w:t>
            </w:r>
            <w:r>
              <w:t xml:space="preserve"> </w:t>
            </w:r>
            <w:r>
              <w:rPr>
                <w:b/>
                <w:i/>
              </w:rPr>
              <w:t>ζητεί να ληφθούν άμεσα μέτρα για την επανέναρξη των εργασιών για τη φάση ΙΙΙ του Corridor VIII (άξονα VIII), από την Kriva Palanka έως τα βουλγαρικά σύνορα, η οποία διακόπηκε από τις αρχές της Βόρειας Μακεδονίας·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καλεί τις αρχές της </w:t>
            </w:r>
            <w:r>
              <w:rPr>
                <w:b/>
                <w:i/>
              </w:rPr>
              <w:t>χώρας</w:t>
            </w:r>
            <w:r>
              <w:t xml:space="preserve"> να εντείνουν τις προσπάθειες για την αναβάθμιση των υποδομών μεταφορών και ενέργειας </w:t>
            </w:r>
            <w:r>
              <w:rPr>
                <w:b/>
                <w:i/>
              </w:rPr>
              <w:t>και της περιφερειακής συνδεσιμότητας</w:t>
            </w:r>
            <w:r>
              <w:t xml:space="preserve"> και να αντιμετωπίσουν τις επίμονες καθυστερήσεις στην ανάπτυξη υποδομών ζωτικής σημασίας·</w:t>
            </w:r>
          </w:p>
        </w:tc>
        <w:tc>
          <w:tcPr>
            <w:tcW w:w="4876" w:type="dxa"/>
            <w:tcBorders>
              <w:top w:val="nil"/>
              <w:left w:val="nil"/>
              <w:bottom w:val="nil"/>
              <w:right w:val="nil"/>
            </w:tcBorders>
          </w:tcPr>
          <w:p>
            <w:pPr>
              <w:pStyle w:val="Normal6a"/>
            </w:pPr>
            <w:r>
              <w:t>33.</w:t>
            </w:r>
            <w:r>
              <w:tab/>
            </w:r>
            <w:r>
              <w:rPr>
                <w:b/>
                <w:i/>
              </w:rPr>
              <w:t>εκφράζει την ικανοποίησή του για την πρόοδο που έχει σημειωθεί στην κατασκευή του άξονα VIII (Corridor VIII) του διευρωπαϊκού δικτύου μεταφορών (ΔΕΔ-Μ)·</w:t>
            </w:r>
            <w:r>
              <w:t xml:space="preserve"> καλεί</w:t>
            </w:r>
            <w:r>
              <w:rPr>
                <w:b/>
                <w:i/>
              </w:rPr>
              <w:t>, ωστόσο,</w:t>
            </w:r>
            <w:r>
              <w:t xml:space="preserve"> τις αρχές της </w:t>
            </w:r>
            <w:r>
              <w:rPr>
                <w:b/>
                <w:i/>
              </w:rPr>
              <w:t>Βόρειας Μακεδονίας</w:t>
            </w:r>
            <w:r>
              <w:t xml:space="preserve"> να εντείνουν τις προσπάθειες για την αναβάθμιση των υποδομών μεταφορών και ενέργειας</w:t>
            </w:r>
            <w:r>
              <w:rPr>
                <w:b/>
                <w:i/>
              </w:rPr>
              <w:t>, την ενσωμάτωση στο ευρωπαϊκό δίκτυο και την περιφερειακή συνδεσιμότητα</w:t>
            </w:r>
            <w:r>
              <w:t xml:space="preserve"> και να αντιμετωπίσουν τις επίμονες καθυστερήσεις στην ανάπτυξη υποδομών ζωτικής σημασίας </w:t>
            </w:r>
            <w:r>
              <w:rPr>
                <w:b/>
                <w:i/>
              </w:rPr>
              <w:t>μεταξύ άλλων μέσω διμερών διαπραγματεύσεων</w:t>
            </w:r>
            <w:r>
              <w:t xml:space="preserve">· </w:t>
            </w:r>
            <w:r>
              <w:rPr>
                <w:b/>
                <w:i/>
              </w:rPr>
              <w:t>καλεί την Ευρωπαϊκή Επιτροπή να συνδράμει στις προσπάθειες αυτές όπου χρειάζεται.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καλεί τις αρχές της χώρας να εντείνουν τις </w:t>
            </w:r>
            <w:r>
              <w:rPr>
                <w:b/>
                <w:i/>
              </w:rPr>
              <w:t>προσπάθειες</w:t>
            </w:r>
            <w:r>
              <w:t xml:space="preserve"> για την αναβάθμιση των υποδομών μεταφορών και ενέργειας και της περιφερειακής συνδεσιμότητας και να αντιμετωπίσουν τις επίμονες καθυστερήσεις στην ανάπτυξη υποδομών ζωτικής σημασίας·</w:t>
            </w:r>
          </w:p>
        </w:tc>
        <w:tc>
          <w:tcPr>
            <w:tcW w:w="4876" w:type="dxa"/>
            <w:tcBorders>
              <w:top w:val="nil"/>
              <w:left w:val="nil"/>
              <w:bottom w:val="nil"/>
              <w:right w:val="nil"/>
            </w:tcBorders>
          </w:tcPr>
          <w:p>
            <w:pPr>
              <w:pStyle w:val="Normal6a"/>
            </w:pPr>
            <w:r>
              <w:t>33.</w:t>
            </w:r>
            <w:r>
              <w:tab/>
            </w:r>
            <w:r>
              <w:t xml:space="preserve">καλεί τις αρχές της χώρας να εντείνουν τις </w:t>
            </w:r>
            <w:r>
              <w:rPr>
                <w:b/>
                <w:i/>
              </w:rPr>
              <w:t>προσπάθειές τους</w:t>
            </w:r>
            <w:r>
              <w:t xml:space="preserve"> για την αναβάθμιση των υποδομών μεταφορών και ενέργειας και της περιφερειακής συνδεσιμότητας</w:t>
            </w:r>
            <w:r>
              <w:rPr>
                <w:b/>
                <w:i/>
              </w:rPr>
              <w:t>, καθώς</w:t>
            </w:r>
            <w:r>
              <w:t xml:space="preserve"> και να αντιμετωπίσουν τις επίμονες καθυστερήσεις στην ανάπτυξη υποδομών ζωτικής σημασίας· </w:t>
            </w:r>
            <w:r>
              <w:rPr>
                <w:b/>
                <w:i/>
              </w:rPr>
              <w:t>επικροτεί την ολοκλήρωση του αυτοκινητοδρόμου «Kriva Palanka — Dlabochica — Stracin Expressway» και τονίζει την καίρια σημασία περαιτέρω πρωτοβουλιών, όπως ο «Western Balkans - Eastern Mediterranean Rail Corridor VIII» (σιδηροδρομικός άξονας VIII «Δυτικά Βαλκάνια — Ανατολική Μεσόγειος») για την προώθηση της περιφερειακής συνδεσιμότητας·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καλεί τις αρχές της χώρας να εντείνουν τις προσπάθειες για </w:t>
            </w:r>
            <w:r>
              <w:rPr>
                <w:b/>
                <w:i/>
              </w:rPr>
              <w:t>την αναβάθμιση των υποδομών</w:t>
            </w:r>
            <w:r>
              <w:t xml:space="preserve"> μεταφορών και ενέργειας και της περιφερειακής συνδεσιμότητας και να αντιμετωπίσουν τις επίμονες καθυστερήσεις στην ανάπτυξη υποδομών ζωτικής σημασίας·</w:t>
            </w:r>
          </w:p>
        </w:tc>
        <w:tc>
          <w:tcPr>
            <w:tcW w:w="4876" w:type="dxa"/>
            <w:tcBorders>
              <w:top w:val="nil"/>
              <w:left w:val="nil"/>
              <w:bottom w:val="nil"/>
              <w:right w:val="nil"/>
            </w:tcBorders>
          </w:tcPr>
          <w:p>
            <w:pPr>
              <w:pStyle w:val="Normal6a"/>
            </w:pPr>
            <w:r>
              <w:t>33.</w:t>
            </w:r>
            <w:r>
              <w:tab/>
            </w:r>
            <w:r>
              <w:t xml:space="preserve">καλεί τις αρχές της χώρας να εντείνουν τις προσπάθειες για </w:t>
            </w:r>
            <w:r>
              <w:rPr>
                <w:b/>
                <w:i/>
              </w:rPr>
              <w:t>να δοθεί προτεραιότητα στις βιώσιμες υποδομές</w:t>
            </w:r>
            <w:r>
              <w:t xml:space="preserve"> μεταφορών και ενέργειας και της περιφερειακής συνδεσιμότητας και να αντιμετωπίσουν τις επίμονες καθυστερήσεις στην ανάπτυξη υποδομών ζωτικής σημασίας·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33α.</w:t>
            </w:r>
            <w:r>
              <w:tab/>
            </w:r>
            <w:r>
              <w:rPr>
                <w:b/>
                <w:i/>
              </w:rPr>
              <w:t>εκφράζει τη λύπη του για την περιορισμένη πρόοδο από τη Βουλγαρία και τη Βόρεια Μακεδονία όσον αφορά την ανάπτυξη του σιδηροδρομικού άξονα VIII·</w:t>
            </w:r>
            <w:r>
              <w:t xml:space="preserve"> </w:t>
            </w:r>
            <w:r>
              <w:rPr>
                <w:b/>
                <w:i/>
              </w:rPr>
              <w:t>ζητεί να καταβληθούν πρόσθετες προσπάθειες για την επιτάχυνση της προόδου σε όλα τα τμήματα προτεραιότητας του κεντρικού δικτύου, τόσο του σιδηροδρομικού όσο και του οδικού, καθώς και για τη δημιουργία νέων σημείων διέλευσης των συνόρων με γειτονικές χώρες και για την επαναλειτουργία ήδη υφιστάμενων·</w:t>
            </w:r>
            <w:r>
              <w:t xml:space="preserve"> </w:t>
            </w:r>
            <w:r>
              <w:rPr>
                <w:b/>
                <w:i/>
              </w:rPr>
              <w:t>σημειώνει ότι η προτίμηση του άξονα X, που συνδέει τη χώρα με τη Σερβία, εις βάρος της λειτουργίας του άξονα VIII, ο οποίος συνδέει τη χώρα με την Αλβανία και τη Βουλγαρία, είναι αντιπαραγωγική για τις σχέσεις καλής γειτονίας και ενέχει τον κίνδυνο υπονόμευσης της συλλογικής ασφάλειας του ΝΑΤΟ·</w:t>
            </w:r>
            <w:r>
              <w:t xml:space="preserve"> </w:t>
            </w:r>
            <w:r>
              <w:rPr>
                <w:b/>
                <w:i/>
              </w:rPr>
              <w:t>σημειώνει τη στρατηγική σημασία του άξονα VIII για τη γεωστρατηγική αυτονομία της ΕΕ και του ΝΑΤΟ ο οποίος χρησιμεύει ως βασική διαδρομή της εφοδιαστικής κατά μήκος της νότιας πτέρυγας του ΝΑΤΟ·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χαιρετίζει την πολύτιμη συμβολή της Βόρειας Μακεδονίας στην περιφερειακή συνεργασία και σταθερότητα μέσω της συμμετοχής της σε περιφερειακές πρωτοβουλίες·</w:t>
            </w:r>
          </w:p>
        </w:tc>
        <w:tc>
          <w:tcPr>
            <w:tcW w:w="4876" w:type="dxa"/>
            <w:tcBorders>
              <w:top w:val="nil"/>
              <w:left w:val="nil"/>
              <w:bottom w:val="nil"/>
              <w:right w:val="nil"/>
            </w:tcBorders>
          </w:tcPr>
          <w:p>
            <w:pPr>
              <w:pStyle w:val="Normal6a"/>
            </w:pPr>
            <w:r>
              <w:t>34.</w:t>
            </w:r>
            <w:r>
              <w:tab/>
            </w:r>
            <w:r>
              <w:t xml:space="preserve">χαιρετίζει την πολύτιμη συμβολή της Βόρειας Μακεδονίας στην περιφερειακή συνεργασία και σταθερότητα μέσω της συμμετοχής της σε περιφερειακές πρωτοβουλίες· </w:t>
            </w:r>
            <w:r>
              <w:rPr>
                <w:b/>
                <w:i/>
              </w:rPr>
              <w:t>αναγνωρίζει τη συμμετοχή της Βόρειας Μακεδονίας στο ΝΑΤΟ ως σημαντική συμβολή στην περιφερειακή ασφάλεια και στην ευρωατλαντική σταθερότητα·</w:t>
            </w:r>
            <w:r>
              <w:t xml:space="preserve"> </w:t>
            </w:r>
            <w:r>
              <w:rPr>
                <w:b/>
                <w:i/>
              </w:rPr>
              <w:t>αναγνωρίζει την ενεργό συμμετοχή της χώρας στις αποστολές του ΝΑΤΟ και τον στρατηγικό της ρόλο στην προώθηση της ειρήνης και της συνεργασίας στα Δυτικά Βαλκάνια·</w:t>
            </w:r>
            <w:r>
              <w:t xml:space="preserve"> </w:t>
            </w:r>
            <w:r>
              <w:rPr>
                <w:b/>
                <w:i/>
              </w:rPr>
              <w:t>επισημαίνει ότι η συμμετοχή στο ΝΑΤΟ ενισχύει τις αμυντικές δυνατότητες της Βόρειας Μακεδονίας, ενισχύει τον συντονισμό της ασφάλειας με τους συμμάχους της ΕΕ και του ΝΑΤΟ και λειτουργεί αποτρεπτικά έναντι των εξωτερικών προσπαθειών αποσταθεροποίησης·</w:t>
            </w:r>
            <w:r>
              <w:t xml:space="preserve"> </w:t>
            </w:r>
            <w:r>
              <w:rPr>
                <w:b/>
                <w:i/>
              </w:rPr>
              <w:t>ενθαρρύνει τη συνέχιση των επενδύσεων στον εκσυγχρονισμό της άμυνας και την ευθυγράμμιση με τις στρατηγικές προτεραιότητες του ΝΑΤΟ για την περαιτέρω εδραίωση του ρόλου του ως αξιόπιστου εταίρου στον τομέα της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χαιρετίζει</w:t>
            </w:r>
            <w:r>
              <w:t xml:space="preserve"> την πολύτιμη συμβολή της Βόρειας Μακεδονίας στην περιφερειακή συνεργασία και σταθερότητα μέσω της συμμετοχής της σε περιφερειακές πρωτοβουλίες·</w:t>
            </w:r>
          </w:p>
        </w:tc>
        <w:tc>
          <w:tcPr>
            <w:tcW w:w="4876" w:type="dxa"/>
            <w:tcBorders>
              <w:top w:val="nil"/>
              <w:left w:val="nil"/>
              <w:bottom w:val="nil"/>
              <w:right w:val="nil"/>
            </w:tcBorders>
          </w:tcPr>
          <w:p>
            <w:pPr>
              <w:pStyle w:val="Normal6a"/>
            </w:pPr>
            <w:r>
              <w:t>34.</w:t>
            </w:r>
            <w:r>
              <w:tab/>
            </w:r>
            <w:r>
              <w:rPr>
                <w:b/>
                <w:i/>
              </w:rPr>
              <w:t>λαμβάνει υπόψη</w:t>
            </w:r>
            <w:r>
              <w:t xml:space="preserve"> την πολύτιμη συμβολή της Βόρειας Μακεδονίας στην περιφερειακή συνεργασία και σταθερότητα μέσω της συμμετοχής της σε περιφερειακές πρωτοβουλίες· </w:t>
            </w:r>
            <w:r>
              <w:rPr>
                <w:b/>
                <w:i/>
              </w:rPr>
              <w:t>αναγνωρίζει την πρόοδο που έχει σημειωθεί, αποδεχόμενο παράλληλα ότι απαιτούνται περαιτέρω προσπάθειες για την πλήρη αξιοποίηση του δυναμικού αυτών των πρωτοβουλιών, συμπεριλαμβανομένης των ανάπτυξης του τομέα των υποδομών με γειτονικές χώρες, για την περιφερειακή ανάπτυξη και συνεργασία.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χαιρετίζει την πολύτιμη συμβολή της Βόρειας Μακεδονίας στην περιφερειακή συνεργασία και σταθερότητα μέσω της συμμετοχής της σε περιφερειακές πρωτοβουλίες·</w:t>
            </w:r>
          </w:p>
        </w:tc>
        <w:tc>
          <w:tcPr>
            <w:tcW w:w="4876" w:type="dxa"/>
            <w:tcBorders>
              <w:top w:val="nil"/>
              <w:left w:val="nil"/>
              <w:bottom w:val="nil"/>
              <w:right w:val="nil"/>
            </w:tcBorders>
          </w:tcPr>
          <w:p>
            <w:pPr>
              <w:pStyle w:val="Normal6a"/>
            </w:pPr>
            <w:r>
              <w:t>34.</w:t>
            </w:r>
            <w:r>
              <w:tab/>
            </w:r>
            <w:r>
              <w:t xml:space="preserve">χαιρετίζει την πολύτιμη συμβολή της Βόρειας Μακεδονίας στην περιφερειακή συνεργασία και σταθερότητα μέσω της συμμετοχής της σε περιφερειακές </w:t>
            </w:r>
            <w:r>
              <w:rPr>
                <w:b/>
                <w:i/>
              </w:rPr>
              <w:t>οικονομικές και διπλωματικές</w:t>
            </w:r>
            <w:r>
              <w:t xml:space="preserve"> πρωτοβουλίες· </w:t>
            </w:r>
            <w:r>
              <w:rPr>
                <w:b/>
                <w:i/>
              </w:rPr>
              <w:t>σημειώνει τη συμβολή της Βόρειας Μακεδονίας στις αποστολές της KFOR του ΝΑΤΟ στο Κόσοβο από το 1999, η οποία έχει συμβάλει στην περιφερειακή σταθερότητα των δυτικών Βαλκανίων·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χαιρετίζει την πολύτιμη συμβολή της Βόρειας Μακεδονίας στην περιφερειακή συνεργασία και σταθερότητα μέσω της συμμετοχής της σε περιφερειακές πρωτοβουλίες·</w:t>
            </w:r>
          </w:p>
        </w:tc>
        <w:tc>
          <w:tcPr>
            <w:tcW w:w="4876" w:type="dxa"/>
            <w:tcBorders>
              <w:top w:val="nil"/>
              <w:left w:val="nil"/>
              <w:bottom w:val="nil"/>
              <w:right w:val="nil"/>
            </w:tcBorders>
          </w:tcPr>
          <w:p>
            <w:pPr>
              <w:pStyle w:val="Normal6a"/>
            </w:pPr>
            <w:r>
              <w:t>34.</w:t>
            </w:r>
            <w:r>
              <w:tab/>
            </w:r>
            <w:r>
              <w:t>χαιρετίζει την πολύτιμη συμβολή της Βόρειας Μακεδονίας στην περιφερειακή συνεργασία και σταθερότητα μέσω της συμμετοχής της σε περιφερειακές πρωτοβουλίες</w:t>
            </w:r>
            <w:r>
              <w:rPr>
                <w:b/>
                <w:i/>
              </w:rPr>
              <w:t>, όπως η διαδικασία του Βερολίνου, το σχέδιο ανάπτυξης για τα Δυτικά Βαλκάνια και η εφαρμογή των συμφωνιών για την κοινή περιφερειακή αγορά, υπογραμμίζοντας τη σημασία της συμμετοχικότητάς της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χαιρετίζει την πολύτιμη συμβολή της Βόρειας Μακεδονίας στην περιφερειακή συνεργασία και σταθερότητα μέσω της συμμετοχής της σε περιφερειακές πρωτοβουλίες·</w:t>
            </w:r>
          </w:p>
        </w:tc>
        <w:tc>
          <w:tcPr>
            <w:tcW w:w="4876" w:type="dxa"/>
            <w:tcBorders>
              <w:top w:val="nil"/>
              <w:left w:val="nil"/>
              <w:bottom w:val="nil"/>
              <w:right w:val="nil"/>
            </w:tcBorders>
          </w:tcPr>
          <w:p>
            <w:pPr>
              <w:pStyle w:val="Normal6a"/>
            </w:pPr>
            <w:r>
              <w:t>34.</w:t>
            </w:r>
            <w:r>
              <w:tab/>
            </w:r>
            <w:r>
              <w:t xml:space="preserve">χαιρετίζει την πολύτιμη </w:t>
            </w:r>
            <w:r>
              <w:rPr>
                <w:b/>
                <w:i/>
              </w:rPr>
              <w:t>και σημαντική</w:t>
            </w:r>
            <w:r>
              <w:t xml:space="preserve"> συμβολή της Βόρειας Μακεδονίας στην περιφερειακή συνεργασία και σταθερότητα μέσω της </w:t>
            </w:r>
            <w:r>
              <w:rPr>
                <w:b/>
                <w:i/>
              </w:rPr>
              <w:t>δέσμευσης και της ενεργού</w:t>
            </w:r>
            <w:r>
              <w:t xml:space="preserve"> συμμετοχής της σε περιφερειακές πρωτοβουλίες </w:t>
            </w:r>
            <w:r>
              <w:rPr>
                <w:b/>
                <w:i/>
              </w:rPr>
              <w:t>που αποσκοπούν στην προώθηση του πολιτικού διαλόγου, της οικονομικής ολοκλήρωσης και της συνεργασίας στον τομέα της ασφάλειας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χαιρετίζει την πολύτιμη συμβολή της Βόρειας Μακεδονίας στην περιφερειακή συνεργασία και σταθερότητα μέσω</w:t>
            </w:r>
            <w:r>
              <w:t xml:space="preserve"> της συμμετοχής </w:t>
            </w:r>
            <w:r>
              <w:rPr>
                <w:b/>
                <w:i/>
              </w:rPr>
              <w:t>της</w:t>
            </w:r>
            <w:r>
              <w:t xml:space="preserve"> σε περιφερειακές πρωτοβουλίες·</w:t>
            </w:r>
          </w:p>
        </w:tc>
        <w:tc>
          <w:tcPr>
            <w:tcW w:w="4876" w:type="dxa"/>
            <w:tcBorders>
              <w:top w:val="nil"/>
              <w:left w:val="nil"/>
              <w:bottom w:val="nil"/>
              <w:right w:val="nil"/>
            </w:tcBorders>
          </w:tcPr>
          <w:p>
            <w:pPr>
              <w:pStyle w:val="Normal6a"/>
            </w:pPr>
            <w:r>
              <w:t>34.</w:t>
            </w:r>
            <w:r>
              <w:tab/>
            </w:r>
            <w:r>
              <w:rPr>
                <w:b/>
                <w:i/>
              </w:rPr>
              <w:t>σημειώνει τη σημασία</w:t>
            </w:r>
            <w:r>
              <w:t xml:space="preserve"> της συμμετοχής </w:t>
            </w:r>
            <w:r>
              <w:rPr>
                <w:b/>
                <w:i/>
              </w:rPr>
              <w:t>όλων των κρατών των Βαλκανίων, όπως και των Σκοπίων,</w:t>
            </w:r>
            <w:r>
              <w:t xml:space="preserve"> σε περιφερειακές πρωτοβουλίες </w:t>
            </w:r>
            <w:r>
              <w:rPr>
                <w:b/>
                <w:i/>
              </w:rPr>
              <w:t>σταθερότητας και συνεργασίας σε θέματα όπως το περιβάλλον και οι μεταφορές</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Andrey Kovatchev, Sunčana Glavak, Davor Ivo Stier, Tomislav Sokol, 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34α.</w:t>
            </w:r>
            <w:r>
              <w:tab/>
            </w:r>
            <w:r>
              <w:rPr>
                <w:b/>
                <w:i/>
              </w:rPr>
              <w:t>εκφράζει τη βαθιά του ανησυχία για το λεγόμενο σχέδιο «Serbian world» (σερβικός κόσμος) και για το γεγονός ότι εκπρόσωποι της κυβέρνησης της Βόρειας Μακεδονίας υποστηρίζουν ανοιχτά, προωθούν και εργάζονται για την εφαρμογή αυτής της έννοιας·</w:t>
            </w:r>
            <w:r>
              <w:t xml:space="preserve"> </w:t>
            </w:r>
            <w:r>
              <w:rPr>
                <w:b/>
                <w:i/>
              </w:rPr>
              <w:t>καταδικάζει, σε αυτό το πλαίσιο, το γεγονός ότι τον Ιανουάριο του 2025 πραγματοποιήθηκε στα Σκόπια συνάντηση για την προώθηση της ιδέας αυτής ανήμερα της γιορτής του Οσίου Σάββα, παρουσία κυβερνητικών αξιωματούχων της Σερβίας, της Σερβικής Δημοκρατίας της Βοσνίας και Ερζεγοβίνης και της Βόρειας Μακεδονίας· καταδικάζει τη συμμετοχή της κυβέρνησης της Βόρειας Μακεδονίας στην πανσερβική συνέλευση με σύνθημα «Ένας λαός, μία συνέλευση» στις 8 Ιουνίου 2024 στο Βελιγράδι, καθώς και τη συμμετοχή του αντιπροέδρου της κυβέρνησης Ivan Stoilkovic στην συγκέντρωση μνήμης για τα θύματα του ΝΑΤΟ στο Βελιγράδι την 25 Μαρτίου·</w:t>
            </w:r>
            <w:r>
              <w:t xml:space="preserve"> </w:t>
            </w:r>
            <w:r>
              <w:rPr>
                <w:b/>
                <w:i/>
              </w:rPr>
              <w:t>καταδικάζει τη συμμετοχή σε συνεδριάσεις που επιχειρούν να δημιουργήσουν σφαίρα επιρροής που υπονομεύει την κυριαρχία της χώρας και τη σταθερότητα της περιοχής·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34α.</w:t>
            </w:r>
            <w:r>
              <w:tab/>
            </w:r>
            <w:r>
              <w:rPr>
                <w:b/>
                <w:i/>
              </w:rPr>
              <w:t>παροτρύνει την κυβέρνηση της Βόρειας Μακεδονίας να δημοσιεύσει ταχέως όλα τα κείμενα, τα οποία έχουν ήδη συμφωνηθεί από την κοινή πολυτομεακή επιτροπή εμπειρογνωμόνων, τα οποία θα δημοσιευθούν στις αντίστοιχες γλώσσες της Βουλγαρίας και της Δημοκρατίας της Βόρειας Μακεδονίας, και στα αγγλικά, όπως συμφωνήθηκε στο πλαίσιο του δεύτερου πρωτοκόλλου της Συνθήκης καλής γειτονίας, με το οποίο οι χώρες δεσμεύτηκαν να δημοσιεύσουν, εντός ενός μηνός από την υπογραφή του πρωτοκόλλου στις 17 Ιουλίου 2022 στους δικτυακούς τόπους των δύο κυβερνήσεων, όλα τα αποτελέσματα και τις συστάσεις των εργασιών της κοινής πολυτομεακής επιτροπής εμπειρογνωμόνων για ιστορικά και εκπαιδευτικά θέματα που έχουν εκδοθεί έως σήμερα·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επαινεί τη δέσμευση της χώρας στην ανάπτυξη σχέσεων καλής γειτονίας και στον ρόλο της ως προτύπου για την ειρηνική επίλυση διμερών διαφορών μέσω του διαλόγου και της αμοιβαίας κατανόησης·</w:t>
            </w:r>
            <w:r>
              <w:t xml:space="preserve"> </w:t>
            </w:r>
            <w:r>
              <w:rPr>
                <w:b/>
                <w:i/>
              </w:rPr>
              <w:t>υπενθυμίζει, στο πλαίσιο αυτό, ότι οι διμερείς συμφωνίες θα πρέπει να εφαρμόζονται με απτά αποτελέσματα καλή τη πίστει από όλες τις πλευρές, συμπεριλαμβανομένης της συμφωνίας των Πρεσπών με την Ελλάδα και της συνθήκης φιλίας, καλής γειτονίας και συνεργασίας με τη Βουλγαρία·</w:t>
            </w:r>
            <w:r>
              <w:t xml:space="preserve"> ζητεί συνεπή δέσμευση για διάλογο και συνεργασία με τις γειτονικές χώρες για την ενίσχυση της αμοιβαίας εμπιστοσύνης·</w:t>
            </w:r>
          </w:p>
        </w:tc>
        <w:tc>
          <w:tcPr>
            <w:tcW w:w="4876" w:type="dxa"/>
            <w:tcBorders>
              <w:top w:val="nil"/>
              <w:left w:val="nil"/>
              <w:bottom w:val="nil"/>
              <w:right w:val="nil"/>
            </w:tcBorders>
          </w:tcPr>
          <w:p>
            <w:pPr>
              <w:pStyle w:val="Normal6a"/>
            </w:pPr>
            <w:r>
              <w:t>35.</w:t>
            </w:r>
            <w:r>
              <w:tab/>
            </w:r>
            <w:r>
              <w:t>ζητεί συνεπή δέσμευση για διάλογο και συνεργασία με τις γειτονικές χώρες για την ενίσχυση της αμοιβαίας εμπιστοσύνης·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επαινεί τη δέσμευση της χώρας στην ανάπτυξη σχέσεων καλής γειτονίας και </w:t>
            </w:r>
            <w:r>
              <w:rPr>
                <w:b/>
                <w:i/>
              </w:rPr>
              <w:t>στον</w:t>
            </w:r>
            <w:r>
              <w:t xml:space="preserve"> ρόλο της ως προτύπου για την ειρηνική επίλυση διμερών διαφορών μέσω του διαλόγου και της αμοιβαίας κατανόησης· </w:t>
            </w:r>
            <w:r>
              <w:rPr>
                <w:b/>
                <w:i/>
              </w:rPr>
              <w:t>υπενθυμίζει</w:t>
            </w:r>
            <w:r>
              <w:t xml:space="preserve">, στο πλαίσιο αυτό, </w:t>
            </w:r>
            <w:r>
              <w:rPr>
                <w:b/>
                <w:i/>
              </w:rPr>
              <w:t>ότι οι διμερείς συμφωνίες θα πρέπει να εφαρμόζονται</w:t>
            </w:r>
            <w:r>
              <w:t xml:space="preserve"> με απτά αποτελέσματα καλή τη πίστει από όλες τις πλευρές, συμπεριλαμβανομένης της συμφωνίας των Πρεσπών με την Ελλάδα και της συνθήκης φιλίας, καλής γειτονίας και συνεργασίας με τη Βουλγαρία· ζητεί συνεπή δέσμευση για διάλογο και συνεργασία με τις γειτονικές χώρες για την ενίσχυση της αμοιβαίας εμπιστοσύνης·</w:t>
            </w:r>
          </w:p>
        </w:tc>
        <w:tc>
          <w:tcPr>
            <w:tcW w:w="4876" w:type="dxa"/>
            <w:tcBorders>
              <w:top w:val="nil"/>
              <w:left w:val="nil"/>
              <w:bottom w:val="nil"/>
              <w:right w:val="nil"/>
            </w:tcBorders>
          </w:tcPr>
          <w:p>
            <w:pPr>
              <w:pStyle w:val="Normal6a"/>
            </w:pPr>
            <w:r>
              <w:t>35.</w:t>
            </w:r>
            <w:r>
              <w:tab/>
            </w:r>
            <w:r>
              <w:t xml:space="preserve">επαινεί τη </w:t>
            </w:r>
            <w:r>
              <w:rPr>
                <w:b/>
                <w:i/>
              </w:rPr>
              <w:t>σταθερή</w:t>
            </w:r>
            <w:r>
              <w:t xml:space="preserve"> δέσμευση της χώρας στην ανάπτυξη σχέσεων καλής γειτονίας και </w:t>
            </w:r>
            <w:r>
              <w:rPr>
                <w:b/>
                <w:i/>
              </w:rPr>
              <w:t>αναγνωρίζει τον</w:t>
            </w:r>
            <w:r>
              <w:t xml:space="preserve"> ρόλο της ως προτύπου για την ειρηνική επίλυση διμερών διαφορών μέσω του διαλόγου και της αμοιβαίας κατανόησης· </w:t>
            </w:r>
            <w:r>
              <w:rPr>
                <w:b/>
                <w:i/>
              </w:rPr>
              <w:t>τονίζει</w:t>
            </w:r>
            <w:r>
              <w:t xml:space="preserve">, στο πλαίσιο αυτό, </w:t>
            </w:r>
            <w:r>
              <w:rPr>
                <w:b/>
                <w:i/>
              </w:rPr>
              <w:t>τη σημασία της πλήρους εφαρμογής των διμερών συμφωνιών</w:t>
            </w:r>
            <w:r>
              <w:t xml:space="preserve"> με απτά αποτελέσματα καλή τη πίστει από όλες τις πλευρές, συμπεριλαμβανομένης της συμφωνίας των Πρεσπών με την Ελλάδα και της συνθήκης φιλίας, καλής γειτονίας και συνεργασίας με τη Βουλγαρία· ζητεί </w:t>
            </w:r>
            <w:r>
              <w:rPr>
                <w:b/>
                <w:i/>
              </w:rPr>
              <w:t>συνεχή και</w:t>
            </w:r>
            <w:r>
              <w:t xml:space="preserve"> συνεπή δέσμευση για διάλογο και συνεργασία με τις γειτονικές χώρες για την ενίσχυση </w:t>
            </w:r>
            <w:r>
              <w:rPr>
                <w:b/>
                <w:i/>
              </w:rPr>
              <w:t>της της περιφερειακής σταθερότητας και την προώθηση</w:t>
            </w:r>
            <w:r>
              <w:t xml:space="preserve"> της αμοιβαίας εμπιστοσύνης·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επαινεί τη δέσμευση της χώρας στην ανάπτυξη σχέσεων καλής γειτονίας και στον ρόλο της ως προτύπου για την ειρηνική επίλυση διμερών διαφορών μέσω του διαλόγου και της αμοιβαίας κατανόησης· υπενθυμίζει, στο πλαίσιο αυτό, ότι οι διμερείς συμφωνίες θα πρέπει να εφαρμόζονται με απτά αποτελέσματα καλή τη πίστει από όλες τις πλευρές, συμπεριλαμβανομένης της συμφωνίας των Πρεσπών με την Ελλάδα και της συνθήκης φιλίας, καλής γειτονίας και συνεργασίας με τη Βουλγαρία· ζητεί συνεπή δέσμευση για διάλογο και συνεργασία με τις γειτονικές χώρες για την ενίσχυση της αμοιβαίας εμπιστοσύνης·</w:t>
            </w:r>
          </w:p>
        </w:tc>
        <w:tc>
          <w:tcPr>
            <w:tcW w:w="4876" w:type="dxa"/>
            <w:tcBorders>
              <w:top w:val="nil"/>
              <w:left w:val="nil"/>
              <w:bottom w:val="nil"/>
              <w:right w:val="nil"/>
            </w:tcBorders>
          </w:tcPr>
          <w:p>
            <w:pPr>
              <w:pStyle w:val="Normal6a"/>
            </w:pPr>
            <w:r>
              <w:t>35.</w:t>
            </w:r>
            <w:r>
              <w:tab/>
            </w:r>
            <w:r>
              <w:t xml:space="preserve">επαινεί τη δέσμευση της χώρας στην ανάπτυξη σχέσεων καλής γειτονίας και στον ρόλο της ως προτύπου για την ειρηνική επίλυση διμερών διαφορών μέσω του διαλόγου και της αμοιβαίας κατανόησης· υπενθυμίζει, στο πλαίσιο αυτό, ότι οι διμερείς συμφωνίες θα πρέπει να εφαρμόζονται με απτά αποτελέσματα καλή τη πίστει από όλες τις πλευρές, συμπεριλαμβανομένης της συμφωνίας των Πρεσπών με την Ελλάδα και της συνθήκης φιλίας, καλής γειτονίας και συνεργασίας με τη Βουλγαρία· ζητεί συνεπή δέσμευση για διάλογο και συνεργασία με τις γειτονικές χώρες για την ενίσχυση της αμοιβαίας εμπιστοσύνης· </w:t>
            </w:r>
            <w:r>
              <w:rPr>
                <w:b/>
                <w:i/>
              </w:rPr>
              <w:t>ζητεί την περαιτέρω προώθηση των διαπροσωπικών επαφών σε ολόκληρη τη Νοτιοανατολική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Andrey Kovatchev, Sunčana Glavak, Emil Radev, Eva Maydell, Radan Kanev, Kristian Vigenin, Tsvetelina Penkova, Nikola Minchev, Ilia Lazarov, Andrey Novakov,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επαινεί τη δέσμευση της χώρας στην ανάπτυξη σχέσεων</w:t>
            </w:r>
            <w:r>
              <w:t xml:space="preserve"> καλής γειτονίας </w:t>
            </w:r>
            <w:r>
              <w:rPr>
                <w:b/>
                <w:i/>
              </w:rPr>
              <w:t>και στον ρόλο της ως προτύπου</w:t>
            </w:r>
            <w:r>
              <w:t xml:space="preserve"> για την </w:t>
            </w:r>
            <w:r>
              <w:rPr>
                <w:b/>
                <w:i/>
              </w:rPr>
              <w:t>ειρηνική επίλυση διμερών διαφορών μέσω του διαλόγου και της αμοιβαίας κατανόησης</w:t>
            </w:r>
            <w:r>
              <w:t>· υπενθυμίζει</w:t>
            </w:r>
            <w:r>
              <w:rPr>
                <w:b/>
                <w:i/>
              </w:rPr>
              <w:t>, στο πλαίσιο αυτό, ότι οι διμερείς συμφωνίες θα πρέπει να εφαρμόζονται με απτά αποτελέσματα</w:t>
            </w:r>
            <w:r>
              <w:t xml:space="preserve"> καλή τη πίστει </w:t>
            </w:r>
            <w:r>
              <w:rPr>
                <w:b/>
                <w:i/>
              </w:rPr>
              <w:t>από όλες τις πλευρές</w:t>
            </w:r>
            <w:r>
              <w:t>, συμπεριλαμβανομένης της συμφωνίας των Πρεσπών με την Ελλάδα και της συνθήκης φιλίας, καλής γειτονίας και συνεργασίας με τη Βουλγαρία· ζητεί συνεπή δέσμευση για διάλογο και συνεργασία με τις γειτονικές χώρες για την ενίσχυση της αμοιβαίας εμπιστοσύνης·</w:t>
            </w:r>
          </w:p>
        </w:tc>
        <w:tc>
          <w:tcPr>
            <w:tcW w:w="4876" w:type="dxa"/>
            <w:tcBorders>
              <w:top w:val="nil"/>
              <w:left w:val="nil"/>
              <w:bottom w:val="nil"/>
              <w:right w:val="nil"/>
            </w:tcBorders>
          </w:tcPr>
          <w:p>
            <w:pPr>
              <w:pStyle w:val="Normal6a"/>
            </w:pPr>
            <w:r>
              <w:t>35.</w:t>
            </w:r>
            <w:r>
              <w:tab/>
            </w:r>
            <w:r>
              <w:rPr>
                <w:b/>
                <w:i/>
              </w:rPr>
              <w:t>υπενθυμίζει ότι οι σχέσεις</w:t>
            </w:r>
            <w:r>
              <w:t xml:space="preserve"> καλής γειτονίας </w:t>
            </w:r>
            <w:r>
              <w:rPr>
                <w:b/>
                <w:i/>
              </w:rPr>
              <w:t>αποτελούν ένα από τα βασικά κριτήρια</w:t>
            </w:r>
            <w:r>
              <w:t xml:space="preserve"> για την </w:t>
            </w:r>
            <w:r>
              <w:rPr>
                <w:b/>
                <w:i/>
              </w:rPr>
              <w:t>αξιολόγηση της προόδου στη διαδικασία προσχώρησης της Βόρειας Μακεδονίας</w:t>
            </w:r>
            <w:r>
              <w:t xml:space="preserve">· υπενθυμίζει </w:t>
            </w:r>
            <w:r>
              <w:rPr>
                <w:b/>
                <w:i/>
              </w:rPr>
              <w:t>τη σημασία της επίτευξης απτών αποτελεσμάτων και της εφαρμογής διμερών συμφωνιών</w:t>
            </w:r>
            <w:r>
              <w:t xml:space="preserve"> καλή τη πίστει, συμπεριλαμβανομένης της συμφωνίας των Πρεσπών με την Ελλάδα και της Συνθήκης φιλίας, καλής γειτονίας και συνεργασίας με τη Βουλγαρία </w:t>
            </w:r>
            <w:r>
              <w:rPr>
                <w:b/>
                <w:i/>
              </w:rPr>
              <w:t>και των πρωτοκόλλων της σύμφωνα με το διαπραγματευτικό πλαίσιο της ΕΕ και τα συμπεράσματα του Συμβουλίου της ΕΕ της 18ης Ιουλίου 2022</w:t>
            </w:r>
            <w:r>
              <w:t>· ζητεί συνεπή δέσμευση για διάλογο και συνεργασία με τις γειτονικές χώρες για την ενίσχυση της αμοιβαίας εμπιστοσύνης·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επαινεί τη δέσμευση</w:t>
            </w:r>
            <w:r>
              <w:t xml:space="preserve"> της χώρας στην ανάπτυξη σχέσεων καλής γειτονίας και </w:t>
            </w:r>
            <w:r>
              <w:rPr>
                <w:b/>
                <w:i/>
              </w:rPr>
              <w:t>στον ρόλο της ως προτύπου για την</w:t>
            </w:r>
            <w:r>
              <w:t xml:space="preserve"> ειρηνική επίλυση διμερών διαφορών μέσω του διαλόγου και της αμοιβαίας κατανόησης· υπενθυμίζει</w:t>
            </w:r>
            <w:r>
              <w:rPr>
                <w:b/>
                <w:i/>
              </w:rPr>
              <w:t>, στο πλαίσιο αυτό, ότι οι διμερείς συμφωνίες θα πρέπει να εφαρμόζονται με απτά αποτελέσματα</w:t>
            </w:r>
            <w:r>
              <w:t xml:space="preserve"> καλή τη πίστει </w:t>
            </w:r>
            <w:r>
              <w:rPr>
                <w:b/>
                <w:i/>
              </w:rPr>
              <w:t>από όλες τις πλευρές</w:t>
            </w:r>
            <w:r>
              <w:t>, συμπεριλαμβανομένης της συμφωνίας των Πρεσπών με την Ελλάδα και της συνθήκης φιλίας, καλής γειτονίας και συνεργασίας με τη Βουλγαρία· ζητεί συνεπή δέσμευση για διάλογο και συνεργασία με τις γειτονικές χώρες για την ενίσχυση της αμοιβαίας εμπιστοσύνης·</w:t>
            </w:r>
          </w:p>
        </w:tc>
        <w:tc>
          <w:tcPr>
            <w:tcW w:w="4876" w:type="dxa"/>
            <w:tcBorders>
              <w:top w:val="nil"/>
              <w:left w:val="nil"/>
              <w:bottom w:val="nil"/>
              <w:right w:val="nil"/>
            </w:tcBorders>
          </w:tcPr>
          <w:p>
            <w:pPr>
              <w:pStyle w:val="Normal6a"/>
            </w:pPr>
            <w:r>
              <w:t>35.</w:t>
            </w:r>
            <w:r>
              <w:tab/>
            </w:r>
            <w:r>
              <w:rPr>
                <w:b/>
                <w:i/>
              </w:rPr>
              <w:t>τονίζει τη σημασία της δέσμευσης</w:t>
            </w:r>
            <w:r>
              <w:t xml:space="preserve"> της χώρας στην ανάπτυξη σχέσεων καλής γειτονίας και </w:t>
            </w:r>
            <w:r>
              <w:rPr>
                <w:b/>
                <w:i/>
              </w:rPr>
              <w:t>στην</w:t>
            </w:r>
            <w:r>
              <w:t xml:space="preserve"> ειρηνική επίλυση διμερών διαφορών μέσω του διαλόγου και της αμοιβαίας κατανόησης· υπενθυμίζει </w:t>
            </w:r>
            <w:r>
              <w:rPr>
                <w:b/>
                <w:i/>
              </w:rPr>
              <w:t>τη σημασία της επίτευξης απτών αποτελεσμάτων και της εφαρμογής</w:t>
            </w:r>
            <w:r>
              <w:t xml:space="preserve"> καλή τη πίστει </w:t>
            </w:r>
            <w:r>
              <w:rPr>
                <w:b/>
                <w:i/>
              </w:rPr>
              <w:t>των διμερών συμφωνιών</w:t>
            </w:r>
            <w:r>
              <w:t xml:space="preserve">, συμπεριλαμβανομένης της συμφωνίας των Πρεσπών με την Ελλάδα και της συνθήκης φιλίας, καλής γειτονίας και συνεργασίας με τη Βουλγαρία </w:t>
            </w:r>
            <w:r>
              <w:rPr>
                <w:b/>
                <w:i/>
              </w:rPr>
              <w:t>και των σχετικών πρωτοκόλλων της</w:t>
            </w:r>
            <w:r>
              <w:t xml:space="preserve">· ζητεί </w:t>
            </w:r>
            <w:r>
              <w:rPr>
                <w:b/>
                <w:i/>
              </w:rPr>
              <w:t>υπεύθυνο πολιτικό διάλογο και</w:t>
            </w:r>
            <w:r>
              <w:t xml:space="preserve"> συνεπή δέσμευση για διάλογο και συνεργασία με τις γειτονικές χώρες για την ενίσχυση της αμοιβαίας εμπιστοσύνης·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επαινεί τη δέσμευση</w:t>
            </w:r>
            <w:r>
              <w:t xml:space="preserve"> της χώρας </w:t>
            </w:r>
            <w:r>
              <w:rPr>
                <w:b/>
                <w:i/>
              </w:rPr>
              <w:t>στην ανάπτυξη σχέσεων</w:t>
            </w:r>
            <w:r>
              <w:t xml:space="preserve"> καλής γειτονίας </w:t>
            </w:r>
            <w:r>
              <w:rPr>
                <w:b/>
                <w:i/>
              </w:rPr>
              <w:t>και στον ρόλο της ως προτύπου για την ειρηνική επίλυση διμερών διαφορών μέσω του διαλόγου και της αμοιβαίας κατανόησης</w:t>
            </w:r>
            <w:r>
              <w:t xml:space="preserve">· υπενθυμίζει, </w:t>
            </w:r>
            <w:r>
              <w:rPr>
                <w:b/>
                <w:i/>
              </w:rPr>
              <w:t>στο πλαίσιο αυτό, ότι οι διμερείς συμφωνίες θα πρέπει να εφαρμόζονται με απτά αποτελέσματα καλή τη πίστει από όλες τις πλευρές, συμπεριλαμβανομένης</w:t>
            </w:r>
            <w:r>
              <w:t xml:space="preserve"> της συμφωνίας των Πρεσπών με την Ελλάδα και της συνθήκης φιλίας, καλής γειτονίας και συνεργασίας με τη Βουλγαρία</w:t>
            </w:r>
            <w:r>
              <w:rPr>
                <w:b/>
                <w:i/>
              </w:rPr>
              <w:t>·</w:t>
            </w:r>
            <w:r>
              <w:t xml:space="preserve"> </w:t>
            </w:r>
            <w:r>
              <w:rPr>
                <w:b/>
                <w:i/>
              </w:rPr>
              <w:t>ζητεί</w:t>
            </w:r>
            <w:r>
              <w:t xml:space="preserve"> συνεπή </w:t>
            </w:r>
            <w:r>
              <w:rPr>
                <w:b/>
                <w:i/>
              </w:rPr>
              <w:t>δέσμευση</w:t>
            </w:r>
            <w:r>
              <w:t xml:space="preserve"> για διάλογο και συνεργασία με τις γειτονικές χώρες </w:t>
            </w:r>
            <w:r>
              <w:rPr>
                <w:b/>
                <w:i/>
              </w:rPr>
              <w:t>για την ενίσχυση της αμοιβαίας εμπιστοσύνης</w:t>
            </w:r>
            <w:r>
              <w:t>·</w:t>
            </w:r>
          </w:p>
        </w:tc>
        <w:tc>
          <w:tcPr>
            <w:tcW w:w="4876" w:type="dxa"/>
            <w:tcBorders>
              <w:top w:val="nil"/>
              <w:left w:val="nil"/>
              <w:bottom w:val="nil"/>
              <w:right w:val="nil"/>
            </w:tcBorders>
          </w:tcPr>
          <w:p>
            <w:pPr>
              <w:pStyle w:val="Normal6a"/>
            </w:pPr>
            <w:r>
              <w:t>35.</w:t>
            </w:r>
            <w:r>
              <w:tab/>
            </w:r>
            <w:r>
              <w:rPr>
                <w:b/>
                <w:i/>
              </w:rPr>
              <w:t>αναγνωρίζει τις προσπάθειες</w:t>
            </w:r>
            <w:r>
              <w:t xml:space="preserve"> της χώρας </w:t>
            </w:r>
            <w:r>
              <w:rPr>
                <w:b/>
                <w:i/>
              </w:rPr>
              <w:t>να αναπτύξει σχέσεις</w:t>
            </w:r>
            <w:r>
              <w:t xml:space="preserve"> καλής γειτονίας· υπενθυμίζει, </w:t>
            </w:r>
            <w:r>
              <w:rPr>
                <w:b/>
                <w:i/>
              </w:rPr>
              <w:t>ωστόσο, ότι η πλήρης εφαρμογή διμερών συμφωνιών, όπως</w:t>
            </w:r>
            <w:r>
              <w:t xml:space="preserve"> της συμφωνίας των Πρεσπών με την Ελλάδα και της Συνθήκης φιλίας, καλής γειτονίας και συνεργασίας με τη Βουλγαρία </w:t>
            </w:r>
            <w:r>
              <w:rPr>
                <w:b/>
                <w:i/>
              </w:rPr>
              <w:t>σύμφωνα με το διαπραγματευτικό πλαίσιο, απαιτεί απτά αποτελέσματα και</w:t>
            </w:r>
            <w:r>
              <w:t xml:space="preserve"> συνεπή </w:t>
            </w:r>
            <w:r>
              <w:rPr>
                <w:b/>
                <w:i/>
              </w:rPr>
              <w:t>καλή πίστη·</w:t>
            </w:r>
            <w:r>
              <w:t xml:space="preserve"> </w:t>
            </w:r>
            <w:r>
              <w:rPr>
                <w:b/>
                <w:i/>
              </w:rPr>
              <w:t>τονίζει τη σημασία της διαρκούς δέσμευσης</w:t>
            </w:r>
            <w:r>
              <w:t xml:space="preserve"> για διάλογο και συνεργασία με τις γειτονικές χώρες </w:t>
            </w:r>
            <w:r>
              <w:rPr>
                <w:b/>
                <w:i/>
              </w:rPr>
              <w:t>προκειμένου να οικοδομηθεί διαρκής αμοιβαία εμπιστοσύνη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35α.</w:t>
            </w:r>
            <w:r>
              <w:tab/>
            </w:r>
            <w:r>
              <w:rPr>
                <w:b/>
                <w:i/>
              </w:rPr>
              <w:t>εκφράζει τα βαθύτατα συλλυπητήριά του στα θύματα και τις οικογένειές τους της τραγωδίας στην πόλη Κότσανι, όπου χάθηκαν 59 ζωές και πάνω από 150 άνθρωποι, κυρίως έφηβοι και νεαροί ενήλικες, τραυματίστηκαν σε πυρκαγιά σε νυχτερινό κέντρο στις 15 Μαρτίου 2025·</w:t>
            </w:r>
            <w:r>
              <w:t xml:space="preserve"> </w:t>
            </w:r>
            <w:r>
              <w:rPr>
                <w:b/>
                <w:i/>
              </w:rPr>
              <w:t>ζητεί να διεξαχθεί διεξοδική και διαφανής διερεύνηση του περιστατικού και να κληθούν να λογοδοτήσουν οι υπεύθυνοι για να διασφαλιστεί ουσιαστικός καταλογισμός ευθυνών·</w:t>
            </w:r>
            <w:r>
              <w:t xml:space="preserve"> </w:t>
            </w:r>
            <w:r>
              <w:rPr>
                <w:b/>
                <w:i/>
              </w:rPr>
              <w:t>παροτρύνει όλους τους πολιτικούς παράγοντες να μην εκμεταλλεύονται αυτή την τραγωδία για πολιτικό όφελος και χαιρετίζει θερμά την άμεση στήριξη και αλληλεγγύη που επιδεικνύουν οι γειτονικές χώρες και οι χώρες της ΕΕ, ιδίως η Ελλάδα και η Βουλγαρία, για την παροχή ιατρικής περίθαλψης στα θύματα·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Andrey Kovatchev,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35α.</w:t>
            </w:r>
            <w:r>
              <w:tab/>
            </w:r>
            <w:r>
              <w:rPr>
                <w:b/>
                <w:i/>
              </w:rPr>
              <w:t>εκφράζει την έντονη ανησυχία του για το γεγονός ότι η τελευταία σύνοδος της Κοινής Διακυβερνητικής Επιτροπής, η οποία συστάθηκε βάσει του άρθρου 12 της Συνθήκης φιλίας, καλής γειτονίας και συνεργασίας, πραγματοποιήθηκε στις 17 Ιουλίου 2022 και έκτοτε δεν πραγματοποιήθηκε νέα σύνοδος·</w:t>
            </w:r>
            <w:r>
              <w:t xml:space="preserve"> </w:t>
            </w:r>
            <w:r>
              <w:rPr>
                <w:b/>
                <w:i/>
              </w:rPr>
              <w:t>παροτρύνει τις κυβερνήσεις της Βουλγαρίας και της Βόρειας Μακεδονίας να διοργανώσουν ταχέως την τρίτη σύνοδο της ΚΔΕ για να συνεχίσουν την εφαρμογή της Συνθήκης και των πρωτοκόλλων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35α.</w:t>
            </w:r>
            <w:r>
              <w:tab/>
            </w:r>
            <w:r>
              <w:rPr>
                <w:b/>
                <w:i/>
              </w:rPr>
              <w:t>καλεί την Ευρωπαϊκή Επιτροπή και το Συμβούλιο να ξεκινήσουν τις ενταξιακές διαπραγματεύσεις αμέσως μόλις η Βόρεια Μακεδονία προβεί στις αναγκαίες συνταγματικές τροποποιήσεις και εκπληρώσει τα πρώτα κεφάλαια του ευρωπαϊκού κεκτημένου·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Γιώργος Γεωργίου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35α.</w:t>
            </w:r>
            <w:r>
              <w:tab/>
            </w:r>
            <w:r>
              <w:rPr>
                <w:b/>
                <w:i/>
              </w:rPr>
              <w:t>ενθαρρύνει τη Βουλγαρία και τη Βόρεια Μακεδονία να βρουν μια αμοιβαίως αποδεκτή λύση στα εκκρεμή διμερή ζητήματα·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35β.</w:t>
            </w:r>
            <w:r>
              <w:tab/>
            </w:r>
            <w:r>
              <w:rPr>
                <w:b/>
                <w:i/>
              </w:rPr>
              <w:t>καλεί μετ’ επιτάσεως την Κοινή Πολυτομεακή Επιτροπή Εμπειρογνωμόνων για Ιστορικά και Εκπαιδευτικά Θέματα της Βουλγαρίας και της Δημοκρατίας της Βόρειας Μακεδονίας, η οποία συστάθηκε ως αποτέλεσμα της Συνθήκης φιλίας, καλής γειτονίας και συνεργασίας, να επιτύχει σαφή και απτά αποτελέσματα·</w:t>
            </w:r>
            <w:r>
              <w:t xml:space="preserve"> </w:t>
            </w:r>
            <w:r>
              <w:rPr>
                <w:b/>
                <w:i/>
              </w:rPr>
              <w:t>τα κείμενα θα πρέπει να αντικατοπτρίζουν την ερμηνεία ιστορικών γεγονότων και αριθμών από την κοινή ιστορία και των δύο λαών βάσει αντικειμενικών, αυθεντικών και τεκμηριωμένων ιστορικών πηγών, επιστημονικής ερμηνείας και ιστορικών γεγονότων, όπως ορίζεται στο δεύτερο πρωτόκολλο της Συνθήκης καλής γειτονίας με τη Βουλγαρία·</w:t>
            </w:r>
            <w:r>
              <w:t xml:space="preserve"> </w:t>
            </w:r>
            <w:r>
              <w:rPr>
                <w:b/>
                <w:i/>
              </w:rPr>
              <w:t>εκφράζει τη λύπη του για τις πρόσφατες αλλαγές στη συνολική σύνθεση της ιστορικής επιτροπής, με τον διορισμό ατόμων γνωστών για τις πολιτικοποιημένες, ριζοσπαστικές και εθνικιστικές απόψεις τους, γεγονός που εμποδίζει de facto κάθε περαιτέρω διαδικασία συμφιλίωσης και υπονομεύει τον επιδιωκόμενο σκοπό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35β.</w:t>
            </w:r>
            <w:r>
              <w:tab/>
            </w:r>
            <w:r>
              <w:rPr>
                <w:b/>
                <w:i/>
              </w:rPr>
              <w:t>παροτρύνει την Ευρωπαϊκή Επιτροπή να χαράξει μια στρατηγική διεύρυνσης που θα ενσωματώνει σταδιακά τα υποψήφια κράτη με βάση την πρόοδο που σημειώνουν στη διαπραγματευτική διαδικασία, ανταποκρινόμενη στις προσδοκίες των πολιτών και των υποψήφιων χωρών, αυξάνοντας την εμπιστοσύνη στην Ευρωπαϊκή Ένωση και στις δημοκρατικές αξίες·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35γ.</w:t>
            </w:r>
            <w:r>
              <w:tab/>
            </w:r>
            <w:r>
              <w:rPr>
                <w:b/>
                <w:i/>
              </w:rPr>
              <w:t>παροτρύνει την κυβέρνηση της Βόρειας Μακεδονίας, μέσω των αρμόδιων υπουργείων και των φορέων τοπικής αυτοδιοίκησης, να δημοσιεύσει και να συμπεριλάβει στα προγράμματα σπουδών, στα σχολικά βιβλία και στο σχετικό διδακτικό υλικό τα ήδη προ πολλού αναμενόμενα συμφωνηθέντα αποτελέσματα των εργασιών της επιτροπής σύμφωνα με το άρθρο 8 παράγραφος 2 της Συνθήκης με τη Βουλγαρία και το δεύτερο πρωτόκολλό της, λαμβάνοντας υπόψη για τα ίδια αποτελέσματα και το περιεχόμενο των επιγραφών σε μνημεία, πινακίδες, ενημερωτικό υλικό σε μουσεία και άλλα αντικείμενα με εκπαιδευτική και πολιτιστική σημασία, καθώς και τις σχετικές πληροφορίες σε σύνολα ηλεκτρονικών δεδομένων δημόσιας χρήσης·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35δ.</w:t>
            </w:r>
            <w:r>
              <w:tab/>
            </w:r>
            <w:r>
              <w:rPr>
                <w:b/>
                <w:i/>
              </w:rPr>
              <w:t>καταδικάζει το γεγονός ότι, εκτός από λίγες σποραδικές περιπτώσεις, οι δύο χώρες δεν έχουν κατορθώσει να τιμήσουν από κοινού τη μνήμη και το έργο ή να εορτάσουν από κοινού κοινές ιστορικές προσωπικότητες/ημερομηνίες τα τελευταία χρόνια με συνεκτικό τρόπο, κυρίως λόγω της απροθυμίας της Βόρειας Μακεδονίας, ανεξάρτητα από το γεγονός ότι, σύμφωνα με το άρθρο 8 παράγραφος 3 της Συνθήκης καλής γειτονίας, οι δύο χώρες συμφώνησαν να γιορτάσουν από κοινού, το 2022 και το 2023, όλα τα κοινά ιστορικά γεγονότα και πρόσωπα για τα οποία είχε συμφωνήσει η Κοινή Πολυτομεακή Επιτροπή Εμπειρογνωμόνων για Ιστορικά και Εκπαιδευτικά Θέματα·</w:t>
            </w:r>
            <w:r>
              <w:t xml:space="preserve"> </w:t>
            </w:r>
            <w:r>
              <w:rPr>
                <w:b/>
                <w:i/>
              </w:rPr>
              <w:t>καταδικάζει απερίφραστα τον βανδαλισμό εις βάρος της βουλγαρικής σημαίας και των στεφάνων που κατέθεσε βουλγαρική αντιπροσωπεία στα Σκόπια, στον τάφο του Γκότσε Ντέλτσεφ κατά τον πρόσφατο εορτασμό της 150ής επετείου από τη γέννηση του επιφανούς επαναστάτη·</w:t>
            </w:r>
            <w:r>
              <w:t xml:space="preserve"> </w:t>
            </w:r>
            <w:r>
              <w:rPr>
                <w:b/>
                <w:i/>
              </w:rPr>
              <w:t>οι σχέσεις μεταξύ της ΔΒΜ και της Βουλγαρίας θα πρέπει να βασίζονται σε βαθύ, αμοιβαίο σεβασμό και αμοιβαία εκτίμηση, στη μελέτη και στη διαφύλαξη της κοινής ιστορικής κληρονομιάς·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35ε.</w:t>
            </w:r>
            <w:r>
              <w:tab/>
            </w:r>
            <w:r>
              <w:rPr>
                <w:b/>
                <w:i/>
              </w:rPr>
              <w:t>καταδικάζει κάθε απόπειρα αντικατάστασης ιστορικών μνημείων και/ή τεχνουργημάτων, συμπεριλαμβανομένης της καταστροφής γνήσιας πολιτιστικής κληρονομιάς ή κάθε απόπειρα να ξαναγραφτεί η Ιστορία·</w:t>
            </w:r>
            <w:r>
              <w:t xml:space="preserve"> </w:t>
            </w:r>
            <w:r>
              <w:rPr>
                <w:b/>
                <w:i/>
              </w:rPr>
              <w:t>εκφράζει τη λύπη του για την παραποίηση επιγραφών και ονομάτων σε ταφικά μνημεία·</w:t>
            </w:r>
            <w:r>
              <w:t xml:space="preserve"> </w:t>
            </w:r>
            <w:r>
              <w:rPr>
                <w:b/>
                <w:i/>
              </w:rPr>
              <w:t>καταδικάζει τις εκδηλώσεις ρητορικής μίσους προς Βούλγαρους που εντοπίζονται σε επιγραφές και πινακίδες σε δημόσια κτίρια και μνημεία, κείμενα σε σχολικά βιβλία και διδακτικό υλικό, καθώς και σε δημόσιους χώρους·</w:t>
            </w:r>
            <w:r>
              <w:t xml:space="preserve"> </w:t>
            </w:r>
            <w:r>
              <w:rPr>
                <w:b/>
                <w:i/>
              </w:rPr>
              <w:t>εκφράζει τη λύπη του για το γεγονός ότι δεν έχει αφαιρεθεί καμία εμπρηστική επιγραφή ή σύμβολο παρά τη συμφωνία στο πλαίσιο του δεύτερου πρωτοκόλλου·</w:t>
            </w:r>
            <w:r>
              <w:t xml:space="preserve"> </w:t>
            </w:r>
            <w:r>
              <w:rPr>
                <w:b/>
                <w:i/>
              </w:rPr>
              <w:t>τα περιστατικά αυτά εγείρουν σοβαρές ανησυχίες, μεταξύ άλλων και επειδή δεν εφαρμόζεται η Συνθήκη φιλίας, καλής γειτονίας και συνεργασίας και τα σχετικά πρωτόκολλα του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Andrey Kovatchev, Sunčana Glavak, Davor Ivo Stier, Tomislav Sokol, 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35στ.</w:t>
            </w:r>
            <w:r>
              <w:tab/>
            </w:r>
            <w:r>
              <w:rPr>
                <w:b/>
                <w:i/>
              </w:rPr>
              <w:t>υπενθυμίζει την ανάγκη να ανοίξουν τα αρχεία της γιουγκοσλαβικής μυστικής υπηρεσίας (UDBA και KOS), τα οποία τηρούνται τόσο στα Σκόπια όσο και στο Βελιγράδι·</w:t>
            </w:r>
            <w:r>
              <w:t xml:space="preserve"> </w:t>
            </w:r>
            <w:r>
              <w:rPr>
                <w:b/>
                <w:i/>
              </w:rPr>
              <w:t>παροτρύνει την κυβέρνηση να ζητήσει τα αρχεία από το Βελιγράδι προκειμένου να αντιμετωπιστούν σθεναρά τα εγκλήματα της κομμουνιστικής εποχής σε ολόκληρη την περιοχή·</w:t>
            </w:r>
            <w:r>
              <w:t xml:space="preserve"> </w:t>
            </w:r>
            <w:r>
              <w:rPr>
                <w:b/>
                <w:i/>
              </w:rPr>
              <w:t>είναι της άποψης ότι η διαφανής διαχείριση του ολοκληρωτικού παρελθόντος αποτελεί ένα βήμα προς περαιτέρω εκδημοκρατισμό, λογοδοσία και θεσμική ισχύ τόσο στη χώρα όσο και στην περιοχή των Δυτικών Βαλκανίων στο σύνολό της· τονίζει την ανάγκη να ανοίξουν τα αρχεία αυτά σε ολόκληρη την περιφέρεια για τη διερεύνηση εγκλημάτων της κομμουνιστικής εποχής και την ενίσχυση της δημοκρατίας, της λογοδοσίας και των θεσμών στα Δυτικά Βαλκάνια·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35ζ.</w:t>
            </w:r>
            <w:r>
              <w:tab/>
            </w:r>
            <w:r>
              <w:rPr>
                <w:b/>
                <w:i/>
              </w:rPr>
              <w:t>παροτρύνει την κυβέρνηση της Δημοκρατίας της Βόρειας Μακεδονίας να εκπληρώσει την από μακρού αναμενόμενη δέσμευσή της να προετοιμάσει και να παρουσιάσει ένα δείγμα μαθήματος για την 7η τάξη του εκπαιδευτικού προγράμματος της Δημοκρατίας της Βόρειας Μακεδονίας σχετικά με τον Βασιλιά Σαμουήλ, σύμφωνα με τις συστάσεις της Επιτροπής και σύμφωνα με το άρθρο 8 παράγραφος 2 της Συνθήκης καλής γειτονίας και το δεύτερο πρωτόκολλό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χαιρετίζει τη συνεχιζόμενη προσήλωση της Βόρειας Μακεδονίας στην ευρωατλαντική ασφάλεια· επαινεί την ευθυγράμμιση της χώρας με την εξωτερική πολιτική, την πολιτική ασφάλειας και άμυνας της ΕΕ, </w:t>
            </w:r>
            <w:r>
              <w:rPr>
                <w:b/>
                <w:i/>
              </w:rPr>
              <w:t>καθώς και τη μέχρι στιγμής πλήρη συμμόρφωσή της</w:t>
            </w:r>
            <w:r>
              <w:t xml:space="preserve"> με τα περιοριστικά μέτρα </w:t>
            </w:r>
            <w:r>
              <w:rPr>
                <w:b/>
                <w:i/>
              </w:rPr>
              <w:t>που σχετίζονται με τη Ρωσία</w:t>
            </w:r>
            <w:r>
              <w:t>·</w:t>
            </w:r>
          </w:p>
        </w:tc>
        <w:tc>
          <w:tcPr>
            <w:tcW w:w="4876" w:type="dxa"/>
            <w:tcBorders>
              <w:top w:val="nil"/>
              <w:left w:val="nil"/>
              <w:bottom w:val="nil"/>
              <w:right w:val="nil"/>
            </w:tcBorders>
          </w:tcPr>
          <w:p>
            <w:pPr>
              <w:pStyle w:val="Normal6a"/>
            </w:pPr>
            <w:r>
              <w:t>36.</w:t>
            </w:r>
            <w:r>
              <w:tab/>
            </w:r>
            <w:r>
              <w:t xml:space="preserve">χαιρετίζει τη συνεχιζόμενη προσήλωση της Βόρειας Μακεδονίας στην ευρωατλαντική ασφάλεια· επαινεί την </w:t>
            </w:r>
            <w:r>
              <w:rPr>
                <w:b/>
                <w:i/>
              </w:rPr>
              <w:t>πλήρη και συνεπή</w:t>
            </w:r>
            <w:r>
              <w:t xml:space="preserve"> ευθυγράμμιση της χώρας με την εξωτερική πολιτική, την πολιτική ασφάλειας και άμυνας της ΕΕ, </w:t>
            </w:r>
            <w:r>
              <w:rPr>
                <w:b/>
                <w:i/>
              </w:rPr>
              <w:t>συμπεριλαμβανομένης της σαφούς αντίδρασής της στον επιθετικό πόλεμο της Ρωσίας μέσω της ευθυγράμμισης</w:t>
            </w:r>
            <w:r>
              <w:t xml:space="preserve"> με τα περιοριστικά μέτρα </w:t>
            </w:r>
            <w:r>
              <w:rPr>
                <w:b/>
                <w:i/>
              </w:rPr>
              <w:t>της ΕΕ κατά της Ρωσίας και της Λευκορωσίας και της παροχής στήριξης στην Ουκρανία, επιβεβαιώνοντας έτσι πλήρως τη στρατηγική επιλογή της χώρας και τη σταθερή προσήλωσή της στο ευρωατλαντικό πλαίσιο ασφάλειας·</w:t>
            </w:r>
            <w:r>
              <w:t xml:space="preserve"> </w:t>
            </w:r>
            <w:r>
              <w:rPr>
                <w:b/>
                <w:i/>
              </w:rPr>
              <w:t>εκφράζει, ωστόσο, τη λύπη του για την πρόσφατη ψηφοφορία στη Γενική Συνέλευση των Ηνωμένων Εθνών για την Ουκρανία, όπου η χώρα απέκλινε από τη θέση της ΕΕ·</w:t>
            </w:r>
            <w:r>
              <w:t xml:space="preserve"> </w:t>
            </w:r>
            <w:r>
              <w:rPr>
                <w:b/>
                <w:i/>
              </w:rPr>
              <w:t>καλεί την ΕΕ να συμπεριλάβει τη χώρα σε συστήματα μετριασμού των αρνητικών οικονομικών επιπτώσεων που προκύπτουν από την εφαρμογή των περιοριστικών μέτρων της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χαιρετίζει τη συνεχιζόμενη προσήλωση της Βόρειας Μακεδονίας στην ευρωατλαντική ασφάλεια· επαινεί την ευθυγράμμιση της χώρας με την 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w:t>
            </w:r>
          </w:p>
        </w:tc>
        <w:tc>
          <w:tcPr>
            <w:tcW w:w="4876" w:type="dxa"/>
            <w:tcBorders>
              <w:top w:val="nil"/>
              <w:left w:val="nil"/>
              <w:bottom w:val="nil"/>
              <w:right w:val="nil"/>
            </w:tcBorders>
          </w:tcPr>
          <w:p>
            <w:pPr>
              <w:pStyle w:val="Normal6a"/>
            </w:pPr>
            <w:r>
              <w:t>36.</w:t>
            </w:r>
            <w:r>
              <w:tab/>
            </w:r>
            <w:r>
              <w:t xml:space="preserve">χαιρετίζει τη συνεχιζόμενη προσήλωση της Βόρειας Μακεδονίας στην ευρωατλαντική ασφάλεια· επαινεί </w:t>
            </w:r>
            <w:r>
              <w:rPr>
                <w:b/>
                <w:i/>
              </w:rPr>
              <w:t>τον ενεργό ρόλο της Βόρειας Μακεδονίας στον ΟΑΣΕ, ιδίως την προεδρία του ΟΑΣΕ το 2023 σε ένα σύνθετο γεωπολιτικό περιβάλλον, και τις σημαντικές συνεισφορές σε αποστολές διαχείρισης κρίσεων και στρατιωτικές επιχειρήσεις της ΕΕ·</w:t>
            </w:r>
            <w:r>
              <w:t xml:space="preserve"> </w:t>
            </w:r>
            <w:r>
              <w:rPr>
                <w:b/>
                <w:i/>
              </w:rPr>
              <w:t>επαινεί</w:t>
            </w:r>
            <w:r>
              <w:t xml:space="preserve"> την ευθυγράμμιση της χώρας με την 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 </w:t>
            </w:r>
            <w:r>
              <w:rPr>
                <w:b/>
                <w:i/>
              </w:rPr>
              <w:t>εκφράζει, ωστόσο, τη λύπη του για το γεγονός ότι η Βόρεια Μακεδονία — ως η μόνη χώρα στα Δυτικά Βαλκάνια — απείχε από το ευρωπαϊκό ψήφισμα για την Ουκρανία στη Γενική Συνέλευση των Ηνωμένων Εθνών τον Φεβρουάριο του 2025 και αντ’ αυτού συνυποστήριξε το ψήφισμα των ΗΠΑ·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χαιρετίζει τη συνεχιζόμενη προσήλωση της Βόρειας Μακεδονίας στην ευρωατλαντική ασφάλεια· </w:t>
            </w:r>
            <w:r>
              <w:rPr>
                <w:b/>
                <w:i/>
              </w:rPr>
              <w:t>επαινεί την ευθυγράμμιση</w:t>
            </w:r>
            <w:r>
              <w:t xml:space="preserve"> της χώρας με την εξωτερική πολιτική, την πολιτική ασφάλειας και άμυνας της ΕΕ</w:t>
            </w:r>
            <w:r>
              <w:rPr>
                <w:b/>
                <w:i/>
              </w:rPr>
              <w:t>, καθώς και τη μέχρι στιγμής πλήρη</w:t>
            </w:r>
            <w:r>
              <w:t xml:space="preserve"> συμμόρφωσή της με τα περιοριστικά μέτρα που σχετίζονται με τη Ρωσία·</w:t>
            </w:r>
          </w:p>
        </w:tc>
        <w:tc>
          <w:tcPr>
            <w:tcW w:w="4876" w:type="dxa"/>
            <w:tcBorders>
              <w:top w:val="nil"/>
              <w:left w:val="nil"/>
              <w:bottom w:val="nil"/>
              <w:right w:val="nil"/>
            </w:tcBorders>
          </w:tcPr>
          <w:p>
            <w:pPr>
              <w:pStyle w:val="Normal6a"/>
            </w:pPr>
            <w:r>
              <w:t>36.</w:t>
            </w:r>
            <w:r>
              <w:tab/>
            </w:r>
            <w:r>
              <w:t xml:space="preserve">χαιρετίζει τη συνεχιζόμενη προσήλωση της Βόρειας Μακεδονίας στην ευρωατλαντική ασφάλεια· </w:t>
            </w:r>
            <w:r>
              <w:rPr>
                <w:b/>
                <w:i/>
              </w:rPr>
              <w:t>σημειώνει με ανησυχία την πρόσφατη απόσυρση της στήριξης</w:t>
            </w:r>
            <w:r>
              <w:t xml:space="preserve"> της χώρας </w:t>
            </w:r>
            <w:r>
              <w:rPr>
                <w:b/>
                <w:i/>
              </w:rPr>
              <w:t>από το ψήφισμα της ΕΕ για την Ουκρανία και τη συνυποστήριξή της προς το ψήφισμα υπό την ηγεσία των ΗΠΑ, το οποίο εγείρει ερωτήματα σχετικά με την ευθυγράμμισή της</w:t>
            </w:r>
            <w:r>
              <w:t xml:space="preserve"> με την εξωτερική πολιτική, την πολιτική ασφάλειας και άμυνας της ΕΕ</w:t>
            </w:r>
            <w:r>
              <w:rPr>
                <w:b/>
                <w:i/>
              </w:rPr>
              <w:t>·</w:t>
            </w:r>
            <w:r>
              <w:t xml:space="preserve"> </w:t>
            </w:r>
            <w:r>
              <w:rPr>
                <w:b/>
                <w:i/>
              </w:rPr>
              <w:t>αναγνωρίζει την προηγούμενη</w:t>
            </w:r>
            <w:r>
              <w:t xml:space="preserve"> συμμόρφωσή της με τα περιοριστικά μέτρα </w:t>
            </w:r>
            <w:r>
              <w:rPr>
                <w:b/>
                <w:i/>
              </w:rPr>
              <w:t>της ΕΕ</w:t>
            </w:r>
            <w:r>
              <w:t xml:space="preserve"> που σχετίζονται με τη Ρωσία</w:t>
            </w:r>
            <w:r>
              <w:rPr>
                <w:b/>
                <w:i/>
              </w:rPr>
              <w:t>, αλλά τονίζει ότι είναι σημαντικό να διατηρηθεί η συνοχή με τις θέσεις της ΕΕ σε μελλοντικές ενέργειες της εξωτερικής πολιτικής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χαιρετίζει τη συνεχιζόμενη προσήλωση της Βόρειας Μακεδονίας στην ευρωατλαντική ασφάλεια· επαινεί την ευθυγράμμιση της χώρας με την 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w:t>
            </w:r>
          </w:p>
        </w:tc>
        <w:tc>
          <w:tcPr>
            <w:tcW w:w="4876" w:type="dxa"/>
            <w:tcBorders>
              <w:top w:val="nil"/>
              <w:left w:val="nil"/>
              <w:bottom w:val="nil"/>
              <w:right w:val="nil"/>
            </w:tcBorders>
          </w:tcPr>
          <w:p>
            <w:pPr>
              <w:pStyle w:val="Normal6a"/>
            </w:pPr>
            <w:r>
              <w:t>36.</w:t>
            </w:r>
            <w:r>
              <w:tab/>
            </w:r>
            <w:r>
              <w:t xml:space="preserve">χαιρετίζει τη συνεχιζόμενη προσήλωση της Βόρειας Μακεδονίας στην ευρωατλαντική ασφάλεια· επαινεί την ευθυγράμμιση της χώρας με την 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 </w:t>
            </w:r>
            <w:r>
              <w:rPr>
                <w:b/>
                <w:i/>
              </w:rPr>
              <w:t>εκφράζει την ικανοποίησή του για την έγκριση της εθνικής στρατηγικής για την κυβερνοασφάλεια 2025-2028 ως σημαντικό βήμα για την ενίσχυση της ανθεκτικότητας της Βόρειας Μακεδονίας έναντι κυβερνοαπειλών και υβριδικών επιθέσεων, διασφαλίζοντας ένα ασφαλέστερο ψηφιακό περιβάλλον·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χαιρετίζει τη συνεχιζόμενη προσήλωση της Βόρειας Μακεδονίας στην ευρωατλαντική ασφάλεια· επαινεί την ευθυγράμμιση της χώρας με την 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w:t>
            </w:r>
          </w:p>
        </w:tc>
        <w:tc>
          <w:tcPr>
            <w:tcW w:w="4876" w:type="dxa"/>
            <w:tcBorders>
              <w:top w:val="nil"/>
              <w:left w:val="nil"/>
              <w:bottom w:val="nil"/>
              <w:right w:val="nil"/>
            </w:tcBorders>
          </w:tcPr>
          <w:p>
            <w:pPr>
              <w:pStyle w:val="Normal6a"/>
            </w:pPr>
            <w:r>
              <w:t>36.</w:t>
            </w:r>
            <w:r>
              <w:tab/>
            </w:r>
            <w:r>
              <w:t xml:space="preserve">χαιρετίζει τη συνεχιζόμενη προσήλωση της Βόρειας Μακεδονίας στην ευρωατλαντική ασφάλεια· επαινεί την ευθυγράμμιση της χώρας με την 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 </w:t>
            </w:r>
            <w:r>
              <w:rPr>
                <w:b/>
                <w:i/>
              </w:rPr>
              <w:t>αναγνωρίζει τη στρατηγική σημασία της διατήρησης της εν λόγω ευθυγράμμισης ενόψει της συνεχιζόμενης παραπληροφόρησης, της διπλωματίας εξαναγκασμού και των υβριδικών απειλών που μεθοδεύονται από αυταρχικές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χαιρετίζει τη συνεχιζόμενη προσήλωση της Βόρειας Μακεδονίας στην ευρωατλαντική ασφάλεια·</w:t>
            </w:r>
            <w:r>
              <w:t xml:space="preserve"> </w:t>
            </w:r>
            <w:r>
              <w:rPr>
                <w:b/>
                <w:i/>
              </w:rPr>
              <w:t>επαινεί την ευθυγράμμιση</w:t>
            </w:r>
            <w:r>
              <w:t xml:space="preserve"> της χώρας με την </w:t>
            </w:r>
            <w:r>
              <w:rPr>
                <w:b/>
                <w:i/>
              </w:rPr>
              <w:t>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w:t>
            </w:r>
            <w:r>
              <w:t>·</w:t>
            </w:r>
          </w:p>
        </w:tc>
        <w:tc>
          <w:tcPr>
            <w:tcW w:w="4876" w:type="dxa"/>
            <w:tcBorders>
              <w:top w:val="nil"/>
              <w:left w:val="nil"/>
              <w:bottom w:val="nil"/>
              <w:right w:val="nil"/>
            </w:tcBorders>
          </w:tcPr>
          <w:p>
            <w:pPr>
              <w:pStyle w:val="Normal6a"/>
            </w:pPr>
            <w:r>
              <w:t>36.</w:t>
            </w:r>
            <w:r>
              <w:tab/>
            </w:r>
            <w:r>
              <w:rPr>
                <w:b/>
                <w:i/>
              </w:rPr>
              <w:t>σημειώνει την πλήρη ταύτιση</w:t>
            </w:r>
            <w:r>
              <w:t xml:space="preserve"> της χώρας με την </w:t>
            </w:r>
            <w:r>
              <w:rPr>
                <w:b/>
                <w:i/>
              </w:rPr>
              <w:t>αγγλοσαξονική φιλοπολεμική στάση στο ουκρανικό</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χαιρετίζει τη συνεχιζόμενη προσήλωση της Βόρειας Μακεδονίας στην ευρωατλαντική ασφάλεια· επαινεί την ευθυγράμμιση της χώρας με την 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w:t>
            </w:r>
          </w:p>
        </w:tc>
        <w:tc>
          <w:tcPr>
            <w:tcW w:w="4876" w:type="dxa"/>
            <w:tcBorders>
              <w:top w:val="nil"/>
              <w:left w:val="nil"/>
              <w:bottom w:val="nil"/>
              <w:right w:val="nil"/>
            </w:tcBorders>
          </w:tcPr>
          <w:p>
            <w:pPr>
              <w:pStyle w:val="Normal6a"/>
            </w:pPr>
            <w:r>
              <w:t>36.</w:t>
            </w:r>
            <w:r>
              <w:tab/>
            </w:r>
            <w:r>
              <w:t xml:space="preserve">χαιρετίζει τη συνεχιζόμενη προσήλωση της Βόρειας Μακεδονίας στην ευρωατλαντική ασφάλεια· επαινεί την ευθυγράμμιση της χώρας με την εξωτερική πολιτική, την πολιτική ασφάλειας και άμυνας της ΕΕ, καθώς και τη μέχρι στιγμής πλήρη συμμόρφωσή της με τα περιοριστικά μέτρα που σχετίζονται με τη Ρωσία· </w:t>
            </w:r>
            <w:r>
              <w:rPr>
                <w:b/>
                <w:i/>
              </w:rPr>
              <w:t>εκφράζει την ικανοποίησή του για την έναρξη διαπραγματεύσεων το 2024 σχετικά με μια εταιρική σχέση στον τομέα της ασφάλειας και της άμυνας με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36α.</w:t>
            </w:r>
            <w:r>
              <w:tab/>
            </w:r>
            <w:r>
              <w:rPr>
                <w:b/>
                <w:i/>
              </w:rPr>
              <w:t>ενθαρρύνει τη Βόρεια Μακεδονία να εμβαθύνει τη συνεργασία με τους εταίρους της ΕΕ και του ΝΑΤΟ για την αντιμετώπιση υβριδικών απειλών, μεταξύ άλλων μέσω του συντονισμού της κυβερνοασφάλειας, της από κοινού παρακολούθησης της παραπληροφόρησης και της οικοδόμησης ανθεκτικότητας·</w:t>
            </w:r>
            <w:r>
              <w:t xml:space="preserve"> </w:t>
            </w:r>
            <w:r>
              <w:rPr>
                <w:b/>
                <w:i/>
              </w:rPr>
              <w:t>ζητεί την πλήρη θέση σε λειτουργία των μηχανισμών της ΕΕ, όπως το σύστημα έγκαιρης προειδοποίησης, για τον εντοπισμό κακόβουλων ξένων επιρροών σε πραγματικό χρόνο κατά τη διάρκεια βασικών δημοκρατικών διαδικασιών, συμπεριλαμβανομένων των εκλογών·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36α.</w:t>
            </w:r>
            <w:r>
              <w:tab/>
            </w:r>
            <w:r>
              <w:rPr>
                <w:b/>
                <w:i/>
              </w:rPr>
              <w:t>εκφράζει τη λύπη του για το γεγονός ότι η Βόρεια Μακεδονία συνυποστήριξε το ψήφισμα των ΗΠΑ σχετικά με την Ουκρανία στα Ηνωμένα Έθνη στις 24 Φεβρουαρίου 2025, μαζί με χώρες όπως η Γεωργία και η Ουγγαρία·</w:t>
            </w:r>
            <w:r>
              <w:t xml:space="preserve"> </w:t>
            </w:r>
            <w:r>
              <w:rPr>
                <w:b/>
                <w:i/>
              </w:rPr>
              <w:t>εκφράζει τη λύπη του για την αποχή της Βόρειας Μακεδονίας τόσο στα ψηφίσματα που στηρίζονται από την ΕΕ όσο και στα ψηφίσματα που στηρίζονται από τις ΗΠΑ·</w:t>
            </w:r>
            <w:r>
              <w:t xml:space="preserve"> </w:t>
            </w:r>
            <w:r>
              <w:rPr>
                <w:b/>
                <w:i/>
              </w:rPr>
              <w:t>υπογραμμίζει ότι η στάση αυτή υπονομεύει την ευθυγράμμιση της χώρας με την εξωτερική πολιτική και την πολιτική ασφάλειας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36α.</w:t>
            </w:r>
            <w:r>
              <w:tab/>
            </w:r>
            <w:r>
              <w:rPr>
                <w:b/>
                <w:i/>
              </w:rPr>
              <w:t>εκφράζει τη λύπη της για το γεγονός ότι η Βόρεια Μακεδονία επέλεξε να απόσχει από την ψηφοφορία επί του ψηφίσματος της Γενικής Συνέλευσης των Ηνωμένων Εθνών με το οποίο καταδικάζεται η ρωσική επίθεση κατά της Ουκρανίας, μια στάση που αντικατοπτρίζει μια χαμένη ευκαιρία για πλήρη ευθυγράμμιση με τη συλλογική ευρωπαϊκή δέσμευση για την προάσπιση της ειρήνης, του διεθνούς δικαίου και των δημοκρατικών αρχών.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36α.</w:t>
            </w:r>
            <w:r>
              <w:tab/>
            </w:r>
            <w:r>
              <w:rPr>
                <w:b/>
                <w:i/>
              </w:rPr>
              <w:t>εκφράζει την ικανοποίησή του για τη συνεχιζόμενη ενεργό συμμετοχή της Βόρειας Μακεδονίας στις αποστολές και επιχειρήσεις υπό την ηγεσία της ΕΕ και του ΝΑΤΟ, καθώς και για τον συνεχιζόμενο εκσυγχρονισμό των ενόπλων δυνάμεων και τις μεταρρυθμίσεις στους τομείς της διαχείρισης κρίσεων, των υποδομών ζωτικής σημασίας και της κυβερνοάμυνας·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36α.</w:t>
            </w:r>
            <w:r>
              <w:tab/>
            </w:r>
            <w:r>
              <w:rPr>
                <w:b/>
                <w:i/>
              </w:rPr>
              <w:t>επαινεί τη συνεχιζόμενη συμβολή της Βόρειας Μακεδονίας στις αποστολές διαχείρισης κρίσεων της ΕΕ και στις επιχειρήσεις υπό την ηγεσία του ΝΑΤΟ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36α.</w:t>
            </w:r>
            <w:r>
              <w:tab/>
            </w:r>
            <w:r>
              <w:rPr>
                <w:b/>
                <w:i/>
              </w:rPr>
              <w:t>υπογραμμίζει τη γεωστρατηγική σημασία της Βόρειας Μακεδονίας και τον σημαντικό ρόλο της ως μέλους του ΝΑΤΟ·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36β.</w:t>
            </w:r>
            <w:r>
              <w:tab/>
            </w:r>
            <w:r>
              <w:rPr>
                <w:b/>
                <w:i/>
              </w:rPr>
              <w:t>παροτρύνει την κυβέρνηση της Δημοκρατίας της Βόρειας Μακεδονίας, σύμφωνα με τη δήλωση απολογίας προς τα θύματα καταστολής του καθεστώτος κατά την περίοδο 1945-1990, η οποία εγκρίθηκε το 2006 από τη Συνέλευση της τότε Δημοκρατίας της Μακεδονίας και στο πνεύμα του ψηφίσματος του Ευρωπαϊκού Κοινοβουλίου σχετικά με την ευρωπαϊκή συνείδηση και τον ολοκληρωτισμό από το 2009 και της έκθεσης σχετικά με την ευρωπαϊκή ιστορική συνείδηση του 2023, να επιβεβαιώσει εκ νέου ότι καταδικάζει και ζητεί συγγνώμη για τις αδικίες και τις καταπατήσεις δικαιωμάτων που διαπράχθηκαν στο παρελθόν, άμεσα ή έμμεσα, από το ολοκληρωτικό σοσιαλιστικό γιουγκοσλαβικό καθεστώς κατά πολιτών με βάση τον εθνοτικό πολιτικό τους αυτοπροσδιορισμό, μεταξύ άλλων όσον αφορά τους Βουλγάρους·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36β.</w:t>
            </w:r>
            <w:r>
              <w:tab/>
            </w:r>
            <w:r>
              <w:rPr>
                <w:b/>
                <w:i/>
              </w:rPr>
              <w:t>επικροτεί τη συμφωνία που επιτεύχθηκε στη σύνοδο κορυφής των Τιράνων σχετικά με τη μείωση του κόστους περιαγωγής·</w:t>
            </w:r>
            <w:r>
              <w:t xml:space="preserve"> </w:t>
            </w:r>
            <w:r>
              <w:rPr>
                <w:b/>
                <w:i/>
              </w:rPr>
              <w:t>καλεί, στο πλαίσιο αυτό, τις αρχές, τους ιδιωτικούς φορείς και όλους τους ενδιαφερόμενους να διευκολύνουν την επίτευξη των συμφωνηθέντων στόχων για την επίτευξη ουσιαστικής μείωσης του κόστους περιαγωγής για δεδομένα και για περαιτέρω μειώσεις που θα οδηγήσουν σε τιμές παραπλήσιες των εγχώριων τιμών μεταξύ των Δυτικών Βαλκανίων και της ΕΕ έως το 2027·</w:t>
            </w:r>
            <w:r>
              <w:t xml:space="preserve"> </w:t>
            </w:r>
            <w:r>
              <w:rPr>
                <w:b/>
                <w:i/>
              </w:rPr>
              <w:t>επικροτεί την έναρξη ισχύος της πρώτης φάσης εφαρμογής του χάρτη πορείας για την περιαγωγή μεταξύ των Δυτικών Βαλκανίων και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36β.</w:t>
            </w:r>
            <w:r>
              <w:tab/>
            </w:r>
            <w:r>
              <w:rPr>
                <w:b/>
                <w:i/>
              </w:rPr>
              <w:t>τάσσεται υπέρ της αυξημένης περιφερειακής συνεργασίας μεταξύ των χωρών των Δυτικών Βαλκανίων για την ανταλλαγή βέλτιστων πρακτικών και την ανάπτυξη κοινών στρατηγικών καταπολέμησης της παραπληροφόρησης και των εξωτερικών παρεμβάσεων·</w:t>
            </w:r>
            <w:r>
              <w:t xml:space="preserve"> </w:t>
            </w:r>
            <w:r>
              <w:rPr>
                <w:b/>
                <w:i/>
              </w:rPr>
              <w:t>τονίζει τον ρόλο της Ευρωπαϊκής Ένωσης στη διευκόλυνση αυτών των συνεργατικών προσπαθειών·</w:t>
            </w:r>
            <w:r>
              <w:t xml:space="preserve"> </w:t>
            </w:r>
            <w:r>
              <w:rPr>
                <w:b/>
                <w:i/>
              </w:rPr>
              <w:t>ζητεί τη συνέχιση και την περαιτέρω ενίσχυση του περιφερειακού προγράμματος του ΜΠΒ για την ασφάλεια στον κυβερνοχώρο·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771.966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164</w:t>
    </w:r>
    <w:r>
      <w:fldChar w:fldCharType="end"/>
    </w:r>
    <w:r>
      <w:t>/</w:t>
    </w:r>
    <w:r>
      <w:fldChar w:fldCharType="begin"/>
    </w:r>
    <w:r>
      <w:instrText xml:space="preserve"> NUMPAGES </w:instrText>
    </w:r>
    <w:r>
      <w:fldChar w:fldCharType="separate"/>
    </w:r>
    <w:r>
      <w:t>165</w:t>
    </w:r>
    <w:r>
      <w:fldChar w:fldCharType="end"/>
    </w:r>
    <w:r>
      <w:tab/>
    </w:r>
    <w:r>
      <w:rPr>
        <w:rStyle w:val="HideTWBExt"/>
      </w:rPr>
      <w:t>&lt;PathFdR&gt;</w:t>
    </w:r>
    <w:r>
      <w:t>AM\1318066EL.docx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AM\1318066EL.docx</w:t>
    </w:r>
    <w:r>
      <w:rPr>
        <w:rStyle w:val="HideTWBExt"/>
      </w:rPr>
      <w:t>&lt;/PathFdR&gt;</w:t>
    </w:r>
    <w:r>
      <w:tab/>
    </w:r>
    <w:r>
      <w:fldChar w:fldCharType="begin"/>
    </w:r>
    <w:r>
      <w:instrText xml:space="preserve"> PAGE </w:instrText>
    </w:r>
    <w:r>
      <w:fldChar w:fldCharType="separate"/>
    </w:r>
    <w:r>
      <w:t>165</w:t>
    </w:r>
    <w:r>
      <w:fldChar w:fldCharType="end"/>
    </w:r>
    <w:r>
      <w:t>/</w:t>
    </w:r>
    <w:r>
      <w:fldChar w:fldCharType="begin"/>
    </w:r>
    <w:r>
      <w:instrText xml:space="preserve"> NUMPAGES </w:instrText>
    </w:r>
    <w:r>
      <w:fldChar w:fldCharType="separate"/>
    </w:r>
    <w:r>
      <w:t>165</w:t>
    </w:r>
    <w:r>
      <w:fldChar w:fldCharType="end"/>
    </w:r>
    <w:r>
      <w:tab/>
    </w:r>
    <w:r>
      <w:t>PE</w:t>
    </w:r>
    <w:r>
      <w:rPr>
        <w:rStyle w:val="HideTWBExt"/>
      </w:rPr>
      <w:t>&lt;NoPE&gt;</w:t>
    </w:r>
    <w:r>
      <w:t>771.966</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AM\1318066EL.docx</w:t>
    </w:r>
    <w:r>
      <w:rPr>
        <w:rStyle w:val="HideTWBExt"/>
      </w:rPr>
      <w:t>&lt;/PathFdR&gt;</w:t>
    </w:r>
    <w:r>
      <w:tab/>
    </w:r>
    <w:r>
      <w:tab/>
    </w:r>
    <w:r>
      <w:t>PE</w:t>
    </w:r>
    <w:r>
      <w:rPr>
        <w:rStyle w:val="HideTWBExt"/>
      </w:rPr>
      <w:t>&lt;NoPE&gt;</w:t>
    </w:r>
    <w:r>
      <w:t>771.966</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165</Pages>
  <Words>29795</Words>
  <Characters>183354</Characters>
  <Application>Microsoft Office Word</Application>
  <DocSecurity>0</DocSecurity>
  <Lines>1</Lines>
  <Paragraphs>2748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1318066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164123</vt:lpwstr>
  </property>
  <property fmtid="{D5CDD505-2E9C-101B-9397-08002B2CF9AE}" pid="7" name="dmxml.render.traceId">
    <vt:lpwstr>67fcda237e2b146d424c1d9ccc33a3e2</vt:lpwstr>
  </property>
  <property fmtid="{D5CDD505-2E9C-101B-9397-08002B2CF9AE}" pid="8" name="FooterPath">
    <vt:lpwstr>AM\1318066EL.docx</vt:lpwstr>
  </property>
  <property fmtid="{D5CDD505-2E9C-101B-9397-08002B2CF9AE}" pid="9" name="PE Number">
    <vt:lpwstr>771.966</vt:lpwstr>
  </property>
  <property fmtid="{D5CDD505-2E9C-101B-9397-08002B2CF9AE}" pid="10" name="UID">
    <vt:lpwstr>eu.europa.europarl-DIN1-2025-0000065572_01.00-el-02.00_text-xml</vt:lpwstr>
  </property>
</Properties>
</file>