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Comisia pentru afaceri externe</w:t>
      </w:r>
      <w:r>
        <w:rPr>
          <w:rStyle w:val="HideTWBExt"/>
        </w:rPr>
        <w:t>&lt;/Commission&gt;</w:t>
      </w:r>
    </w:p>
    <w:p>
      <w:pPr>
        <w:pStyle w:val="LineBottom"/>
      </w:pPr>
      <w:r>
        <w:t xml:space="preserve"> </w:t>
      </w:r>
    </w:p>
    <w:p>
      <w:pPr>
        <w:pStyle w:val="CoverReference"/>
      </w:pPr>
      <w:r>
        <w:rPr>
          <w:rStyle w:val="HideTWBExt"/>
        </w:rPr>
        <w:t>&lt;RefProc&gt;</w:t>
      </w:r>
      <w:r>
        <w:t>2025/2018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{14/04/2025}</w:t>
      </w:r>
      <w:r>
        <w:t>14.4.2025</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w:t>
      </w:r>
      <w:r>
        <w:t xml:space="preserve"> - </w:t>
      </w:r>
      <w:r>
        <w:t>314</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Ondřej Kolář</w:t>
      </w:r>
      <w:r>
        <w:rPr>
          <w:rStyle w:val="HideTWBExt"/>
        </w:rPr>
        <w:t>&lt;/Rapporteur&gt;</w:t>
      </w:r>
    </w:p>
    <w:p>
      <w:pPr>
        <w:pStyle w:val="CoverNormal24a"/>
      </w:pPr>
      <w:r>
        <w:rPr>
          <w:rStyle w:val="HideTWBExt"/>
        </w:rPr>
        <w:t>&lt;DocRefPE&gt;</w:t>
      </w:r>
      <w:r>
        <w:t>(PE769.995v01-00)</w:t>
      </w:r>
      <w:r>
        <w:rPr>
          <w:rStyle w:val="HideTWBExt"/>
        </w:rPr>
        <w:t>&lt;/DocRefPE&gt;</w:t>
      </w:r>
    </w:p>
    <w:p>
      <w:pPr>
        <w:pStyle w:val="CoverNormal"/>
      </w:pPr>
      <w:r>
        <w:rPr>
          <w:rStyle w:val="HideTWBExt"/>
        </w:rPr>
        <w:t>&lt;Titre&gt;</w:t>
      </w:r>
      <w:r>
        <w:t>Rapoartele Comisiei privind Bosnia și Herțegovina din 2023 și 2024</w:t>
      </w:r>
      <w:r>
        <w:rPr>
          <w:rStyle w:val="HideTWBExt"/>
        </w:rPr>
        <w:t>&lt;/Titre&gt;</w:t>
      </w:r>
    </w:p>
    <w:p>
      <w:pPr>
        <w:pStyle w:val="CoverNormal24a"/>
      </w:pPr>
      <w:r>
        <w:rPr>
          <w:rStyle w:val="HideTWBExt"/>
        </w:rPr>
        <w:t>&lt;DocRef&gt;</w:t>
      </w:r>
      <w:r>
        <w:t>(2025/2018(INI))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având în vedere Acordul-cadru general pentru pace în Bosnia și Herțegovina, parafat la Dayton, la 21 noiembrie 1995 și semnat la Paris, la 14 decembrie 1995 (Acordul de pace de la </w:t>
            </w:r>
            <w:r>
              <w:rPr>
                <w:b/>
                <w:i/>
              </w:rPr>
              <w:t>Dayton</w:t>
            </w:r>
            <w:r>
              <w:t>),</w:t>
            </w:r>
          </w:p>
        </w:tc>
        <w:tc>
          <w:tcPr>
            <w:tcW w:w="4876" w:type="dxa"/>
            <w:tcBorders>
              <w:top w:val="nil"/>
              <w:left w:val="nil"/>
              <w:bottom w:val="nil"/>
              <w:right w:val="nil"/>
            </w:tcBorders>
          </w:tcPr>
          <w:p>
            <w:pPr>
              <w:pStyle w:val="Normal6a"/>
            </w:pPr>
            <w:r>
              <w:t>–</w:t>
            </w:r>
            <w:r>
              <w:tab/>
            </w:r>
            <w:r>
              <w:t xml:space="preserve">având în vedere Acordul-cadru general pentru pace în Bosnia și Herțegovina, parafat la Dayton, la 21 noiembrie 1995 și semnat la Paris, la 14 decembrie 1995 (Acordul de pace de la </w:t>
            </w:r>
            <w:r>
              <w:rPr>
                <w:b/>
                <w:i/>
              </w:rPr>
              <w:t>Dayton-Paris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Željana Zovko,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constituțiile Federației Bosnia și Herțegovina și Republicii Srpska,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Nikolina Brnjac, 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Constituția Bosniei și Herțegovinei, care precizează că în această țară există trei limbi oficiale,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Nikolina Brnjac, 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 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Convenția UNESCO asupra protecției și promovării diversității expresiilor culturale, din 20 octombrie 2005,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 d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Convenția UNESCO din 17 octombrie 2003 pentru salvgardarea patrimoniului cultural imaterial, care include tradițiile și expresiile orale, printre care și limba, ca vector al patrimoniului cultural imaterial,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 e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convențiile UNESCO privind dreptul la educație în limba maternă,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Davor Ivo Stier, Sunčana Glavak, Karlo Ressler, Željana Zovko, Nikolina Brnjac,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14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Declarația de la Zagreb adoptată în cadrul summitului UE-Balcanii de Vest din 6 mai 2020, care a confirmat prioritățile comune, inclusiv perspectiva europeană a regiunii, consolidarea democrației, a statului de drept și a drepturilor fundamentale, precum și necesitatea unor procese politice incluzive și a reconcilierii reciproce,</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15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recomandarea sa din 23 noiembrie 2022 adresată Consiliului, Comisiei și Vicepreședintelui Comisiei/Înaltului Reprezentant al Uniunii pentru afaceri externe și politica de securitate privind noua strategie de extindere 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15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acordul politic din 12 iunie 2022 privind principiile pentru a asigura că Bosnia și Herțegovina este funcțională și avansează pe calea europeană,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Davor Ivo Stier, Karlo Ressler, Željana Zovko,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având în vedere rezultatele cu care s-au încheiat a treia, a patra </w:t>
            </w:r>
            <w:r>
              <w:rPr>
                <w:b/>
                <w:i/>
              </w:rPr>
              <w:t>și a cincea</w:t>
            </w:r>
            <w:r>
              <w:t xml:space="preserve"> reuniune a Comisiei parlamentare de stabilizare și de asociere UE-Bosnia și Herțegovina, derulate la 30 și 31 octombrie 2023, 13 și 14 martie 2024 și, respectiv, la 30 octombrie 2024,</w:t>
            </w:r>
          </w:p>
        </w:tc>
        <w:tc>
          <w:tcPr>
            <w:tcW w:w="4876" w:type="dxa"/>
            <w:tcBorders>
              <w:top w:val="nil"/>
              <w:left w:val="nil"/>
              <w:bottom w:val="nil"/>
              <w:right w:val="nil"/>
            </w:tcBorders>
          </w:tcPr>
          <w:p>
            <w:pPr>
              <w:pStyle w:val="Normal6a"/>
            </w:pPr>
            <w:r>
              <w:t>–</w:t>
            </w:r>
            <w:r>
              <w:tab/>
            </w:r>
            <w:r>
              <w:t>având în vedere rezultatele cu care s-au încheiat a treia, a patra</w:t>
            </w:r>
            <w:r>
              <w:rPr>
                <w:b/>
                <w:i/>
              </w:rPr>
              <w:t>, a cincea și a șasea</w:t>
            </w:r>
            <w:r>
              <w:t xml:space="preserve"> reuniune a Comisiei parlamentare de stabilizare și de asociere UE-Bosnia și Herțegovina, derulate la 30 și 31 octombrie 2023, 13 și 14 martie 2024 și, respectiv, la 30 octombrie 2024 </w:t>
            </w:r>
            <w:r>
              <w:rPr>
                <w:b/>
                <w:i/>
              </w:rPr>
              <w:t>și 12 și 13 martie 2025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24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hotărârile relevante ale Curții Europene a Drepturilor Omului în favoarea reclamanților, printre care Azra Zornić, Dervo Sejdić și Jakob Finci,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24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Legea electorală modificată a Bosniei și Herțegovinei, impusă de Înaltul Reprezentant la 26 martie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27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Convenția Organizației Națiunilor Unite cu privire la drepturile copilului (CDC), ratificată de Bosnia și Herțegovina la 6 martie 1992, și cele trei protocoale opționale ale acesteia, și anume:</w:t>
            </w:r>
            <w:r>
              <w:t xml:space="preserve"> </w:t>
            </w:r>
            <w:r>
              <w:rPr>
                <w:b/>
                <w:i/>
              </w:rPr>
              <w:t>Protocolul opțional privind implicarea copiilor în conflictele armate, ratificat la 10 octombrie 2003;</w:t>
            </w:r>
            <w:r>
              <w:t xml:space="preserve"> </w:t>
            </w:r>
            <w:r>
              <w:rPr>
                <w:b/>
                <w:i/>
              </w:rPr>
              <w:t>Protocolul opțional privind vânzarea de copii, prostituția copiilor și pornografia infantilă, ratificat la 4 septembrie 2001;</w:t>
            </w:r>
            <w:r>
              <w:t xml:space="preserve"> </w:t>
            </w:r>
            <w:r>
              <w:rPr>
                <w:b/>
                <w:i/>
              </w:rPr>
              <w:t>și Protocolul opțional privind o procedură de comunicare, ratificat la 19 octombrie 2018,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27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Avizul din 2005 al Comisiei de la Veneția referitor la situația constituțională din Bosnia și Herțegovina și puterile Înaltului Reprezentant,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27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concluziile Consiliului European de la Copenhaga din 21-22 iunie 1993 privind criteriile de aderare la Uniunea Europeană,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27 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concluziile Consiliului European de la Madrid din 15-16 decembrie 1995 privind capacitatea Uniunii de a integra noi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30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întrucât diversitatea lingvistică este recunoscută ca un drept al cetățenilor la articolele 22 și 23 din Carta drepturilor fundamentale, ceea ce înseamnă că încercarea de a institui exclusivitatea unei limbi constituie o restrângere și o încălcare a valorilor fundamentale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Davor Ivo Stier, Karlo Ressler, Željana Zovko, Nikolina Brnjac,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30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întrucât autoritățile entității Republica Srpska au participat la „Adunarea tuturor sârbilor”, care a avut loc la 8 iunie 2024 la Belgrad, sub sloganul „Un singur popor, o singură adunare”;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Davor Ivo Stier, Karlo Ressler, Željana Zovko,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30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întrucât Federația Bosniei și Herțegovinei (FBiH) a fost înființată pe baza principiilor federalismului și egalității între partenerii federali, în conformitate cu Acordul cadru pentru înființarea FBiH semnat la Washington la 1 martie 1994 și cu Acordul de pace de la Dayton;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30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raportul adoptat de Parlamentul European la 17 ianuarie 2024 intitulat „Rolul diplomației preventive în abordarea conflictelor înghețate din întreaga lume – oportunități ratate sau schimbări pentru viitor?”,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Davor Ivo Stier, Karlo Ressler, Nikolina Brnjac,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30 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întrucât partidul SNSD al lui Milorad Dodik a fost exclus din coaliția aflată la guvernare în Bosnia și Herțegovina și a fost inițiat un proces de formare a unei noi majorități pro-UE;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30 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vizitele Înaltei Reprezentante, Kaja Kallas, și ale Secretarului General al NATO, Mark Rutte, în Bosnia și Herțegovina, în martie și aprilie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30 d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declarația Președintelui Consiliului European, António Costa, adresată liderilor politici ai Bosniei și Herțegovinei în aprilie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întrucât </w:t>
            </w:r>
            <w:r>
              <w:rPr>
                <w:b/>
                <w:i/>
              </w:rPr>
              <w:t>extinderea este cel mai de succes instrument de politică externă al UE, reprezentând o investiție geostrategică în pace, stabilitate și securitate și prosperitate</w:t>
            </w:r>
            <w:r>
              <w:t>;</w:t>
            </w:r>
          </w:p>
        </w:tc>
        <w:tc>
          <w:tcPr>
            <w:tcW w:w="4876" w:type="dxa"/>
            <w:tcBorders>
              <w:top w:val="nil"/>
              <w:left w:val="nil"/>
              <w:bottom w:val="nil"/>
              <w:right w:val="nil"/>
            </w:tcBorders>
          </w:tcPr>
          <w:p>
            <w:pPr>
              <w:pStyle w:val="Normal6a"/>
            </w:pPr>
            <w:r>
              <w:t>A.</w:t>
            </w:r>
            <w:r>
              <w:tab/>
            </w:r>
            <w:r>
              <w:t xml:space="preserve">întrucât </w:t>
            </w:r>
            <w:r>
              <w:rPr>
                <w:b/>
                <w:i/>
              </w:rPr>
              <w:t>UE nu ar trebui să considere extinderea ulterioară drept o prioritate strategică implicită, în special atunci când o țară candidată este marcată de diviziuni etnice profunde și de valori culturale sau religioase care diferă semnificativ de cele ale statelor membre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întrucât extinderea </w:t>
            </w:r>
            <w:r>
              <w:rPr>
                <w:b/>
                <w:i/>
              </w:rPr>
              <w:t>este cel mai de succes instrument de politică externă al UE, reprezentând o investiție geostrategică în pace, stabilitate și securitate și prosperitate</w:t>
            </w:r>
            <w:r>
              <w:t>;</w:t>
            </w:r>
          </w:p>
        </w:tc>
        <w:tc>
          <w:tcPr>
            <w:tcW w:w="4876" w:type="dxa"/>
            <w:tcBorders>
              <w:top w:val="nil"/>
              <w:left w:val="nil"/>
              <w:bottom w:val="nil"/>
              <w:right w:val="nil"/>
            </w:tcBorders>
          </w:tcPr>
          <w:p>
            <w:pPr>
              <w:pStyle w:val="Normal6a"/>
            </w:pPr>
            <w:r>
              <w:t>A.</w:t>
            </w:r>
            <w:r>
              <w:tab/>
            </w:r>
            <w:r>
              <w:t xml:space="preserve">întrucât extinderea </w:t>
            </w:r>
            <w:r>
              <w:rPr>
                <w:b/>
                <w:i/>
              </w:rPr>
              <w:t>a generat adesea provocări legate de integrarea, coeziunea și stabilitatea în cadrul UE și și-a exprimat îngrijorarea cu privire la capacitatea UE de a-și menține eficiența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întrucât extinderea este </w:t>
            </w:r>
            <w:r>
              <w:rPr>
                <w:b/>
                <w:i/>
              </w:rPr>
              <w:t>cel mai de succes</w:t>
            </w:r>
            <w:r>
              <w:t xml:space="preserve"> instrument de politică externă al UE, reprezentând o investiție geostrategică în pace, stabilitate și securitate și prosperitate;</w:t>
            </w:r>
          </w:p>
        </w:tc>
        <w:tc>
          <w:tcPr>
            <w:tcW w:w="4876" w:type="dxa"/>
            <w:tcBorders>
              <w:top w:val="nil"/>
              <w:left w:val="nil"/>
              <w:bottom w:val="nil"/>
              <w:right w:val="nil"/>
            </w:tcBorders>
          </w:tcPr>
          <w:p>
            <w:pPr>
              <w:pStyle w:val="Normal6a"/>
            </w:pPr>
            <w:r>
              <w:t>A.</w:t>
            </w:r>
            <w:r>
              <w:tab/>
            </w:r>
            <w:r>
              <w:t xml:space="preserve">întrucât extinderea este </w:t>
            </w:r>
            <w:r>
              <w:rPr>
                <w:b/>
                <w:i/>
              </w:rPr>
              <w:t>folosită ca</w:t>
            </w:r>
            <w:r>
              <w:t xml:space="preserve"> instrument de politică externă al UE, reprezentând o investiție geostrategică în pace, stabilitate și securitate și prosperitate; </w:t>
            </w:r>
            <w:r>
              <w:rPr>
                <w:b/>
                <w:i/>
              </w:rPr>
              <w:t>întrucât extinderea generează riscuri și probleme din ce în ce mai mari pentru funcționarea UE, o realitate care trebuie evaluată în mod corespunzător de actualele state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extinderea este cel mai de succes instrument de politică externă al UE, reprezentând o investiție geostrategică în pace, stabilitate și securitate și prosperitate;</w:t>
            </w:r>
          </w:p>
        </w:tc>
        <w:tc>
          <w:tcPr>
            <w:tcW w:w="4876" w:type="dxa"/>
            <w:tcBorders>
              <w:top w:val="nil"/>
              <w:left w:val="nil"/>
              <w:bottom w:val="nil"/>
              <w:right w:val="nil"/>
            </w:tcBorders>
          </w:tcPr>
          <w:p>
            <w:pPr>
              <w:pStyle w:val="Normal6a"/>
            </w:pPr>
            <w:r>
              <w:t>A.</w:t>
            </w:r>
            <w:r>
              <w:tab/>
            </w:r>
            <w:r>
              <w:t xml:space="preserve">întrucât extinderea este cel mai de succes instrument de politică externă al UE, reprezentând o investiție geostrategică în pace, </w:t>
            </w:r>
            <w:r>
              <w:rPr>
                <w:b/>
                <w:i/>
              </w:rPr>
              <w:t>democrație,</w:t>
            </w:r>
            <w:r>
              <w:t xml:space="preserve"> stabilitate și securitate și prosperitate </w:t>
            </w:r>
            <w:r>
              <w:rPr>
                <w:b/>
                <w:i/>
              </w:rPr>
              <w:t>și rămâne de o importanță crucială, în special în contextul schimbărilor geopolitice majore rapide și al concurenței tot mai mari cu regimurile autoritare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extinderea este cel mai de succes instrument de politică externă al UE, reprezentând o investiție geostrategică în pace, stabilitate și securitate și prosperitate;</w:t>
            </w:r>
          </w:p>
        </w:tc>
        <w:tc>
          <w:tcPr>
            <w:tcW w:w="4876" w:type="dxa"/>
            <w:tcBorders>
              <w:top w:val="nil"/>
              <w:left w:val="nil"/>
              <w:bottom w:val="nil"/>
              <w:right w:val="nil"/>
            </w:tcBorders>
          </w:tcPr>
          <w:p>
            <w:pPr>
              <w:pStyle w:val="Normal6a"/>
            </w:pPr>
            <w:r>
              <w:t>A.</w:t>
            </w:r>
            <w:r>
              <w:tab/>
            </w:r>
            <w:r>
              <w:t xml:space="preserve">întrucât extinderea este cel mai de succes instrument de politică externă al UE, reprezentând o investiție geostrategică în pace, stabilitate și securitate și prosperitate; </w:t>
            </w:r>
            <w:r>
              <w:rPr>
                <w:b/>
                <w:i/>
              </w:rPr>
              <w:t>întrucât efectele pozitive ale extinderii pot fi deosebit de benefice pentru Bosnia și Herțegovina, pentru a depăși provocările sale interne de lungă durată;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extinderea este cel mai de succes instrument de politică externă al UE, reprezentând o investiție geostrategică în pace, stabilitate și securitate și prosperitate;</w:t>
            </w:r>
          </w:p>
        </w:tc>
        <w:tc>
          <w:tcPr>
            <w:tcW w:w="4876" w:type="dxa"/>
            <w:tcBorders>
              <w:top w:val="nil"/>
              <w:left w:val="nil"/>
              <w:bottom w:val="nil"/>
              <w:right w:val="nil"/>
            </w:tcBorders>
          </w:tcPr>
          <w:p>
            <w:pPr>
              <w:pStyle w:val="Normal6a"/>
            </w:pPr>
            <w:r>
              <w:t>A.</w:t>
            </w:r>
            <w:r>
              <w:tab/>
            </w:r>
            <w:r>
              <w:t xml:space="preserve">întrucât extinderea este cel mai de succes instrument de politică externă al UE, reprezentând o investiție geostrategică în pace, stabilitate și securitate și prosperitate </w:t>
            </w:r>
            <w:r>
              <w:rPr>
                <w:b/>
                <w:i/>
              </w:rPr>
              <w:t>pe continentul european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extinderea este cel mai de succes instrument de politică externă al UE, reprezentând o investiție geostrategică în pace, stabilitate și securitate și prosperitate;</w:t>
            </w:r>
          </w:p>
        </w:tc>
        <w:tc>
          <w:tcPr>
            <w:tcW w:w="4876" w:type="dxa"/>
            <w:tcBorders>
              <w:top w:val="nil"/>
              <w:left w:val="nil"/>
              <w:bottom w:val="nil"/>
              <w:right w:val="nil"/>
            </w:tcBorders>
          </w:tcPr>
          <w:p>
            <w:pPr>
              <w:pStyle w:val="Normal6a"/>
            </w:pPr>
            <w:r>
              <w:t>A.</w:t>
            </w:r>
            <w:r>
              <w:tab/>
            </w:r>
            <w:r>
              <w:t>întrucât extinderea</w:t>
            </w:r>
            <w:r>
              <w:rPr>
                <w:b/>
                <w:i/>
              </w:rPr>
              <w:t>, atunci când este aplicată corect,</w:t>
            </w:r>
            <w:r>
              <w:t xml:space="preserve"> este cel mai de succes instrument de politică externă al UE, reprezentând o investiție geostrategică în pace, stabilitate și securitate și prosperitate;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Nikolina Brnjac, 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întrucât diversitatea lingvistică și culturală constituie unul dintre principiile fundamentale ale Uniunii Europene, consfințit la articolul 22 din Carta drepturilor fundamentale, care afirmă: „Uniunea respectă diversitatea culturală, religioasă și lingvistică”;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întrucât peste 50 % din populația Bosniei și Herțegovinei se identifică cu islamul, un factor care are implicații semnificative pentru compatibilitatea cu patrimoniul juridic, istoric și bazat pe valori al statelor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întrucât </w:t>
            </w:r>
            <w:r>
              <w:rPr>
                <w:b/>
                <w:i/>
              </w:rPr>
              <w:t>fiecare țară este evaluată în funcție de propriile merite în îndeplinirea criteriilor de la Copenhaga și respectarea deplină a democrației, a statului de drept și a valorilor fundamentale</w:t>
            </w:r>
            <w:r>
              <w:t xml:space="preserve"> ale UE;</w:t>
            </w:r>
          </w:p>
        </w:tc>
        <w:tc>
          <w:tcPr>
            <w:tcW w:w="4876" w:type="dxa"/>
            <w:tcBorders>
              <w:top w:val="nil"/>
              <w:left w:val="nil"/>
              <w:bottom w:val="nil"/>
              <w:right w:val="nil"/>
            </w:tcBorders>
          </w:tcPr>
          <w:p>
            <w:pPr>
              <w:pStyle w:val="Normal6a"/>
            </w:pPr>
            <w:r>
              <w:t>B.</w:t>
            </w:r>
            <w:r>
              <w:tab/>
            </w:r>
            <w:r>
              <w:t xml:space="preserve">întrucât </w:t>
            </w:r>
            <w:r>
              <w:rPr>
                <w:b/>
                <w:i/>
              </w:rPr>
              <w:t>extinderea viitoare a UE nu ar trebui să se facă în detrimentul statelor membre</w:t>
            </w:r>
            <w:r>
              <w:t xml:space="preserve">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întrucât fiecare țară este evaluată în funcție de propriile merite în îndeplinirea criteriilor de la Copenhaga și respectarea deplină a democrației, a statului de drept și a valorilor fundamentale ale UE;</w:t>
            </w:r>
          </w:p>
        </w:tc>
        <w:tc>
          <w:tcPr>
            <w:tcW w:w="4876" w:type="dxa"/>
            <w:tcBorders>
              <w:top w:val="nil"/>
              <w:left w:val="nil"/>
              <w:bottom w:val="nil"/>
              <w:right w:val="nil"/>
            </w:tcBorders>
          </w:tcPr>
          <w:p>
            <w:pPr>
              <w:pStyle w:val="Normal6a"/>
            </w:pPr>
            <w:r>
              <w:t>B.</w:t>
            </w:r>
            <w:r>
              <w:tab/>
            </w:r>
            <w:r>
              <w:t xml:space="preserve">întrucât fiecare țară este evaluată în funcție de propriile merite în îndeplinirea criteriilor de la Copenhaga și respectarea deplină a democrației, a statului de drept și a valorilor fundamentale ale UE; </w:t>
            </w:r>
            <w:r>
              <w:rPr>
                <w:b/>
                <w:i/>
              </w:rPr>
              <w:t>întrucât UE ar trebui să aibă criteriile de rigoare economică și stabilitate politică în prima linie a relațiilor sale bilaterale cu Bosnia și Herțegovina (BiH), așa cum se prevede în criteriile de la Copenhaga;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întrucât fiecare țară este evaluată în funcție de propriile merite în îndeplinirea criteriilor de la Copenhaga și respectarea deplină a democrației, a statului de drept și a valorilor fundamentale ale UE;</w:t>
            </w:r>
          </w:p>
        </w:tc>
        <w:tc>
          <w:tcPr>
            <w:tcW w:w="4876" w:type="dxa"/>
            <w:tcBorders>
              <w:top w:val="nil"/>
              <w:left w:val="nil"/>
              <w:bottom w:val="nil"/>
              <w:right w:val="nil"/>
            </w:tcBorders>
          </w:tcPr>
          <w:p>
            <w:pPr>
              <w:pStyle w:val="Normal6a"/>
            </w:pPr>
            <w:r>
              <w:t>B.</w:t>
            </w:r>
            <w:r>
              <w:tab/>
            </w:r>
            <w:r>
              <w:t>întrucât fiecare țară este evaluată în funcție de propriile merite în îndeplinirea criteriilor de la Copenhaga și respectarea deplină a democrației, a statului de drept și a valorilor fundamentale ale UE</w:t>
            </w:r>
            <w:r>
              <w:rPr>
                <w:b/>
                <w:i/>
              </w:rPr>
              <w:t>, drepturile minorităților și libertatea mediilor de informare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întrucât fiecare țară este evaluată în funcție de propriile merite în îndeplinirea criteriilor de la Copenhaga și respectarea deplină a democrației, a statului de drept și a valorilor fundamentale ale UE;</w:t>
            </w:r>
          </w:p>
        </w:tc>
        <w:tc>
          <w:tcPr>
            <w:tcW w:w="4876" w:type="dxa"/>
            <w:tcBorders>
              <w:top w:val="nil"/>
              <w:left w:val="nil"/>
              <w:bottom w:val="nil"/>
              <w:right w:val="nil"/>
            </w:tcBorders>
          </w:tcPr>
          <w:p>
            <w:pPr>
              <w:pStyle w:val="Normal6a"/>
            </w:pPr>
            <w:r>
              <w:t>B.</w:t>
            </w:r>
            <w:r>
              <w:tab/>
            </w:r>
            <w:r>
              <w:t>întrucât fiecare țară este evaluată în funcție de propriile merite în îndeplinirea criteriilor de la Copenhaga și respectarea deplină a democrației, a statului de drept</w:t>
            </w:r>
            <w:r>
              <w:rPr>
                <w:b/>
                <w:i/>
              </w:rPr>
              <w:t>, a drepturilor omului</w:t>
            </w:r>
            <w:r>
              <w:t xml:space="preserve"> și a valorilor fundamentale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Uniunea Europeană este principalul partener comercial al Bosniei și Herțegovinei, reprezentând majoritatea fluxurilor sale comerciale externe și jucând un rol central în procesul său de integrare economică;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UE sprijină cu fermitate integritatea teritorială și suveranitatea Bosniei și Herțegovinei și nu va accepta nicio încercare de subminare a acesteia;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întrucât Bosnia și Herțegovina este un stat multietnic pe teritoriul căruia diferite grupuri religioase și etnice au trăit secole, demonstrând că popoarele cu opinii diferite pot coexista într-un mediu de toleranță și respect reciproc;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întrucât, potrivit Barometrului public balcanic, faptul că a devenit țară candidată a mărit sprijinul pentru aderarea la UE în rândul populației din Bosnia și Herțegovina;</w:t>
            </w:r>
            <w:r>
              <w:t xml:space="preserve"> </w:t>
            </w:r>
            <w:r>
              <w:rPr>
                <w:b/>
                <w:i/>
              </w:rPr>
              <w:t>întrucât acest sprijin rămâne încă fragil din cauza discursurilor anti-UE promovate de actori iliberali din regiune și din afara acesteia;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întrucât </w:t>
            </w:r>
            <w:r>
              <w:rPr>
                <w:b/>
                <w:i/>
              </w:rPr>
              <w:t>Bosnia și Herțegovina este o țară candidată și cetățenii săi aspiră la integrarea euro-atlantică pentru a avea parte</w:t>
            </w:r>
            <w:r>
              <w:t xml:space="preserve"> de pace</w:t>
            </w:r>
            <w:r>
              <w:rPr>
                <w:b/>
                <w:i/>
              </w:rPr>
              <w:t>, democrație și prosperitate durabile;</w:t>
            </w:r>
            <w:r>
              <w:t xml:space="preserve"> </w:t>
            </w:r>
            <w:r>
              <w:rPr>
                <w:b/>
                <w:i/>
              </w:rPr>
              <w:t>întrucât în 2025 se va comemora cea de a 30-a aniversare a Acordului de pace de la Dayton,</w:t>
            </w:r>
          </w:p>
        </w:tc>
        <w:tc>
          <w:tcPr>
            <w:tcW w:w="4876" w:type="dxa"/>
            <w:tcBorders>
              <w:top w:val="nil"/>
              <w:left w:val="nil"/>
              <w:bottom w:val="nil"/>
              <w:right w:val="nil"/>
            </w:tcBorders>
          </w:tcPr>
          <w:p>
            <w:pPr>
              <w:pStyle w:val="Normal6a"/>
            </w:pPr>
            <w:r>
              <w:t>C.</w:t>
            </w:r>
            <w:r>
              <w:tab/>
            </w:r>
            <w:r>
              <w:t>întrucât </w:t>
            </w:r>
            <w:r>
              <w:rPr>
                <w:b/>
                <w:i/>
              </w:rPr>
              <w:t>ar trebui reexaminată o nouă extindere a UE;</w:t>
            </w:r>
            <w:r>
              <w:t xml:space="preserve"> </w:t>
            </w:r>
            <w:r>
              <w:rPr>
                <w:b/>
                <w:i/>
              </w:rPr>
              <w:t>întrucât cea de a 30-a aniversare a Acordului</w:t>
            </w:r>
            <w:r>
              <w:t xml:space="preserve"> de pace </w:t>
            </w:r>
            <w:r>
              <w:rPr>
                <w:b/>
                <w:i/>
              </w:rPr>
              <w:t>de la Dayton ar trebui să reamintească importanța stabilității regionale, care ar putea fi pusă în pericol de politicile de extindere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întrucât Bosnia și Herțegovina este o țară candidată și </w:t>
            </w:r>
            <w:r>
              <w:rPr>
                <w:b/>
                <w:i/>
              </w:rPr>
              <w:t>cetățenii săi</w:t>
            </w:r>
            <w:r>
              <w:t xml:space="preserve"> aspiră la integrarea euro-atlantică pentru a avea parte de pace, democrație și prosperitate durabile; întrucât în 2025 se va comemora cea de a 30-a aniversare a Acordului de pace de la </w:t>
            </w:r>
            <w:r>
              <w:rPr>
                <w:b/>
                <w:i/>
              </w:rPr>
              <w:t>Dayton</w:t>
            </w:r>
            <w:r>
              <w:t>,</w:t>
            </w:r>
          </w:p>
        </w:tc>
        <w:tc>
          <w:tcPr>
            <w:tcW w:w="4876" w:type="dxa"/>
            <w:tcBorders>
              <w:top w:val="nil"/>
              <w:left w:val="nil"/>
              <w:bottom w:val="nil"/>
              <w:right w:val="nil"/>
            </w:tcBorders>
          </w:tcPr>
          <w:p>
            <w:pPr>
              <w:pStyle w:val="Normal6a"/>
            </w:pPr>
            <w:r>
              <w:t>C.</w:t>
            </w:r>
            <w:r>
              <w:tab/>
            </w:r>
            <w:r>
              <w:t xml:space="preserve">întrucât Bosnia și Herțegovina </w:t>
            </w:r>
            <w:r>
              <w:rPr>
                <w:b/>
                <w:i/>
              </w:rPr>
              <w:t>(BiH)</w:t>
            </w:r>
            <w:r>
              <w:t xml:space="preserve"> este o țară candidată și </w:t>
            </w:r>
            <w:r>
              <w:rPr>
                <w:b/>
                <w:i/>
              </w:rPr>
              <w:t>întrucât o majoritatea clară a populației din Bosnia și Herțegovina</w:t>
            </w:r>
            <w:r>
              <w:t xml:space="preserve"> aspiră la integrarea euro-atlantică pentru a avea parte de pace, democrație și prosperitate durabile; întrucât în 2025 se va comemora cea de a 30-a aniversare a Acordului de pace de la </w:t>
            </w:r>
            <w:r>
              <w:rPr>
                <w:b/>
                <w:i/>
              </w:rPr>
              <w:t>Dayton-Paris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întrucât Bosnia și Herțegovina este o țară candidată și cetățenii săi aspiră la integrarea euro-atlantică pentru a avea parte de pace, democrație și prosperitate durabile; întrucât în 2025 se va comemora cea de a 30-a aniversare a Acordului de pace de la </w:t>
            </w:r>
            <w:r>
              <w:rPr>
                <w:b/>
                <w:i/>
              </w:rPr>
              <w:t>Dayton</w:t>
            </w:r>
            <w:r>
              <w:t>,</w:t>
            </w:r>
          </w:p>
        </w:tc>
        <w:tc>
          <w:tcPr>
            <w:tcW w:w="4876" w:type="dxa"/>
            <w:tcBorders>
              <w:top w:val="nil"/>
              <w:left w:val="nil"/>
              <w:bottom w:val="nil"/>
              <w:right w:val="nil"/>
            </w:tcBorders>
          </w:tcPr>
          <w:p>
            <w:pPr>
              <w:pStyle w:val="Normal6a"/>
            </w:pPr>
            <w:r>
              <w:t>C.</w:t>
            </w:r>
            <w:r>
              <w:tab/>
            </w:r>
            <w:r>
              <w:t xml:space="preserve">întrucât Bosnia și Herțegovina este o țară candidată și cetățenii săi aspiră la integrarea euro-atlantică pentru a avea parte de pace, democrație și prosperitate durabile; întrucât în 2025 se va comemora cea de a 30-a aniversare a Acordului de pace de la </w:t>
            </w:r>
            <w:r>
              <w:rPr>
                <w:b/>
                <w:i/>
              </w:rPr>
              <w:t>Dayton-Paris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Davor Ivo Stier, Sunčana Glavak, Karlo Ressler, Željana Zovko, Nikolina Brnjac,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întrucât Bosnia și Herțegovina este o țară candidată și cetățenii săi aspiră la integrarea euro-atlantică pentru a avea parte de pace, democrație și prosperitate durabile; întrucât </w:t>
            </w:r>
            <w:r>
              <w:rPr>
                <w:b/>
                <w:i/>
              </w:rPr>
              <w:t>în 2025 se va comemora</w:t>
            </w:r>
            <w:r>
              <w:t xml:space="preserve"> cea de a 30-a aniversare a Acordului de pace de la Dayton,</w:t>
            </w:r>
          </w:p>
        </w:tc>
        <w:tc>
          <w:tcPr>
            <w:tcW w:w="4876" w:type="dxa"/>
            <w:tcBorders>
              <w:top w:val="nil"/>
              <w:left w:val="nil"/>
              <w:bottom w:val="nil"/>
              <w:right w:val="nil"/>
            </w:tcBorders>
          </w:tcPr>
          <w:p>
            <w:pPr>
              <w:pStyle w:val="Normal6a"/>
            </w:pPr>
            <w:r>
              <w:t>C.</w:t>
            </w:r>
            <w:r>
              <w:tab/>
            </w:r>
            <w:r>
              <w:t xml:space="preserve">întrucât Bosnia și Herțegovina este o țară candidată și cetățenii săi aspiră la integrarea euro-atlantică pentru a avea parte de pace, democrație și prosperitate durabile; întrucât </w:t>
            </w:r>
            <w:r>
              <w:rPr>
                <w:b/>
                <w:i/>
              </w:rPr>
              <w:t>2025 marchează</w:t>
            </w:r>
            <w:r>
              <w:t xml:space="preserve"> cea de a 30-a aniversare a Acordului de pace de la Dayton, </w:t>
            </w:r>
            <w:r>
              <w:rPr>
                <w:b/>
                <w:i/>
              </w:rPr>
              <w:t>care rămâne fundamentul structurii instituționale și un garant al egalității între cele trei popoare constitutive și cetățenii Bosniei și Herțegovinei;</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întrucât calea Bosniei și Herțegovinei către UE este din ce în ce mai atacată de jucători străini rău intenționați, în special Federația Rusă și Republica Populară Chineză, care exploatează diviziunile etnice și fragilitatea instituțională pentru a obstrucționa reformele, a submina ordinea constituțională și a eroda încrederea publicului în UE;</w:t>
            </w:r>
            <w:r>
              <w:t xml:space="preserve"> </w:t>
            </w:r>
            <w:r>
              <w:rPr>
                <w:b/>
                <w:i/>
              </w:rPr>
              <w:t>întrucât mass-media rusă controlată de stat, inclusiv Sputnik Serbia și RT Balkan, continuă să își desfășoare activitatea în Bosnia și Herțegovina, în special în Republica Srpska, răspândind dezinformare și discursuri pro-Kremlin, încălcând sancțiunile UE împotriva canalelor de propagandă ruse;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întrucât, la 30 de ani de la încheierea războiului, țara încă nu funcționează corespunzător și se află din nou într-o profundă criză politică și de securitate, din cauza dezbinării etnonaționaliste profunde promovate de elitele politice, a tentativelor de secesiune și a nivelului mare de corupție care, printre altele, determină mii de cetățeni să părăsească anual țara drept consecință a lipsei de perspective acasă;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întrucât misiunea EUFOR Althea este în desfășurare de 20 de ani, personalul său a fost redus în mod semnificativ, mandatul său este limitat și se axează în principal pe obiectivele de securitate și de formare, fără a viza cauzele structurale ale tensiunilor politice și etnice persistente din țară;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întrucât EUFOR Althea este o misiune PSAC a UE care sprijină Bosnia și Herțegovina să mențină un mediu stabil și sigur în țară;</w:t>
            </w:r>
            <w:r>
              <w:t xml:space="preserve"> </w:t>
            </w:r>
            <w:r>
              <w:rPr>
                <w:b/>
                <w:i/>
              </w:rPr>
              <w:t>întrucât printre obiectivele EUFOR Althea se numără sprijinirea forțelor armate pentru a se apropia de standardele NATO, asigurând în același timp descurajarea oricăror amenințări străine;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întrucât Acordul de pace de la Dayton, în pofida unor lipsuri, a contribuit semnificativ la pacea și stabilizarea ulterioară a Bosniei și Herțegovinei prin crearea instituțiilor critice care au permis țării să avanseze pe calea integrării UE și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întrucât Busola strategică a arătat că, în ceea ce privește securitatea și stabilitatea, este deosebit de important să se sprijine suveranitatea, unitatea și integritatea teritorială a Bosniei și Herțegovinei;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Nikolina Brnjac, 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întrucât UE rămâne principalul partener politic și economic al țărilor din Balcanii de Vest;</w:t>
            </w:r>
            <w:r>
              <w:t xml:space="preserve"> </w:t>
            </w:r>
            <w:r>
              <w:rPr>
                <w:b/>
                <w:i/>
              </w:rPr>
              <w:t>întrucât UE continuă să fie cel mai mare partener comercial și de investiții al Bosniei și Herțegovinei;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întrucât misiunea OSCE/ODIHR de observare a alegerilor pentru alegerile generale din 2022 a ajuns la concluzia că procesul electoral rămâne vulnerabil la ingerințele externe, inclusiv la folosirea abuzivă a resurselor administrative și la o acoperire mediatică părtinitoare influențată de platformele sprijinite de străini;</w:t>
            </w:r>
            <w:r>
              <w:t xml:space="preserve"> </w:t>
            </w:r>
            <w:r>
              <w:rPr>
                <w:b/>
                <w:i/>
              </w:rPr>
              <w:t>întrucât ODIHR a cerut o protecție mai mare împotriva dezinformării, transparență în finanțarea campaniilor și garanții pentru jurnaliști și societatea civilă;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întrucât politicianul sârb bosniac din RS, Milorad Dodik, și Alianța sa pentru social-democrații independenți (SNSD) au inițiat acțiuni neconstituționale pentru a anula legile statului în cadrul entității Republica Srpska din BiH și au atacat principalele instituții ale statului;</w:t>
            </w:r>
            <w:r>
              <w:t xml:space="preserve"> </w:t>
            </w:r>
            <w:r>
              <w:rPr>
                <w:b/>
                <w:i/>
              </w:rPr>
              <w:t>Biroul Înaltului Reprezentant, Curtea Constituțională a Bosniei și Herțegovinei și sistemul judiciar din Bosnia și Herțegovina;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întrucât, potrivit organizației Transparency International, corupția din Bosnia și Herțegovina s-a înrăutățit semnificativ în ultimul deceniu, țara scăzând de la poziția 72 din 180 în 2012, la poziția 114 în 2024, clasându-se alături de Belarus, statul cel mai corupt din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întrucât, la 28 aprilie 2023, Înaltul Reprezentant a suspendat Constituția Federației Bosniei și Herțegovinei pentru 24 de ore, pentru a permite numirea unui nou prim-ministru federal;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întrucât, în avizul său din 2005, Comisia de la Veneția a subliniat că puterile extinse ale Înaltului Reprezentant descurajează liderii politici locali să ajungă la compromisurile necesare, încurajându-i să transfere responsabilitățile instituționale către o autoritate internațională, subminând astfel dezvoltarea democratică și suveranitatea efectivă a Bosniei și Herțegovinei;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își </w:t>
            </w:r>
            <w:r>
              <w:rPr>
                <w:b/>
                <w:i/>
              </w:rPr>
              <w:t>reiterează</w:t>
            </w:r>
            <w:r>
              <w:t xml:space="preserve"> sprijinul </w:t>
            </w:r>
            <w:r>
              <w:rPr>
                <w:b/>
                <w:i/>
              </w:rPr>
              <w:t>pentru procesul de aderare a Bosniei și Herțegovinei la UE, având ca temei</w:t>
            </w:r>
            <w:r>
              <w:t xml:space="preserve"> unitatea</w:t>
            </w:r>
            <w:r>
              <w:rPr>
                <w:b/>
                <w:i/>
              </w:rPr>
              <w:t>, suveranitatea</w:t>
            </w:r>
            <w:r>
              <w:t xml:space="preserve"> și integritatea teritorială;</w:t>
            </w:r>
          </w:p>
        </w:tc>
        <w:tc>
          <w:tcPr>
            <w:tcW w:w="4876" w:type="dxa"/>
            <w:tcBorders>
              <w:top w:val="nil"/>
              <w:left w:val="nil"/>
              <w:bottom w:val="nil"/>
              <w:right w:val="nil"/>
            </w:tcBorders>
          </w:tcPr>
          <w:p>
            <w:pPr>
              <w:pStyle w:val="Normal6a"/>
            </w:pPr>
            <w:r>
              <w:t>1.</w:t>
            </w:r>
            <w:r>
              <w:tab/>
            </w:r>
            <w:r>
              <w:t xml:space="preserve">își </w:t>
            </w:r>
            <w:r>
              <w:rPr>
                <w:b/>
                <w:i/>
              </w:rPr>
              <w:t>reafirmă</w:t>
            </w:r>
            <w:r>
              <w:t xml:space="preserve"> sprijinul </w:t>
            </w:r>
            <w:r>
              <w:rPr>
                <w:b/>
                <w:i/>
              </w:rPr>
              <w:t>față de suveranitatea,</w:t>
            </w:r>
            <w:r>
              <w:t xml:space="preserve"> unitatea și integritatea teritorială </w:t>
            </w:r>
            <w:r>
              <w:rPr>
                <w:b/>
                <w:i/>
              </w:rPr>
              <w:t>a BiH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își </w:t>
            </w:r>
            <w:r>
              <w:rPr>
                <w:b/>
                <w:i/>
              </w:rPr>
              <w:t>reiterează</w:t>
            </w:r>
            <w:r>
              <w:t xml:space="preserve"> sprijinul pentru procesul de aderare a Bosniei și Herțegovinei la UE, </w:t>
            </w:r>
            <w:r>
              <w:rPr>
                <w:b/>
                <w:i/>
              </w:rPr>
              <w:t>având ca temei unitatea,</w:t>
            </w:r>
            <w:r>
              <w:t xml:space="preserve"> suveranitatea și integritatea teritorială;</w:t>
            </w:r>
          </w:p>
        </w:tc>
        <w:tc>
          <w:tcPr>
            <w:tcW w:w="4876" w:type="dxa"/>
            <w:tcBorders>
              <w:top w:val="nil"/>
              <w:left w:val="nil"/>
              <w:bottom w:val="nil"/>
              <w:right w:val="nil"/>
            </w:tcBorders>
          </w:tcPr>
          <w:p>
            <w:pPr>
              <w:pStyle w:val="Normal6a"/>
            </w:pPr>
            <w:r>
              <w:t>1.</w:t>
            </w:r>
            <w:r>
              <w:tab/>
            </w:r>
            <w:r>
              <w:t xml:space="preserve">își </w:t>
            </w:r>
            <w:r>
              <w:rPr>
                <w:b/>
                <w:i/>
              </w:rPr>
              <w:t>retrage</w:t>
            </w:r>
            <w:r>
              <w:t xml:space="preserve"> sprijinul pentru procesul de aderare a Bosniei și Herțegovinei la UE, </w:t>
            </w:r>
            <w:r>
              <w:rPr>
                <w:b/>
                <w:i/>
              </w:rPr>
              <w:t>respectând</w:t>
            </w:r>
            <w:r>
              <w:t xml:space="preserve"> suveranitatea și integritatea </w:t>
            </w:r>
            <w:r>
              <w:rPr>
                <w:b/>
                <w:i/>
              </w:rPr>
              <w:t>sa</w:t>
            </w:r>
            <w:r>
              <w:t xml:space="preserve"> teritorială;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își reiterează sprijinul pentru procesul de aderare a Bosniei și Herțegovinei</w:t>
            </w:r>
            <w:r>
              <w:t xml:space="preserve"> la UE</w:t>
            </w:r>
            <w:r>
              <w:rPr>
                <w:b/>
                <w:i/>
              </w:rPr>
              <w:t>, având ca temei unitatea, suveranitatea și integritatea teritorială</w:t>
            </w:r>
            <w:r>
              <w:t>;</w:t>
            </w:r>
          </w:p>
        </w:tc>
        <w:tc>
          <w:tcPr>
            <w:tcW w:w="4876" w:type="dxa"/>
            <w:tcBorders>
              <w:top w:val="nil"/>
              <w:left w:val="nil"/>
              <w:bottom w:val="nil"/>
              <w:right w:val="nil"/>
            </w:tcBorders>
          </w:tcPr>
          <w:p>
            <w:pPr>
              <w:pStyle w:val="Normal6a"/>
            </w:pPr>
            <w:r>
              <w:t>1.</w:t>
            </w:r>
            <w:r>
              <w:tab/>
            </w:r>
            <w:r>
              <w:rPr>
                <w:b/>
                <w:i/>
              </w:rPr>
              <w:t>ia act de statutul Bosniei și Herțegovinei de țară candidată la aderarea la UE, bazat pe principiile unității, suveranității și integrității teritoriale;</w:t>
            </w:r>
            <w:r>
              <w:t xml:space="preserve"> </w:t>
            </w:r>
            <w:r>
              <w:rPr>
                <w:b/>
                <w:i/>
              </w:rPr>
              <w:t>subliniază, în special având în vedere contextul economic actual din Uniune și situația politică și constituțională specifică din Bosnia și Herțegovina, importanța criteriilor de la Copenhaga și Madrid, care sunt condiții prealabile pentru orice aderare</w:t>
            </w:r>
            <w:r>
              <w:t xml:space="preserve"> la UE</w:t>
            </w:r>
            <w:r>
              <w:rPr>
                <w:b/>
                <w:i/>
              </w:rPr>
              <w:t>;</w:t>
            </w:r>
            <w:r>
              <w:t xml:space="preserve"> </w:t>
            </w:r>
            <w:r>
              <w:rPr>
                <w:b/>
                <w:i/>
              </w:rPr>
              <w:t>subliniază că persistă deficiențe grave în domeniul statului de drept, al guvernării democratice și al luptei împotriva corupției;</w:t>
            </w:r>
            <w:r>
              <w:t xml:space="preserve"> </w:t>
            </w:r>
            <w:r>
              <w:rPr>
                <w:b/>
                <w:i/>
              </w:rPr>
              <w:t>subliniază că progresele înregistrate în procesul de aderare nu ar trebui să prevaleze față de soluționarea în primul rând a disfuncțiilor constituționale și politice ale Bosniei și Herțegovinei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își reiterează sprijinul pentru procesul de aderare a Bosniei și Herțegovinei la UE, </w:t>
            </w:r>
            <w:r>
              <w:rPr>
                <w:b/>
                <w:i/>
              </w:rPr>
              <w:t>având ca temei</w:t>
            </w:r>
            <w:r>
              <w:t xml:space="preserve"> unitatea</w:t>
            </w:r>
            <w:r>
              <w:rPr>
                <w:b/>
                <w:i/>
              </w:rPr>
              <w:t>,</w:t>
            </w:r>
            <w:r>
              <w:t xml:space="preserve"> suveranitatea </w:t>
            </w:r>
            <w:r>
              <w:rPr>
                <w:b/>
                <w:i/>
              </w:rPr>
              <w:t>și</w:t>
            </w:r>
            <w:r>
              <w:t xml:space="preserve"> integritatea teritorială;</w:t>
            </w:r>
          </w:p>
        </w:tc>
        <w:tc>
          <w:tcPr>
            <w:tcW w:w="4876" w:type="dxa"/>
            <w:tcBorders>
              <w:top w:val="nil"/>
              <w:left w:val="nil"/>
              <w:bottom w:val="nil"/>
              <w:right w:val="nil"/>
            </w:tcBorders>
          </w:tcPr>
          <w:p>
            <w:pPr>
              <w:pStyle w:val="Normal6a"/>
            </w:pPr>
            <w:r>
              <w:t>1.</w:t>
            </w:r>
            <w:r>
              <w:tab/>
            </w:r>
            <w:r>
              <w:t xml:space="preserve">își reiterează sprijinul pentru procesul de aderare a Bosniei și Herțegovinei la UE, </w:t>
            </w:r>
            <w:r>
              <w:rPr>
                <w:b/>
                <w:i/>
              </w:rPr>
              <w:t>bazat pe</w:t>
            </w:r>
            <w:r>
              <w:t xml:space="preserve"> unitatea </w:t>
            </w:r>
            <w:r>
              <w:rPr>
                <w:b/>
                <w:i/>
              </w:rPr>
              <w:t>și</w:t>
            </w:r>
            <w:r>
              <w:t xml:space="preserve"> suveranitatea </w:t>
            </w:r>
            <w:r>
              <w:rPr>
                <w:b/>
                <w:i/>
              </w:rPr>
              <w:t>popoarelor constitutive și a altor cetățeni, menținând astfel</w:t>
            </w:r>
            <w:r>
              <w:t xml:space="preserve"> integritatea teritorială</w:t>
            </w:r>
            <w:r>
              <w:rPr>
                <w:b/>
                <w:i/>
              </w:rPr>
              <w:t>, așa cum este consacrată în Acordul de pace de la Dayton-Paris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Davor Ivo Stier, Karlo Ressler, Željana Zovko,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își reiterează sprijinul pentru procesul de aderare a Bosniei și Herțegovinei la UE, având ca temei unitatea, suveranitatea </w:t>
            </w:r>
            <w:r>
              <w:rPr>
                <w:b/>
                <w:i/>
              </w:rPr>
              <w:t>și integritatea teritorială</w:t>
            </w:r>
            <w:r>
              <w:t>;</w:t>
            </w:r>
          </w:p>
        </w:tc>
        <w:tc>
          <w:tcPr>
            <w:tcW w:w="4876" w:type="dxa"/>
            <w:tcBorders>
              <w:top w:val="nil"/>
              <w:left w:val="nil"/>
              <w:bottom w:val="nil"/>
              <w:right w:val="nil"/>
            </w:tcBorders>
          </w:tcPr>
          <w:p>
            <w:pPr>
              <w:pStyle w:val="Normal6a"/>
            </w:pPr>
            <w:r>
              <w:t>1.</w:t>
            </w:r>
            <w:r>
              <w:tab/>
            </w:r>
            <w:r>
              <w:t>își reiterează sprijinul pentru procesul de aderare a Bosniei și Herțegovinei la UE, având ca temei unitatea, suveranitatea</w:t>
            </w:r>
            <w:r>
              <w:rPr>
                <w:b/>
                <w:i/>
              </w:rPr>
              <w:t>, integritatea teritorială și egalitatea popoarelor și cetățenilor săi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își reiterează sprijinul pentru procesul de aderare a Bosniei și Herțegovinei la UE, având ca temei unitatea, suveranitatea și integritatea teritorială;</w:t>
            </w:r>
          </w:p>
        </w:tc>
        <w:tc>
          <w:tcPr>
            <w:tcW w:w="4876" w:type="dxa"/>
            <w:tcBorders>
              <w:top w:val="nil"/>
              <w:left w:val="nil"/>
              <w:bottom w:val="nil"/>
              <w:right w:val="nil"/>
            </w:tcBorders>
          </w:tcPr>
          <w:p>
            <w:pPr>
              <w:pStyle w:val="Normal6a"/>
            </w:pPr>
            <w:r>
              <w:t>1.</w:t>
            </w:r>
            <w:r>
              <w:tab/>
            </w:r>
            <w:r>
              <w:t xml:space="preserve">își reiterează sprijinul pentru procesul de aderare a Bosniei și Herțegovinei la UE, </w:t>
            </w:r>
            <w:r>
              <w:rPr>
                <w:b/>
                <w:i/>
              </w:rPr>
              <w:t>bazat pe merite,</w:t>
            </w:r>
            <w:r>
              <w:t xml:space="preserve"> având ca temei unitatea, suveranitatea și integritatea teritorială;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își reiterează sprijinul pentru procesul de aderare a Bosniei și Herțegovinei la UE, având ca temei unitatea, suveranitatea și integritatea teritorială;</w:t>
            </w:r>
          </w:p>
        </w:tc>
        <w:tc>
          <w:tcPr>
            <w:tcW w:w="4876" w:type="dxa"/>
            <w:tcBorders>
              <w:top w:val="nil"/>
              <w:left w:val="nil"/>
              <w:bottom w:val="nil"/>
              <w:right w:val="nil"/>
            </w:tcBorders>
          </w:tcPr>
          <w:p>
            <w:pPr>
              <w:pStyle w:val="Normal6a"/>
            </w:pPr>
            <w:r>
              <w:t>1.</w:t>
            </w:r>
            <w:r>
              <w:tab/>
            </w:r>
            <w:r>
              <w:t>își reiterează sprijinul pentru procesul de aderare a Bosniei și Herțegovinei la UE, având ca temei unitatea, suveranitatea și integritatea teritorială</w:t>
            </w:r>
            <w:r>
              <w:rPr>
                <w:b/>
                <w:i/>
              </w:rPr>
              <w:t>, cu o aplicare strictă a criteriilor de Copenhaga, o evaluare bazată pe meritele și fără procedurile scurtate, în conformitate cu un cadru de extindere transparent și orientat spre reforme</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subliniază că extinderea nu poate fi urmărită în detrimentul stabilității politice, al disciplinei economice și al valorilor culturale ale statelor membre;</w:t>
            </w:r>
            <w:r>
              <w:t xml:space="preserve"> </w:t>
            </w:r>
            <w:r>
              <w:rPr>
                <w:b/>
                <w:i/>
              </w:rPr>
              <w:t>reliefează că orice aderare viitoare trebuie să facă obiectul unei analize cost-beneficiu cuprinzătoare și al unor clauze stricte de condiționalitate;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este profund alarmat de escaladarea tensiunilor cauzate de acțiunile secesioniste conduse de Milorad Dodik, președintele Republicii Srpska (RS), în urma unei hotărâri judecătorești bosniace prin care Dodik a fost condamnat la un an de închisoare și prin care i s-a interzis să părăsească politica timp de șase ani pentru că a sfidat autoritatea Înaltului Reprezentant internațional care supraveghează Acordul de pace de la Dayton;</w:t>
            </w:r>
            <w:r>
              <w:t xml:space="preserve"> </w:t>
            </w:r>
            <w:r>
              <w:rPr>
                <w:b/>
                <w:i/>
              </w:rPr>
              <w:t>salută activitatea instituțiilor competente din Bosnia și Herțegovina și le invită să urmeze procedurile corespunzătoare și să execute și să pună în aplicare toate deciziile, cu respectarea deplină a statului de drept;</w:t>
            </w:r>
            <w:r>
              <w:t xml:space="preserve"> </w:t>
            </w:r>
            <w:r>
              <w:rPr>
                <w:b/>
                <w:i/>
              </w:rPr>
              <w:t>îndeamnă toți actorii politici, în special în RS, să respecte statul de drept și procedurile corespunzătoare și să respingă toate măsurile secesioniste și subminarea unității, suveranității, integrității teritoriale și securității țării;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este preocupat de întărirea legăturilor politice, economice și culturale dintre Bosnia și Herțegovina și Republica Turcia;</w:t>
            </w:r>
            <w:r>
              <w:t xml:space="preserve"> </w:t>
            </w:r>
            <w:r>
              <w:rPr>
                <w:b/>
                <w:i/>
              </w:rPr>
              <w:t>reliefează că prezența tot mai mare a Turciei prin investiții directe, instituții religioase, acorduri bilaterale și sprijin politic pentru anumite comunități poate compromite alinierea pe termen lung a Bosniei și Herțegovinei la valorile fundamentale, interesele strategice și orientarea politicii externe a statelor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îndeamnă statele membre, SEAE și Comisia să acționeze mai hotărât și să răspundă acestor amenințări directe la adresa securității europene reprezentate de măsurile secesioniste ale președintelui RS Dodik și ale aliaților săi, care subminează Acordul de pace de la Dayton și sunt coordonate îndeaproape cu Rusia;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își reafirmă în acest context sprijinul pentru Oficiul Înaltului Reprezentant și operației Althea a EUFOR de a supraveghea implementarea Acordului de pace de la Dayton;</w:t>
            </w:r>
            <w:r>
              <w:t xml:space="preserve"> </w:t>
            </w:r>
            <w:r>
              <w:rPr>
                <w:b/>
                <w:i/>
              </w:rPr>
              <w:t>salută reînnoirea mandatului operației EUFOR Althea;</w:t>
            </w:r>
            <w:r>
              <w:t xml:space="preserve"> </w:t>
            </w:r>
            <w:r>
              <w:rPr>
                <w:b/>
                <w:i/>
              </w:rPr>
              <w:t>subliniază sprijinul său deplin pentru mandatul OHR până când structurile de responsabilizare la nivel național vor fi instituite și Bosnia și Herțegovina va avea un stat de drept funcțional cu un sistem de control și echilibru;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subliniază că UE și EUFOR servesc drept garanți principali ai unui mediu sigur și securizat în temeiul anexei 1A la Acordul de pace de la Dayton;</w:t>
            </w:r>
            <w:r>
              <w:t xml:space="preserve"> </w:t>
            </w:r>
            <w:r>
              <w:rPr>
                <w:b/>
                <w:i/>
              </w:rPr>
              <w:t>subliniază, în acest context, că mandatul Consiliului de Securitate al ONU al EUFOR include protejarea integrității teritoriale, a suveranității și a independenței politice a Bosniei și Herțegovinei, asigurându-se, în același timp, că părțile interesate de la nivel local acționează în conformitate cu aceste principii fundamentale, astfel cum se subliniază în Acordul de pace de la Dayton și în rezoluțiile Consiliului de Securitate al 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cere EUFOR, având în vedere evoluțiile recente, să ofere sprijin concret autorităților BiH în executarea arestării lui Milorad Dodik, pentru a pune capăt în sfârșit eforturilor sale continue de subminare a stabilității juridice și politice a țării și pentru a demonstra angajamentul și capacitatea UE și EUFOR de a susține pacea, de a asigura respectarea statului de drept și de a menține integritatea instituțiilor juridice;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1f.</w:t>
            </w:r>
            <w:r>
              <w:tab/>
            </w:r>
            <w:r>
              <w:rPr>
                <w:b/>
                <w:i/>
              </w:rPr>
              <w:t>salută creșterea nivelului trupelor și a capacității forțelor EUFOR;</w:t>
            </w:r>
            <w:r>
              <w:t xml:space="preserve"> </w:t>
            </w:r>
            <w:r>
              <w:rPr>
                <w:b/>
                <w:i/>
              </w:rPr>
              <w:t>cere, însă, consolidarea și mai mare a EUFOR pentru a avea forță la nivel de brigadă, inclusiv desfășurarea unei prezențe permanente în Brcko, ca măsură de descurajare și asigurare efectivă a oricăror mișcări secesioniste;</w:t>
            </w:r>
            <w:r>
              <w:t xml:space="preserve"> </w:t>
            </w:r>
            <w:r>
              <w:rPr>
                <w:b/>
                <w:i/>
              </w:rPr>
              <w:t>cere să se pună la dispoziție un număr suficient de elicoptere care să poată transporta unități militare credibile și eficiente, capabile să îndeplinească mandatul executiv al EUFOR Althea în termen scurt și oriunde în țară și care să poată contribui la evacuarea caselor echipelor de legătură și de observare în cazul unor incidente grave de securitate;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g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1g.</w:t>
            </w:r>
            <w:r>
              <w:tab/>
            </w:r>
            <w:r>
              <w:rPr>
                <w:b/>
                <w:i/>
              </w:rPr>
              <w:t>solicită autorităților din BiH, NATO și operației Althea a EUFOR să lanseze un proces de reformare a forțelor armate ale BiH, cu scopul de a dizolva cele trei brigăzi de infanterie ai căror soldați sunt grupați mai ales în funcție de apartenența etnică și, în schimb, să formeze unități cu adevărat multietnice;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consideră binevenită decizia</w:t>
            </w:r>
            <w:r>
              <w:t xml:space="preserve"> Consiliului European de a deschide negocierile de aderare cu Bosnia și Herțegovina; </w:t>
            </w:r>
            <w:r>
              <w:rPr>
                <w:b/>
                <w:i/>
              </w:rPr>
              <w:t>se bucură de adoptarea unor legi esențiale în perioada premergătoare acestei decizii, dar regretă că dinamica pozitivă a reformelor a stagnat;</w:t>
            </w:r>
            <w:r>
              <w:t xml:space="preserve"> </w:t>
            </w:r>
            <w:r>
              <w:rPr>
                <w:b/>
                <w:i/>
              </w:rPr>
              <w:t>ia act de adoptarea recentă a legilor privind controlul la frontiere și protecția datelor cu caracter personal;</w:t>
            </w:r>
          </w:p>
        </w:tc>
        <w:tc>
          <w:tcPr>
            <w:tcW w:w="4876" w:type="dxa"/>
            <w:tcBorders>
              <w:top w:val="nil"/>
              <w:left w:val="nil"/>
              <w:bottom w:val="nil"/>
              <w:right w:val="nil"/>
            </w:tcBorders>
          </w:tcPr>
          <w:p>
            <w:pPr>
              <w:pStyle w:val="Normal6a"/>
            </w:pPr>
            <w:r>
              <w:t>2.</w:t>
            </w:r>
            <w:r>
              <w:tab/>
            </w:r>
            <w:r>
              <w:rPr>
                <w:b/>
                <w:i/>
              </w:rPr>
              <w:t>se opune deciziei</w:t>
            </w:r>
            <w:r>
              <w:t xml:space="preserve"> Consiliului European de a deschide negocierile de aderare cu Bosnia și Herțegovina;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consideră binevenită</w:t>
            </w:r>
            <w:r>
              <w:t xml:space="preserve"> decizia Consiliului European de a deschide negocierile de aderare cu Bosnia și Herțegovina; </w:t>
            </w:r>
            <w:r>
              <w:rPr>
                <w:b/>
                <w:i/>
              </w:rPr>
              <w:t>se bucură</w:t>
            </w:r>
            <w:r>
              <w:t xml:space="preserve"> de adoptarea unor legi esențiale în perioada premergătoare acestei decizii, dar regretă că dinamica pozitivă a reformelor a stagnat; ia act de adoptarea recentă a legilor privind controlul la frontiere și protecția datelor cu caracter personal;</w:t>
            </w:r>
          </w:p>
        </w:tc>
        <w:tc>
          <w:tcPr>
            <w:tcW w:w="4876" w:type="dxa"/>
            <w:tcBorders>
              <w:top w:val="nil"/>
              <w:left w:val="nil"/>
              <w:bottom w:val="nil"/>
              <w:right w:val="nil"/>
            </w:tcBorders>
          </w:tcPr>
          <w:p>
            <w:pPr>
              <w:pStyle w:val="Normal6a"/>
            </w:pPr>
            <w:r>
              <w:t>2.</w:t>
            </w:r>
            <w:r>
              <w:tab/>
            </w:r>
            <w:r>
              <w:rPr>
                <w:b/>
                <w:i/>
              </w:rPr>
              <w:t>ia act de</w:t>
            </w:r>
            <w:r>
              <w:t xml:space="preserve"> decizia Consiliului European de a deschide negocierile de aderare cu Bosnia și Herțegovina; </w:t>
            </w:r>
            <w:r>
              <w:rPr>
                <w:b/>
                <w:i/>
              </w:rPr>
              <w:t>ia act</w:t>
            </w:r>
            <w:r>
              <w:t xml:space="preserve"> de adoptarea unor legi esențiale în perioada premergătoare acestei decizii, dar regretă că dinamica pozitivă a reformelor a stagnat; ia act de adoptarea recentă a legilor privind controlul la frontiere și protecția datelor cu caracter personal;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consideră binevenită</w:t>
            </w:r>
            <w:r>
              <w:t xml:space="preserve"> decizia Consiliului European de </w:t>
            </w:r>
            <w:r>
              <w:rPr>
                <w:b/>
                <w:i/>
              </w:rPr>
              <w:t>a</w:t>
            </w:r>
            <w:r>
              <w:t xml:space="preserve"> deschide negocierile </w:t>
            </w:r>
            <w:r>
              <w:rPr>
                <w:b/>
                <w:i/>
              </w:rPr>
              <w:t>de aderare</w:t>
            </w:r>
            <w:r>
              <w:t xml:space="preserve"> cu Bosnia și Herțegovina; se bucură de adoptarea unor legi esențiale în perioada premergătoare acestei decizii, </w:t>
            </w:r>
            <w:r>
              <w:rPr>
                <w:b/>
                <w:i/>
              </w:rPr>
              <w:t>dar</w:t>
            </w:r>
            <w:r>
              <w:t xml:space="preserve"> regretă că dinamica pozitivă a reformelor a stagnat; ia act de adoptarea recentă a legilor privind controlul la frontiere și protecția datelor cu caracter personal;</w:t>
            </w:r>
          </w:p>
        </w:tc>
        <w:tc>
          <w:tcPr>
            <w:tcW w:w="4876" w:type="dxa"/>
            <w:tcBorders>
              <w:top w:val="nil"/>
              <w:left w:val="nil"/>
              <w:bottom w:val="nil"/>
              <w:right w:val="nil"/>
            </w:tcBorders>
          </w:tcPr>
          <w:p>
            <w:pPr>
              <w:pStyle w:val="Normal6a"/>
            </w:pPr>
            <w:r>
              <w:t>2.</w:t>
            </w:r>
            <w:r>
              <w:tab/>
            </w:r>
            <w:r>
              <w:rPr>
                <w:b/>
                <w:i/>
              </w:rPr>
              <w:t>salută</w:t>
            </w:r>
            <w:r>
              <w:t xml:space="preserve"> decizia Consiliului European de deschide negocierile cu Bosnia și Herțegovina</w:t>
            </w:r>
            <w:r>
              <w:rPr>
                <w:b/>
                <w:i/>
              </w:rPr>
              <w:t>, în contextul noii realității geopolitice, ca urmare a războiului de agresiune al Rusiei împotriva Ucrainei</w:t>
            </w:r>
            <w:r>
              <w:t>; se bucură de adoptarea unor legi esențiale în perioada premergătoare acestei decizii, </w:t>
            </w:r>
            <w:r>
              <w:rPr>
                <w:b/>
                <w:i/>
              </w:rPr>
              <w:t>observând că legile adoptate nu au fost puse în aplicare în mod adecvat;</w:t>
            </w:r>
            <w:r>
              <w:t xml:space="preserve"> </w:t>
            </w:r>
            <w:r>
              <w:rPr>
                <w:b/>
                <w:i/>
              </w:rPr>
              <w:t>regretă că procesul legislativ a fost lipsit de transparență și incluziune, ceea ce a compromis calitatea legilor și a împiedicat și mai mult punerea lor în aplicare armonioasă și eficientă;</w:t>
            </w:r>
            <w:r>
              <w:t xml:space="preserve"> regretă că dinamica pozitivă a reformelor a stagnat; ia act de adoptarea recentă a legilor privind controlul la frontiere și protecția datelor cu caracter personal;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consideră binevenită decizia Consiliului European de a deschide negocierile de aderare cu Bosnia și Herțegovina; se bucură de adoptarea unor legi esențiale în perioada premergătoare acestei decizii, dar regretă că dinamica pozitivă a reformelor a stagnat; ia act de adoptarea recentă a legilor privind controlul la frontiere și protecția datelor cu caracter personal;</w:t>
            </w:r>
          </w:p>
        </w:tc>
        <w:tc>
          <w:tcPr>
            <w:tcW w:w="4876" w:type="dxa"/>
            <w:tcBorders>
              <w:top w:val="nil"/>
              <w:left w:val="nil"/>
              <w:bottom w:val="nil"/>
              <w:right w:val="nil"/>
            </w:tcBorders>
          </w:tcPr>
          <w:p>
            <w:pPr>
              <w:pStyle w:val="Normal6a"/>
            </w:pPr>
            <w:r>
              <w:t>2.</w:t>
            </w:r>
            <w:r>
              <w:tab/>
            </w:r>
            <w:r>
              <w:t xml:space="preserve">consideră binevenită decizia Consiliului European de a deschide negocierile de aderare cu Bosnia și Herțegovina; se bucură de adoptarea unor legi esențiale în perioada premergătoare acestei decizii, dar regretă că dinamica pozitivă a reformelor a stagnat </w:t>
            </w:r>
            <w:r>
              <w:rPr>
                <w:b/>
                <w:i/>
              </w:rPr>
              <w:t>ca urmare a aplicării și asigurării respectării necorespunzătoare a legilor adoptate;</w:t>
            </w:r>
            <w:r>
              <w:t xml:space="preserve"> </w:t>
            </w:r>
            <w:r>
              <w:rPr>
                <w:b/>
                <w:i/>
              </w:rPr>
              <w:t>regretă că procesul legislativ a fost afectat de probleme, inclusiv de o lipsă de transparență și de acces limitat la proces pentru principalele părți interesate</w:t>
            </w:r>
            <w:r>
              <w:t>; ia act de adoptarea recentă a legilor privind controlul la frontiere și protecția datelor cu caracter personal;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consideră binevenită decizia Consiliului European de a deschide negocierile de aderare cu Bosnia și Herțegovina; se bucură de adoptarea unor legi esențiale în perioada premergătoare acestei decizii, dar regretă că dinamica pozitivă a reformelor a stagnat; ia act de adoptarea recentă a legilor privind controlul la frontiere și protecția datelor cu caracter personal;</w:t>
            </w:r>
          </w:p>
        </w:tc>
        <w:tc>
          <w:tcPr>
            <w:tcW w:w="4876" w:type="dxa"/>
            <w:tcBorders>
              <w:top w:val="nil"/>
              <w:left w:val="nil"/>
              <w:bottom w:val="nil"/>
              <w:right w:val="nil"/>
            </w:tcBorders>
          </w:tcPr>
          <w:p>
            <w:pPr>
              <w:pStyle w:val="Normal6a"/>
            </w:pPr>
            <w:r>
              <w:t>2.</w:t>
            </w:r>
            <w:r>
              <w:tab/>
            </w:r>
            <w:r>
              <w:t xml:space="preserve">consideră binevenită decizia Consiliului European de a deschide negocierile de aderare cu Bosnia și Herțegovina; se bucură de adoptarea unor legi esențiale în perioada premergătoare acestei decizii, dar regretă că dinamica pozitivă a reformelor a stagnat; ia act de adoptarea recentă a legilor privind controlul la frontiere și protecția datelor cu caracter personal </w:t>
            </w:r>
            <w:r>
              <w:rPr>
                <w:b/>
                <w:i/>
              </w:rPr>
              <w:t>și solicită punerea în aplicare temeinică a acestora;</w:t>
            </w:r>
            <w:r>
              <w:t xml:space="preserve"> </w:t>
            </w:r>
            <w:r>
              <w:rPr>
                <w:b/>
                <w:i/>
              </w:rPr>
              <w:t>cere să se adopte legea privind Consiliul Superior al Judecătorilor și Procurorilor, în conformitate cu recomandările Comisiei de la Veneția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consideră binevenită decizia Consiliului European de a deschide negocierile de aderare cu Bosnia și Herțegovina; se bucură de adoptarea unor legi esențiale în perioada premergătoare acestei decizii, dar regretă că dinamica pozitivă a reformelor a stagnat; ia act de adoptarea recentă a legilor privind controlul la frontiere și protecția datelor cu caracter personal;</w:t>
            </w:r>
          </w:p>
        </w:tc>
        <w:tc>
          <w:tcPr>
            <w:tcW w:w="4876" w:type="dxa"/>
            <w:tcBorders>
              <w:top w:val="nil"/>
              <w:left w:val="nil"/>
              <w:bottom w:val="nil"/>
              <w:right w:val="nil"/>
            </w:tcBorders>
          </w:tcPr>
          <w:p>
            <w:pPr>
              <w:pStyle w:val="Normal6a"/>
            </w:pPr>
            <w:r>
              <w:t>2.</w:t>
            </w:r>
            <w:r>
              <w:tab/>
            </w:r>
            <w:r>
              <w:t xml:space="preserve">consideră binevenită decizia Consiliului European de a deschide negocierile de aderare cu Bosnia și Herțegovina; se bucură de adoptarea unor legi esențiale în perioada premergătoare acestei decizii, dar regretă că dinamica pozitivă a reformelor a stagnat; ia act de adoptarea recentă a legilor privind controlul la frontiere și protecția datelor cu caracter personal </w:t>
            </w:r>
            <w:r>
              <w:rPr>
                <w:b/>
                <w:i/>
              </w:rPr>
              <w:t>și cere să se facă pregătiri pentru implicațiile instituționale și financiare ale acestei extinderi asupra integrării sustenabile în UE</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Davor Ivo Stier, Karlo Ressler,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consideră binevenită decizia Consiliului European de a deschide negocierile de aderare cu Bosnia și Herțegovina; se bucură de adoptarea unor legi esențiale în perioada premergătoare acestei decizii, dar regretă că dinamica pozitivă a reformelor a stagnat; ia act de adoptarea recentă a legilor privind controlul la frontiere și protecția datelor cu caracter personal;</w:t>
            </w:r>
          </w:p>
        </w:tc>
        <w:tc>
          <w:tcPr>
            <w:tcW w:w="4876" w:type="dxa"/>
            <w:tcBorders>
              <w:top w:val="nil"/>
              <w:left w:val="nil"/>
              <w:bottom w:val="nil"/>
              <w:right w:val="nil"/>
            </w:tcBorders>
          </w:tcPr>
          <w:p>
            <w:pPr>
              <w:pStyle w:val="Normal6a"/>
            </w:pPr>
            <w:r>
              <w:t>2.</w:t>
            </w:r>
            <w:r>
              <w:tab/>
            </w:r>
            <w:r>
              <w:t xml:space="preserve">consideră binevenită decizia Consiliului European de a deschide negocierile de aderare cu Bosnia și Herțegovina; se bucură de adoptarea unor legi esențiale în perioada premergătoare acestei decizii, dar regretă că dinamica pozitivă a reformelor a stagnat; ia act de adoptarea recentă a legilor privind controlul la frontiere și protecția datelor cu caracter personal; </w:t>
            </w:r>
            <w:r>
              <w:rPr>
                <w:b/>
                <w:i/>
              </w:rPr>
              <w:t>salută angajamentul partenerilor care formează noua coaliție aflată la guvernare de a adopta legile rămase legate de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Nikolina Brnjac,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consideră binevenită decizia Consiliului European de a deschide negocierile de aderare cu Bosnia și Herțegovina; se bucură de adoptarea </w:t>
            </w:r>
            <w:r>
              <w:rPr>
                <w:b/>
                <w:i/>
              </w:rPr>
              <w:t>unor</w:t>
            </w:r>
            <w:r>
              <w:t xml:space="preserve"> legi esențiale în perioada premergătoare acestei decizii, dar regretă că dinamica pozitivă a reformelor a stagnat; ia act de adoptarea recentă a legilor privind controlul la frontiere și protecția datelor cu caracter personal;</w:t>
            </w:r>
          </w:p>
        </w:tc>
        <w:tc>
          <w:tcPr>
            <w:tcW w:w="4876" w:type="dxa"/>
            <w:tcBorders>
              <w:top w:val="nil"/>
              <w:left w:val="nil"/>
              <w:bottom w:val="nil"/>
              <w:right w:val="nil"/>
            </w:tcBorders>
          </w:tcPr>
          <w:p>
            <w:pPr>
              <w:pStyle w:val="Normal6a"/>
            </w:pPr>
            <w:r>
              <w:t>2.</w:t>
            </w:r>
            <w:r>
              <w:tab/>
            </w:r>
            <w:r>
              <w:t xml:space="preserve">consideră binevenită decizia Consiliului European de a deschide negocierile de aderare cu Bosnia și Herțegovina; se bucură de adoptarea </w:t>
            </w:r>
            <w:r>
              <w:rPr>
                <w:b/>
                <w:i/>
              </w:rPr>
              <w:t>mai multor</w:t>
            </w:r>
            <w:r>
              <w:t xml:space="preserve"> legi esențiale în perioada premergătoare acestei decizii, dar regretă că dinamica pozitivă a reformelor a stagnat; ia act de adoptarea recentă a legilor privind controlul la frontiere și protecția datelor cu caracter personal;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reliefează, însă, că aderarea la UE este condiționată de îndeplinirea criteriilor de aderare (criteriile de la Copenhaga), potrivit cărora trebuie să existe instituții stabile care să garanteze democrația, respectarea statului de drept, a drepturilor omului și respectarea și protecția minorităților;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îndeamnă liderii politici ai Bosniei și Herțegovinei să ia toate măsurile relevante prevăzute în recomandarea Comisiei din 12 octombrie 2022 în vederea adoptării cadrului de negociere de către Consiliu odată ce aceste condiții sunt întrunite și să își intensifice eforturile pentru a îndeplini cele 14 priorități-cheie stabilite de Comisie în 2019;</w:t>
            </w:r>
            <w:r>
              <w:t xml:space="preserve"> </w:t>
            </w:r>
            <w:r>
              <w:rPr>
                <w:b/>
                <w:i/>
              </w:rPr>
              <w:t>invită toți actorii politici să susțină unitatea, suveranitatea și integritatea teritorială a Bosniei și Herțegovinei și să se abțină de la orice declarații și acțiuni care ar genera dezbinări</w:t>
            </w:r>
            <w:r>
              <w:t>;</w:t>
            </w:r>
          </w:p>
        </w:tc>
        <w:tc>
          <w:tcPr>
            <w:tcW w:w="4876" w:type="dxa"/>
            <w:tcBorders>
              <w:top w:val="nil"/>
              <w:left w:val="nil"/>
              <w:bottom w:val="nil"/>
              <w:right w:val="nil"/>
            </w:tcBorders>
          </w:tcPr>
          <w:p>
            <w:pPr>
              <w:pStyle w:val="Normal6a"/>
            </w:pPr>
            <w:r>
              <w:t>3.</w:t>
            </w:r>
            <w:r>
              <w:tab/>
            </w:r>
            <w:r>
              <w:rPr>
                <w:b/>
                <w:i/>
              </w:rPr>
              <w:t>își exprimă opoziția față de orice nouă extindere a UE și se abține de la a pleda pentru ca Bosnia și Herțegovina să ia măsuri specifice sau să îndeplinească condițiile legate de aderarea la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îndeamnă liderii</w:t>
            </w:r>
            <w:r>
              <w:t xml:space="preserve"> politici ai Bosniei și Herțegovinei să ia toate măsurile relevante </w:t>
            </w:r>
            <w:r>
              <w:rPr>
                <w:b/>
                <w:i/>
              </w:rPr>
              <w:t>prevăzute în recomandarea Comisiei din 12 octombrie 2022 în vederea adoptării cadrului de negociere de către Consiliu odată ce aceste condiții sunt întrunite și să își intensifice eforturile pentru a îndeplini cele 14 priorități-cheie stabilite de Comisie în 2019</w:t>
            </w:r>
            <w:r>
              <w:t>; invită toți actorii politici să susțină unitatea, suveranitatea și integritatea teritorială a Bosniei și Herțegovinei și să se abțină de la orice declarații și acțiuni care ar genera dezbinări;</w:t>
            </w:r>
          </w:p>
        </w:tc>
        <w:tc>
          <w:tcPr>
            <w:tcW w:w="4876" w:type="dxa"/>
            <w:tcBorders>
              <w:top w:val="nil"/>
              <w:left w:val="nil"/>
              <w:bottom w:val="nil"/>
              <w:right w:val="nil"/>
            </w:tcBorders>
          </w:tcPr>
          <w:p>
            <w:pPr>
              <w:pStyle w:val="Normal6a"/>
            </w:pPr>
            <w:r>
              <w:t>3.</w:t>
            </w:r>
            <w:r>
              <w:tab/>
            </w:r>
            <w:r>
              <w:rPr>
                <w:b/>
                <w:i/>
              </w:rPr>
              <w:t>cere liderilor</w:t>
            </w:r>
            <w:r>
              <w:t xml:space="preserve"> politici ai Bosniei și Herțegovinei să ia toate măsurile relevante </w:t>
            </w:r>
            <w:r>
              <w:rPr>
                <w:b/>
                <w:i/>
              </w:rPr>
              <w:t>pentru a aproba reformele structurale necesare care să conducă la crearea unei economii de piață funcționale și competitive</w:t>
            </w:r>
            <w:r>
              <w:t>; invită toți actorii politici să susțină unitatea, suveranitatea și integritatea teritorială a Bosniei și Herțegovinei și să se abțină de la orice declarații și acțiuni care ar genera dezbinări</w:t>
            </w:r>
            <w:r>
              <w:rPr>
                <w:b/>
                <w:i/>
              </w:rPr>
              <w:t>, pentru a dezescala actuala criză politică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îndeamnă liderii politici ai Bosniei și Herțegovinei să ia toate măsurile relevante prevăzute în recomandarea Comisiei din 12 octombrie 2022 în vederea adoptării cadrului de negociere de către Consiliu odată ce aceste condiții sunt </w:t>
            </w:r>
            <w:r>
              <w:rPr>
                <w:b/>
                <w:i/>
              </w:rPr>
              <w:t>întrunite</w:t>
            </w:r>
            <w:r>
              <w:t xml:space="preserve"> și să </w:t>
            </w:r>
            <w:r>
              <w:rPr>
                <w:b/>
                <w:i/>
              </w:rPr>
              <w:t>își intensifice eforturile pentru a îndeplini</w:t>
            </w:r>
            <w:r>
              <w:t xml:space="preserve"> cele 14 priorități-cheie stabilite de Comisie în 2019; invită toți actorii politici să susțină unitatea, suveranitatea și integritatea teritorială a Bosniei și Herțegovinei și să se abțină de la orice declarații și acțiuni care ar genera dezbinări;</w:t>
            </w:r>
          </w:p>
        </w:tc>
        <w:tc>
          <w:tcPr>
            <w:tcW w:w="4876" w:type="dxa"/>
            <w:tcBorders>
              <w:top w:val="nil"/>
              <w:left w:val="nil"/>
              <w:bottom w:val="nil"/>
              <w:right w:val="nil"/>
            </w:tcBorders>
          </w:tcPr>
          <w:p>
            <w:pPr>
              <w:pStyle w:val="Normal6a"/>
            </w:pPr>
            <w:r>
              <w:t>3.</w:t>
            </w:r>
            <w:r>
              <w:tab/>
            </w:r>
            <w:r>
              <w:t>îndeamnă liderii politici ai Bosniei și Herțegovinei să ia toate măsurile relevante prevăzute în recomandarea Comisiei din 12 octombrie 2022</w:t>
            </w:r>
            <w:r>
              <w:rPr>
                <w:b/>
                <w:i/>
              </w:rPr>
              <w:t>, cu respectarea deplină a unor proceduri democratice, transparente și incluzive adecvate în cadrul instituțiilor competente,</w:t>
            </w:r>
            <w:r>
              <w:t xml:space="preserve"> în vederea adoptării cadrului de negociere de către Consiliu odată ce aceste condiții sunt </w:t>
            </w:r>
            <w:r>
              <w:rPr>
                <w:b/>
                <w:i/>
              </w:rPr>
              <w:t>îndeplinite,</w:t>
            </w:r>
            <w:r>
              <w:t xml:space="preserve"> și să </w:t>
            </w:r>
            <w:r>
              <w:rPr>
                <w:b/>
                <w:i/>
              </w:rPr>
              <w:t>realizeze</w:t>
            </w:r>
            <w:r>
              <w:t xml:space="preserve"> cele 14 priorități-cheie stabilite de Comisie în 2019; invită toți actorii politici să susțină unitatea, suveranitatea și integritatea teritorială a Bosniei și Herțegovinei și să se abțină de la orice declarații și acțiuni care ar genera dezbinări</w:t>
            </w:r>
            <w:r>
              <w:rPr>
                <w:b/>
                <w:i/>
              </w:rPr>
              <w:t>, inclusiv incitarea la intoleranță etnică, religioasă și rasială, negarea genocidului și a altor crime de război, glorificarea criminalilor de război și secesionismul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îndeamnă liderii politici ai Bosniei și Herțegovinei să ia toate măsurile relevante prevăzute în recomandarea Comisiei din 12 octombrie 2022 în vederea adoptării cadrului de negociere de către Consiliu odată ce aceste condiții sunt întrunite și să își intensifice eforturile pentru a îndeplini cele 14 priorități-cheie stabilite de Comisie în 2019; invită toți actorii politici să susțină unitatea, suveranitatea și integritatea teritorială a Bosniei și Herțegovinei și să se abțină de la orice declarații și acțiuni care ar genera dezbinări;</w:t>
            </w:r>
          </w:p>
        </w:tc>
        <w:tc>
          <w:tcPr>
            <w:tcW w:w="4876" w:type="dxa"/>
            <w:tcBorders>
              <w:top w:val="nil"/>
              <w:left w:val="nil"/>
              <w:bottom w:val="nil"/>
              <w:right w:val="nil"/>
            </w:tcBorders>
          </w:tcPr>
          <w:p>
            <w:pPr>
              <w:pStyle w:val="Normal6a"/>
            </w:pPr>
            <w:r>
              <w:t>3.</w:t>
            </w:r>
            <w:r>
              <w:tab/>
            </w:r>
            <w:r>
              <w:t>îndeamnă liderii politici ai Bosniei și Herțegovinei să ia toate măsurile relevante prevăzute în recomandarea Comisiei din 12 octombrie 2022 în vederea adoptării cadrului de negociere de către Consiliu odată ce aceste condiții sunt întrunite și să își intensifice eforturile pentru a îndeplini cele 14 priorități-cheie stabilite de Comisie în 2019; invită toți actorii politici să susțină unitatea, suveranitatea și integritatea teritorială a Bosniei și Herțegovinei și să se abțină de la orice declarații și acțiuni care ar genera dezbinări</w:t>
            </w:r>
            <w:r>
              <w:rPr>
                <w:b/>
                <w:i/>
              </w:rPr>
              <w:t>, cum ar fi retorica și acțiunile secesioniste, folosirea discursului de incitare la ură față de grupurile etnice și religioase, glorificarea crimelor de război și a autorilor acestora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Nikolina Brnjac, 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îndeamnă liderii politici ai Bosniei și Herțegovinei să ia toate măsurile relevante prevăzute în recomandarea Comisiei din 12 octombrie 2022 în vederea adoptării cadrului de negociere de către Consiliu odată ce aceste condiții sunt întrunite și să își intensifice eforturile pentru a îndeplini cele 14 priorități-cheie stabilite de Comisie în 2019; invită toți actorii politici să susțină unitatea</w:t>
            </w:r>
            <w:r>
              <w:rPr>
                <w:b/>
                <w:i/>
              </w:rPr>
              <w:t>,</w:t>
            </w:r>
            <w:r>
              <w:t xml:space="preserve"> suveranitatea </w:t>
            </w:r>
            <w:r>
              <w:rPr>
                <w:b/>
                <w:i/>
              </w:rPr>
              <w:t>și</w:t>
            </w:r>
            <w:r>
              <w:t xml:space="preserve"> integritatea teritorială a Bosniei și Herțegovinei și să se abțină de la orice declarații și acțiuni care ar genera dezbinări;</w:t>
            </w:r>
          </w:p>
        </w:tc>
        <w:tc>
          <w:tcPr>
            <w:tcW w:w="4876" w:type="dxa"/>
            <w:tcBorders>
              <w:top w:val="nil"/>
              <w:left w:val="nil"/>
              <w:bottom w:val="nil"/>
              <w:right w:val="nil"/>
            </w:tcBorders>
          </w:tcPr>
          <w:p>
            <w:pPr>
              <w:pStyle w:val="Normal6a"/>
            </w:pPr>
            <w:r>
              <w:t>3.</w:t>
            </w:r>
            <w:r>
              <w:tab/>
            </w:r>
            <w:r>
              <w:t xml:space="preserve">îndeamnă liderii politici ai Bosniei și Herțegovinei să ia toate măsurile relevante prevăzute în recomandarea Comisiei din 12 octombrie 2022 în vederea adoptării cadrului de negociere de către Consiliu odată ce aceste condiții sunt întrunite și să își intensifice eforturile pentru a îndeplini cele 14 priorități-cheie stabilite de Comisie în 2019; invită toți actorii politici să susțină unitatea </w:t>
            </w:r>
            <w:r>
              <w:rPr>
                <w:b/>
                <w:i/>
              </w:rPr>
              <w:t>și</w:t>
            </w:r>
            <w:r>
              <w:t xml:space="preserve"> suveranitatea </w:t>
            </w:r>
            <w:r>
              <w:rPr>
                <w:b/>
                <w:i/>
              </w:rPr>
              <w:t>popoarelor constitutive, asigurând astfel</w:t>
            </w:r>
            <w:r>
              <w:t xml:space="preserve"> integritatea teritorială a Bosniei și Herțegovinei și să se abțină de la orice declarații și acțiuni care ar genera dezbinări;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îndeamnă liderii politici ai Bosniei și Herțegovinei să ia toate măsurile relevante prevăzute în recomandarea Comisiei din 12 octombrie 2022 în vederea adoptării cadrului de negociere de către Consiliu odată ce aceste condiții sunt întrunite și să își intensifice eforturile pentru a îndeplini cele 14 priorități-cheie stabilite de Comisie în 2019; invită toți actorii politici să susțină unitatea, suveranitatea și integritatea teritorială a Bosniei și Herțegovinei și să se abțină de la orice declarații și acțiuni care ar genera dezbinări;</w:t>
            </w:r>
          </w:p>
        </w:tc>
        <w:tc>
          <w:tcPr>
            <w:tcW w:w="4876" w:type="dxa"/>
            <w:tcBorders>
              <w:top w:val="nil"/>
              <w:left w:val="nil"/>
              <w:bottom w:val="nil"/>
              <w:right w:val="nil"/>
            </w:tcBorders>
          </w:tcPr>
          <w:p>
            <w:pPr>
              <w:pStyle w:val="Normal6a"/>
            </w:pPr>
            <w:r>
              <w:t>3.</w:t>
            </w:r>
            <w:r>
              <w:tab/>
            </w:r>
            <w:r>
              <w:t xml:space="preserve">îndeamnă liderii politici </w:t>
            </w:r>
            <w:r>
              <w:rPr>
                <w:b/>
                <w:i/>
              </w:rPr>
              <w:t>legitimi</w:t>
            </w:r>
            <w:r>
              <w:t xml:space="preserve"> ai Bosniei și Herțegovinei să ia toate măsurile relevante prevăzute în recomandarea Comisiei din 12 octombrie 2022 în vederea adoptării cadrului de negociere de către Consiliu odată ce aceste condiții sunt întrunite și să își intensifice eforturile pentru a îndeplini cele 14 priorități-cheie stabilite de Comisie în 2019; invită toți actorii politici să susțină unitatea, suveranitatea și integritatea teritorială a Bosniei și Herțegovinei și să se abțină de la orice declarații și acțiuni care ar genera dezbinări;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reafirmă că procesul de aderare al</w:t>
            </w:r>
            <w:r>
              <w:t xml:space="preserve"> Bosniei și Herțegovinei </w:t>
            </w:r>
            <w:r>
              <w:rPr>
                <w:b/>
                <w:i/>
              </w:rPr>
              <w:t>trebuie să aibă ca principiu călăuzitor instituții democratice funcționale, supremația legii, lupta împotriva corupției și a criminalității organizate, respectarea drepturilor fundamentale și nediscriminarea cetățenilor și a popoarelor constitutive</w:t>
            </w:r>
            <w:r>
              <w:t>;</w:t>
            </w:r>
          </w:p>
        </w:tc>
        <w:tc>
          <w:tcPr>
            <w:tcW w:w="4876" w:type="dxa"/>
            <w:tcBorders>
              <w:top w:val="nil"/>
              <w:left w:val="nil"/>
              <w:bottom w:val="nil"/>
              <w:right w:val="nil"/>
            </w:tcBorders>
          </w:tcPr>
          <w:p>
            <w:pPr>
              <w:pStyle w:val="Normal6a"/>
            </w:pPr>
            <w:r>
              <w:t>4.</w:t>
            </w:r>
            <w:r>
              <w:tab/>
            </w:r>
            <w:r>
              <w:rPr>
                <w:b/>
                <w:i/>
              </w:rPr>
              <w:t>respinge orice ingerință externă în afacerile interne ale</w:t>
            </w:r>
            <w:r>
              <w:t xml:space="preserve"> Bosniei și Herțegovinei</w:t>
            </w:r>
            <w:r>
              <w:rPr>
                <w:b/>
                <w:i/>
              </w:rPr>
              <w:t>;</w:t>
            </w:r>
            <w:r>
              <w:t xml:space="preserve"> </w:t>
            </w:r>
            <w:r>
              <w:rPr>
                <w:b/>
                <w:i/>
              </w:rPr>
              <w:t>subliniază că UE nu ar trebui să își impună opiniile cu privire la statul de drept, democrația într-un stat suveran, și nici să țină lecții către Bosnia și Herțegovina cu privire la lupta împotriva corupției;</w:t>
            </w:r>
            <w:r>
              <w:t xml:space="preserve"> </w:t>
            </w:r>
            <w:r>
              <w:rPr>
                <w:b/>
                <w:i/>
              </w:rPr>
              <w:t>recomandă Comisiei să găsească modalități eficiente de combatere a corupției în sânul său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reafirmă că procesul de aderare al Bosniei și Herțegovinei trebuie să aibă ca principiu călăuzitor instituții democratice funcționale, supremația legii, lupta împotriva corupției și a criminalității organizate, respectarea drepturilor fundamentale și nediscriminarea cetățenilor </w:t>
            </w:r>
            <w:r>
              <w:rPr>
                <w:b/>
                <w:i/>
              </w:rPr>
              <w:t>și a popoarelor constitutive</w:t>
            </w:r>
            <w:r>
              <w:t>;</w:t>
            </w:r>
          </w:p>
        </w:tc>
        <w:tc>
          <w:tcPr>
            <w:tcW w:w="4876" w:type="dxa"/>
            <w:tcBorders>
              <w:top w:val="nil"/>
              <w:left w:val="nil"/>
              <w:bottom w:val="nil"/>
              <w:right w:val="nil"/>
            </w:tcBorders>
          </w:tcPr>
          <w:p>
            <w:pPr>
              <w:pStyle w:val="Normal6a"/>
            </w:pPr>
            <w:r>
              <w:t>4.</w:t>
            </w:r>
            <w:r>
              <w:tab/>
            </w:r>
            <w:r>
              <w:t>reafirmă că procesul de aderare al Bosniei și Herțegovinei trebuie să aibă ca principiu călăuzitor instituții democratice funcționale, supremația legii, lupta împotriva corupției și a criminalității organizate, respectarea drepturilor fundamentale și nediscriminarea cetățenilor;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reafirmă că procesul de aderare al Bosniei și Herțegovinei trebuie să aibă ca principiu călăuzitor instituții democratice funcționale, supremația legii, lupta împotriva corupției și a criminalității organizate, respectarea drepturilor fundamentale și nediscriminarea cetățenilor </w:t>
            </w:r>
            <w:r>
              <w:rPr>
                <w:b/>
                <w:i/>
              </w:rPr>
              <w:t>și a popoarelor constitutive</w:t>
            </w:r>
            <w:r>
              <w:t>;</w:t>
            </w:r>
          </w:p>
        </w:tc>
        <w:tc>
          <w:tcPr>
            <w:tcW w:w="4876" w:type="dxa"/>
            <w:tcBorders>
              <w:top w:val="nil"/>
              <w:left w:val="nil"/>
              <w:bottom w:val="nil"/>
              <w:right w:val="nil"/>
            </w:tcBorders>
          </w:tcPr>
          <w:p>
            <w:pPr>
              <w:pStyle w:val="Normal6a"/>
            </w:pPr>
            <w:r>
              <w:t>4.</w:t>
            </w:r>
            <w:r>
              <w:tab/>
            </w:r>
            <w:r>
              <w:t xml:space="preserve">reafirmă că procesul de aderare al Bosniei și Herțegovinei trebuie să aibă ca principiu călăuzitor instituții democratice funcționale, supremația legii, lupta împotriva corupției și a criminalității organizate, respectarea drepturilor fundamentale și nediscriminarea </w:t>
            </w:r>
            <w:r>
              <w:rPr>
                <w:b/>
                <w:i/>
              </w:rPr>
              <w:t>tuturor</w:t>
            </w:r>
            <w:r>
              <w:t xml:space="preserve"> cetățenilor</w:t>
            </w:r>
            <w:r>
              <w:rPr>
                <w:b/>
                <w:i/>
              </w:rPr>
              <w:t>, indiferent de afilierea etnică, religioasă sau de altă natură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reafirmă că procesul de aderare al Bosniei și Herțegovinei trebuie să aibă ca principiu călăuzitor instituții democratice funcționale, supremația legii, lupta împotriva corupției și a criminalității organizate, respectarea drepturilor fundamentale și nediscriminarea </w:t>
            </w:r>
            <w:r>
              <w:rPr>
                <w:b/>
                <w:i/>
              </w:rPr>
              <w:t>cetățenilor și a popoarelor</w:t>
            </w:r>
            <w:r>
              <w:t xml:space="preserve"> constitutive;</w:t>
            </w:r>
          </w:p>
        </w:tc>
        <w:tc>
          <w:tcPr>
            <w:tcW w:w="4876" w:type="dxa"/>
            <w:tcBorders>
              <w:top w:val="nil"/>
              <w:left w:val="nil"/>
              <w:bottom w:val="nil"/>
              <w:right w:val="nil"/>
            </w:tcBorders>
          </w:tcPr>
          <w:p>
            <w:pPr>
              <w:pStyle w:val="Normal6a"/>
            </w:pPr>
            <w:r>
              <w:t>4.</w:t>
            </w:r>
            <w:r>
              <w:tab/>
            </w:r>
            <w:r>
              <w:t xml:space="preserve">reafirmă că procesul de aderare al Bosniei și Herțegovinei trebuie să aibă ca principiu călăuzitor instituții democratice funcționale, supremația legii, lupta împotriva corupției și a criminalității organizate, </w:t>
            </w:r>
            <w:r>
              <w:rPr>
                <w:b/>
                <w:i/>
              </w:rPr>
              <w:t>precum și</w:t>
            </w:r>
            <w:r>
              <w:t xml:space="preserve"> respectarea drepturilor fundamentale și nediscriminarea</w:t>
            </w:r>
            <w:r>
              <w:rPr>
                <w:b/>
                <w:i/>
              </w:rPr>
              <w:t>, dar și reprezentarea legitimă a celor trei popoare</w:t>
            </w:r>
            <w:r>
              <w:t xml:space="preserve"> constitutive </w:t>
            </w:r>
            <w:r>
              <w:rPr>
                <w:b/>
                <w:i/>
              </w:rPr>
              <w:t>și a tuturor celorlalți cetățeni, respectând litera Constituției Bosniei și Herțegovinei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reafirmă că procesul de aderare al Bosniei și Herțegovinei trebuie să aibă ca principiu călăuzitor instituții democratice funcționale, supremația legii, lupta împotriva corupției și a criminalității organizate, respectarea drepturilor fundamentale și nediscriminarea cetățenilor </w:t>
            </w:r>
            <w:r>
              <w:rPr>
                <w:b/>
                <w:i/>
              </w:rPr>
              <w:t>și a popoarelor</w:t>
            </w:r>
            <w:r>
              <w:t xml:space="preserve"> constitutive;</w:t>
            </w:r>
          </w:p>
        </w:tc>
        <w:tc>
          <w:tcPr>
            <w:tcW w:w="4876" w:type="dxa"/>
            <w:tcBorders>
              <w:top w:val="nil"/>
              <w:left w:val="nil"/>
              <w:bottom w:val="nil"/>
              <w:right w:val="nil"/>
            </w:tcBorders>
          </w:tcPr>
          <w:p>
            <w:pPr>
              <w:pStyle w:val="Normal6a"/>
            </w:pPr>
            <w:r>
              <w:t>4.</w:t>
            </w:r>
            <w:r>
              <w:tab/>
            </w:r>
            <w:r>
              <w:t xml:space="preserve">reafirmă că procesul de aderare al Bosniei și Herțegovinei trebuie să aibă ca principiu călăuzitor instituții democratice funcționale, supremația legii, lupta împotriva corupției și a criminalității organizate, respectarea drepturilor fundamentale </w:t>
            </w:r>
            <w:r>
              <w:rPr>
                <w:b/>
                <w:i/>
              </w:rPr>
              <w:t>individuale și colective</w:t>
            </w:r>
            <w:r>
              <w:t xml:space="preserve"> și nediscriminarea </w:t>
            </w:r>
            <w:r>
              <w:rPr>
                <w:b/>
                <w:i/>
              </w:rPr>
              <w:t>tuturor</w:t>
            </w:r>
            <w:r>
              <w:t xml:space="preserve"> cetățenilor</w:t>
            </w:r>
            <w:r>
              <w:rPr>
                <w:b/>
                <w:i/>
              </w:rPr>
              <w:t>, și anume popoarele</w:t>
            </w:r>
            <w:r>
              <w:t xml:space="preserve"> constitutive </w:t>
            </w:r>
            <w:r>
              <w:rPr>
                <w:b/>
                <w:i/>
              </w:rPr>
              <w:t>și drepturile lor constituționale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António Tânger Corrêa,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condamnă utilizarea repetată a unei retorici incendiare și adoptarea de legi și politici secesioniste de către conducerea Republicii Srpska</w:t>
            </w:r>
            <w:r>
              <w:t xml:space="preserve">; subliniază că </w:t>
            </w:r>
            <w:r>
              <w:rPr>
                <w:b/>
                <w:i/>
              </w:rPr>
              <w:t>astfel de acțiuni subminează poziția Bosniei și Herțegovinei și sunt incompatibile cu procesul</w:t>
            </w:r>
            <w:r>
              <w:t xml:space="preserve"> său de aderare </w:t>
            </w:r>
            <w:r>
              <w:rPr>
                <w:b/>
                <w:i/>
              </w:rPr>
              <w:t>la UE;</w:t>
            </w:r>
            <w:r>
              <w:t xml:space="preserve"> </w:t>
            </w:r>
            <w:r>
              <w:rPr>
                <w:b/>
                <w:i/>
              </w:rPr>
              <w:t>își reiterează apelul de a aplica sancțiuni focalizate contra forțelor politice destabilizatoare, mai ales Milorad Dodik</w:t>
            </w:r>
            <w:r>
              <w:t>;</w:t>
            </w:r>
          </w:p>
        </w:tc>
        <w:tc>
          <w:tcPr>
            <w:tcW w:w="4876" w:type="dxa"/>
            <w:tcBorders>
              <w:top w:val="nil"/>
              <w:left w:val="nil"/>
              <w:bottom w:val="nil"/>
              <w:right w:val="nil"/>
            </w:tcBorders>
          </w:tcPr>
          <w:p>
            <w:pPr>
              <w:pStyle w:val="Normal6a"/>
            </w:pPr>
            <w:r>
              <w:t>5.</w:t>
            </w:r>
            <w:r>
              <w:tab/>
            </w:r>
            <w:r>
              <w:rPr>
                <w:b/>
                <w:i/>
              </w:rPr>
              <w:t>recunoaște actualul peisaj politic care generează dezbinări în Bosnia și Herțegovina, ceea ce împiedică obținerea consensului transpartinic necesar pentru aprobarea reformelor structurale</w:t>
            </w:r>
            <w:r>
              <w:t xml:space="preserve">; subliniază că </w:t>
            </w:r>
            <w:r>
              <w:rPr>
                <w:b/>
                <w:i/>
              </w:rPr>
              <w:t>consensul politic ar înlesni în mare măsură parcursul țării pe parcursul procesului</w:t>
            </w:r>
            <w:r>
              <w:t xml:space="preserve"> său de aderare;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condamnă utilizarea repetată a unei retorici incendiare și adoptarea de legi și politici secesioniste de către conducerea Republicii Srpska; subliniază că astfel de acțiuni subminează poziția Bosniei și Herțegovinei și sunt incompatibile cu procesul său de aderare la UE; </w:t>
            </w:r>
            <w:r>
              <w:rPr>
                <w:b/>
                <w:i/>
              </w:rPr>
              <w:t>își reiterează apelul de a aplica sancțiuni focalizate contra forțelor politice destabilizatoare, mai ales</w:t>
            </w:r>
            <w:r>
              <w:t xml:space="preserve"> Milorad Dodik;</w:t>
            </w:r>
          </w:p>
        </w:tc>
        <w:tc>
          <w:tcPr>
            <w:tcW w:w="4876" w:type="dxa"/>
            <w:tcBorders>
              <w:top w:val="nil"/>
              <w:left w:val="nil"/>
              <w:bottom w:val="nil"/>
              <w:right w:val="nil"/>
            </w:tcBorders>
          </w:tcPr>
          <w:p>
            <w:pPr>
              <w:pStyle w:val="Normal6a"/>
            </w:pPr>
            <w:r>
              <w:t>5.</w:t>
            </w:r>
            <w:r>
              <w:tab/>
            </w:r>
            <w:r>
              <w:t xml:space="preserve">condamnă utilizarea repetată a unei retorici incendiare și adoptarea de legi și politici secesioniste de către conducerea Republicii Srpska; subliniază că astfel de acțiuni subminează poziția Bosniei și Herțegovinei și sunt incompatibile cu procesul său de aderare la UE; </w:t>
            </w:r>
            <w:r>
              <w:rPr>
                <w:b/>
                <w:i/>
              </w:rPr>
              <w:t>ia act de faptul că Interpol a renunțat la mandatul internațional de arestare pentru</w:t>
            </w:r>
            <w:r>
              <w:t xml:space="preserve"> Milorad Dodik</w:t>
            </w:r>
            <w:r>
              <w:rPr>
                <w:b/>
                <w:i/>
              </w:rPr>
              <w:t>, care fusese cerut de o instanță bosniacă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condamnă</w:t>
            </w:r>
            <w:r>
              <w:t xml:space="preserve"> utilizarea repetată a unei retorici incendiare și adoptarea de legi și politici secesioniste de către conducerea Republicii Srpska; subliniază că astfel de acțiuni subminează poziția Bosniei și Herțegovinei și sunt incompatibile cu procesul său de aderare la UE; își reiterează apelul </w:t>
            </w:r>
            <w:r>
              <w:rPr>
                <w:b/>
                <w:i/>
              </w:rPr>
              <w:t>de a aplica</w:t>
            </w:r>
            <w:r>
              <w:t xml:space="preserve"> sancțiuni </w:t>
            </w:r>
            <w:r>
              <w:rPr>
                <w:b/>
                <w:i/>
              </w:rPr>
              <w:t>focalizate contra forțelor politice destabilizatoare, mai ales</w:t>
            </w:r>
            <w:r>
              <w:t xml:space="preserve"> Milorad Dodik;</w:t>
            </w:r>
          </w:p>
        </w:tc>
        <w:tc>
          <w:tcPr>
            <w:tcW w:w="4876" w:type="dxa"/>
            <w:tcBorders>
              <w:top w:val="nil"/>
              <w:left w:val="nil"/>
              <w:bottom w:val="nil"/>
              <w:right w:val="nil"/>
            </w:tcBorders>
          </w:tcPr>
          <w:p>
            <w:pPr>
              <w:pStyle w:val="Normal6a"/>
            </w:pPr>
            <w:r>
              <w:t>5.</w:t>
            </w:r>
            <w:r>
              <w:tab/>
            </w:r>
            <w:r>
              <w:rPr>
                <w:b/>
                <w:i/>
              </w:rPr>
              <w:t>denunță în termenii cei mai fermi</w:t>
            </w:r>
            <w:r>
              <w:t xml:space="preserve"> utilizarea repetată a unei retorici incendiare și adoptarea de legi și politici secesioniste de către conducerea </w:t>
            </w:r>
            <w:r>
              <w:rPr>
                <w:b/>
                <w:i/>
              </w:rPr>
              <w:t>entității Republica Srpska, inclusiv sărbătorirea așa-numitei „Zile a</w:t>
            </w:r>
            <w:r>
              <w:t xml:space="preserve"> Republicii Srpska</w:t>
            </w:r>
            <w:r>
              <w:rPr>
                <w:b/>
                <w:i/>
              </w:rPr>
              <w:t>” neconstituționale, precum și a Sretenje (Ziua statului Republicii Serbia);</w:t>
            </w:r>
            <w:r>
              <w:t xml:space="preserve"> </w:t>
            </w:r>
            <w:r>
              <w:rPr>
                <w:b/>
                <w:i/>
              </w:rPr>
              <w:t>denunță prezența unor înalți funcționari guvernamentali sârbi la Bania Luka în timpul sărbătoririi Zilei neconstituționale a RS, precum și a Sretenie</w:t>
            </w:r>
            <w:r>
              <w:t xml:space="preserve">; subliniază că astfel de acțiuni </w:t>
            </w:r>
            <w:r>
              <w:rPr>
                <w:b/>
                <w:i/>
              </w:rPr>
              <w:t>ilegale și neconstituționale</w:t>
            </w:r>
            <w:r>
              <w:t xml:space="preserve"> subminează poziția Bosniei și Herțegovinei și sunt incompatibile cu procesul său de aderare la UE; își reiterează apelul </w:t>
            </w:r>
            <w:r>
              <w:rPr>
                <w:b/>
                <w:i/>
              </w:rPr>
              <w:t>pentru adoptarea de</w:t>
            </w:r>
            <w:r>
              <w:t xml:space="preserve"> sancțiuni </w:t>
            </w:r>
            <w:r>
              <w:rPr>
                <w:b/>
                <w:i/>
              </w:rPr>
              <w:t>specifice împotriva tuturor actorilor destabilizatori, îndeosebi împotriva lui</w:t>
            </w:r>
            <w:r>
              <w:t xml:space="preserve"> Milorad Dodik</w:t>
            </w:r>
            <w:r>
              <w:rPr>
                <w:b/>
                <w:i/>
              </w:rPr>
              <w:t>, precum și a altor oficialități de rang înalt din RS și Serbia care oferă sprijin politic și material politicilor secesioniste;</w:t>
            </w:r>
            <w:r>
              <w:t xml:space="preserve"> </w:t>
            </w:r>
            <w:r>
              <w:rPr>
                <w:b/>
                <w:i/>
              </w:rPr>
              <w:t>invită toate statele membre ale UE să se asigure că Consiliul poate adopta astfel de sancțiuni și să le impună bilateral sau în colaborare cu alte state membre în cazul în care adoptarea lor în Consiliu nu este posibilă;</w:t>
            </w:r>
            <w:r>
              <w:t xml:space="preserve"> </w:t>
            </w:r>
            <w:r>
              <w:rPr>
                <w:b/>
                <w:i/>
              </w:rPr>
              <w:t>consideră că înalți funcționari ai UE nu ar trebui să colaboreze cu actori care subminează ordinea constituțională a Bosniei și Herțegovinei pentru a nu afecta credibilitatea UE în sprijinirea instituțiilor de stat din Bosnia și Herțegovina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condamnă utilizarea repetată a unei retorici incendiare și adoptarea de legi și politici secesioniste de către conducerea Republicii Srpska; subliniază că astfel de acțiuni subminează poziția Bosniei și Herțegovinei și sunt incompatibile cu procesul său de aderare la UE; își reiterează apelul de a aplica sancțiuni focalizate contra forțelor politice destabilizatoare, mai ales Milorad Dodik;</w:t>
            </w:r>
          </w:p>
        </w:tc>
        <w:tc>
          <w:tcPr>
            <w:tcW w:w="4876" w:type="dxa"/>
            <w:tcBorders>
              <w:top w:val="nil"/>
              <w:left w:val="nil"/>
              <w:bottom w:val="nil"/>
              <w:right w:val="nil"/>
            </w:tcBorders>
          </w:tcPr>
          <w:p>
            <w:pPr>
              <w:pStyle w:val="Normal6a"/>
            </w:pPr>
            <w:r>
              <w:t>5.</w:t>
            </w:r>
            <w:r>
              <w:tab/>
            </w:r>
            <w:r>
              <w:t xml:space="preserve">condamnă </w:t>
            </w:r>
            <w:r>
              <w:rPr>
                <w:b/>
                <w:i/>
              </w:rPr>
              <w:t>ferm</w:t>
            </w:r>
            <w:r>
              <w:t xml:space="preserve"> utilizarea repetată a unei retorici incendiare și adoptarea de legi și politici secesioniste de către conducerea Republicii Srpska; subliniază că astfel de acțiuni subminează poziția Bosniei și Herțegovinei și sunt incompatibile cu procesul său de aderare la UE; își reiterează apelul de a aplica sancțiuni focalizate contra forțelor politice destabilizatoare, mai ales Milorad Dodik; </w:t>
            </w:r>
            <w:r>
              <w:rPr>
                <w:b/>
                <w:i/>
              </w:rPr>
              <w:t>condamnă rolul Ungariei în blocarea sancțiunilor la nivelul UE;</w:t>
            </w:r>
            <w:r>
              <w:t xml:space="preserve"> </w:t>
            </w:r>
            <w:r>
              <w:rPr>
                <w:b/>
                <w:i/>
              </w:rPr>
              <w:t>invită, prin urmare, statele membre să formeze o coaliție a voinței și să avanseze cu sancțiuni bilaterale împotriva lui Milorad Dodik și a aliaților săi, prin interdicții de călătorie și înghețarea activelor;</w:t>
            </w:r>
            <w:r>
              <w:t xml:space="preserve"> </w:t>
            </w:r>
            <w:r>
              <w:rPr>
                <w:b/>
                <w:i/>
              </w:rPr>
              <w:t>salută, în acest context, decizia Germaniei și Austriei de a interzice președintelui RS Milorad Dodik, prim-ministrului RS Radovan Viscovic și președintelui Adunării Naționale a RS, Nenad Stevandic, să intre în Germania și Austria ca prim pas și încurajează alte state membre să urmeze exemplul;</w:t>
            </w:r>
            <w:r>
              <w:t xml:space="preserve"> </w:t>
            </w:r>
            <w:r>
              <w:rPr>
                <w:b/>
                <w:i/>
              </w:rPr>
              <w:t>condamnă recentele amenințări de violență comise de reprezentanții Dodik împotriva ministrului de stat pentru Europa și climă din cadrul Ministerului Federal al Afacerilor Externe din Germania și a delegației sale în timpul vizitei sale la Bania Luka;</w:t>
            </w:r>
            <w:r>
              <w:t xml:space="preserve"> </w:t>
            </w:r>
            <w:r>
              <w:rPr>
                <w:b/>
                <w:i/>
              </w:rPr>
              <w:t>regretă că Interpol a refuzat mandatul internațional împotriva lui Dodik condamnat din cauza opoziției Ungariei și Serbiei;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Davor Ivo Stier, Karlo Ressler, Nikolina Brnjac,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condamnă utilizarea repetată a </w:t>
            </w:r>
            <w:r>
              <w:rPr>
                <w:b/>
                <w:i/>
              </w:rPr>
              <w:t>unei retorici</w:t>
            </w:r>
            <w:r>
              <w:t xml:space="preserve"> incendiare și adoptarea de legi și politici secesioniste de către </w:t>
            </w:r>
            <w:r>
              <w:rPr>
                <w:b/>
                <w:i/>
              </w:rPr>
              <w:t>conducerea</w:t>
            </w:r>
            <w:r>
              <w:t xml:space="preserve"> Republicii Srpska; subliniază că astfel de acțiuni subminează poziția Bosniei și Herțegovinei și sunt incompatibile cu procesul său de aderare la UE; își reiterează apelul de a aplica sancțiuni focalizate contra forțelor politice destabilizatoare, mai ales Milorad Dodik;</w:t>
            </w:r>
          </w:p>
        </w:tc>
        <w:tc>
          <w:tcPr>
            <w:tcW w:w="4876" w:type="dxa"/>
            <w:tcBorders>
              <w:top w:val="nil"/>
              <w:left w:val="nil"/>
              <w:bottom w:val="nil"/>
              <w:right w:val="nil"/>
            </w:tcBorders>
          </w:tcPr>
          <w:p>
            <w:pPr>
              <w:pStyle w:val="Normal6a"/>
            </w:pPr>
            <w:r>
              <w:t>5.</w:t>
            </w:r>
            <w:r>
              <w:tab/>
            </w:r>
            <w:r>
              <w:t xml:space="preserve">condamnă </w:t>
            </w:r>
            <w:r>
              <w:rPr>
                <w:b/>
                <w:i/>
              </w:rPr>
              <w:t>cu fermitate</w:t>
            </w:r>
            <w:r>
              <w:t xml:space="preserve"> utilizarea repetată a </w:t>
            </w:r>
            <w:r>
              <w:rPr>
                <w:b/>
                <w:i/>
              </w:rPr>
              <w:t>retoricii</w:t>
            </w:r>
            <w:r>
              <w:t xml:space="preserve"> incendiare și adoptarea de legi și politici secesioniste de către </w:t>
            </w:r>
            <w:r>
              <w:rPr>
                <w:b/>
                <w:i/>
              </w:rPr>
              <w:t>Milorad Dodik și de către Adunarea</w:t>
            </w:r>
            <w:r>
              <w:t xml:space="preserve"> Republicii Srpska </w:t>
            </w:r>
            <w:r>
              <w:rPr>
                <w:b/>
                <w:i/>
              </w:rPr>
              <w:t>(RS), care au subminat ordinea constituțională, suveranitatea și integritatea teritorială a Bosniei și Herțegovinei</w:t>
            </w:r>
            <w:r>
              <w:t>; subliniază că astfel de acțiuni subminează poziția Bosniei și Herțegovinei și sunt incompatibile cu procesul său de aderare la UE; își reiterează apelul de a aplica sancțiuni focalizate contra forțelor politice destabilizatoare, mai ales Milorad Dodik;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condamnă utilizarea repetată a unei retorici incendiare și adoptarea de legi și politici secesioniste de către conducerea Republicii Srpska; subliniază că astfel de acțiuni subminează poziția Bosniei și Herțegovinei și sunt incompatibile cu procesul său de aderare la UE; își reiterează apelul de a aplica sancțiuni focalizate contra forțelor politice destabilizatoare, mai ales Milorad Dodik;</w:t>
            </w:r>
          </w:p>
        </w:tc>
        <w:tc>
          <w:tcPr>
            <w:tcW w:w="4876" w:type="dxa"/>
            <w:tcBorders>
              <w:top w:val="nil"/>
              <w:left w:val="nil"/>
              <w:bottom w:val="nil"/>
              <w:right w:val="nil"/>
            </w:tcBorders>
          </w:tcPr>
          <w:p>
            <w:pPr>
              <w:pStyle w:val="Normal6a"/>
            </w:pPr>
            <w:r>
              <w:t>5.</w:t>
            </w:r>
            <w:r>
              <w:tab/>
            </w:r>
            <w:r>
              <w:t xml:space="preserve">condamnă utilizarea repetată a unei retorici incendiare și adoptarea de legi și politici secesioniste de către conducerea Republicii Srpska; subliniază că astfel de acțiuni subminează poziția Bosniei și Herțegovinei și sunt incompatibile cu procesul său de aderare la UE; își reiterează apelul de a aplica sancțiuni focalizate contra forțelor politice destabilizatoare, mai ales Milorad Dodik; </w:t>
            </w:r>
            <w:r>
              <w:rPr>
                <w:b/>
                <w:i/>
              </w:rPr>
              <w:t>în conformitate cu declarația Secretarului General al NATO, Mark Rutte, solicită un dialog intern între toate părțile pentru a proteja stabilitatea în țară;</w:t>
            </w:r>
            <w:r>
              <w:t xml:space="preserve"> </w:t>
            </w:r>
            <w:r>
              <w:rPr>
                <w:b/>
                <w:i/>
              </w:rPr>
              <w:t>în conformitate cu declarația Înaltului Reprezentant, Kaja Kallas, invită toate părțile să nu amenințe integritatea teritorială, suveranitatea și ordinea constituțională a Bosniei și Herțegovinei;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5a.</w:t>
            </w:r>
            <w:r>
              <w:tab/>
            </w:r>
            <w:r>
              <w:rPr>
                <w:b/>
                <w:i/>
              </w:rPr>
              <w:t>solicită izolarea internațională a lui Milorad Dodik ca răspuns la acțiunile separatiste continue ale acestuia și îndeamnă UE să nu considere actualul președinte al Republicii Srpska drept interlocutor credibil;</w:t>
            </w:r>
            <w:r>
              <w:t xml:space="preserve"> </w:t>
            </w:r>
            <w:r>
              <w:rPr>
                <w:b/>
                <w:i/>
              </w:rPr>
              <w:t>îndeamnă, de asemenea, toți funcționarii UE să nu se angajeze în acorduri lipsite de principii cu Milorad Dodik, care ar putea submina ordinea constituțională a Bosniei și Herțegovinei și integritatea instituțiilor sale independente;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Davor Ivo Stier, Karlo Ressler, Nikolina Brnjac,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5a.</w:t>
            </w:r>
            <w:r>
              <w:tab/>
            </w:r>
            <w:r>
              <w:rPr>
                <w:b/>
                <w:i/>
              </w:rPr>
              <w:t>regretă sprijinul acordat de autoritățile ruse și sârbe, precum și de Președintele Parlamentului Muntenegrului pentru politicile secesioniste ale lui Milorad Dodik;</w:t>
            </w:r>
            <w:r>
              <w:t xml:space="preserve"> </w:t>
            </w:r>
            <w:r>
              <w:rPr>
                <w:b/>
                <w:i/>
              </w:rPr>
              <w:t>invită toți actorii regionali și internaționali să respecte suveranitatea și integritatea teritorială a Bosniei și Herțegovinei;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ia act de hotărârea Curții din Bosnia și Herțegovina din 26 februarie 2025 în cazul lui Milorad Dodik și condamnă atacurile fără precedent asupra instituțiilor din Bosnia și Herțegovina ale acestuia și intimidarea opoziției din 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5c.</w:t>
            </w:r>
            <w:r>
              <w:tab/>
            </w:r>
            <w:r>
              <w:rPr>
                <w:b/>
                <w:i/>
              </w:rPr>
              <w:t>regretă că acțiunile lui Milorad Dodik și ale altor actori politici reprezintă o încălcare clară a acordului politic din 12 iunie 2022 intermediat de președintele Consiliului European și de ÎR/VP Borrell;</w:t>
            </w:r>
            <w:r>
              <w:t xml:space="preserve"> </w:t>
            </w:r>
            <w:r>
              <w:rPr>
                <w:b/>
                <w:i/>
              </w:rPr>
              <w:t>concluzionează că acordurile anterioare de limitare a escaladărilor înregistrate de Dodik în ultimul deceniu nu au adus o soluție sustenabilă;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5d.</w:t>
            </w:r>
            <w:r>
              <w:tab/>
            </w:r>
            <w:r>
              <w:rPr>
                <w:b/>
                <w:i/>
              </w:rPr>
              <w:t>îndeamnă Comisia, în strânsă cooperare cu statele membre și cu partenerii internaționali, inclusiv cu Oficiul Înaltului Reprezentant, OSCE și Consiliul Europei, să facă un bilanț al lecțiilor învățate în ultimii 15 de ani de implicare europeană în Bosnia și Herțegovina și să își recalibreze strategia în consecință, cu un accent reînnoit pe realizarea de progrese concrete și de reforme care vor accelera calea țării către aderarea la UE, reafirmând astfel angajamentul ferm al Uniunii Europene față de integrarea deplină a Bosniei și Herțegovinei în Uniune;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5e.</w:t>
            </w:r>
            <w:r>
              <w:tab/>
            </w:r>
            <w:r>
              <w:rPr>
                <w:b/>
                <w:i/>
              </w:rPr>
              <w:t>deplânge faptul că politica și acțiunile lui Milorad Dodik, inclusiv blocajele frecvente ale organismelor de la nivel statal și ale procesului decizional, precum și desființarea instituțiilor Bosniei și Herțegovinei necesare pentru activitatea tehnică de adoptare a acquis-ului reprezintă un factor major în calea dificilă a aderării Bosniei și Herțegovinei la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5f.</w:t>
            </w:r>
            <w:r>
              <w:tab/>
            </w:r>
            <w:r>
              <w:rPr>
                <w:b/>
                <w:i/>
              </w:rPr>
              <w:t>condamnă decizia recentă a guvernului entității RS de a declara un înalt funcționar al ministerului de externe german ca persona non grata;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5 g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5g.</w:t>
            </w:r>
            <w:r>
              <w:tab/>
            </w:r>
            <w:r>
              <w:rPr>
                <w:b/>
                <w:i/>
              </w:rPr>
              <w:t>îndeamnă Adunarea Națională a RS să se asigure că Monitorul Oficial al Bosniei și Herțegovinei reflectă deciziile Curții Constituționale a Bosniei și Herțegovinei cu privire la legislația RS despre care s-a constatat că subminează ordinea constituțională a Bosniei și Herțegovinei și care a fost scoasă din vigoare;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salută alinierea oficială deplină a</w:t>
            </w:r>
            <w:r>
              <w:t xml:space="preserve"> Bosniei și Herțegovinei la politica externă și de securitate comună a UE</w:t>
            </w:r>
            <w:r>
              <w:rPr>
                <w:b/>
                <w:i/>
              </w:rPr>
              <w:t>, inclusiv</w:t>
            </w:r>
            <w:r>
              <w:t xml:space="preserve"> măsurile restrictive ca răspuns la </w:t>
            </w:r>
            <w:r>
              <w:rPr>
                <w:b/>
                <w:i/>
              </w:rPr>
              <w:t>războiul de agresiune al Rusiei împotriva Ucrainei, și îndeamnă la punerea efectivă în aplicare a acestor măsuri;</w:t>
            </w:r>
            <w:r>
              <w:t xml:space="preserve"> </w:t>
            </w:r>
            <w:r>
              <w:rPr>
                <w:b/>
                <w:i/>
              </w:rPr>
              <w:t>condamnă poziția pro-rusă a conducerii entității RS și întâlnirile frecvente ale acestora cu Vladimir Putin și cu alți demnitari ruși</w:t>
            </w:r>
            <w:r>
              <w:t xml:space="preserve">; își exprimă </w:t>
            </w:r>
            <w:r>
              <w:rPr>
                <w:b/>
                <w:i/>
              </w:rPr>
              <w:t>profunda îngrijorare</w:t>
            </w:r>
            <w:r>
              <w:t xml:space="preserve"> cu privire la </w:t>
            </w:r>
            <w:r>
              <w:rPr>
                <w:b/>
                <w:i/>
              </w:rPr>
              <w:t>riscurile de securitate pe care le prezintă aceste relații</w:t>
            </w:r>
            <w:r>
              <w:t>;</w:t>
            </w:r>
          </w:p>
        </w:tc>
        <w:tc>
          <w:tcPr>
            <w:tcW w:w="4876" w:type="dxa"/>
            <w:tcBorders>
              <w:top w:val="nil"/>
              <w:left w:val="nil"/>
              <w:bottom w:val="nil"/>
              <w:right w:val="nil"/>
            </w:tcBorders>
          </w:tcPr>
          <w:p>
            <w:pPr>
              <w:pStyle w:val="Normal6a"/>
            </w:pPr>
            <w:r>
              <w:t>6.</w:t>
            </w:r>
            <w:r>
              <w:tab/>
            </w:r>
            <w:r>
              <w:rPr>
                <w:b/>
                <w:i/>
              </w:rPr>
              <w:t>respinge impunerea politicilor UE împotriva</w:t>
            </w:r>
            <w:r>
              <w:t xml:space="preserve"> Bosniei și Herțegovinei</w:t>
            </w:r>
            <w:r>
              <w:rPr>
                <w:b/>
                <w:i/>
              </w:rPr>
              <w:t>, inclusiv alinierea</w:t>
            </w:r>
            <w:r>
              <w:t xml:space="preserve"> la politica externă și de securitate comună a UE </w:t>
            </w:r>
            <w:r>
              <w:rPr>
                <w:b/>
                <w:i/>
              </w:rPr>
              <w:t>și</w:t>
            </w:r>
            <w:r>
              <w:t xml:space="preserve"> măsurile restrictive ca răspuns la </w:t>
            </w:r>
            <w:r>
              <w:rPr>
                <w:b/>
                <w:i/>
              </w:rPr>
              <w:t>conflictul din Ucraina;</w:t>
            </w:r>
            <w:r>
              <w:t xml:space="preserve"> </w:t>
            </w:r>
            <w:r>
              <w:rPr>
                <w:b/>
                <w:i/>
              </w:rPr>
              <w:t>subliniază că Bosnia și Herțegovina, în calitate de stat suveran, ar trebui să aibă dreptul de a-și stabili politica externă fără presiuni externe</w:t>
            </w:r>
            <w:r>
              <w:t xml:space="preserve">; își exprimă </w:t>
            </w:r>
            <w:r>
              <w:rPr>
                <w:b/>
                <w:i/>
              </w:rPr>
              <w:t>îngrijorarea</w:t>
            </w:r>
            <w:r>
              <w:t xml:space="preserve"> cu privire la </w:t>
            </w:r>
            <w:r>
              <w:rPr>
                <w:b/>
                <w:i/>
              </w:rPr>
              <w:t>orice ingerință străină care subminează suveranitatea și independența Bosniei și Herțegovinei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António Tânger Corrêa,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salută alinierea oficială deplină a Bosniei și Herțegovinei la politica externă și de securitate comună a UE, inclusiv măsurile restrictive ca răspuns la războiul de agresiune al Rusiei împotriva Ucrainei, și îndeamnă la punerea efectivă în aplicare a acestor măsuri; </w:t>
            </w:r>
            <w:r>
              <w:rPr>
                <w:b/>
                <w:i/>
              </w:rPr>
              <w:t>condamnă poziția pro-rusă a conducerii entității RS și întâlnirile frecvente ale acestora cu Vladimir Putin și cu alți demnitari ruși;</w:t>
            </w:r>
            <w:r>
              <w:t xml:space="preserve"> </w:t>
            </w:r>
            <w:r>
              <w:rPr>
                <w:b/>
                <w:i/>
              </w:rPr>
              <w:t>își exprimă profunda îngrijorare cu privire la riscurile de securitate pe care le prezintă aceste relații</w:t>
            </w:r>
            <w:r>
              <w:t>;</w:t>
            </w:r>
          </w:p>
        </w:tc>
        <w:tc>
          <w:tcPr>
            <w:tcW w:w="4876" w:type="dxa"/>
            <w:tcBorders>
              <w:top w:val="nil"/>
              <w:left w:val="nil"/>
              <w:bottom w:val="nil"/>
              <w:right w:val="nil"/>
            </w:tcBorders>
          </w:tcPr>
          <w:p>
            <w:pPr>
              <w:pStyle w:val="Normal6a"/>
            </w:pPr>
            <w:r>
              <w:t>6.</w:t>
            </w:r>
            <w:r>
              <w:tab/>
            </w:r>
            <w:r>
              <w:t xml:space="preserve">salută alinierea oficială deplină a Bosniei și Herțegovinei la politica externă și de securitate comună a UE, inclusiv măsurile restrictive ca răspuns la războiul de agresiune al Rusiei împotriva Ucrainei, și îndeamnă la punerea efectivă în aplicare a acestor măsuri; </w:t>
            </w:r>
            <w:r>
              <w:rPr>
                <w:b/>
                <w:i/>
              </w:rPr>
              <w:t>reamintește, cu toate acestea, că numai criteriile de la Copenhaga stabilesc condițiile care trebuie îndeplinite de Bosnia și Herțegovina pentru a avansa în candidatura sa de aderare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salută alinierea oficială deplină a Bosniei și Herțegovinei la politica externă și de securitate comună a UE, inclusiv măsurile restrictive ca răspuns la războiul de agresiune al Rusiei împotriva Ucrainei, și îndeamnă la punerea efectivă în aplicare a acestor măsuri; condamnă poziția pro-rusă a conducerii entității RS și întâlnirile frecvente ale acestora cu Vladimir Putin și cu alți demnitari ruși; își exprimă profunda îngrijorare cu privire la riscurile de securitate pe care le prezintă aceste relații;</w:t>
            </w:r>
          </w:p>
        </w:tc>
        <w:tc>
          <w:tcPr>
            <w:tcW w:w="4876" w:type="dxa"/>
            <w:tcBorders>
              <w:top w:val="nil"/>
              <w:left w:val="nil"/>
              <w:bottom w:val="nil"/>
              <w:right w:val="nil"/>
            </w:tcBorders>
          </w:tcPr>
          <w:p>
            <w:pPr>
              <w:pStyle w:val="Normal6a"/>
            </w:pPr>
            <w:r>
              <w:t>6.</w:t>
            </w:r>
            <w:r>
              <w:tab/>
            </w:r>
            <w:r>
              <w:t xml:space="preserve">salută alinierea oficială deplină a Bosniei și Herțegovinei la politica externă și de securitate comună a UE, inclusiv măsurile restrictive ca răspuns la războiul de agresiune al Rusiei împotriva Ucrainei, și îndeamnă la punerea efectivă în aplicare a acestor măsuri; condamnă poziția pro-rusă a conducerii entității RS și întâlnirile frecvente ale acestora cu Vladimir Putin și cu alți demnitari ruși; își exprimă profunda îngrijorare cu privire la riscurile de securitate pe care le prezintă aceste relații; </w:t>
            </w:r>
            <w:r>
              <w:rPr>
                <w:b/>
                <w:i/>
              </w:rPr>
              <w:t>îndeamnă UE să investigheze folosirea Republicii Srpska ca punct de acces în Europa pentru operațiunile de informații rusești și atacurile hibride asupra statelor membre ale UE și să ia măsuri ferme, dacă se confirmă acest lucru;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salută alinierea oficială deplină a Bosniei și Herțegovinei la politica externă și de securitate comună a UE, inclusiv măsurile restrictive ca răspuns la războiul de agresiune al Rusiei împotriva Ucrainei, și îndeamnă la punerea efectivă în aplicare a acestor măsuri; condamnă poziția pro-rusă a conducerii entității RS și întâlnirile frecvente ale acestora cu Vladimir Putin și cu alți demnitari ruși; își exprimă profunda îngrijorare cu privire la riscurile de securitate pe care le prezintă aceste relații;</w:t>
            </w:r>
          </w:p>
        </w:tc>
        <w:tc>
          <w:tcPr>
            <w:tcW w:w="4876" w:type="dxa"/>
            <w:tcBorders>
              <w:top w:val="nil"/>
              <w:left w:val="nil"/>
              <w:bottom w:val="nil"/>
              <w:right w:val="nil"/>
            </w:tcBorders>
          </w:tcPr>
          <w:p>
            <w:pPr>
              <w:pStyle w:val="Normal6a"/>
            </w:pPr>
            <w:r>
              <w:t>6.</w:t>
            </w:r>
            <w:r>
              <w:tab/>
            </w:r>
            <w:r>
              <w:t xml:space="preserve">salută alinierea oficială deplină a Bosniei și Herțegovinei la politica externă și de securitate comună a UE, inclusiv măsurile restrictive ca răspuns la războiul de agresiune al Rusiei împotriva Ucrainei, și îndeamnă la punerea efectivă în aplicare a acestor măsuri; condamnă poziția pro-rusă a conducerii entității RS și întâlnirile frecvente ale acestora cu Vladimir Putin și cu alți demnitari ruși; își exprimă profunda îngrijorare cu privire la riscurile de securitate pe care le prezintă aceste relații </w:t>
            </w:r>
            <w:r>
              <w:rPr>
                <w:b/>
                <w:i/>
              </w:rPr>
              <w:t>și pledează pentru sprijinirea Bosniei și Herțegovinei în combaterea campaniilor de dezinformare care au origine rusă, ca parte a unui efort comun împotriva amenințărilor hibride</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Nikolina Brnjac, 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salută alinierea oficială deplină a Bosniei și Herțegovinei la politica externă și de securitate comună a UE, inclusiv măsurile restrictive ca răspuns la războiul de agresiune al Rusiei împotriva Ucrainei, și îndeamnă la punerea efectivă în aplicare a acestor măsuri; condamnă poziția pro-rusă a conducerii entității RS și întâlnirile frecvente ale acestora cu Vladimir Putin și cu alți demnitari ruși; își exprimă profunda îngrijorare cu privire la riscurile de securitate pe care le prezintă aceste relații;</w:t>
            </w:r>
          </w:p>
        </w:tc>
        <w:tc>
          <w:tcPr>
            <w:tcW w:w="4876" w:type="dxa"/>
            <w:tcBorders>
              <w:top w:val="nil"/>
              <w:left w:val="nil"/>
              <w:bottom w:val="nil"/>
              <w:right w:val="nil"/>
            </w:tcBorders>
          </w:tcPr>
          <w:p>
            <w:pPr>
              <w:pStyle w:val="Normal6a"/>
            </w:pPr>
            <w:r>
              <w:t>6.</w:t>
            </w:r>
            <w:r>
              <w:tab/>
            </w:r>
            <w:r>
              <w:t xml:space="preserve">salută alinierea oficială deplină a Bosniei și Herțegovinei la politica externă și de securitate comună a UE, inclusiv măsurile restrictive ca răspuns la războiul de agresiune al Rusiei împotriva Ucrainei, și îndeamnă la punerea efectivă în aplicare a acestor măsuri; </w:t>
            </w:r>
            <w:r>
              <w:rPr>
                <w:b/>
                <w:i/>
              </w:rPr>
              <w:t>salută participarea continuă a BiH la misiunile și operațiunile UE de gestionare a crizelor;</w:t>
            </w:r>
            <w:r>
              <w:t xml:space="preserve"> condamnă poziția pro-rusă a conducerii entității RS și întâlnirile frecvente ale acestora cu Vladimir Putin și cu alți demnitari ruși; își exprimă profunda îngrijorare cu privire la riscurile de securitate pe care le prezintă aceste relații;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susține din plin aspirațiile Bosniei și Herțegovinei de integrare euro-atlantică și aderare la NATO și invită toți actorii politici să acționeze în această direcție prin acțiuni politice concrete;</w:t>
            </w:r>
            <w:r>
              <w:t xml:space="preserve"> </w:t>
            </w:r>
            <w:r>
              <w:rPr>
                <w:b/>
                <w:i/>
              </w:rPr>
              <w:t>salută totodată și măsura de asistență adoptată de Consiliu în cadrul Instrumentului european pentru pace, în valoare de 10 milioane EUR, pentru Forțele armate ale BiH (FABiH) și semnarea unui contract de cooperare și instruire pentru anul 2023 între FABiH și EUFOR;</w:t>
            </w:r>
            <w:r>
              <w:t xml:space="preserve"> </w:t>
            </w:r>
            <w:r>
              <w:rPr>
                <w:b/>
                <w:i/>
              </w:rPr>
              <w:t>cere Bosniei și Herțegovinei să încerce să formeze unități multietnice în FABiH;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își reafirmă sprijinul pentru Oficiul</w:t>
            </w:r>
            <w:r>
              <w:t xml:space="preserve"> Înaltului Reprezentant și operației Althea </w:t>
            </w:r>
            <w:r>
              <w:rPr>
                <w:b/>
                <w:i/>
              </w:rPr>
              <w:t>a EUFOR de a supraveghea implementarea</w:t>
            </w:r>
            <w:r>
              <w:t xml:space="preserve"> Acordului de pace de la Dayton; </w:t>
            </w:r>
            <w:r>
              <w:rPr>
                <w:b/>
                <w:i/>
              </w:rPr>
              <w:t>salută reînnoirea mandatului operației EUFOR Althea</w:t>
            </w:r>
            <w:r>
              <w:t>;</w:t>
            </w:r>
          </w:p>
        </w:tc>
        <w:tc>
          <w:tcPr>
            <w:tcW w:w="4876" w:type="dxa"/>
            <w:tcBorders>
              <w:top w:val="nil"/>
              <w:left w:val="nil"/>
              <w:bottom w:val="nil"/>
              <w:right w:val="nil"/>
            </w:tcBorders>
          </w:tcPr>
          <w:p>
            <w:pPr>
              <w:pStyle w:val="Normal6a"/>
            </w:pPr>
            <w:r>
              <w:t>7.</w:t>
            </w:r>
            <w:r>
              <w:tab/>
            </w:r>
            <w:r>
              <w:rPr>
                <w:b/>
                <w:i/>
              </w:rPr>
              <w:t>respinge orice ingerință externă continuă în afacerile interne ale Bosniei și Herțegovinei, inclusiv rolul Oficiului</w:t>
            </w:r>
            <w:r>
              <w:t xml:space="preserve"> Înaltului Reprezentant și </w:t>
            </w:r>
            <w:r>
              <w:rPr>
                <w:b/>
                <w:i/>
              </w:rPr>
              <w:t>al</w:t>
            </w:r>
            <w:r>
              <w:t xml:space="preserve"> operației </w:t>
            </w:r>
            <w:r>
              <w:rPr>
                <w:b/>
                <w:i/>
              </w:rPr>
              <w:t>EUFOR</w:t>
            </w:r>
            <w:r>
              <w:t xml:space="preserve"> Althea </w:t>
            </w:r>
            <w:r>
              <w:rPr>
                <w:b/>
                <w:i/>
              </w:rPr>
              <w:t>în supravegherea punerii în aplicare a</w:t>
            </w:r>
            <w:r>
              <w:t xml:space="preserve"> Acordului de pace de la Dayton; </w:t>
            </w:r>
            <w:r>
              <w:rPr>
                <w:b/>
                <w:i/>
              </w:rPr>
              <w:t>subliniază că Bosnia și Herțegovina ar trebui să aibă suveranitate deplină asupra chestiunilor sale interne și externe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își reafirmă sprijinul pentru Oficiul Înaltului Reprezentant și operației Althea a EUFOR de a supraveghea implementarea Acordului de pace de la Dayton; salută reînnoirea mandatului operației EUFOR Althea;</w:t>
            </w:r>
          </w:p>
        </w:tc>
        <w:tc>
          <w:tcPr>
            <w:tcW w:w="4876" w:type="dxa"/>
            <w:tcBorders>
              <w:top w:val="nil"/>
              <w:left w:val="nil"/>
              <w:bottom w:val="nil"/>
              <w:right w:val="nil"/>
            </w:tcBorders>
          </w:tcPr>
          <w:p>
            <w:pPr>
              <w:pStyle w:val="Normal6a"/>
            </w:pPr>
            <w:r>
              <w:t>7.</w:t>
            </w:r>
            <w:r>
              <w:tab/>
            </w:r>
            <w:r>
              <w:t xml:space="preserve">își reafirmă sprijinul pentru Oficiul Înaltului Reprezentant și operației Althea a EUFOR de a supraveghea implementarea Acordului de pace de la Dayton; salută reînnoirea mandatului operației EUFOR Althea; </w:t>
            </w:r>
            <w:r>
              <w:rPr>
                <w:b/>
                <w:i/>
              </w:rPr>
              <w:t>își exprimă profunda îngrijorare cu privire la lipsa unei delimitări juridice clare a competențelor Oficiului Înaltului Reprezentant în Bosnia și Herțegovina, la imposibilitatea de a contesta deciziile sale, precum și la absența mecanismelor de responsabilizare și a legitimității democratice asociate cu o poziție care să răspundă numai în fața Consiliului de punere în aplicare a păcii;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Željana Zovko, Sunčana Glavak,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își reafirmă sprijinul pentru</w:t>
            </w:r>
            <w:r>
              <w:t xml:space="preserve"> Oficiul Înaltului Reprezentant și operației Althea a EUFOR </w:t>
            </w:r>
            <w:r>
              <w:rPr>
                <w:b/>
                <w:i/>
              </w:rPr>
              <w:t>de a supraveghea</w:t>
            </w:r>
            <w:r>
              <w:t xml:space="preserve"> implementarea Acordului de pace de la </w:t>
            </w:r>
            <w:r>
              <w:rPr>
                <w:b/>
                <w:i/>
              </w:rPr>
              <w:t>Dayton</w:t>
            </w:r>
            <w:r>
              <w:t>; salută reînnoirea mandatului operației EUFOR Althea;</w:t>
            </w:r>
          </w:p>
        </w:tc>
        <w:tc>
          <w:tcPr>
            <w:tcW w:w="4876" w:type="dxa"/>
            <w:tcBorders>
              <w:top w:val="nil"/>
              <w:left w:val="nil"/>
              <w:bottom w:val="nil"/>
              <w:right w:val="nil"/>
            </w:tcBorders>
          </w:tcPr>
          <w:p>
            <w:pPr>
              <w:pStyle w:val="Normal6a"/>
            </w:pPr>
            <w:r>
              <w:t>7.</w:t>
            </w:r>
            <w:r>
              <w:tab/>
            </w:r>
            <w:r>
              <w:rPr>
                <w:b/>
                <w:i/>
              </w:rPr>
              <w:t>invită</w:t>
            </w:r>
            <w:r>
              <w:t xml:space="preserve"> Oficiul Înaltului Reprezentant și operației Althea a EUFOR </w:t>
            </w:r>
            <w:r>
              <w:rPr>
                <w:b/>
                <w:i/>
              </w:rPr>
              <w:t>să continue să supravegheze</w:t>
            </w:r>
            <w:r>
              <w:t xml:space="preserve"> implementarea Acordului de pace de la </w:t>
            </w:r>
            <w:r>
              <w:rPr>
                <w:b/>
                <w:i/>
              </w:rPr>
              <w:t>Dayton-Paris, în conformitate cu mandatele acestora bazate pe neutralitatea politică și pe respectarea deplină a Constituției Bosniei și Herțegovinei</w:t>
            </w:r>
            <w:r>
              <w:t xml:space="preserve">; salută reînnoirea mandatului operației EUFOR Althea; </w:t>
            </w:r>
            <w:r>
              <w:rPr>
                <w:b/>
                <w:i/>
              </w:rPr>
              <w:t>reamintește că operațiunea EUFOR Althea joacă un rol esențial în garantarea securității, imparțialității și stabilității Bosniei și Herțegovinei;</w:t>
            </w:r>
            <w:r>
              <w:t xml:space="preserve"> </w:t>
            </w:r>
            <w:r>
              <w:rPr>
                <w:b/>
                <w:i/>
              </w:rPr>
              <w:t>salută consolidarea operațiunii EUFOR Althea cu trupe suplimentare începând cu 12 martie 2025;</w:t>
            </w:r>
            <w:r>
              <w:t xml:space="preserve"> </w:t>
            </w:r>
            <w:r>
              <w:rPr>
                <w:b/>
                <w:i/>
              </w:rPr>
              <w:t>cere liderilor interni să își asume întreaga responsabilitate pentru procesele decizionale din Bosnia și Herțegovina;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își reafirmă sprijinul pentru Oficiul Înaltului Reprezentant și operației Althea a EUFOR de a supraveghea implementarea Acordului de pace de la Dayton; salută reînnoirea mandatului operației EUFOR Althea;</w:t>
            </w:r>
          </w:p>
        </w:tc>
        <w:tc>
          <w:tcPr>
            <w:tcW w:w="4876" w:type="dxa"/>
            <w:tcBorders>
              <w:top w:val="nil"/>
              <w:left w:val="nil"/>
              <w:bottom w:val="nil"/>
              <w:right w:val="nil"/>
            </w:tcBorders>
          </w:tcPr>
          <w:p>
            <w:pPr>
              <w:pStyle w:val="Normal6a"/>
            </w:pPr>
            <w:r>
              <w:t>7.</w:t>
            </w:r>
            <w:r>
              <w:tab/>
            </w:r>
            <w:r>
              <w:t xml:space="preserve">își reafirmă sprijinul pentru Oficiul Înaltului Reprezentant și operației Althea a EUFOR de a supraveghea implementarea Acordului de pace de la Dayton; salută reînnoirea mandatului operației EUFOR Althea; </w:t>
            </w:r>
            <w:r>
              <w:rPr>
                <w:b/>
                <w:i/>
              </w:rPr>
              <w:t>subliniază rolul său esențial în menținerea securității și stabilității în Bosnia și Herțegovina și salută sosirea forțelor de rezervă ale EUFOR Althea;</w:t>
            </w:r>
            <w:r>
              <w:t xml:space="preserve"> </w:t>
            </w:r>
            <w:r>
              <w:rPr>
                <w:b/>
                <w:i/>
              </w:rPr>
              <w:t>subliniază că mandatul Consiliului de Securitate al ONU al EUFOR include respectarea integrității teritoriale, a suveranității și independenței politice a Bosniei și Herțegovinei și că părțile interesate locale acționează în conformitate cu aceste principii fundamentale;</w:t>
            </w:r>
            <w:r>
              <w:t xml:space="preserve"> </w:t>
            </w:r>
            <w:r>
              <w:rPr>
                <w:b/>
                <w:i/>
              </w:rPr>
              <w:t>îndeamnă EUFOR să comunice acest mandat fără echivoc cetățenilor Bosniei și Herțegovinei, ca măsură de consolidare a încrederii;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își reafirmă sprijinul pentru Oficiul Înaltului Reprezentant și operației Althea a EUFOR de a supraveghea implementarea Acordului de pace de la Dayton; salută reînnoirea mandatului operației EUFOR Althea;</w:t>
            </w:r>
          </w:p>
        </w:tc>
        <w:tc>
          <w:tcPr>
            <w:tcW w:w="4876" w:type="dxa"/>
            <w:tcBorders>
              <w:top w:val="nil"/>
              <w:left w:val="nil"/>
              <w:bottom w:val="nil"/>
              <w:right w:val="nil"/>
            </w:tcBorders>
          </w:tcPr>
          <w:p>
            <w:pPr>
              <w:pStyle w:val="Normal6a"/>
            </w:pPr>
            <w:r>
              <w:t>7.</w:t>
            </w:r>
            <w:r>
              <w:tab/>
            </w:r>
            <w:r>
              <w:t xml:space="preserve">își reafirmă sprijinul pentru Oficiul Înaltului Reprezentant și operației Althea a EUFOR de a supraveghea implementarea Acordului de pace de la Dayton; salută reînnoirea mandatului operației EUFOR Althea; </w:t>
            </w:r>
            <w:r>
              <w:rPr>
                <w:b/>
                <w:i/>
              </w:rPr>
              <w:t>invită Consiliul și VP/ÎR să permită tuturor statelor membre interesate să participe la misiunile UE de menținere a păcii, cum ar fi operațiunea EUFOR Althea în Bosnia și Herțegovina;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reiterează că punerea în aplicare a Acordului de pace de la Dayton-Paris include obligația de a se conforma arhitecturii constituționale a Bosniei și Herțegovinei, cu respectarea drepturilor popoarelor constitutive și ale tuturor cetățenilor;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António Tânger Corrêa,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se declară preocupat de ingerințele străine și campaniile de dezinformare ale unor actori străini în Bosnia și Herțegovina și solicită măsuri suplimentare pentru a le contracara cum se cuvine;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se declară preocupat de ingerințele străine și campaniile de dezinformare ale </w:t>
            </w:r>
            <w:r>
              <w:rPr>
                <w:b/>
                <w:i/>
              </w:rPr>
              <w:t>unor actori străini</w:t>
            </w:r>
            <w:r>
              <w:t xml:space="preserve"> în Bosnia și Herțegovina și solicită măsuri suplimentare pentru a le contracara cum se cuvine;</w:t>
            </w:r>
          </w:p>
        </w:tc>
        <w:tc>
          <w:tcPr>
            <w:tcW w:w="4876" w:type="dxa"/>
            <w:tcBorders>
              <w:top w:val="nil"/>
              <w:left w:val="nil"/>
              <w:bottom w:val="nil"/>
              <w:right w:val="nil"/>
            </w:tcBorders>
          </w:tcPr>
          <w:p>
            <w:pPr>
              <w:pStyle w:val="Normal6a"/>
            </w:pPr>
            <w:r>
              <w:t>8.</w:t>
            </w:r>
            <w:r>
              <w:tab/>
            </w:r>
            <w:r>
              <w:t xml:space="preserve">se declară preocupat de ingerințele străine și campaniile de dezinformare ale </w:t>
            </w:r>
            <w:r>
              <w:rPr>
                <w:b/>
                <w:i/>
              </w:rPr>
              <w:t>OCCRP și alte entități finanțate de UE</w:t>
            </w:r>
            <w:r>
              <w:t xml:space="preserve"> în Bosnia și Herțegovina și solicită măsuri suplimentare pentru a le contracara cum se cuvine;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se declară preocupat de ingerințele străine și campaniile de dezinformare ale unor actori străini în Bosnia și Herțegovina și solicită măsuri suplimentare pentru a le contracara cum se cuvine</w:t>
            </w:r>
            <w:r>
              <w:t>;</w:t>
            </w:r>
          </w:p>
        </w:tc>
        <w:tc>
          <w:tcPr>
            <w:tcW w:w="4876" w:type="dxa"/>
            <w:tcBorders>
              <w:top w:val="nil"/>
              <w:left w:val="nil"/>
              <w:bottom w:val="nil"/>
              <w:right w:val="nil"/>
            </w:tcBorders>
          </w:tcPr>
          <w:p>
            <w:pPr>
              <w:pStyle w:val="Normal6a"/>
            </w:pPr>
            <w:r>
              <w:t>8.</w:t>
            </w:r>
            <w:r>
              <w:tab/>
            </w:r>
            <w:r>
              <w:rPr>
                <w:b/>
                <w:i/>
              </w:rPr>
              <w:t>subliniază că Bosnia și Herțegovina are dreptul de a controla ingerințele externe în afacerile sale interne, după cum consideră oportun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se declară preocupat de ingerințele străine și campaniile de dezinformare ale unor actori străini în Bosnia și Herțegovina </w:t>
            </w:r>
            <w:r>
              <w:rPr>
                <w:b/>
                <w:i/>
              </w:rPr>
              <w:t>și</w:t>
            </w:r>
            <w:r>
              <w:t xml:space="preserve"> solicită măsuri suplimentare pentru a </w:t>
            </w:r>
            <w:r>
              <w:rPr>
                <w:b/>
                <w:i/>
              </w:rPr>
              <w:t>le contracara cum se cuvine</w:t>
            </w:r>
            <w:r>
              <w:t>;</w:t>
            </w:r>
          </w:p>
        </w:tc>
        <w:tc>
          <w:tcPr>
            <w:tcW w:w="4876" w:type="dxa"/>
            <w:tcBorders>
              <w:top w:val="nil"/>
              <w:left w:val="nil"/>
              <w:bottom w:val="nil"/>
              <w:right w:val="nil"/>
            </w:tcBorders>
          </w:tcPr>
          <w:p>
            <w:pPr>
              <w:pStyle w:val="Normal6a"/>
            </w:pPr>
            <w:r>
              <w:t>8.</w:t>
            </w:r>
            <w:r>
              <w:tab/>
            </w:r>
            <w:r>
              <w:t>se declară preocupat de ingerințele străine și campaniile de dezinformare ale unor actori străini în Bosnia și Herțegovina</w:t>
            </w:r>
            <w:r>
              <w:rPr>
                <w:b/>
                <w:i/>
              </w:rPr>
              <w:t>, în special ale Rusiei;</w:t>
            </w:r>
            <w:r>
              <w:t xml:space="preserve"> </w:t>
            </w:r>
            <w:r>
              <w:rPr>
                <w:b/>
                <w:i/>
              </w:rPr>
              <w:t>este alarmat de rolul Ungariei și Serbiei în susținerea obiectivelor geopolitice ale Chinei și Rusiei;</w:t>
            </w:r>
            <w:r>
              <w:t xml:space="preserve"> </w:t>
            </w:r>
            <w:r>
              <w:rPr>
                <w:b/>
                <w:i/>
              </w:rPr>
              <w:t>este preocupat, de asemenea, de ingerința continuă a Croației în afacerile politice interne ale Bosniei și Herțegovinei, împiedicând această țară să depășească diviziunea etnică și să se angajeze într-un proces de reconciliere veritabilă și să avanseze către UE;</w:t>
            </w:r>
            <w:r>
              <w:t xml:space="preserve"> solicită măsuri suplimentare </w:t>
            </w:r>
            <w:r>
              <w:rPr>
                <w:b/>
                <w:i/>
              </w:rPr>
              <w:t>și sprijin din partea UE</w:t>
            </w:r>
            <w:r>
              <w:t xml:space="preserve"> pentru a </w:t>
            </w:r>
            <w:r>
              <w:rPr>
                <w:b/>
                <w:i/>
              </w:rPr>
              <w:t>contracara eficient interferența;</w:t>
            </w:r>
            <w:r>
              <w:t xml:space="preserve"> </w:t>
            </w:r>
            <w:r>
              <w:rPr>
                <w:b/>
                <w:i/>
              </w:rPr>
              <w:t>constată cu îngrijorare că propaganda și discursurile pro-ruse sunt promovate mai ales de actori interni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se declară</w:t>
            </w:r>
            <w:r>
              <w:t xml:space="preserve"> preocupat de ingerințele străine și campaniile de dezinformare ale unor actori străini în Bosnia și Herțegovina și solicită măsuri suplimentare pentru a le contracara cum se cuvine;</w:t>
            </w:r>
          </w:p>
        </w:tc>
        <w:tc>
          <w:tcPr>
            <w:tcW w:w="4876" w:type="dxa"/>
            <w:tcBorders>
              <w:top w:val="nil"/>
              <w:left w:val="nil"/>
              <w:bottom w:val="nil"/>
              <w:right w:val="nil"/>
            </w:tcBorders>
          </w:tcPr>
          <w:p>
            <w:pPr>
              <w:pStyle w:val="Normal6a"/>
            </w:pPr>
            <w:r>
              <w:t>8.</w:t>
            </w:r>
            <w:r>
              <w:tab/>
            </w:r>
            <w:r>
              <w:rPr>
                <w:b/>
                <w:i/>
              </w:rPr>
              <w:t>rămâne</w:t>
            </w:r>
            <w:r>
              <w:t xml:space="preserve"> preocupat de ingerințele străine </w:t>
            </w:r>
            <w:r>
              <w:rPr>
                <w:b/>
                <w:i/>
              </w:rPr>
              <w:t>maligne</w:t>
            </w:r>
            <w:r>
              <w:t xml:space="preserve"> și campaniile de dezinformare ale unor actori străini în Bosnia și Herțegovina și solicită măsuri suplimentare pentru a le contracara cum se cuvine; </w:t>
            </w:r>
            <w:r>
              <w:rPr>
                <w:b/>
                <w:i/>
              </w:rPr>
              <w:t>subliniază că această ingerință străină urmărește să semene discordie, violență, tensiuni interetnice și să destabilizeze Bosnia și Herțegovina;</w:t>
            </w:r>
            <w:r>
              <w:t xml:space="preserve"> </w:t>
            </w:r>
            <w:r>
              <w:rPr>
                <w:b/>
                <w:i/>
              </w:rPr>
              <w:t>invită SEAE și Delegației UE în Bosnia și Herțegovina să își intensifice eforturile de promovare a beneficiilor unei integrări mai strânse și să investească în campanii de comunicare pentru combaterea influențelor externe;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se declară preocupat de ingerințele străine și campaniile de dezinformare ale unor actori străini în Bosnia și Herțegovina și </w:t>
            </w:r>
            <w:r>
              <w:rPr>
                <w:b/>
                <w:i/>
              </w:rPr>
              <w:t>solicită măsuri suplimentare</w:t>
            </w:r>
            <w:r>
              <w:t xml:space="preserve"> pentru a </w:t>
            </w:r>
            <w:r>
              <w:rPr>
                <w:b/>
                <w:i/>
              </w:rPr>
              <w:t>le contracara cum se cuvine</w:t>
            </w:r>
            <w:r>
              <w:t>;</w:t>
            </w:r>
          </w:p>
        </w:tc>
        <w:tc>
          <w:tcPr>
            <w:tcW w:w="4876" w:type="dxa"/>
            <w:tcBorders>
              <w:top w:val="nil"/>
              <w:left w:val="nil"/>
              <w:bottom w:val="nil"/>
              <w:right w:val="nil"/>
            </w:tcBorders>
          </w:tcPr>
          <w:p>
            <w:pPr>
              <w:pStyle w:val="Normal6a"/>
            </w:pPr>
            <w:r>
              <w:t>8.</w:t>
            </w:r>
            <w:r>
              <w:tab/>
            </w:r>
            <w:r>
              <w:t xml:space="preserve">se declară preocupat de ingerințele străine și campaniile de dezinformare ale unor actori străini în Bosnia și Herțegovina și </w:t>
            </w:r>
            <w:r>
              <w:rPr>
                <w:b/>
                <w:i/>
              </w:rPr>
              <w:t>de amplificarea acestor discursuri de către politicienii BiH, în special din RS;</w:t>
            </w:r>
            <w:r>
              <w:t xml:space="preserve"> </w:t>
            </w:r>
            <w:r>
              <w:rPr>
                <w:b/>
                <w:i/>
              </w:rPr>
              <w:t>invită UE și membrii săi să ofere autorităților bosniace legitime sprijinul necesar</w:t>
            </w:r>
            <w:r>
              <w:t xml:space="preserve"> pentru a </w:t>
            </w:r>
            <w:r>
              <w:rPr>
                <w:b/>
                <w:i/>
              </w:rPr>
              <w:t>combate campaniile de dezinformare, discursurile antidemocratice și alte forme de ingerință externă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Davor Ivo Stier, Karlo Ressler, Nikolina Brnjac,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se declară preocupat de ingerințele străine și campaniile de dezinformare ale unor actori străini în Bosnia și Herțegovina și solicită măsuri suplimentare pentru a le contracara cum se cuvine;</w:t>
            </w:r>
          </w:p>
        </w:tc>
        <w:tc>
          <w:tcPr>
            <w:tcW w:w="4876" w:type="dxa"/>
            <w:tcBorders>
              <w:top w:val="nil"/>
              <w:left w:val="nil"/>
              <w:bottom w:val="nil"/>
              <w:right w:val="nil"/>
            </w:tcBorders>
          </w:tcPr>
          <w:p>
            <w:pPr>
              <w:pStyle w:val="Normal6a"/>
            </w:pPr>
            <w:r>
              <w:t>8.</w:t>
            </w:r>
            <w:r>
              <w:tab/>
            </w:r>
            <w:r>
              <w:t xml:space="preserve">se declară preocupat de ingerințele străine și campaniile de dezinformare ale unor actori străini în Bosnia și Herțegovina și solicită măsuri suplimentare pentru a le contracara cum se cuvine; </w:t>
            </w:r>
            <w:r>
              <w:rPr>
                <w:b/>
                <w:i/>
              </w:rPr>
              <w:t>regretă participarea autorităților entității Republica Srpska la „Adunarea tuturor sârbilor”, care a avut loc la 8 iunie 2024 la Belgrad, sub sloganul „O singură persoană, o adunare” și respinge declarația sa care subminează suveranitatea Bosniei și Herțegovinei și a altor țări din Balcanii de Vest;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se declară preocupat de ingerințele străine și campaniile de dezinformare ale unor actori străini în Bosnia și Herțegovina și solicită măsuri suplimentare pentru a le contracara cum se cuvine;</w:t>
            </w:r>
          </w:p>
        </w:tc>
        <w:tc>
          <w:tcPr>
            <w:tcW w:w="4876" w:type="dxa"/>
            <w:tcBorders>
              <w:top w:val="nil"/>
              <w:left w:val="nil"/>
              <w:bottom w:val="nil"/>
              <w:right w:val="nil"/>
            </w:tcBorders>
          </w:tcPr>
          <w:p>
            <w:pPr>
              <w:pStyle w:val="Normal6a"/>
            </w:pPr>
            <w:r>
              <w:t>8.</w:t>
            </w:r>
            <w:r>
              <w:tab/>
            </w:r>
            <w:r>
              <w:t>se declară preocupat de ingerințele străine și campaniile de dezinformare ale unor actori străini în Bosnia și Herțegovina și solicită măsuri suplimentare pentru a le contracara cum se cuvine</w:t>
            </w:r>
            <w:r>
              <w:rPr>
                <w:b/>
                <w:i/>
              </w:rPr>
              <w:t>, printre altele, prin alinierea legislației BiH la acquis-ul UE legat de combaterea ingerințelor străine și a campaniilor de dezinformare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Davor Ivo Stier, Sunčana Glavak, Karlo Ressler, Željana Zovko, Nikolina Brnjac,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se declară preocupat de ingerințele străine și campaniile de dezinformare ale unor actori străini în Bosnia și Herțegovina și solicită măsuri suplimentare pentru a le contracara cum se cuvine;</w:t>
            </w:r>
          </w:p>
        </w:tc>
        <w:tc>
          <w:tcPr>
            <w:tcW w:w="4876" w:type="dxa"/>
            <w:tcBorders>
              <w:top w:val="nil"/>
              <w:left w:val="nil"/>
              <w:bottom w:val="nil"/>
              <w:right w:val="nil"/>
            </w:tcBorders>
          </w:tcPr>
          <w:p>
            <w:pPr>
              <w:pStyle w:val="Normal6a"/>
            </w:pPr>
            <w:r>
              <w:t>8.</w:t>
            </w:r>
            <w:r>
              <w:tab/>
            </w:r>
            <w:r>
              <w:t>se declară preocupat de ingerințele străine și campaniile de dezinformare ale unor actori străini în Bosnia și Herțegovina</w:t>
            </w:r>
            <w:r>
              <w:rPr>
                <w:b/>
                <w:i/>
              </w:rPr>
              <w:t>, inclusiv de diseminarea acestora prin intermediul mass-mediei locale și al puterilor politice,</w:t>
            </w:r>
            <w:r>
              <w:t xml:space="preserve"> și solicită măsuri suplimentare pentru a le contracara cum se cuvine;</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se declară preocupat de ingerințele străine și campaniile de dezinformare ale unor actori străini în Bosnia și Herțegovina și solicită măsuri suplimentare pentru a le contracara cum se cuvine;</w:t>
            </w:r>
          </w:p>
        </w:tc>
        <w:tc>
          <w:tcPr>
            <w:tcW w:w="4876" w:type="dxa"/>
            <w:tcBorders>
              <w:top w:val="nil"/>
              <w:left w:val="nil"/>
              <w:bottom w:val="nil"/>
              <w:right w:val="nil"/>
            </w:tcBorders>
          </w:tcPr>
          <w:p>
            <w:pPr>
              <w:pStyle w:val="Normal6a"/>
            </w:pPr>
            <w:r>
              <w:t>8.</w:t>
            </w:r>
            <w:r>
              <w:tab/>
            </w:r>
            <w:r>
              <w:t>se declară preocupat de ingerințele străine</w:t>
            </w:r>
            <w:r>
              <w:rPr>
                <w:b/>
                <w:i/>
              </w:rPr>
              <w:t>, mai ales din Rusia,</w:t>
            </w:r>
            <w:r>
              <w:t xml:space="preserve"> și campaniile de dezinformare ale unor actori străini în Bosnia și Herțegovina și solicită măsuri suplimentare pentru a le contracara cum se cuvine;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 subpunctul 1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amintește că Consiliul a recunoscut în Busola strategică că securitatea și stabilitatea în Balcanii de Vest încă nu este realizată întru totul și că există riscul unor posibile repercusiuni în urma deteriorării actuale a situației securității europene;</w:t>
            </w:r>
            <w:r>
              <w:t xml:space="preserve"> </w:t>
            </w:r>
            <w:r>
              <w:rPr>
                <w:b/>
                <w:i/>
              </w:rPr>
              <w:t>subliniază necesitatea de a contracara în mod proactiv propaganda actorilor malefici din regiune, care urmărește să submineze interesele și valorile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condamnă ingerințele străine răuvoitoare persistente, în special din partea Rusiei și a Chinei, în procesele democratice ale Bosniei și Herțegovinei;</w:t>
            </w:r>
            <w:r>
              <w:t xml:space="preserve"> </w:t>
            </w:r>
            <w:r>
              <w:rPr>
                <w:b/>
                <w:i/>
              </w:rPr>
              <w:t>își exprimă profunda îngrijorare cu privire la sprijinul acordat de Kremlin retoricii secesioniste, încercărilor de delegitimare a instituțiilor statului și ingerințelor în chestiuni judiciare și electorale;</w:t>
            </w:r>
            <w:r>
              <w:t xml:space="preserve"> </w:t>
            </w:r>
            <w:r>
              <w:rPr>
                <w:b/>
                <w:i/>
              </w:rPr>
              <w:t>subliniază eforturile recente ale Rusiei în cadrul Consiliului de Securitate al ONU de a apăra acțiunile neconstituționale ale autorităților din Republica Srpska;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condamnă ingerința președintelui sârb Aleksandar Vucic în afacerile Bosniei și Herțegovinei, inclusiv prin exprimarea sprijinului pentru acțiunile nelegitime ale lui Milorad Dodik și prin organizarea „Adunării tuturor sârbilor”, sprijinite de Rusia, care subminează suveranitatea și integritatea teritorială a Bosniei și Herțegovinei;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îndeamnă autoritățile din Bosnia și Herțegovina să aplice integral recomandările misiunii OSCE/ODIHR de observare a alegerilor, inclusiv să consolideze transparența finanțării campaniilor, să combată dezinformarea, să sporească protecția jurnaliștilor și să sancționeze folosirea abuzivă a resurselor administrative;</w:t>
            </w:r>
            <w:r>
              <w:t xml:space="preserve"> </w:t>
            </w:r>
            <w:r>
              <w:rPr>
                <w:b/>
                <w:i/>
              </w:rPr>
              <w:t>invită autoritățile din Bosnia și Herțegovina să își intensifice cooperarea cu UE și OSCE, în special cu Grupul operativ pentru Balcanii de Vest din cadrul SEAE, în ceea ce privește monitorizarea și combaterea ingerințelor străine, inclusiv în perioadele electorale;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Davor Ivo Stier, Karlo Ressler, Željana Zovko,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felicită Bosnia și Herțegovina pentru angajamentul reînnoit și susținut, exprimat în Comisia parlamentare de stabilizare și de asociere UE-Bosnia și Herțegovina;</w:t>
            </w:r>
          </w:p>
        </w:tc>
        <w:tc>
          <w:tcPr>
            <w:tcW w:w="4876" w:type="dxa"/>
            <w:tcBorders>
              <w:top w:val="nil"/>
              <w:left w:val="nil"/>
              <w:bottom w:val="nil"/>
              <w:right w:val="nil"/>
            </w:tcBorders>
          </w:tcPr>
          <w:p>
            <w:pPr>
              <w:pStyle w:val="Normal6a"/>
            </w:pPr>
            <w:r>
              <w:t>9.</w:t>
            </w:r>
            <w:r>
              <w:tab/>
            </w:r>
            <w:r>
              <w:t>felicită Bosnia și Herțegovina pentru angajamentul reînnoit și susținut, exprimat în Comisia parlamentare de stabilizare și de asociere UE-Bosnia și Herțegovina</w:t>
            </w:r>
            <w:r>
              <w:rPr>
                <w:b/>
                <w:i/>
              </w:rPr>
              <w:t>, în îndeplinirea uneia dintre cele 14 priorități-cheie stabilite de Comisie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îndeamnă autoritățile să reformeze mecanismul de coordonare pentru chestiunile legate de UE, care s-a dovedit a fi ineficace și ineficient în abordarea sarcinilor legate de integrarea în UE;</w:t>
            </w:r>
            <w:r>
              <w:t xml:space="preserve"> </w:t>
            </w:r>
            <w:r>
              <w:rPr>
                <w:b/>
                <w:i/>
              </w:rPr>
              <w:t>invită autoritățile să prezinte un program național pentru adoptarea acquis-ului UE în conformitate cu observațiile Comisiei Europene și să asigure alinierea coordonată la acquis-ul UE în întreaga țară;</w:t>
            </w:r>
            <w:r>
              <w:t xml:space="preserve"> </w:t>
            </w:r>
            <w:r>
              <w:rPr>
                <w:b/>
                <w:i/>
              </w:rPr>
              <w:t>și să numească de urgență coordonatorul IPA național (CNIPAC) în cadrul Instrumentului de asistență pentru preaderare (IPA) III;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salută finalizarea cu succes a noii legi privind controlul la frontiere, care vizează îmbunătățirea respectării standardelor europene;</w:t>
            </w:r>
            <w:r>
              <w:t xml:space="preserve"> </w:t>
            </w:r>
            <w:r>
              <w:rPr>
                <w:b/>
                <w:i/>
              </w:rPr>
              <w:t>subliniază că Bosnia și Herțegovina trebuie să susțină securitatea la frontierele sale și să coopereze cu agenția Frontex și cu țările învecinate pentru a preveni migrația ilegală;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subliniază că trebuie creată o structură de negociere operațională după decizia Consiliului European de a începe negocierile de aderare, precum și de a numi o echipă de negociere și un negociator-șef care să fie pe deplin autorizat să prezinte poziția țării;</w:t>
            </w:r>
            <w:r>
              <w:t xml:space="preserve"> </w:t>
            </w:r>
            <w:r>
              <w:rPr>
                <w:b/>
                <w:i/>
              </w:rPr>
              <w:t>invită autoritățile să adopte fără întârziere o agendă de reformă pentru a accesa segmentele de finanțare din cadrul planului de creștere al Băncii Mondiale;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regretă că</w:t>
            </w:r>
            <w:r>
              <w:t xml:space="preserve"> clasa politică </w:t>
            </w:r>
            <w:r>
              <w:rPr>
                <w:b/>
                <w:i/>
              </w:rPr>
              <w:t>nu a adoptat încă</w:t>
            </w:r>
            <w:r>
              <w:t xml:space="preserve"> modificări ale constituției și ale legii electorale </w:t>
            </w:r>
            <w:r>
              <w:rPr>
                <w:b/>
                <w:i/>
              </w:rPr>
              <w:t>necesare</w:t>
            </w:r>
            <w:r>
              <w:t xml:space="preserve"> pentru a le alinia la Convenția europeană a drepturilor omului </w:t>
            </w:r>
            <w:r>
              <w:rPr>
                <w:b/>
                <w:i/>
              </w:rPr>
              <w:t>și pentru a pune în aplicare hotărârile relevante ale Curții Europene a Drepturilor Omului</w:t>
            </w:r>
            <w:r>
              <w:t xml:space="preserve"> pentru a asigura nediscriminarea și egalitatea în conformitate cu deciziile Curții Constituționale a Bosniei și Herțegovinei;</w:t>
            </w:r>
          </w:p>
        </w:tc>
        <w:tc>
          <w:tcPr>
            <w:tcW w:w="4876" w:type="dxa"/>
            <w:tcBorders>
              <w:top w:val="nil"/>
              <w:left w:val="nil"/>
              <w:bottom w:val="nil"/>
              <w:right w:val="nil"/>
            </w:tcBorders>
          </w:tcPr>
          <w:p>
            <w:pPr>
              <w:pStyle w:val="Normal6a"/>
            </w:pPr>
            <w:r>
              <w:t>10.</w:t>
            </w:r>
            <w:r>
              <w:tab/>
            </w:r>
            <w:r>
              <w:rPr>
                <w:b/>
                <w:i/>
              </w:rPr>
              <w:t>încurajează</w:t>
            </w:r>
            <w:r>
              <w:t xml:space="preserve"> clasa politică </w:t>
            </w:r>
            <w:r>
              <w:rPr>
                <w:b/>
                <w:i/>
              </w:rPr>
              <w:t>să adopte</w:t>
            </w:r>
            <w:r>
              <w:t xml:space="preserve"> modificări ale constituției și ale legii electorale pentru a le alinia la Convenția europeană a drepturilor omului pentru a asigura nediscriminarea și egalitatea </w:t>
            </w:r>
            <w:r>
              <w:rPr>
                <w:b/>
                <w:i/>
              </w:rPr>
              <w:t>prin lege,</w:t>
            </w:r>
            <w:r>
              <w:t xml:space="preserve"> în conformitate cu deciziile Curții Constituționale a Bosniei și Herțegovinei;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regretă că clasa politică nu a adoptat încă modificări ale constituției și ale legii</w:t>
            </w:r>
            <w:r>
              <w:t xml:space="preserve"> electorale necesare pentru </w:t>
            </w:r>
            <w:r>
              <w:rPr>
                <w:b/>
                <w:i/>
              </w:rPr>
              <w:t>a le alinia la Convenția europeană a drepturilor omului și pentru a pune în aplicare hotărârile relevante ale Curții Europene a Drepturilor Omului pentru a asigura nediscriminarea și egalitatea în conformitate cu deciziile Curții Constituționale a Bosniei și Herțegovinei</w:t>
            </w:r>
            <w:r>
              <w:t>;</w:t>
            </w:r>
          </w:p>
        </w:tc>
        <w:tc>
          <w:tcPr>
            <w:tcW w:w="4876" w:type="dxa"/>
            <w:tcBorders>
              <w:top w:val="nil"/>
              <w:left w:val="nil"/>
              <w:bottom w:val="nil"/>
              <w:right w:val="nil"/>
            </w:tcBorders>
          </w:tcPr>
          <w:p>
            <w:pPr>
              <w:pStyle w:val="Normal6a"/>
            </w:pPr>
            <w:r>
              <w:t>10.</w:t>
            </w:r>
            <w:r>
              <w:tab/>
            </w:r>
            <w:r>
              <w:rPr>
                <w:b/>
                <w:i/>
              </w:rPr>
              <w:t>solicită clasei politice să pună în aplicare modificările constituționale și</w:t>
            </w:r>
            <w:r>
              <w:t xml:space="preserve"> electorale necesare pentru </w:t>
            </w:r>
            <w:r>
              <w:rPr>
                <w:b/>
                <w:i/>
              </w:rPr>
              <w:t>ca țara să respecte criteriile de la Copenhaga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regretă că clasa politică nu a adoptat încă modificări ale constituției și ale legii electorale necesare pentru a le alinia la </w:t>
            </w:r>
            <w:r>
              <w:rPr>
                <w:b/>
                <w:i/>
              </w:rPr>
              <w:t>Convenția europeană a drepturilor omului și pentru a pune în aplicare</w:t>
            </w:r>
            <w:r>
              <w:t xml:space="preserve"> hotărârile relevante ale Curții Europene a Drepturilor Omului </w:t>
            </w:r>
            <w:r>
              <w:rPr>
                <w:b/>
                <w:i/>
              </w:rPr>
              <w:t>pentru</w:t>
            </w:r>
            <w:r>
              <w:t xml:space="preserve"> a asigura </w:t>
            </w:r>
            <w:r>
              <w:rPr>
                <w:b/>
                <w:i/>
              </w:rPr>
              <w:t>nediscriminarea și egalitatea</w:t>
            </w:r>
            <w:r>
              <w:t xml:space="preserve"> în conformitate cu </w:t>
            </w:r>
            <w:r>
              <w:rPr>
                <w:b/>
                <w:i/>
              </w:rPr>
              <w:t>deciziile Curții Constituționale a</w:t>
            </w:r>
            <w:r>
              <w:t xml:space="preserve"> Bosniei și Herțegovinei;</w:t>
            </w:r>
          </w:p>
        </w:tc>
        <w:tc>
          <w:tcPr>
            <w:tcW w:w="4876" w:type="dxa"/>
            <w:tcBorders>
              <w:top w:val="nil"/>
              <w:left w:val="nil"/>
              <w:bottom w:val="nil"/>
              <w:right w:val="nil"/>
            </w:tcBorders>
          </w:tcPr>
          <w:p>
            <w:pPr>
              <w:pStyle w:val="Normal6a"/>
            </w:pPr>
            <w:r>
              <w:t>10.</w:t>
            </w:r>
            <w:r>
              <w:tab/>
            </w:r>
            <w:r>
              <w:t xml:space="preserve">regretă că clasa politică nu a adoptat încă modificări ale constituției și ale legii electorale necesare pentru a le alinia la </w:t>
            </w:r>
            <w:r>
              <w:rPr>
                <w:b/>
                <w:i/>
              </w:rPr>
              <w:t>deciziile relevante ale Curții Constituționale a Bosniei și Herțegovinei, și anume U-23-14, la Convenția europeană a drepturilor omului și la</w:t>
            </w:r>
            <w:r>
              <w:t xml:space="preserve"> hotărârile relevante ale Curții Europene a Drepturilor Omului </w:t>
            </w:r>
            <w:r>
              <w:rPr>
                <w:b/>
                <w:i/>
              </w:rPr>
              <w:t>de a elimina toate formele de inegalitate și discriminare în procesul electoral și de</w:t>
            </w:r>
            <w:r>
              <w:t xml:space="preserve"> a asigura </w:t>
            </w:r>
            <w:r>
              <w:rPr>
                <w:b/>
                <w:i/>
              </w:rPr>
              <w:t>protecția drepturilor individuale și colective</w:t>
            </w:r>
            <w:r>
              <w:t xml:space="preserve"> în conformitate cu </w:t>
            </w:r>
            <w:r>
              <w:rPr>
                <w:b/>
                <w:i/>
              </w:rPr>
              <w:t>Constituția Bosniei și Herțegovinei;</w:t>
            </w:r>
            <w:r>
              <w:t xml:space="preserve"> </w:t>
            </w:r>
            <w:r>
              <w:rPr>
                <w:b/>
                <w:i/>
              </w:rPr>
              <w:t>sprijină reformele Constituției și ale cadrului electoral prin aplicarea hotărârilor relevante ale instanțelor naționale și internaționale pentru a asigura egalitatea și neincriminarea celor trei popoare constitutive și a tuturor cetățenilor, astfel cum sunt consacrate în Constituția</w:t>
            </w:r>
            <w:r>
              <w:t xml:space="preserve"> Bosniei și Herțegovinei; </w:t>
            </w:r>
            <w:r>
              <w:rPr>
                <w:b/>
                <w:i/>
              </w:rPr>
              <w:t>reamintește că asistența UE în Bosnia și Herțegovina ar trebui să se axeze pe reforma legislației electorale în urma Acordului de la Mostar și în spiritul Acordului de la Dayton, bazat pe împărțirea puterii;</w:t>
            </w:r>
            <w:r>
              <w:t xml:space="preserve"> </w:t>
            </w:r>
            <w:r>
              <w:rPr>
                <w:b/>
                <w:i/>
              </w:rPr>
              <w:t>sprijină eforturile transatlantice și europene de facilitare în acest scop și condamnă în totalitate obstacolele actorilor politici în această privință;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regretă că clasa politică nu a adoptat încă modificări ale constituției și ale legii electorale necesare pentru a le alinia la Convenția europeană a drepturilor omului și pentru a pune în aplicare hotărârile relevante ale Curții Europene a Drepturilor Omului pentru a asigura nediscriminarea </w:t>
            </w:r>
            <w:r>
              <w:rPr>
                <w:b/>
                <w:i/>
              </w:rPr>
              <w:t>și egalitatea în conformitate cu deciziile</w:t>
            </w:r>
            <w:r>
              <w:t xml:space="preserve"> Curții </w:t>
            </w:r>
            <w:r>
              <w:rPr>
                <w:b/>
                <w:i/>
              </w:rPr>
              <w:t>Constituționale a Bosniei și Herțegovinei</w:t>
            </w:r>
            <w:r>
              <w:t>;</w:t>
            </w:r>
          </w:p>
        </w:tc>
        <w:tc>
          <w:tcPr>
            <w:tcW w:w="4876" w:type="dxa"/>
            <w:tcBorders>
              <w:top w:val="nil"/>
              <w:left w:val="nil"/>
              <w:bottom w:val="nil"/>
              <w:right w:val="nil"/>
            </w:tcBorders>
          </w:tcPr>
          <w:p>
            <w:pPr>
              <w:pStyle w:val="Normal6a"/>
            </w:pPr>
            <w:r>
              <w:t>10.</w:t>
            </w:r>
            <w:r>
              <w:tab/>
            </w:r>
            <w:r>
              <w:t>regretă că clasa politică nu a adoptat încă modificări ale constituției și ale legii electorale necesare pentru a le alinia la Convenția europeană a drepturilor omului și pentru a pune în aplicare hotărârile relevante ale Curții Europene a Drepturilor Omului</w:t>
            </w:r>
            <w:r>
              <w:rPr>
                <w:b/>
                <w:i/>
              </w:rPr>
              <w:t>, în special cazurile Sejdić-Finci, Zornić, Pilav și Šlaku</w:t>
            </w:r>
            <w:r>
              <w:t xml:space="preserve"> pentru a asigura nediscriminarea</w:t>
            </w:r>
            <w:r>
              <w:rPr>
                <w:b/>
                <w:i/>
              </w:rPr>
              <w:t>;</w:t>
            </w:r>
            <w:r>
              <w:t xml:space="preserve"> </w:t>
            </w:r>
            <w:r>
              <w:rPr>
                <w:b/>
                <w:i/>
              </w:rPr>
              <w:t>așteaptă verdictul final al cauzei Kovačević;</w:t>
            </w:r>
            <w:r>
              <w:t xml:space="preserve"> </w:t>
            </w:r>
            <w:r>
              <w:rPr>
                <w:b/>
                <w:i/>
              </w:rPr>
              <w:t>condamnă cu fermitate, în acest context, amenințările la adresa vieții recurentului în fața</w:t>
            </w:r>
            <w:r>
              <w:t xml:space="preserve"> Curții </w:t>
            </w:r>
            <w:r>
              <w:rPr>
                <w:b/>
                <w:i/>
              </w:rPr>
              <w:t>Europene a Drepturilor Omului, Slaven Kovačević, și îndeamnă autoritățile judiciare să asigure o monitorizare suficientă pentru tragerea la răspundere a făptașilor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regretă că clasa politică nu a adoptat încă modificări ale constituției și ale legii electorale necesare pentru a le alinia la Convenția europeană a drepturilor omului și pentru a pune în aplicare hotărârile relevante ale Curții Europene a Drepturilor Omului pentru a asigura nediscriminarea și egalitatea </w:t>
            </w:r>
            <w:r>
              <w:rPr>
                <w:b/>
                <w:i/>
              </w:rPr>
              <w:t>în conformitate cu deciziile Curții Constituționale a Bosniei și Herțegovinei</w:t>
            </w:r>
            <w:r>
              <w:t>;</w:t>
            </w:r>
          </w:p>
        </w:tc>
        <w:tc>
          <w:tcPr>
            <w:tcW w:w="4876" w:type="dxa"/>
            <w:tcBorders>
              <w:top w:val="nil"/>
              <w:left w:val="nil"/>
              <w:bottom w:val="nil"/>
              <w:right w:val="nil"/>
            </w:tcBorders>
          </w:tcPr>
          <w:p>
            <w:pPr>
              <w:pStyle w:val="Normal6a"/>
            </w:pPr>
            <w:r>
              <w:t>10.</w:t>
            </w:r>
            <w:r>
              <w:tab/>
            </w:r>
            <w:r>
              <w:t xml:space="preserve">regretă că clasa politică nu a adoptat încă modificări ale constituției și ale legii electorale necesare pentru a le alinia la Convenția europeană a drepturilor omului și pentru a pune în aplicare hotărârile relevante ale Curții Europene a Drepturilor Omului pentru a asigura nediscriminarea și egalitatea </w:t>
            </w:r>
            <w:r>
              <w:rPr>
                <w:b/>
                <w:i/>
              </w:rPr>
              <w:t>pentru toți cetățenii Bosniei și Herțegovinei;</w:t>
            </w:r>
            <w:r>
              <w:t xml:space="preserve"> </w:t>
            </w:r>
            <w:r>
              <w:rPr>
                <w:b/>
                <w:i/>
              </w:rPr>
              <w:t>reiterează faptul că neimplementarea acestor hotărâri permite discriminarea pe față a cetățenilor din BiH și este incompatibilă cu valorile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invită UE și statele membre să inițieze un proces de reforme transparente și incluzive, bazate pe consultări cuprinzătoare și dialog public cu cetățenii, cu societatea civilă, cu experți independenți și cu toate părțile interesate relevante din țară, care să permită o transformare sustenabilă a Acordului de pace de la Dayton într-o constituție, în deplină conformitate cu standardele și principiile europene, cu scopul de a asigura un sistem de guvernare funcțional, responsabil, reprezentativ și legitim din punct de vedere populațional, pentru a depăși diviziunea etnonaționalistă și a realiza progrese durabile pe calea către UE;</w:t>
            </w:r>
            <w:r>
              <w:t xml:space="preserve"> </w:t>
            </w:r>
            <w:r>
              <w:rPr>
                <w:b/>
                <w:i/>
              </w:rPr>
              <w:t>reiterează că orice reformă electorală nu trebuie să adâncească sau să cimenteze diviziunea etnică;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Davor Ivo Stier, Sunčana Glavak, Karlo Ressler, Željana Zovko, Nikolina Brnjac,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subliniază că este nevoie ca toate procesele de reforme constituționale și electorale să fie rezultatul unui dialog incluziv, în care reprezentanții tuturor popoarelor constitutive și ai cetățenilor să fie reprezentați în mod egal, în spiritul și litera Acordului de pace de la Dayton;</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ia act de modificările aduse legii electorale de către Înaltul reprezentant în martie 2024, prin care au fost introduse standarde importante de integritate și măsuri de consolidare a încrederii; invită Parlamentul Bosniei și Herțegovinei să </w:t>
            </w:r>
            <w:r>
              <w:rPr>
                <w:b/>
                <w:i/>
              </w:rPr>
              <w:t>abordeze</w:t>
            </w:r>
            <w:r>
              <w:t xml:space="preserve"> de urgență </w:t>
            </w:r>
            <w:r>
              <w:rPr>
                <w:b/>
                <w:i/>
              </w:rPr>
              <w:t>toate recomandările neimplementate</w:t>
            </w:r>
            <w:r>
              <w:t xml:space="preserve"> ale Biroului pentru Instituții Democratice și Drepturile Omului al Organizației pentru Securitate și Cooperare în Europa (OSCE/ODIHR) și ale Grupului de state împotriva corupției (GRECO);</w:t>
            </w:r>
          </w:p>
        </w:tc>
        <w:tc>
          <w:tcPr>
            <w:tcW w:w="4876" w:type="dxa"/>
            <w:tcBorders>
              <w:top w:val="nil"/>
              <w:left w:val="nil"/>
              <w:bottom w:val="nil"/>
              <w:right w:val="nil"/>
            </w:tcBorders>
          </w:tcPr>
          <w:p>
            <w:pPr>
              <w:pStyle w:val="Normal6a"/>
            </w:pPr>
            <w:r>
              <w:t>11.</w:t>
            </w:r>
            <w:r>
              <w:tab/>
            </w:r>
            <w:r>
              <w:t>ia act de modificările aduse legii electorale de către Înaltul reprezentant în martie 2024, prin care au fost introduse standarde importante de integritate și măsuri de consolidare a încrederii</w:t>
            </w:r>
            <w:r>
              <w:rPr>
                <w:b/>
                <w:i/>
              </w:rPr>
              <w:t>, menite să refacă încrederea votanților în întregul proces electoral</w:t>
            </w:r>
            <w:r>
              <w:t xml:space="preserve">; invită Parlamentul Bosniei și Herțegovinei să </w:t>
            </w:r>
            <w:r>
              <w:rPr>
                <w:b/>
                <w:i/>
              </w:rPr>
              <w:t>adopte</w:t>
            </w:r>
            <w:r>
              <w:t xml:space="preserve"> de urgență </w:t>
            </w:r>
            <w:r>
              <w:rPr>
                <w:b/>
                <w:i/>
              </w:rPr>
              <w:t>reforme constituționale și electorale care să garanteze că toți cetățenii pot să își exercite efectiv drepturile politice și să dea curs tuturor recomandărilor restante</w:t>
            </w:r>
            <w:r>
              <w:t xml:space="preserve"> ale Biroului pentru Instituții Democratice și Drepturile Omului al Organizației pentru Securitate și Cooperare în Europa (OSCE/ODIHR)</w:t>
            </w:r>
            <w:r>
              <w:rPr>
                <w:b/>
                <w:i/>
              </w:rPr>
              <w:t>, ale Comisiei de la Veneția</w:t>
            </w:r>
            <w:r>
              <w:t xml:space="preserve"> și ale Grupului de state împotriva corupției (GRECO)</w:t>
            </w:r>
            <w:r>
              <w:rPr>
                <w:b/>
                <w:i/>
              </w:rPr>
              <w:t>, în special în ceea ce privește chestiunile legate de administrarea alegerilor, desfășurarea de sondaje și numărarea voturilor, organizarea de campanii și finanțarea campaniilor, interzicerea explicită a cumpărării indirecte de voturi și soluționarea litigiilor electorale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ia act de modificările aduse legii electorale de către Înaltul reprezentant în martie 2024, prin care au fost introduse standarde importante de integritate și măsuri de consolidare a încrederii; invită </w:t>
            </w:r>
            <w:r>
              <w:rPr>
                <w:b/>
                <w:i/>
              </w:rPr>
              <w:t>Parlamentul</w:t>
            </w:r>
            <w:r>
              <w:t xml:space="preserve"> Bosniei și Herțegovinei să abordeze de urgență toate recomandările neimplementate ale Biroului pentru Instituții Democratice și Drepturile Omului al Organizației pentru Securitate și Cooperare în Europa (OSCE/ODIHR) și ale Grupului de state împotriva corupției (GRECO);</w:t>
            </w:r>
          </w:p>
        </w:tc>
        <w:tc>
          <w:tcPr>
            <w:tcW w:w="4876" w:type="dxa"/>
            <w:tcBorders>
              <w:top w:val="nil"/>
              <w:left w:val="nil"/>
              <w:bottom w:val="nil"/>
              <w:right w:val="nil"/>
            </w:tcBorders>
          </w:tcPr>
          <w:p>
            <w:pPr>
              <w:pStyle w:val="Normal6a"/>
            </w:pPr>
            <w:r>
              <w:t>11.</w:t>
            </w:r>
            <w:r>
              <w:tab/>
            </w:r>
            <w:r>
              <w:t xml:space="preserve">ia act de modificările aduse legii electorale de către Înaltul reprezentant în martie 2024, prin care au fost introduse standarde importante de integritate și măsuri de consolidare a încrederii; invită </w:t>
            </w:r>
            <w:r>
              <w:rPr>
                <w:b/>
                <w:i/>
              </w:rPr>
              <w:t>Adunarea parlamentară a</w:t>
            </w:r>
            <w:r>
              <w:t xml:space="preserve"> Bosniei și Herțegovinei să abordeze de urgență toate recomandările neimplementate ale Biroului pentru Instituții Democratice și Drepturile Omului al Organizației pentru Securitate și Cooperare în Europa (OSCE/ODIHR) și ale Grupului de state împotriva corupției (GRECO);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salută faptul că alegerile locale din 6 octombrie 2024 au fost competitive și gestionate corect; </w:t>
            </w:r>
            <w:r>
              <w:rPr>
                <w:b/>
                <w:i/>
              </w:rPr>
              <w:t>regretă însă că au avut loc într-un mediu lipsit de coeziune socială și politică</w:t>
            </w:r>
            <w:r>
              <w:t>;</w:t>
            </w:r>
          </w:p>
        </w:tc>
        <w:tc>
          <w:tcPr>
            <w:tcW w:w="4876" w:type="dxa"/>
            <w:tcBorders>
              <w:top w:val="nil"/>
              <w:left w:val="nil"/>
              <w:bottom w:val="nil"/>
              <w:right w:val="nil"/>
            </w:tcBorders>
          </w:tcPr>
          <w:p>
            <w:pPr>
              <w:pStyle w:val="Normal6a"/>
            </w:pPr>
            <w:r>
              <w:t>12.</w:t>
            </w:r>
            <w:r>
              <w:tab/>
            </w:r>
            <w:r>
              <w:t xml:space="preserve">salută faptul că alegerile locale din 6 octombrie 2024 au fost competitive și gestionate corect; </w:t>
            </w:r>
            <w:r>
              <w:rPr>
                <w:b/>
                <w:i/>
              </w:rPr>
              <w:t>cere partidelor politice și societății civile să colaboreze pentru a face posibil acest lucru, în pofida tuturor dificultăților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salută </w:t>
            </w:r>
            <w:r>
              <w:rPr>
                <w:b/>
                <w:i/>
              </w:rPr>
              <w:t>faptul că alegerile</w:t>
            </w:r>
            <w:r>
              <w:t xml:space="preserve"> locale </w:t>
            </w:r>
            <w:r>
              <w:rPr>
                <w:b/>
                <w:i/>
              </w:rPr>
              <w:t>din</w:t>
            </w:r>
            <w:r>
              <w:t xml:space="preserve"> 6 octombrie 2024 </w:t>
            </w:r>
            <w:r>
              <w:rPr>
                <w:b/>
                <w:i/>
              </w:rPr>
              <w:t>au fost competitive și gestionate corect</w:t>
            </w:r>
            <w:r>
              <w:t>; regretă însă că au avut loc într-un mediu lipsit de coeziune socială și politică;</w:t>
            </w:r>
          </w:p>
        </w:tc>
        <w:tc>
          <w:tcPr>
            <w:tcW w:w="4876" w:type="dxa"/>
            <w:tcBorders>
              <w:top w:val="nil"/>
              <w:left w:val="nil"/>
              <w:bottom w:val="nil"/>
              <w:right w:val="nil"/>
            </w:tcBorders>
          </w:tcPr>
          <w:p>
            <w:pPr>
              <w:pStyle w:val="Normal6a"/>
            </w:pPr>
            <w:r>
              <w:t>12.</w:t>
            </w:r>
            <w:r>
              <w:tab/>
            </w:r>
            <w:r>
              <w:t xml:space="preserve">salută </w:t>
            </w:r>
            <w:r>
              <w:rPr>
                <w:b/>
                <w:i/>
              </w:rPr>
              <w:t>organizarea alegerilor</w:t>
            </w:r>
            <w:r>
              <w:t xml:space="preserve"> locale </w:t>
            </w:r>
            <w:r>
              <w:rPr>
                <w:b/>
                <w:i/>
              </w:rPr>
              <w:t>la</w:t>
            </w:r>
            <w:r>
              <w:t xml:space="preserve"> 6 octombrie 2024; regretă însă că au avut loc într-un mediu lipsit de coeziune socială și politică;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condamnă acțiunile Republicii Srpska care subminează ordinea constituțională a Bosniei și Herțegovinei și competențele organismelor de stat, precum și atitudinea necooperantă față de Curtea Constituțională a Bosniei și Herțegovinei;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Davor Ivo Stier, Karlo Ressler,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condamnă acțiunile Republicii Srpska care subminează ordinea constituțională a Bosniei și Herțegovinei și competențele organismelor de stat, precum și atitudinea necooperantă față de Curtea Constituțională a Bosniei și Herțegovinei;</w:t>
            </w:r>
          </w:p>
        </w:tc>
        <w:tc>
          <w:tcPr>
            <w:tcW w:w="4876" w:type="dxa"/>
            <w:tcBorders>
              <w:top w:val="nil"/>
              <w:left w:val="nil"/>
              <w:bottom w:val="nil"/>
              <w:right w:val="nil"/>
            </w:tcBorders>
          </w:tcPr>
          <w:p>
            <w:pPr>
              <w:pStyle w:val="Normal6a"/>
            </w:pPr>
            <w:r>
              <w:t>13.</w:t>
            </w:r>
            <w:r>
              <w:tab/>
            </w:r>
            <w:r>
              <w:t xml:space="preserve">condamnă </w:t>
            </w:r>
            <w:r>
              <w:rPr>
                <w:b/>
                <w:i/>
              </w:rPr>
              <w:t>cu fermitate</w:t>
            </w:r>
            <w:r>
              <w:t xml:space="preserve"> acțiunile Republicii Srpska care subminează ordinea constituțională a Bosniei și Herțegovinei și competențele organismelor de stat, precum și atitudinea necooperantă față de Curtea Constituțională a Bosniei și Herțegovinei;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condamnă acțiunile Republicii Srpska care subminează ordinea constituțională a Bosniei și Herțegovinei și competențele organismelor de stat, precum și atitudinea necooperantă față de Curtea Constituțională a Bosniei și Herțegovinei;</w:t>
            </w:r>
          </w:p>
        </w:tc>
        <w:tc>
          <w:tcPr>
            <w:tcW w:w="4876" w:type="dxa"/>
            <w:tcBorders>
              <w:top w:val="nil"/>
              <w:left w:val="nil"/>
              <w:bottom w:val="nil"/>
              <w:right w:val="nil"/>
            </w:tcBorders>
          </w:tcPr>
          <w:p>
            <w:pPr>
              <w:pStyle w:val="Normal6a"/>
            </w:pPr>
            <w:r>
              <w:t>13.</w:t>
            </w:r>
            <w:r>
              <w:tab/>
            </w:r>
            <w:r>
              <w:t xml:space="preserve">condamnă </w:t>
            </w:r>
            <w:r>
              <w:rPr>
                <w:b/>
                <w:i/>
              </w:rPr>
              <w:t>cu fermitate</w:t>
            </w:r>
            <w:r>
              <w:t xml:space="preserve"> acțiunile Republicii Srpska care subminează ordinea constituțională a Bosniei și Herțegovinei și competențele organismelor de stat, precum și atitudinea necooperantă față de Curtea Constituțională a Bosniei și Herțegovinei;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Nikolina Brnjac, 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condamnă acțiunile Republicii Srpska care subminează ordinea constituțională a Bosniei și Herțegovinei și competențele organismelor de stat, precum și atitudinea necooperantă față de Curtea Constituțională a Bosniei și Herțegovinei;</w:t>
            </w:r>
          </w:p>
        </w:tc>
        <w:tc>
          <w:tcPr>
            <w:tcW w:w="4876" w:type="dxa"/>
            <w:tcBorders>
              <w:top w:val="nil"/>
              <w:left w:val="nil"/>
              <w:bottom w:val="nil"/>
              <w:right w:val="nil"/>
            </w:tcBorders>
          </w:tcPr>
          <w:p>
            <w:pPr>
              <w:pStyle w:val="Normal6a"/>
            </w:pPr>
            <w:r>
              <w:t>13.</w:t>
            </w:r>
            <w:r>
              <w:tab/>
            </w:r>
            <w:r>
              <w:t xml:space="preserve">condamnă acțiunile Republicii Srpska care subminează ordinea constituțională a Bosniei și Herțegovinei și competențele organismelor de stat, precum și atitudinea necooperantă față de Curtea Constituțională a Bosniei și Herțegovinei; </w:t>
            </w:r>
            <w:r>
              <w:rPr>
                <w:b/>
                <w:i/>
              </w:rPr>
              <w:t>condamnă toate acțiunile care împiedică cadrul constituțional existent, indiferent dacă sunt secesioniste sau unitariste;</w:t>
            </w:r>
            <w:r>
              <w:t xml:space="preserve"> </w:t>
            </w:r>
            <w:r>
              <w:rPr>
                <w:b/>
                <w:i/>
              </w:rPr>
              <w:t>cere o abordare proeuropeană a tuturor actorilor politici din Bosnia și Herțegovina;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remarcă progresele limitate înregistrate în reformele justiției în Bosnia și Herțegovina, în special în ceea ce privește independența, profesionalismul, eficiența și responsabilitatea sistemului judiciar;</w:t>
            </w:r>
            <w:r>
              <w:t xml:space="preserve"> </w:t>
            </w:r>
            <w:r>
              <w:rPr>
                <w:b/>
                <w:i/>
              </w:rPr>
              <w:t>cere să se adopte măsuri urgente de accelerare a reformelor în aceste domenii, asigurând alinierea deplină la standardele UE și consolidând capacitatea sistemului judiciar de a servi în mod eficace justiția și de a susține statul de drept;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subliniază că nu numai retorica separatistă, ci și cea unionistă duce la instabilitate în Bosnia și Herțegovina și împiedică reprezentarea și drepturile egale ale celor trei popoare constitutive și ale tuturor cetățenilor din Bosnia și Herțegovina, astfel cum sunt consacrate în Constituția Bosniei și Herțegovinei;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rămâne </w:t>
            </w:r>
            <w:r>
              <w:rPr>
                <w:b/>
                <w:i/>
              </w:rPr>
              <w:t>în continuare</w:t>
            </w:r>
            <w:r>
              <w:t xml:space="preserve"> profund îngrijorat de </w:t>
            </w:r>
            <w:r>
              <w:rPr>
                <w:b/>
                <w:i/>
              </w:rPr>
              <w:t>corupție</w:t>
            </w:r>
            <w:r>
              <w:t xml:space="preserve">, în special de corupția la nivel înalt din Bosnia și Herțegovina </w:t>
            </w:r>
            <w:r>
              <w:rPr>
                <w:b/>
                <w:i/>
              </w:rPr>
              <w:t>și</w:t>
            </w:r>
            <w:r>
              <w:t xml:space="preserve"> îndeamnă autoritățile </w:t>
            </w:r>
            <w:r>
              <w:rPr>
                <w:b/>
                <w:i/>
              </w:rPr>
              <w:t>competente</w:t>
            </w:r>
            <w:r>
              <w:t xml:space="preserve"> să adopte o poziție mai </w:t>
            </w:r>
            <w:r>
              <w:rPr>
                <w:b/>
                <w:i/>
              </w:rPr>
              <w:t>activă în a o combate</w:t>
            </w:r>
            <w:r>
              <w:t>;</w:t>
            </w:r>
          </w:p>
        </w:tc>
        <w:tc>
          <w:tcPr>
            <w:tcW w:w="4876" w:type="dxa"/>
            <w:tcBorders>
              <w:top w:val="nil"/>
              <w:left w:val="nil"/>
              <w:bottom w:val="nil"/>
              <w:right w:val="nil"/>
            </w:tcBorders>
          </w:tcPr>
          <w:p>
            <w:pPr>
              <w:pStyle w:val="Normal6a"/>
            </w:pPr>
            <w:r>
              <w:t>14.</w:t>
            </w:r>
            <w:r>
              <w:tab/>
            </w:r>
            <w:r>
              <w:t xml:space="preserve">rămâne profund îngrijorat de </w:t>
            </w:r>
            <w:r>
              <w:rPr>
                <w:b/>
                <w:i/>
              </w:rPr>
              <w:t>problema corupției</w:t>
            </w:r>
            <w:r>
              <w:t>, în special de corupția la nivel înalt</w:t>
            </w:r>
            <w:r>
              <w:rPr>
                <w:b/>
                <w:i/>
              </w:rPr>
              <w:t>,</w:t>
            </w:r>
            <w:r>
              <w:t xml:space="preserve"> din Bosnia și Herțegovina</w:t>
            </w:r>
            <w:r>
              <w:rPr>
                <w:b/>
                <w:i/>
              </w:rPr>
              <w:t>, care este o problemă structurală adânc înrădăcinată în sistemul de guvernare extrem de complex al țării, bazat pe divizare etnică;</w:t>
            </w:r>
            <w:r>
              <w:t xml:space="preserve"> îndeamnă autoritățile </w:t>
            </w:r>
            <w:r>
              <w:rPr>
                <w:b/>
                <w:i/>
              </w:rPr>
              <w:t>relevante</w:t>
            </w:r>
            <w:r>
              <w:t xml:space="preserve"> să adopte o poziție mai </w:t>
            </w:r>
            <w:r>
              <w:rPr>
                <w:b/>
                <w:i/>
              </w:rPr>
              <w:t>decisivă și mai proactivă în combaterea acesteia, inclusiv prin îmbunătățirea legislației anticorupție, în deplină conformitate cu standardele și recomandările internaționale și prin asigurarea punerii efective în aplicare a acesteia, cum ar fi legile privind prevenirea conflictelor de interese și protejarea avertizorilor de integritate;</w:t>
            </w:r>
            <w:r>
              <w:t xml:space="preserve"> </w:t>
            </w:r>
            <w:r>
              <w:rPr>
                <w:b/>
                <w:i/>
              </w:rPr>
              <w:t>regretă că legile privind achizițiile publice, conflictele de interese și Consiliul Superior al Judecătorilor nu sunt încă în conformitate cu standardele europene și îndeamnă la adoptarea unei noi legi privind Consiliul Superior al Judecătorilor și Procurorilor, în conformitate cu recomandările Comisiei de la Veneția;</w:t>
            </w:r>
            <w:r>
              <w:t xml:space="preserve"> </w:t>
            </w:r>
            <w:r>
              <w:rPr>
                <w:b/>
                <w:i/>
              </w:rPr>
              <w:t>cere să se înființeze un departament independent pentru declarațiile de active în cadrul HJPC;</w:t>
            </w:r>
            <w:r>
              <w:t xml:space="preserve"> </w:t>
            </w:r>
            <w:r>
              <w:rPr>
                <w:b/>
                <w:i/>
              </w:rPr>
              <w:t>și pledează pentru urmărirea penală imparțială a cazurilor de corupție la nivel înalt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rămâne în continuare profund îngrijorat de corupție, în special de corupția la nivel înalt din Bosnia și Herțegovina și îndeamnă autoritățile competente să adopte o poziție mai activă în a o combate;</w:t>
            </w:r>
          </w:p>
        </w:tc>
        <w:tc>
          <w:tcPr>
            <w:tcW w:w="4876" w:type="dxa"/>
            <w:tcBorders>
              <w:top w:val="nil"/>
              <w:left w:val="nil"/>
              <w:bottom w:val="nil"/>
              <w:right w:val="nil"/>
            </w:tcBorders>
          </w:tcPr>
          <w:p>
            <w:pPr>
              <w:pStyle w:val="Normal6a"/>
            </w:pPr>
            <w:r>
              <w:t>14.</w:t>
            </w:r>
            <w:r>
              <w:tab/>
            </w:r>
            <w:r>
              <w:t xml:space="preserve">rămâne în continuare profund îngrijorat de corupție, în special de corupția la nivel înalt din Bosnia și Herțegovina și îndeamnă autoritățile competente să adopte o poziție mai activă în a o combate; </w:t>
            </w:r>
            <w:r>
              <w:rPr>
                <w:b/>
                <w:i/>
              </w:rPr>
              <w:t>subliniază că trebuie consolidat sistemul de gestionare a conflictelor de interese în rândul persoanelor care dețin funcții executive de conducere, în special asigurându-se că declarațiile de interese sunt supuse unor verificări periodice și de fond;</w:t>
            </w:r>
            <w:r>
              <w:t xml:space="preserve"> </w:t>
            </w:r>
            <w:r>
              <w:rPr>
                <w:b/>
                <w:i/>
              </w:rPr>
              <w:t>subliniază că toate persoanele care dețin funcții executive de conducere, alese sau numite, ar trebui să fie supuse unor obligații uniforme de divulgare și că toate aceste declarații ar trebui să fie făcute publice în mod sistematic și să fie ușor accesibile online, în interesul transparenței și al responsabilității publice;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rămâne în continuare profund îngrijorat de corupție, în special de corupția la nivel înalt din Bosnia și Herțegovina </w:t>
            </w:r>
            <w:r>
              <w:rPr>
                <w:b/>
                <w:i/>
              </w:rPr>
              <w:t>și</w:t>
            </w:r>
            <w:r>
              <w:t xml:space="preserve"> îndeamnă autoritățile competente să adopte o </w:t>
            </w:r>
            <w:r>
              <w:rPr>
                <w:b/>
                <w:i/>
              </w:rPr>
              <w:t>poziție mai activă în a o combate</w:t>
            </w:r>
            <w:r>
              <w:t>;</w:t>
            </w:r>
          </w:p>
        </w:tc>
        <w:tc>
          <w:tcPr>
            <w:tcW w:w="4876" w:type="dxa"/>
            <w:tcBorders>
              <w:top w:val="nil"/>
              <w:left w:val="nil"/>
              <w:bottom w:val="nil"/>
              <w:right w:val="nil"/>
            </w:tcBorders>
          </w:tcPr>
          <w:p>
            <w:pPr>
              <w:pStyle w:val="Normal6a"/>
            </w:pPr>
            <w:r>
              <w:t>14.</w:t>
            </w:r>
            <w:r>
              <w:tab/>
            </w:r>
            <w:r>
              <w:t>rămâne în continuare profund îngrijorat de corupție, în special de corupția la nivel înalt din Bosnia și Herțegovina</w:t>
            </w:r>
            <w:r>
              <w:rPr>
                <w:b/>
                <w:i/>
              </w:rPr>
              <w:t xml:space="preserve">; </w:t>
            </w:r>
            <w:r>
              <w:t xml:space="preserve"> îndeamnă autoritățile competente să adopte o </w:t>
            </w:r>
            <w:r>
              <w:rPr>
                <w:b/>
                <w:i/>
              </w:rPr>
              <w:t>abordare mai proactivă, mai coordonată și mai transparentă în combaterea acesteia și să se angajeze într-o cooperare structurată și schimburi de bune practici cu statele membre care au instituit și au pus în aplicare mecanisme eficiente de combatere a corupției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rămâne în continuare profund îngrijorat de corupție, în special de corupția la nivel înalt din Bosnia și Herțegovina și îndeamnă autoritățile competente să adopte o poziție mai activă în a o combate;</w:t>
            </w:r>
          </w:p>
        </w:tc>
        <w:tc>
          <w:tcPr>
            <w:tcW w:w="4876" w:type="dxa"/>
            <w:tcBorders>
              <w:top w:val="nil"/>
              <w:left w:val="nil"/>
              <w:bottom w:val="nil"/>
              <w:right w:val="nil"/>
            </w:tcBorders>
          </w:tcPr>
          <w:p>
            <w:pPr>
              <w:pStyle w:val="Normal6a"/>
            </w:pPr>
            <w:r>
              <w:t>14.</w:t>
            </w:r>
            <w:r>
              <w:tab/>
            </w:r>
            <w:r>
              <w:t xml:space="preserve">rămâne în continuare profund îngrijorat de corupție, în special de corupția la nivel înalt din Bosnia și Herțegovina și îndeamnă autoritățile competente să adopte o poziție mai activă în a o combate; </w:t>
            </w:r>
            <w:r>
              <w:rPr>
                <w:b/>
                <w:i/>
              </w:rPr>
              <w:t>recunoaște eforturile depuse de această țară în ceea ce privește lupta împotriva corupției, în special adoptarea unei strategii anticorupție 2024-2028 și a planului de acțiune pentru implementarea acestuia, precum și eforturile continue de cooperare internațională;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rămâne în continuare profund îngrijorat de corupție, în special de corupția la nivel înalt din Bosnia și Herțegovina și îndeamnă autoritățile competente să adopte o poziție mai activă în a o combate;</w:t>
            </w:r>
          </w:p>
        </w:tc>
        <w:tc>
          <w:tcPr>
            <w:tcW w:w="4876" w:type="dxa"/>
            <w:tcBorders>
              <w:top w:val="nil"/>
              <w:left w:val="nil"/>
              <w:bottom w:val="nil"/>
              <w:right w:val="nil"/>
            </w:tcBorders>
          </w:tcPr>
          <w:p>
            <w:pPr>
              <w:pStyle w:val="Normal6a"/>
            </w:pPr>
            <w:r>
              <w:t>14.</w:t>
            </w:r>
            <w:r>
              <w:tab/>
            </w:r>
            <w:r>
              <w:t xml:space="preserve">rămâne în continuare profund îngrijorat de corupție, în special de corupția la nivel înalt din Bosnia și Herțegovina și îndeamnă autoritățile competente să adopte o poziție mai activă în a o combate </w:t>
            </w:r>
            <w:r>
              <w:rPr>
                <w:b/>
                <w:i/>
              </w:rPr>
              <w:t>, reformând mai profund legislația anticorupție prin eforturi de creștere a transparenței, de eliminare a conflictelor de interese și de asigurare a protecției avertizorilor de integritate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Davor Ivo Stier, Sunčana Glavak, Karlo Ressler, Željana Zovko, Nikolina Brnjac,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rămâne în continuare profund îngrijorat de corupție, în special de corupția la nivel înalt din Bosnia și Herțegovina și îndeamnă autoritățile competente să adopte o poziție mai activă în a o combate;</w:t>
            </w:r>
          </w:p>
        </w:tc>
        <w:tc>
          <w:tcPr>
            <w:tcW w:w="4876" w:type="dxa"/>
            <w:tcBorders>
              <w:top w:val="nil"/>
              <w:left w:val="nil"/>
              <w:bottom w:val="nil"/>
              <w:right w:val="nil"/>
            </w:tcBorders>
          </w:tcPr>
          <w:p>
            <w:pPr>
              <w:pStyle w:val="Normal6a"/>
            </w:pPr>
            <w:r>
              <w:t>14.</w:t>
            </w:r>
            <w:r>
              <w:tab/>
            </w:r>
            <w:r>
              <w:t xml:space="preserve">rămâne în continuare profund îngrijorat de corupție, în special de corupția la nivel înalt din Bosnia și Herțegovina și îndeamnă autoritățile competente să adopte o poziție mai activă în a o combate; </w:t>
            </w:r>
            <w:r>
              <w:rPr>
                <w:b/>
                <w:i/>
              </w:rPr>
              <w:t>cere să se consolideze independența instituțiilor judiciare și să se asigure condițiile pentru urmărirea penală efectivă a infracțiunilor de corupție, în special la cele mai înalte niveluri de guvernare;</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rămâne în continuare profund îngrijorat de corupție, în special de corupția la nivel înalt din Bosnia și Herțegovina și îndeamnă autoritățile competente să adopte o poziție mai activă în a o combate;</w:t>
            </w:r>
          </w:p>
        </w:tc>
        <w:tc>
          <w:tcPr>
            <w:tcW w:w="4876" w:type="dxa"/>
            <w:tcBorders>
              <w:top w:val="nil"/>
              <w:left w:val="nil"/>
              <w:bottom w:val="nil"/>
              <w:right w:val="nil"/>
            </w:tcBorders>
          </w:tcPr>
          <w:p>
            <w:pPr>
              <w:pStyle w:val="Normal6a"/>
            </w:pPr>
            <w:r>
              <w:t>14.</w:t>
            </w:r>
            <w:r>
              <w:tab/>
            </w:r>
            <w:r>
              <w:t>rămâne în continuare profund îngrijorat de corupție, în special de corupția la nivel înalt din Bosnia și Herțegovina și îndeamnă autoritățile competente să adopte o poziție mai activă în a o combate</w:t>
            </w:r>
            <w:r>
              <w:rPr>
                <w:b/>
                <w:i/>
              </w:rPr>
              <w:t>, prin profesionalizarea în special a organismelor de prevenire a corupției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subliniază că Bosnia și Herțegovina rămâne o țară de tranzit și de producție esențială pentru traficul de droguri și continuă să se confrunte cu provocări grave legate de criminalitatea organizată;</w:t>
            </w:r>
            <w:r>
              <w:t xml:space="preserve"> </w:t>
            </w:r>
            <w:r>
              <w:rPr>
                <w:b/>
                <w:i/>
              </w:rPr>
              <w:t>își exprimă profunda îngrijorare cu privire la infiltrarea grupurilor infracționale organizate din țări terțe din Balcanii de Vest și din Turcia;</w:t>
            </w:r>
            <w:r>
              <w:t xml:space="preserve"> </w:t>
            </w:r>
            <w:r>
              <w:rPr>
                <w:b/>
                <w:i/>
              </w:rPr>
              <w:t>subliniază că o gestionare solidă a frontierelor externe și o cooperare transfrontalieră eficientă între Uniune și Bosnia și Herțegovina sunt esențiale pentru a contracara aceste amenințări;</w:t>
            </w:r>
            <w:r>
              <w:t xml:space="preserve"> </w:t>
            </w:r>
            <w:r>
              <w:rPr>
                <w:b/>
                <w:i/>
              </w:rPr>
              <w:t>salută, în acest sens, acordul de cooperare cu Frontex, parafat între UE și Bosnia și Herțegovina la 18 decembrie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cere să se ia măsuri suplimentare pentru a promova o reprezentare mai echilibrată din punctul de vedere al genului în toate gradele forțelor de poliție;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ia act cu îngrijorare de vidul juridic existent în domeniul politicilor de prevenire a corupției în Bosnia și Herțegovina;</w:t>
            </w:r>
            <w:r>
              <w:t xml:space="preserve"> </w:t>
            </w:r>
            <w:r>
              <w:rPr>
                <w:b/>
                <w:i/>
              </w:rPr>
              <w:t>reiterează recomandările Grupului de state împotriva corupției (GRECO) și solicită adoptarea rapidă a unui plan operațional de acțiune anticorupție, bazat pe o evaluare cuprinzătoare a riscurilor și care să vizeze în mod specific persoanele cu funcții executive de conducere;</w:t>
            </w:r>
            <w:r>
              <w:t xml:space="preserve"> </w:t>
            </w:r>
            <w:r>
              <w:rPr>
                <w:b/>
                <w:i/>
              </w:rPr>
              <w:t>subliniază necesitatea urgentă de a elabora și de a adopta un cod de conduită specific pentru persoanele cu funcții executive de conducere, care să ofere orientări clare și aplicabile cu privire la conflictele de interese și la alte aspecte legate de nereguli;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îndeamnă Bosnia și Herțegovina să intensifice lupta împotriva criminalității organizate; se declară profund îngrijorat de vulnerabilitățile la pătrunderea unor elemente infracționale în sistemele politice, juridice și economice;</w:t>
            </w:r>
          </w:p>
        </w:tc>
        <w:tc>
          <w:tcPr>
            <w:tcW w:w="4876" w:type="dxa"/>
            <w:tcBorders>
              <w:top w:val="nil"/>
              <w:left w:val="nil"/>
              <w:bottom w:val="nil"/>
              <w:right w:val="nil"/>
            </w:tcBorders>
          </w:tcPr>
          <w:p>
            <w:pPr>
              <w:pStyle w:val="Normal6a"/>
            </w:pPr>
            <w:r>
              <w:t>15.</w:t>
            </w:r>
            <w:r>
              <w:tab/>
            </w:r>
            <w:r>
              <w:t xml:space="preserve">îndeamnă Bosnia și Herțegovina să intensifice lupta împotriva criminalității organizate </w:t>
            </w:r>
            <w:r>
              <w:rPr>
                <w:b/>
                <w:i/>
              </w:rPr>
              <w:t>și a traficului de migranți în situație neregulamentară pe teritoriul Uniunii Europene, ambele constituind preocupări critice în materie de securitate europeană</w:t>
            </w:r>
            <w:r>
              <w:t xml:space="preserve">; se declară profund îngrijorat de vulnerabilitățile la pătrunderea unor elemente infracționale în sistemele politice, juridice și economice; </w:t>
            </w:r>
            <w:r>
              <w:rPr>
                <w:b/>
                <w:i/>
              </w:rPr>
              <w:t>cere Bosniei și Herțegovinei să își intensifice cooperarea cu UE și cu statele sale membre în ceea ce privește migrația ilegală, urmărind noile politici pe care Comisia și un număr tot mai mare de state membre le stabilesc în această privință;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Davor Ivo Stier, Karlo Ressler, Željana Zovko,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îndeamnă Bosnia și Herțegovina să intensifice lupta împotriva criminalității organizate; se declară profund îngrijorat de vulnerabilitățile la pătrunderea unor elemente infracționale în sistemele politice, juridice și economice;</w:t>
            </w:r>
          </w:p>
        </w:tc>
        <w:tc>
          <w:tcPr>
            <w:tcW w:w="4876" w:type="dxa"/>
            <w:tcBorders>
              <w:top w:val="nil"/>
              <w:left w:val="nil"/>
              <w:bottom w:val="nil"/>
              <w:right w:val="nil"/>
            </w:tcBorders>
          </w:tcPr>
          <w:p>
            <w:pPr>
              <w:pStyle w:val="Normal6a"/>
            </w:pPr>
            <w:r>
              <w:t>15.</w:t>
            </w:r>
            <w:r>
              <w:tab/>
            </w:r>
            <w:r>
              <w:t xml:space="preserve">îndeamnă Bosnia și Herțegovina să intensifice lupta împotriva criminalității organizate; se declară profund îngrijorat de vulnerabilitățile la pătrunderea unor elemente infracționale în sistemele politice, juridice și economice; </w:t>
            </w:r>
            <w:r>
              <w:rPr>
                <w:b/>
                <w:i/>
              </w:rPr>
              <w:t>felicită autoritățile Bosniei și Herțegovinei pentru semnarea, la 24 octombrie 2024, a unui acord de cooperare privind Eurojust pentru a spori eficiența anchetelor și a urmăririi penale în domeniile crimei organizate, terorismului, traficului de ființe umane, criminalității informatice și altor activități infracționale;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îndeamnă Bosnia și Herțegovina să intensifice lupta împotriva criminalității organizate; se declară profund îngrijorat de vulnerabilitățile la pătrunderea unor elemente infracționale în sistemele politice, juridice și economice;</w:t>
            </w:r>
          </w:p>
        </w:tc>
        <w:tc>
          <w:tcPr>
            <w:tcW w:w="4876" w:type="dxa"/>
            <w:tcBorders>
              <w:top w:val="nil"/>
              <w:left w:val="nil"/>
              <w:bottom w:val="nil"/>
              <w:right w:val="nil"/>
            </w:tcBorders>
          </w:tcPr>
          <w:p>
            <w:pPr>
              <w:pStyle w:val="Normal6a"/>
            </w:pPr>
            <w:r>
              <w:t>15.</w:t>
            </w:r>
            <w:r>
              <w:tab/>
            </w:r>
            <w:r>
              <w:t xml:space="preserve">îndeamnă Bosnia și Herțegovina să intensifice lupta împotriva criminalității organizate; se declară profund îngrijorat de vulnerabilitățile la pătrunderea unor elemente infracționale în sistemele politice, juridice și economice; </w:t>
            </w:r>
            <w:r>
              <w:rPr>
                <w:b/>
                <w:i/>
              </w:rPr>
              <w:t>cere să se introducă un sistem instituțional de rotație a personalului în zonele expuse riscului, pentru a preveni abaterile și a promova integritatea în cadrul structurilor de poliție;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îndeamnă Bosnia și Herțegovina să intensifice lupta împotriva criminalității organizate; se declară profund îngrijorat de vulnerabilitățile la pătrunderea unor elemente infracționale în sistemele politice, juridice și economice;</w:t>
            </w:r>
          </w:p>
        </w:tc>
        <w:tc>
          <w:tcPr>
            <w:tcW w:w="4876" w:type="dxa"/>
            <w:tcBorders>
              <w:top w:val="nil"/>
              <w:left w:val="nil"/>
              <w:bottom w:val="nil"/>
              <w:right w:val="nil"/>
            </w:tcBorders>
          </w:tcPr>
          <w:p>
            <w:pPr>
              <w:pStyle w:val="Normal6a"/>
            </w:pPr>
            <w:r>
              <w:t>15.</w:t>
            </w:r>
            <w:r>
              <w:tab/>
            </w:r>
            <w:r>
              <w:t xml:space="preserve">îndeamnă Bosnia și Herțegovina să intensifice lupta împotriva criminalității organizate; se declară profund îngrijorat de vulnerabilitățile la pătrunderea unor elemente infracționale în sistemele politice, juridice și economice; </w:t>
            </w:r>
            <w:r>
              <w:rPr>
                <w:b/>
                <w:i/>
              </w:rPr>
              <w:t>deplânge activitățile grupurilor mafiote bosniace din mai multe state membre ale UE, cum ar fi cartelul Tito și Dino, condus de Edin Gačanin și un actor important în traficul de cocaină;</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subliniază că trebuie îmbunătățită cooperarea cu UE în lupta împotriva traficului de droguri;</w:t>
            </w:r>
            <w:r>
              <w:t xml:space="preserve"> </w:t>
            </w:r>
            <w:r>
              <w:rPr>
                <w:b/>
                <w:i/>
              </w:rPr>
              <w:t>solicită Bosniei și Herțegovinei să numească un agent corespondent în cadrul cooperării sale cu Agenția Uniunii Europene pentru Droguri (EUDA);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ia act cu satisfacție de noua lege privind combaterea spălării banilor și a finanțării terorismului și îndeamnă Bosnia și Herțegovina să dubleze eforturile în acest domeniu;</w:t>
            </w:r>
          </w:p>
        </w:tc>
        <w:tc>
          <w:tcPr>
            <w:tcW w:w="4876" w:type="dxa"/>
            <w:tcBorders>
              <w:top w:val="nil"/>
              <w:left w:val="nil"/>
              <w:bottom w:val="nil"/>
              <w:right w:val="nil"/>
            </w:tcBorders>
          </w:tcPr>
          <w:p>
            <w:pPr>
              <w:pStyle w:val="Normal6a"/>
            </w:pPr>
            <w:r>
              <w:t>16.</w:t>
            </w:r>
            <w:r>
              <w:tab/>
            </w:r>
            <w:r>
              <w:t xml:space="preserve">ia act cu satisfacție de noua lege privind combaterea spălării banilor și a finanțării terorismului și îndeamnă Bosnia și Herțegovina să dubleze eforturile în acest domeniu; </w:t>
            </w:r>
            <w:r>
              <w:rPr>
                <w:b/>
                <w:i/>
              </w:rPr>
              <w:t>subliniază, în special, necesitatea de a alinia pe deplin legislația antiterorism la acquis-ul UE și la dreptul internațional;</w:t>
            </w:r>
            <w:r>
              <w:t xml:space="preserve"> </w:t>
            </w:r>
            <w:r>
              <w:rPr>
                <w:b/>
                <w:i/>
              </w:rPr>
              <w:t>cere să se adopte sancțiuni mai stricte pentru infracțiunile de terorism;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ia act cu satisfacție de noua lege privind combaterea spălării banilor și a finanțării terorismului și îndeamnă Bosnia și Herțegovina să dubleze eforturile în acest domeniu;</w:t>
            </w:r>
          </w:p>
        </w:tc>
        <w:tc>
          <w:tcPr>
            <w:tcW w:w="4876" w:type="dxa"/>
            <w:tcBorders>
              <w:top w:val="nil"/>
              <w:left w:val="nil"/>
              <w:bottom w:val="nil"/>
              <w:right w:val="nil"/>
            </w:tcBorders>
          </w:tcPr>
          <w:p>
            <w:pPr>
              <w:pStyle w:val="Normal6a"/>
            </w:pPr>
            <w:r>
              <w:t>16.</w:t>
            </w:r>
            <w:r>
              <w:tab/>
            </w:r>
            <w:r>
              <w:t>ia act cu satisfacție de noua lege privind combaterea spălării banilor și a finanțării terorismului și îndeamnă Bosnia și Herțegovina să dubleze eforturile în acest domeniu</w:t>
            </w:r>
            <w:r>
              <w:rPr>
                <w:b/>
                <w:i/>
              </w:rPr>
              <w:t>, inclusiv adoptarea regulamentelor necesare pentru aplicarea efectivă a legii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ia act cu satisfacție de noua lege privind combaterea spălării banilor și a finanțării terorismului și îndeamnă Bosnia și Herțegovina să dubleze eforturile în acest domeniu</w:t>
            </w:r>
            <w:r>
              <w:rPr>
                <w:b/>
                <w:i/>
              </w:rPr>
              <w:t>;</w:t>
            </w:r>
          </w:p>
        </w:tc>
        <w:tc>
          <w:tcPr>
            <w:tcW w:w="4876" w:type="dxa"/>
            <w:tcBorders>
              <w:top w:val="nil"/>
              <w:left w:val="nil"/>
              <w:bottom w:val="nil"/>
              <w:right w:val="nil"/>
            </w:tcBorders>
          </w:tcPr>
          <w:p>
            <w:pPr>
              <w:pStyle w:val="Normal6a"/>
            </w:pPr>
            <w:r>
              <w:t>16.</w:t>
            </w:r>
            <w:r>
              <w:tab/>
            </w:r>
            <w:r>
              <w:t>ia act cu satisfacție de noua lege privind combaterea spălării banilor și a finanțării terorismului și îndeamnă Bosnia și Herțegovina să dubleze eforturile în acest domeniu</w:t>
            </w:r>
            <w:r>
              <w:rPr>
                <w:b/>
                <w:i/>
              </w:rPr>
              <w:t>, acordând o atenție deosebită conformării eficiente și monitorizării </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salută adoptarea legii privind controlul la frontiere și solicită alinierea deplină la politica UE în domeniul vizelor;</w:t>
            </w:r>
          </w:p>
        </w:tc>
        <w:tc>
          <w:tcPr>
            <w:tcW w:w="4876" w:type="dxa"/>
            <w:tcBorders>
              <w:top w:val="nil"/>
              <w:left w:val="nil"/>
              <w:bottom w:val="nil"/>
              <w:right w:val="nil"/>
            </w:tcBorders>
          </w:tcPr>
          <w:p>
            <w:pPr>
              <w:pStyle w:val="Normal6a"/>
            </w:pPr>
            <w:r>
              <w:t>17.</w:t>
            </w:r>
            <w:r>
              <w:tab/>
            </w:r>
            <w:r>
              <w:t xml:space="preserve">salută adoptarea legii privind controlul la frontiere și solicită alinierea deplină la politica UE în domeniul vizelor; </w:t>
            </w:r>
            <w:r>
              <w:rPr>
                <w:b/>
                <w:i/>
              </w:rPr>
              <w:t>recunoaște importanța acestui acord pentru a consolida cooperarea Bosniei și Herțegovinei cu UE, pentru a securiza frontierele europene prin intermediul Frontex, cu obiectivele principale de combatere a imigrației ilegale, de gestionare a fluxurilor de migrație și de combatere a criminalității transfrontaliere;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salută adoptarea legii privind controlul la frontiere și solicită alinierea deplină la politica UE în domeniul vizelor;</w:t>
            </w:r>
          </w:p>
        </w:tc>
        <w:tc>
          <w:tcPr>
            <w:tcW w:w="4876" w:type="dxa"/>
            <w:tcBorders>
              <w:top w:val="nil"/>
              <w:left w:val="nil"/>
              <w:bottom w:val="nil"/>
              <w:right w:val="nil"/>
            </w:tcBorders>
          </w:tcPr>
          <w:p>
            <w:pPr>
              <w:pStyle w:val="Normal6a"/>
            </w:pPr>
            <w:r>
              <w:t>17.</w:t>
            </w:r>
            <w:r>
              <w:tab/>
            </w:r>
            <w:r>
              <w:t xml:space="preserve">salută adoptarea legii privind controlul la frontiere și solicită alinierea deplină la politica UE în domeniul vizelor </w:t>
            </w:r>
            <w:r>
              <w:rPr>
                <w:b/>
                <w:i/>
              </w:rPr>
              <w:t>ca parte a politicii de migrație controlată</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salută adoptarea legii privind controlul la frontiere și solicită </w:t>
            </w:r>
            <w:r>
              <w:rPr>
                <w:b/>
                <w:i/>
              </w:rPr>
              <w:t>alinierea deplină la politica UE în domeniul vizelor</w:t>
            </w:r>
            <w:r>
              <w:t>;</w:t>
            </w:r>
          </w:p>
        </w:tc>
        <w:tc>
          <w:tcPr>
            <w:tcW w:w="4876" w:type="dxa"/>
            <w:tcBorders>
              <w:top w:val="nil"/>
              <w:left w:val="nil"/>
              <w:bottom w:val="nil"/>
              <w:right w:val="nil"/>
            </w:tcBorders>
          </w:tcPr>
          <w:p>
            <w:pPr>
              <w:pStyle w:val="Normal6a"/>
            </w:pPr>
            <w:r>
              <w:t>17.</w:t>
            </w:r>
            <w:r>
              <w:tab/>
            </w:r>
            <w:r>
              <w:t>salută adoptarea legii privind controlul la frontiere și solicită </w:t>
            </w:r>
            <w:r>
              <w:rPr>
                <w:b/>
                <w:i/>
              </w:rPr>
              <w:t>măsuri suplimentare de combatere a imigrației ilegale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subliniază că trebuie să se asigure că numirea înalților funcționari de poliție, în special în cadrul poliției de frontieră și al Agenției de Stat pentru Investigații și Protecție (SIPA), se bazează pe merite și se desfășoară prin proceduri de selecție deschise, standardizate și transparente;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constată lipsa de progrese și în Federația Bosniei și Herțegovinei (FBiH) în ceea ce privește punerea în aplicare a reformelor UE;</w:t>
            </w:r>
            <w:r>
              <w:t xml:space="preserve"> </w:t>
            </w:r>
            <w:r>
              <w:rPr>
                <w:b/>
                <w:i/>
              </w:rPr>
              <w:t>îndeamnă actorii politici din Bosnia și Herțegovina să își intensifice eforturile;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condamnă creșterea influenței răuvoitoare a Iranului în această țară și în Balcanii de Vest, ceea ce reprezintă o amenințare la adresa securității UE și a statelor sale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reamintește că funcția publică trebuie să aibă un caracter profesionist </w:t>
            </w:r>
            <w:r>
              <w:rPr>
                <w:b/>
                <w:i/>
              </w:rPr>
              <w:t>și depolitizat</w:t>
            </w:r>
            <w:r>
              <w:t>; salută măsurile luate în reforma administrației publice;</w:t>
            </w:r>
          </w:p>
        </w:tc>
        <w:tc>
          <w:tcPr>
            <w:tcW w:w="4876" w:type="dxa"/>
            <w:tcBorders>
              <w:top w:val="nil"/>
              <w:left w:val="nil"/>
              <w:bottom w:val="nil"/>
              <w:right w:val="nil"/>
            </w:tcBorders>
          </w:tcPr>
          <w:p>
            <w:pPr>
              <w:pStyle w:val="Normal6a"/>
            </w:pPr>
            <w:r>
              <w:t>18.</w:t>
            </w:r>
            <w:r>
              <w:tab/>
            </w:r>
            <w:r>
              <w:t>reamintește că funcția publică trebuie să aibă un caracter profesionist</w:t>
            </w:r>
            <w:r>
              <w:rPr>
                <w:b/>
                <w:i/>
              </w:rPr>
              <w:t>, depolitizat și regionalizat</w:t>
            </w:r>
            <w:r>
              <w:t>; salută măsurile luate în reforma administrației publice;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cere o analiză independentă a legislației care reglementează libertatea de informare, pentru a aborda problemele persistente, cum ar fi lipsa de reacție a autorităților publice la cererile de informații, și pentru a asigura alinierea deplină la standardele internaționale privind transparența și accesul la informații;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condamnă cu fermitate discriminarea, violența și discursurile de incitare la ură împotriva oricăror minorități;</w:t>
            </w:r>
            <w:r>
              <w:t xml:space="preserve"> </w:t>
            </w:r>
            <w:r>
              <w:rPr>
                <w:b/>
                <w:i/>
              </w:rPr>
              <w:t>cere să se pună sub urmărire penală astfel de cazuri</w:t>
            </w:r>
            <w:r>
              <w:t>; îndeamnă Bosnia și Herțegovina să promoveze și să protejeze drepturile omului, nediscriminarea și protecția tuturor minorităților;</w:t>
            </w:r>
          </w:p>
        </w:tc>
        <w:tc>
          <w:tcPr>
            <w:tcW w:w="4876" w:type="dxa"/>
            <w:tcBorders>
              <w:top w:val="nil"/>
              <w:left w:val="nil"/>
              <w:bottom w:val="nil"/>
              <w:right w:val="nil"/>
            </w:tcBorders>
          </w:tcPr>
          <w:p>
            <w:pPr>
              <w:pStyle w:val="Normal6a"/>
            </w:pPr>
            <w:r>
              <w:t>19.</w:t>
            </w:r>
            <w:r>
              <w:tab/>
            </w:r>
            <w:r>
              <w:rPr>
                <w:b/>
                <w:i/>
              </w:rPr>
              <w:t>invită autoritățile să promoveze respectarea tuturor minorităților;</w:t>
            </w:r>
            <w:r>
              <w:t xml:space="preserve"> </w:t>
            </w:r>
            <w:r>
              <w:rPr>
                <w:b/>
                <w:i/>
              </w:rPr>
              <w:t>solicită urmărirea penală efectivă a persoanelor responsabile de incidente legate de minorități</w:t>
            </w:r>
            <w:r>
              <w:t>; îndeamnă Bosnia și Herțegovina să promoveze și să protejeze drepturile omului, nediscriminarea și protecția tuturor minorităților;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condamnă cu fermitate discriminarea</w:t>
            </w:r>
            <w:r>
              <w:rPr>
                <w:b/>
                <w:i/>
              </w:rPr>
              <w:t>, violența și discursurile de incitare la ură</w:t>
            </w:r>
            <w:r>
              <w:t xml:space="preserve"> împotriva </w:t>
            </w:r>
            <w:r>
              <w:rPr>
                <w:b/>
                <w:i/>
              </w:rPr>
              <w:t>oricăror minorități</w:t>
            </w:r>
            <w:r>
              <w:t xml:space="preserve">; cere să se pună sub urmărire penală astfel de cazuri; îndeamnă Bosnia și Herțegovina să promoveze și să protejeze drepturile omului, nediscriminarea și </w:t>
            </w:r>
            <w:r>
              <w:rPr>
                <w:b/>
                <w:i/>
              </w:rPr>
              <w:t>protecția tuturor minorităților</w:t>
            </w:r>
            <w:r>
              <w:t>;</w:t>
            </w:r>
          </w:p>
        </w:tc>
        <w:tc>
          <w:tcPr>
            <w:tcW w:w="4876" w:type="dxa"/>
            <w:tcBorders>
              <w:top w:val="nil"/>
              <w:left w:val="nil"/>
              <w:bottom w:val="nil"/>
              <w:right w:val="nil"/>
            </w:tcBorders>
          </w:tcPr>
          <w:p>
            <w:pPr>
              <w:pStyle w:val="Normal6a"/>
            </w:pPr>
            <w:r>
              <w:t>19.</w:t>
            </w:r>
            <w:r>
              <w:tab/>
            </w:r>
            <w:r>
              <w:t xml:space="preserve">condamnă cu fermitate discriminarea </w:t>
            </w:r>
            <w:r>
              <w:rPr>
                <w:b/>
                <w:i/>
              </w:rPr>
              <w:t>și violența</w:t>
            </w:r>
            <w:r>
              <w:t xml:space="preserve"> împotriva </w:t>
            </w:r>
            <w:r>
              <w:rPr>
                <w:b/>
                <w:i/>
              </w:rPr>
              <w:t>tuturor cetățenilor</w:t>
            </w:r>
            <w:r>
              <w:t xml:space="preserve">; cere să se pună sub urmărire penală astfel de cazuri; îndeamnă Bosnia și Herțegovina să promoveze și să protejeze drepturile omului, nediscriminarea și </w:t>
            </w:r>
            <w:r>
              <w:rPr>
                <w:b/>
                <w:i/>
              </w:rPr>
              <w:t>securitatea cetățenilor săi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condamnă cu fermitate discriminarea, violența și discursurile de incitare la ură împotriva oricăror minorități; cere să se pună sub urmărire penală astfel de cazuri; îndeamnă Bosnia și Herțegovina să promoveze și să protejeze drepturile omului, nediscriminarea și protecția tuturor minorităților;</w:t>
            </w:r>
          </w:p>
        </w:tc>
        <w:tc>
          <w:tcPr>
            <w:tcW w:w="4876" w:type="dxa"/>
            <w:tcBorders>
              <w:top w:val="nil"/>
              <w:left w:val="nil"/>
              <w:bottom w:val="nil"/>
              <w:right w:val="nil"/>
            </w:tcBorders>
          </w:tcPr>
          <w:p>
            <w:pPr>
              <w:pStyle w:val="Normal6a"/>
            </w:pPr>
            <w:r>
              <w:t>19.</w:t>
            </w:r>
            <w:r>
              <w:tab/>
            </w:r>
            <w:r>
              <w:t xml:space="preserve">condamnă cu fermitate discriminarea, violența și discursurile de incitare la ură împotriva oricăror minorități; cere să se pună sub urmărire penală astfel de cazuri; îndeamnă Bosnia și Herțegovina să promoveze și să protejeze drepturile omului, nediscriminarea și protecția tuturor minorităților; </w:t>
            </w:r>
            <w:r>
              <w:rPr>
                <w:b/>
                <w:i/>
              </w:rPr>
              <w:t>invită instituțiile de stat și entitățile relevante, precum și comunitățile locale din Bosnia și Herțegovina, să își consolideze reacțiile de răspuns pentru a combate discursurile de incitare la ură în cadrul orientărilor în curs de elaborare;</w:t>
            </w:r>
            <w:r>
              <w:t xml:space="preserve"> </w:t>
            </w:r>
            <w:r>
              <w:rPr>
                <w:b/>
                <w:i/>
              </w:rPr>
              <w:t>subliniază că este important să se sprijine și să se consolideze inițiativele, cum ar fi cele din cadrul mecanismului orizontal, pentru a asigura măsuri cuprinzătoare și eficiente împotriva discursurilor de incitare la ură și a intoleranței;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condamnă cu fermitate discriminarea, violența și discursurile de incitare la ură împotriva oricăror minorități; cere să se pună sub urmărire penală astfel de cazuri; îndeamnă Bosnia și Herțegovina să promoveze și să protejeze drepturile omului, nediscriminarea și protecția tuturor minorităților;</w:t>
            </w:r>
          </w:p>
        </w:tc>
        <w:tc>
          <w:tcPr>
            <w:tcW w:w="4876" w:type="dxa"/>
            <w:tcBorders>
              <w:top w:val="nil"/>
              <w:left w:val="nil"/>
              <w:bottom w:val="nil"/>
              <w:right w:val="nil"/>
            </w:tcBorders>
          </w:tcPr>
          <w:p>
            <w:pPr>
              <w:pStyle w:val="Normal6a"/>
            </w:pPr>
            <w:r>
              <w:t>19.</w:t>
            </w:r>
            <w:r>
              <w:tab/>
            </w:r>
            <w:r>
              <w:t xml:space="preserve">condamnă cu fermitate discriminarea, violența și discursurile de incitare la ură împotriva oricăror minorități; cere să se pună sub urmărire penală astfel de cazuri; îndeamnă Bosnia și Herțegovina să promoveze și să protejeze drepturile omului, nediscriminarea și protecția tuturor minorităților; </w:t>
            </w:r>
            <w:r>
              <w:rPr>
                <w:b/>
                <w:i/>
              </w:rPr>
              <w:t>cere o mai bună punere în aplicare a mecanismelor de combatere a discriminării în Bosnia și Herțegovina, cu un accent deosebit pe combaterea intoleranței, a discursurilor de incitare la ură și a tuturor formelor de inegalitate;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Davor Ivo Stier, Sunčana Glavak, Karlo Ressler, Željana Zovko, Nikolina Brnjac,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condamnă cu fermitate discriminarea, violența și discursurile de incitare la ură împotriva oricăror minorități; cere să se pună sub urmărire penală astfel de cazuri; îndeamnă Bosnia și Herțegovina să promoveze și să protejeze drepturile omului, nediscriminarea și protecția tuturor minorităților;</w:t>
            </w:r>
          </w:p>
        </w:tc>
        <w:tc>
          <w:tcPr>
            <w:tcW w:w="4876" w:type="dxa"/>
            <w:tcBorders>
              <w:top w:val="nil"/>
              <w:left w:val="nil"/>
              <w:bottom w:val="nil"/>
              <w:right w:val="nil"/>
            </w:tcBorders>
          </w:tcPr>
          <w:p>
            <w:pPr>
              <w:pStyle w:val="Normal6a"/>
            </w:pPr>
            <w:r>
              <w:t>19.</w:t>
            </w:r>
            <w:r>
              <w:tab/>
            </w:r>
            <w:r>
              <w:t xml:space="preserve">condamnă cu fermitate discriminarea, violența și discursurile de incitare la ură împotriva oricăror minorități; cere să se pună sub urmărire penală astfel de cazuri; îndeamnă Bosnia și Herțegovina să promoveze și să protejeze drepturile omului, nediscriminarea și protecția tuturor minorităților; </w:t>
            </w:r>
            <w:r>
              <w:rPr>
                <w:b/>
                <w:i/>
              </w:rPr>
              <w:t>subliniază importanța păstrării expresiei culturale, lingvistice și a identității tuturor popoarelor constitutive și a altor comunități din toate părțile Bosniei și Herțegovinei;</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condamnă cu fermitate discriminarea, violența și discursurile de incitare la ură împotriva oricăror minorități; cere să se pună sub urmărire penală astfel de cazuri; îndeamnă Bosnia și Herțegovina să promoveze și să protejeze drepturile omului, nediscriminarea și protecția tuturor minorităților;</w:t>
            </w:r>
          </w:p>
        </w:tc>
        <w:tc>
          <w:tcPr>
            <w:tcW w:w="4876" w:type="dxa"/>
            <w:tcBorders>
              <w:top w:val="nil"/>
              <w:left w:val="nil"/>
              <w:bottom w:val="nil"/>
              <w:right w:val="nil"/>
            </w:tcBorders>
          </w:tcPr>
          <w:p>
            <w:pPr>
              <w:pStyle w:val="Normal6a"/>
            </w:pPr>
            <w:r>
              <w:t>19.</w:t>
            </w:r>
            <w:r>
              <w:tab/>
            </w:r>
            <w:r>
              <w:t>condamnă cu fermitate discriminarea, violența și discursurile de incitare la ură împotriva oricăror minorități; cere să se pună sub urmărire penală astfel de cazuri; îndeamnă Bosnia și Herțegovina să promoveze și să protejeze drepturile omului, nediscriminarea și protecția tuturor minorităților</w:t>
            </w:r>
            <w:r>
              <w:rPr>
                <w:b/>
                <w:i/>
              </w:rPr>
              <w:t>, inclusiv a membrilor popoarelor constitutive din comunitățile locale în care formează o minoritate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își exprimă profunda îngrijorare legată de creșterea bruscă a violenței împotriva femeilor, inclusiv a formelor emergente de violență digitală;</w:t>
            </w:r>
            <w:r>
              <w:t xml:space="preserve"> </w:t>
            </w:r>
            <w:r>
              <w:rPr>
                <w:b/>
                <w:i/>
              </w:rPr>
              <w:t>îndeamnă autoritățile din Bosnia și Herțegovina să își alinieze politicile, legislația și practicile privind violența sexuală și digitală împotriva femeilor la standardele Consiliului Europei, în special la Convenția de la Istanbul, la jurisprudența relevantă a CEDO și la acquis-ul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regretă că Bosnia și Herțegovina continuă să fie o țară-cheie de tranzit pentru migrația neregulamentară către UE;</w:t>
            </w:r>
            <w:r>
              <w:t xml:space="preserve"> </w:t>
            </w:r>
            <w:r>
              <w:rPr>
                <w:b/>
                <w:i/>
              </w:rPr>
              <w:t>subliniază că slaba sa capacitate instituțională și gestionarea inconsecventă a frontierelor prezintă un risc persistent pentru securitatea internă a statelor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ia act de constatările raportului de evaluare GREVIO din 2022, care evidențiază decalaje semnificative între legislație, politici și punere în aplicare și subliniază nevoia continuă de formare a profesioniștilor pentru a sprijini eficient victimele;</w:t>
            </w:r>
            <w:r>
              <w:t xml:space="preserve"> </w:t>
            </w:r>
            <w:r>
              <w:rPr>
                <w:b/>
                <w:i/>
              </w:rPr>
              <w:t>cere sprijin specific pentru instituțiile-cheie, armonizarea cadrelor juridice și de politică cu recomandările GREVIO și creșterea gradului de sensibilizare a publicului și a capacității instituționale de a preveni și combate toate formele de violență de gen, cu un accent special pe violența digitală și sexuală;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subliniază importanța unei educații de calitate, universal accesibilă; </w:t>
            </w:r>
            <w:r>
              <w:rPr>
                <w:b/>
                <w:i/>
              </w:rPr>
              <w:t>își reiterează apelul de a se pune capăt practicii discriminatorii „două școli sub același acoperiș”</w:t>
            </w:r>
            <w:r>
              <w:t>;</w:t>
            </w:r>
          </w:p>
        </w:tc>
        <w:tc>
          <w:tcPr>
            <w:tcW w:w="4876" w:type="dxa"/>
            <w:tcBorders>
              <w:top w:val="nil"/>
              <w:left w:val="nil"/>
              <w:bottom w:val="nil"/>
              <w:right w:val="nil"/>
            </w:tcBorders>
          </w:tcPr>
          <w:p>
            <w:pPr>
              <w:pStyle w:val="Normal6a"/>
            </w:pPr>
            <w:r>
              <w:t>20.</w:t>
            </w:r>
            <w:r>
              <w:tab/>
            </w:r>
            <w:r>
              <w:t xml:space="preserve">subliniază importanța unei educații de calitate, universal accesibilă; </w:t>
            </w:r>
            <w:r>
              <w:rPr>
                <w:b/>
                <w:i/>
              </w:rPr>
              <w:t>salută conservarea patrimoniului cultural al fiecărui grup etnic din Bosnia și Herțegovina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Davor Ivo Stier, Karlo Ressler,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subliniază importanța unei educații de calitate, universal accesibilă; își reiterează apelul de a se pune capăt </w:t>
            </w:r>
            <w:r>
              <w:rPr>
                <w:b/>
                <w:i/>
              </w:rPr>
              <w:t>practicii discriminatorii</w:t>
            </w:r>
            <w:r>
              <w:t xml:space="preserve"> „două școli sub același acoperiș”;</w:t>
            </w:r>
          </w:p>
        </w:tc>
        <w:tc>
          <w:tcPr>
            <w:tcW w:w="4876" w:type="dxa"/>
            <w:tcBorders>
              <w:top w:val="nil"/>
              <w:left w:val="nil"/>
              <w:bottom w:val="nil"/>
              <w:right w:val="nil"/>
            </w:tcBorders>
          </w:tcPr>
          <w:p>
            <w:pPr>
              <w:pStyle w:val="Normal6a"/>
            </w:pPr>
            <w:r>
              <w:t>20.</w:t>
            </w:r>
            <w:r>
              <w:tab/>
            </w:r>
            <w:r>
              <w:t xml:space="preserve">subliniază importanța unei educații de calitate, universal accesibilă; își reiterează apelul de a se pune capăt </w:t>
            </w:r>
            <w:r>
              <w:rPr>
                <w:b/>
                <w:i/>
              </w:rPr>
              <w:t>practicilor de segregare în cadrul sistemului</w:t>
            </w:r>
            <w:r>
              <w:t xml:space="preserve"> „două școli sub același acoperiș” </w:t>
            </w:r>
            <w:r>
              <w:rPr>
                <w:b/>
                <w:i/>
              </w:rPr>
              <w:t>și subliniază că trebuie avansate reconcilierea și integrarea în detrimentul asimilării prin protejarea dreptului fiecărei comunități naționale, inclusiv al minorităților, la cultura și identitatea lor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Nikolina Brnjac, 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subliniază</w:t>
            </w:r>
            <w:r>
              <w:t xml:space="preserve"> importanța unei educații de calitate, </w:t>
            </w:r>
            <w:r>
              <w:rPr>
                <w:b/>
                <w:i/>
              </w:rPr>
              <w:t>universal accesibilă</w:t>
            </w:r>
            <w:r>
              <w:t xml:space="preserve">; își reiterează apelul de a se pune capăt practicii </w:t>
            </w:r>
            <w:r>
              <w:rPr>
                <w:b/>
                <w:i/>
              </w:rPr>
              <w:t>discriminatorii</w:t>
            </w:r>
            <w:r>
              <w:t xml:space="preserve"> „două școli sub același acoperiș”;</w:t>
            </w:r>
          </w:p>
        </w:tc>
        <w:tc>
          <w:tcPr>
            <w:tcW w:w="4876" w:type="dxa"/>
            <w:tcBorders>
              <w:top w:val="nil"/>
              <w:left w:val="nil"/>
              <w:bottom w:val="nil"/>
              <w:right w:val="nil"/>
            </w:tcBorders>
          </w:tcPr>
          <w:p>
            <w:pPr>
              <w:pStyle w:val="Normal6a"/>
            </w:pPr>
            <w:r>
              <w:t>20.</w:t>
            </w:r>
            <w:r>
              <w:tab/>
            </w:r>
            <w:r>
              <w:rPr>
                <w:b/>
                <w:i/>
              </w:rPr>
              <w:t>accentuează</w:t>
            </w:r>
            <w:r>
              <w:t xml:space="preserve"> importanța unei educații de calitate, </w:t>
            </w:r>
            <w:r>
              <w:rPr>
                <w:b/>
                <w:i/>
              </w:rPr>
              <w:t>accesibilă tuturor, inclusiv a dreptului la educație în limba maternă, astfel cum este garantat prin convențiile UNESCO</w:t>
            </w:r>
            <w:r>
              <w:t>; își reiterează apelul de a se pune capăt practicii „două școli sub același acoperiș”</w:t>
            </w:r>
            <w:r>
              <w:rPr>
                <w:b/>
                <w:i/>
              </w:rPr>
              <w:t>, fără a aduce atingere dreptului la educație în limba aleasă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subliniază</w:t>
            </w:r>
            <w:r>
              <w:t xml:space="preserve"> importanța unei educații de calitate, </w:t>
            </w:r>
            <w:r>
              <w:rPr>
                <w:b/>
                <w:i/>
              </w:rPr>
              <w:t>universal accesibilă</w:t>
            </w:r>
            <w:r>
              <w:t>; își reiterează apelul de a se pune capăt practicii discriminatorii „două școli sub același acoperiș”;</w:t>
            </w:r>
          </w:p>
        </w:tc>
        <w:tc>
          <w:tcPr>
            <w:tcW w:w="4876" w:type="dxa"/>
            <w:tcBorders>
              <w:top w:val="nil"/>
              <w:left w:val="nil"/>
              <w:bottom w:val="nil"/>
              <w:right w:val="nil"/>
            </w:tcBorders>
          </w:tcPr>
          <w:p>
            <w:pPr>
              <w:pStyle w:val="Normal6a"/>
            </w:pPr>
            <w:r>
              <w:t>20.</w:t>
            </w:r>
            <w:r>
              <w:tab/>
            </w:r>
            <w:r>
              <w:rPr>
                <w:b/>
                <w:i/>
              </w:rPr>
              <w:t>accentuează</w:t>
            </w:r>
            <w:r>
              <w:t xml:space="preserve"> importanța unei educații de calitate, </w:t>
            </w:r>
            <w:r>
              <w:rPr>
                <w:b/>
                <w:i/>
              </w:rPr>
              <w:t>accesibilă tuturor, inclusiv prin reformarea sistematică a programelor școlare „etnicizate” și divizate, care îngreunează semnificativ mobilitatea internă și limitează competențele de gândire critică necesare pentru a combate efectele dezinformării</w:t>
            </w:r>
            <w:r>
              <w:t xml:space="preserve">; își reiterează apelul de a se pune capăt practicii discriminatorii „două școli sub același acoperiș”; </w:t>
            </w:r>
            <w:r>
              <w:rPr>
                <w:b/>
                <w:i/>
              </w:rPr>
              <w:t>solicită adoptarea, în manualele de istorie, a unei programe școlare comune, bazate pe fapte stabilite de instanță în ceea ce privește războiul, ca o modalitate de a evita revizionismul istoric, și încurajează UE să sprijine această inițiativă;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subliniază importanța unei educații de calitate, universal accesibilă; își reiterează apelul de a se pune capăt practicii discriminatorii „două școli sub același acoperiș”;</w:t>
            </w:r>
          </w:p>
        </w:tc>
        <w:tc>
          <w:tcPr>
            <w:tcW w:w="4876" w:type="dxa"/>
            <w:tcBorders>
              <w:top w:val="nil"/>
              <w:left w:val="nil"/>
              <w:bottom w:val="nil"/>
              <w:right w:val="nil"/>
            </w:tcBorders>
          </w:tcPr>
          <w:p>
            <w:pPr>
              <w:pStyle w:val="Normal6a"/>
            </w:pPr>
            <w:r>
              <w:t>20.</w:t>
            </w:r>
            <w:r>
              <w:tab/>
            </w:r>
            <w:r>
              <w:t xml:space="preserve">subliniază importanța unei educații de calitate, universal accesibilă; își reiterează apelul de a se pune capăt practicii discriminatorii „două școli sub același acoperiș”; </w:t>
            </w:r>
            <w:r>
              <w:rPr>
                <w:b/>
                <w:i/>
              </w:rPr>
              <w:t>reafirmă că trebuie să se elimine segregarea lingvistică și discriminare în instituțiile de învățământ și în instituțiile publice, în conformitate cu Declarația privind limba comună, promovând în același timp libertatea de alegere lingvistică individuală și respectul pentru diversitatea lingvistică;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subliniază importanța unei educații de calitate, universal accesibilă; își reiterează apelul de a se pune capăt practicii discriminatorii „două școli sub același acoperiș”;</w:t>
            </w:r>
          </w:p>
        </w:tc>
        <w:tc>
          <w:tcPr>
            <w:tcW w:w="4876" w:type="dxa"/>
            <w:tcBorders>
              <w:top w:val="nil"/>
              <w:left w:val="nil"/>
              <w:bottom w:val="nil"/>
              <w:right w:val="nil"/>
            </w:tcBorders>
          </w:tcPr>
          <w:p>
            <w:pPr>
              <w:pStyle w:val="Normal6a"/>
            </w:pPr>
            <w:r>
              <w:t>20.</w:t>
            </w:r>
            <w:r>
              <w:tab/>
            </w:r>
            <w:r>
              <w:t xml:space="preserve">subliniază importanța unei educații de calitate, universal accesibilă; își reiterează apelul de a se pune capăt practicii discriminatorii „două școli sub același acoperiș”; </w:t>
            </w:r>
            <w:r>
              <w:rPr>
                <w:b/>
                <w:i/>
              </w:rPr>
              <w:t>subliniază că această practică discriminatorie și segregată împiedică coeziunea socială și egalitatea de șanse și, prin urmare, invită autoritățile să asigure un viitor stabil, democratic și prosper pentru țară și cetățenii săi;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Nikolina Brnjac, 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remarcă faptul că adoptarea programelor și a programelor de învățământ ar trebui să țină seama de diversitatea culturală și lingvistică, respectând în același timp arhitectura și competențele constituționale;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invită Bosnia și Herțegovina să garanteze dreptul la libertatea de întrunire, de asociere și de exprimare</w:t>
            </w:r>
            <w:r>
              <w:rPr>
                <w:b/>
                <w:i/>
              </w:rPr>
              <w:t>, permițând includerea societății civile în procesul de elaborare a politicilor;</w:t>
            </w:r>
            <w:r>
              <w:t xml:space="preserve"> </w:t>
            </w:r>
            <w:r>
              <w:rPr>
                <w:b/>
                <w:i/>
              </w:rPr>
              <w:t>condamnă</w:t>
            </w:r>
            <w:r>
              <w:t xml:space="preserve"> reintroducerea de către Republica Srpska a unei legi privind „agenții străini”;</w:t>
            </w:r>
          </w:p>
        </w:tc>
        <w:tc>
          <w:tcPr>
            <w:tcW w:w="4876" w:type="dxa"/>
            <w:tcBorders>
              <w:top w:val="nil"/>
              <w:left w:val="nil"/>
              <w:bottom w:val="nil"/>
              <w:right w:val="nil"/>
            </w:tcBorders>
          </w:tcPr>
          <w:p>
            <w:pPr>
              <w:pStyle w:val="Normal6a"/>
            </w:pPr>
            <w:r>
              <w:t>21.</w:t>
            </w:r>
            <w:r>
              <w:tab/>
            </w:r>
            <w:r>
              <w:t>invită Bosnia și Herțegovina să garanteze dreptul la libertatea de întrunire, de asociere și de exprimare</w:t>
            </w:r>
            <w:r>
              <w:rPr>
                <w:b/>
                <w:i/>
              </w:rPr>
              <w:t>;</w:t>
            </w:r>
            <w:r>
              <w:t xml:space="preserve"> </w:t>
            </w:r>
            <w:r>
              <w:rPr>
                <w:b/>
                <w:i/>
              </w:rPr>
              <w:t>salută</w:t>
            </w:r>
            <w:r>
              <w:t xml:space="preserve"> reintroducerea de către Republica Srpska a unei legi privind „agenții străini”;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invită Bosnia și Herțegovina să garanteze dreptul la libertatea de întrunire, de asociere și de exprimare, permițând includerea societății civile în procesul de elaborare a politicilor; condamnă reintroducerea de către Republica Srpska a unei legi privind „agenții străini”;</w:t>
            </w:r>
          </w:p>
        </w:tc>
        <w:tc>
          <w:tcPr>
            <w:tcW w:w="4876" w:type="dxa"/>
            <w:tcBorders>
              <w:top w:val="nil"/>
              <w:left w:val="nil"/>
              <w:bottom w:val="nil"/>
              <w:right w:val="nil"/>
            </w:tcBorders>
          </w:tcPr>
          <w:p>
            <w:pPr>
              <w:pStyle w:val="Normal6a"/>
            </w:pPr>
            <w:r>
              <w:t>21.</w:t>
            </w:r>
            <w:r>
              <w:tab/>
            </w:r>
            <w:r>
              <w:t xml:space="preserve">invită Bosnia și Herțegovina să garanteze dreptul la libertatea de întrunire, de asociere și de exprimare, permițând includerea societății civile în procesul de elaborare a politicilor; condamnă reintroducerea de către Republica Srpska a unei legi </w:t>
            </w:r>
            <w:r>
              <w:rPr>
                <w:b/>
                <w:i/>
              </w:rPr>
              <w:t>în stilul rusesc</w:t>
            </w:r>
            <w:r>
              <w:t xml:space="preserve"> privind „agenții străini”; </w:t>
            </w:r>
            <w:r>
              <w:rPr>
                <w:b/>
                <w:i/>
              </w:rPr>
              <w:t>condamnă folosirea de către autoritățile RS a legilor incriminate privind defăimarea ca instrument de limitare a libertății de exprimare;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invită Bosnia și Herțegovina să garanteze dreptul la libertatea de întrunire, de asociere și de exprimare</w:t>
            </w:r>
            <w:r>
              <w:rPr>
                <w:b/>
                <w:i/>
              </w:rPr>
              <w:t>, permițând includerea societății civile în procesul de elaborare a politicilor;</w:t>
            </w:r>
            <w:r>
              <w:t xml:space="preserve"> </w:t>
            </w:r>
            <w:r>
              <w:rPr>
                <w:b/>
                <w:i/>
              </w:rPr>
              <w:t>condamnă reintroducerea de către Republica Srpska a unei legi privind „agenții străini”</w:t>
            </w:r>
            <w:r>
              <w:t>;</w:t>
            </w:r>
          </w:p>
        </w:tc>
        <w:tc>
          <w:tcPr>
            <w:tcW w:w="4876" w:type="dxa"/>
            <w:tcBorders>
              <w:top w:val="nil"/>
              <w:left w:val="nil"/>
              <w:bottom w:val="nil"/>
              <w:right w:val="nil"/>
            </w:tcBorders>
          </w:tcPr>
          <w:p>
            <w:pPr>
              <w:pStyle w:val="Normal6a"/>
            </w:pPr>
            <w:r>
              <w:t>21.</w:t>
            </w:r>
            <w:r>
              <w:tab/>
            </w:r>
            <w:r>
              <w:t>invită Bosnia și Herțegovina să garanteze dreptul la libertatea de întrunire, de asociere și de exprimare;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invită Bosnia și Herțegovina să garanteze dreptul la libertatea de întrunire, de asociere și de exprimare, permițând includerea societății civile în procesul de elaborare a politicilor; </w:t>
            </w:r>
            <w:r>
              <w:rPr>
                <w:b/>
                <w:i/>
              </w:rPr>
              <w:t>condamnă reintroducerea de către Republica Srpska a unei legi privind „agenții străini”</w:t>
            </w:r>
            <w:r>
              <w:t>;</w:t>
            </w:r>
          </w:p>
        </w:tc>
        <w:tc>
          <w:tcPr>
            <w:tcW w:w="4876" w:type="dxa"/>
            <w:tcBorders>
              <w:top w:val="nil"/>
              <w:left w:val="nil"/>
              <w:bottom w:val="nil"/>
              <w:right w:val="nil"/>
            </w:tcBorders>
          </w:tcPr>
          <w:p>
            <w:pPr>
              <w:pStyle w:val="Normal6a"/>
            </w:pPr>
            <w:r>
              <w:t>21.</w:t>
            </w:r>
            <w:r>
              <w:tab/>
            </w:r>
            <w:r>
              <w:t xml:space="preserve">invită Bosnia și Herțegovina să garanteze dreptul la libertatea de întrunire, de asociere și de exprimare, permițând includerea societății civile în procesul de elaborare a politicilor; </w:t>
            </w:r>
            <w:r>
              <w:rPr>
                <w:b/>
                <w:i/>
              </w:rPr>
              <w:t>invită autoritățile să asigure un proces de consultare publică semnificativ, sistematic și incluziv;</w:t>
            </w:r>
            <w:r>
              <w:t xml:space="preserve"> </w:t>
            </w:r>
            <w:r>
              <w:rPr>
                <w:b/>
                <w:i/>
              </w:rPr>
              <w:t>subliniază rolul esențial al asociațiilor de femei în stabilirea de contacte cu persoanele cele mai vulnerabile, inclusiv cu victimele și supraviețuitorii violenței domestice și ale violenței bazate pe 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invită Bosnia și Herțegovina să garanteze dreptul la libertatea de întrunire, de asociere și de exprimare, permițând includerea societății civile în procesul de elaborare a politicilor; condamnă reintroducerea de către Republica Srpska a unei legi privind „agenții străini”;</w:t>
            </w:r>
          </w:p>
        </w:tc>
        <w:tc>
          <w:tcPr>
            <w:tcW w:w="4876" w:type="dxa"/>
            <w:tcBorders>
              <w:top w:val="nil"/>
              <w:left w:val="nil"/>
              <w:bottom w:val="nil"/>
              <w:right w:val="nil"/>
            </w:tcBorders>
          </w:tcPr>
          <w:p>
            <w:pPr>
              <w:pStyle w:val="Normal6a"/>
            </w:pPr>
            <w:r>
              <w:t>21.</w:t>
            </w:r>
            <w:r>
              <w:tab/>
            </w:r>
            <w:r>
              <w:t xml:space="preserve">invită Bosnia și Herțegovina să garanteze dreptul la libertatea de întrunire, de asociere și de exprimare, permițând includerea societății civile în procesul de elaborare a politicilor; condamnă reintroducerea de către Republica Srpska a unei legi privind „agenții străini” </w:t>
            </w:r>
            <w:r>
              <w:rPr>
                <w:b/>
                <w:i/>
              </w:rPr>
              <w:t>și le îndeamnă să abroge această lege, să dezincrimineze defăimarea și să o readucă exclusiv în domeniul dreptului civil pentru a preveni utilizarea abuzivă a acesteia în restricționarea libertății de exprimare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condamnă adoptarea proiectului de cod penal de către entitatea RS, care a eliminat identitatea de gen ca caracteristică protejată, precum și modificările adoptate la Protocolul privind protecția copiilor împotriva violenței, hărțuirii și neglijenței, care nu mai garantează protecția copiilor cu orientări sexuale și identități de gen diverse (SOGI);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condamnă reintroducerea de către entitatea RS a unei legi privind „agenții străini”, care a avut deja un efect de descurajare asupra societății civile;</w:t>
            </w:r>
            <w:r>
              <w:t xml:space="preserve"> </w:t>
            </w:r>
            <w:r>
              <w:rPr>
                <w:b/>
                <w:i/>
              </w:rPr>
              <w:t>cere să se dezincrimineze defăimarea în întreaga țară;</w:t>
            </w:r>
            <w:r>
              <w:t xml:space="preserve"> </w:t>
            </w:r>
            <w:r>
              <w:rPr>
                <w:b/>
                <w:i/>
              </w:rPr>
              <w:t>invită Comisia să condiționeze în mod strict revocarea acestor legi;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invită autoritățile RS să ancheteze și să urmărească penal persoanele responsabile de atacul organizat asupra activiștilor LGBTI de la Bania Luka din 2023;</w:t>
            </w:r>
            <w:r>
              <w:t xml:space="preserve"> </w:t>
            </w:r>
            <w:r>
              <w:rPr>
                <w:b/>
                <w:i/>
              </w:rPr>
              <w:t>condamnă cu fermitate discursurile de incitare la ură împotriva comunității LGBTIQ ale politicienilor de nivel înalt și ale personalităților publice, care conduc la violență împotriva acestora și la marginalizarea lor și mai mare;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21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invită Bosnia și Herțegovina să pună în aplicare planul de acțiune privind drepturile persoanelor LGBTIQ, să adopte acte legislative privind parteneriatele între persoane de același sex și să introducă legi sau reglementări care să asigure recunoașterea juridică a genului;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António Tânger Corrêa,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subliniază rolul esențial al presei independente; </w:t>
            </w:r>
            <w:r>
              <w:rPr>
                <w:b/>
                <w:i/>
              </w:rPr>
              <w:t>solicită Bosniei și Herțegovinei să asigure sustenabilitatea financiară și independența politică a organismelor publice de radiodifuziune și a Agenției de reglementare în domeniul comunicațiilor;</w:t>
            </w:r>
            <w:r>
              <w:t xml:space="preserve"> </w:t>
            </w:r>
            <w:r>
              <w:rPr>
                <w:b/>
                <w:i/>
              </w:rPr>
              <w:t>se declară profund îngrijorat de propaganda rusă prin vocea organismului public de radiodifuziune al Republicii Srpska și deplânge difuzarea canalului RT (fostul Russia Today), încălcând sancțiunile UE;</w:t>
            </w:r>
          </w:p>
        </w:tc>
        <w:tc>
          <w:tcPr>
            <w:tcW w:w="4876" w:type="dxa"/>
            <w:tcBorders>
              <w:top w:val="nil"/>
              <w:left w:val="nil"/>
              <w:bottom w:val="nil"/>
              <w:right w:val="nil"/>
            </w:tcBorders>
          </w:tcPr>
          <w:p>
            <w:pPr>
              <w:pStyle w:val="Normal6a"/>
            </w:pPr>
            <w:r>
              <w:t>22.</w:t>
            </w:r>
            <w:r>
              <w:tab/>
            </w:r>
            <w:r>
              <w:t>subliniază rolul esențial al presei independente;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subliniază rolul esențial al presei independente; solicită Bosniei și Herțegovinei să asigure sustenabilitatea financiară și independența politică a organismelor publice de radiodifuziune și a Agenției de reglementare în domeniul comunicațiilor; </w:t>
            </w:r>
            <w:r>
              <w:rPr>
                <w:b/>
                <w:i/>
              </w:rPr>
              <w:t>se declară profund îngrijorat de propaganda rusă prin vocea organismului public de radiodifuziune al Republicii Srpska și deplânge difuzarea canalului RT (fostul Russia Today), încălcând sancțiunile UE;</w:t>
            </w:r>
          </w:p>
        </w:tc>
        <w:tc>
          <w:tcPr>
            <w:tcW w:w="4876" w:type="dxa"/>
            <w:tcBorders>
              <w:top w:val="nil"/>
              <w:left w:val="nil"/>
              <w:bottom w:val="nil"/>
              <w:right w:val="nil"/>
            </w:tcBorders>
          </w:tcPr>
          <w:p>
            <w:pPr>
              <w:pStyle w:val="Normal6a"/>
            </w:pPr>
            <w:r>
              <w:t>22.</w:t>
            </w:r>
            <w:r>
              <w:tab/>
            </w:r>
            <w:r>
              <w:t>subliniază rolul esențial al presei independente; solicită Bosniei și Herțegovinei să asigure sustenabilitatea financiară și independența politică a organismelor publice de radiodifuziune și a Agenției de reglementare în domeniul comunicațiilor;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subliniază rolul esențial al presei independente; solicită Bosniei și Herțegovinei să asigure sustenabilitatea financiară </w:t>
            </w:r>
            <w:r>
              <w:rPr>
                <w:b/>
                <w:i/>
              </w:rPr>
              <w:t>și independența politică a organismelor</w:t>
            </w:r>
            <w:r>
              <w:t xml:space="preserve"> publice de radiodifuziune și a Agenției de reglementare </w:t>
            </w:r>
            <w:r>
              <w:rPr>
                <w:b/>
                <w:i/>
              </w:rPr>
              <w:t>în domeniul comunicațiilor</w:t>
            </w:r>
            <w:r>
              <w:t>; se declară profund îngrijorat de propaganda rusă prin vocea organismului public de radiodifuziune al Republicii Srpska și deplânge difuzarea canalului RT (fostul Russia Today), încălcând sancțiunile UE;</w:t>
            </w:r>
          </w:p>
        </w:tc>
        <w:tc>
          <w:tcPr>
            <w:tcW w:w="4876" w:type="dxa"/>
            <w:tcBorders>
              <w:top w:val="nil"/>
              <w:left w:val="nil"/>
              <w:bottom w:val="nil"/>
              <w:right w:val="nil"/>
            </w:tcBorders>
          </w:tcPr>
          <w:p>
            <w:pPr>
              <w:pStyle w:val="Normal6a"/>
            </w:pPr>
            <w:r>
              <w:t>22.</w:t>
            </w:r>
            <w:r>
              <w:tab/>
            </w:r>
            <w:r>
              <w:t>subliniază rolul esențial al presei independente; solicită Bosniei și Herțegovinei să asigure sustenabilitatea financiară</w:t>
            </w:r>
            <w:r>
              <w:rPr>
                <w:b/>
                <w:i/>
              </w:rPr>
              <w:t>, subliniind criza financiară urgentă a organismului public de radiodifuziune de la nivel de stat BHRT;</w:t>
            </w:r>
            <w:r>
              <w:t xml:space="preserve"> </w:t>
            </w:r>
            <w:r>
              <w:rPr>
                <w:b/>
                <w:i/>
              </w:rPr>
              <w:t>îndeamnă Bosnia și Herțegovina să abordeze inegalitățile sistemice dintre organismele</w:t>
            </w:r>
            <w:r>
              <w:t xml:space="preserve"> publice de radiodifuziune și </w:t>
            </w:r>
            <w:r>
              <w:rPr>
                <w:b/>
                <w:i/>
              </w:rPr>
              <w:t>să protejeze independența acestora și</w:t>
            </w:r>
            <w:r>
              <w:t xml:space="preserve"> a Agenției de reglementare </w:t>
            </w:r>
            <w:r>
              <w:rPr>
                <w:b/>
                <w:i/>
              </w:rPr>
              <w:t>a comunicațiilor din Bosnia și Herțegovina</w:t>
            </w:r>
            <w:r>
              <w:t xml:space="preserve">; se declară profund îngrijorat de propaganda rusă prin vocea organismului public de radiodifuziune al Republicii Srpska și deplânge difuzarea canalului RT (fostul Russia Today), încălcând sancțiunile UE; </w:t>
            </w:r>
            <w:r>
              <w:rPr>
                <w:b/>
                <w:i/>
              </w:rPr>
              <w:t>regretă lipsa progreselor în ceea ce privește modificarea legislației penale pentru a consolida protecția jurnaliștilor împotriva amenințărilor și atacurilor, în conformitate cu cerințele UE;</w:t>
            </w:r>
            <w:r>
              <w:t xml:space="preserve"> </w:t>
            </w:r>
            <w:r>
              <w:rPr>
                <w:b/>
                <w:i/>
              </w:rPr>
              <w:t>invită Bosnia și Herțegovina să adopte acte legislative privind transparența proprietății asupra mass-mediei și finanțarea publică a mass-mediei;</w:t>
            </w:r>
            <w:r>
              <w:t xml:space="preserve"> </w:t>
            </w:r>
            <w:r>
              <w:rPr>
                <w:b/>
                <w:i/>
              </w:rPr>
              <w:t>îndeamnă statul să accelereze adoptarea Legii privind comunicațiile electronice, în conformitate cu Actul legislativ privind serviciile digitale (DSA) și cu noua lege a UE privind libertatea mass-mediei;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subliniază rolul esențial al presei independente; solicită Bosniei și Herțegovinei să asigure sustenabilitatea financiară și independența politică a organismelor publice de radiodifuziune și a Agenției de reglementare în domeniul comunicațiilor; se declară profund îngrijorat de propaganda rusă prin vocea organismului public de radiodifuziune al Republicii Srpska și deplânge difuzarea canalului RT (fostul Russia Today), încălcând sancțiunile UE;</w:t>
            </w:r>
          </w:p>
        </w:tc>
        <w:tc>
          <w:tcPr>
            <w:tcW w:w="4876" w:type="dxa"/>
            <w:tcBorders>
              <w:top w:val="nil"/>
              <w:left w:val="nil"/>
              <w:bottom w:val="nil"/>
              <w:right w:val="nil"/>
            </w:tcBorders>
          </w:tcPr>
          <w:p>
            <w:pPr>
              <w:pStyle w:val="Normal6a"/>
            </w:pPr>
            <w:r>
              <w:t>22.</w:t>
            </w:r>
            <w:r>
              <w:tab/>
            </w:r>
            <w:r>
              <w:t xml:space="preserve">subliniază rolul esențial al presei independente; solicită Bosniei și Herțegovinei să asigure sustenabilitatea financiară și independența politică a organismelor publice de radiodifuziune și a Agenției de reglementare în domeniul comunicațiilor; se declară profund îngrijorat de propaganda rusă prin vocea organismului public de radiodifuziune al Republicii Srpska și deplânge difuzarea canalului RT (fostul Russia Today), încălcând sancțiunile UE; </w:t>
            </w:r>
            <w:r>
              <w:rPr>
                <w:b/>
                <w:i/>
              </w:rPr>
              <w:t>regretă lipsa progreselor în ceea ce privește modificarea legislației penale pentru a consolida protecția jurnaliștilor împotriva amenințărilor și atacurilor, în conformitate cu cerințele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Davor Ivo Stier, Sunčana Glavak, Karlo Ressler, Željana Zovko, Nikolina Brnjac,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subliniază rolul esențial al presei independente; solicită Bosniei și Herțegovinei să asigure sustenabilitatea financiară și independența politică a organismelor publice de radiodifuziune și a Agenției de reglementare în domeniul comunicațiilor; se declară profund îngrijorat de propaganda rusă prin vocea organismului public de radiodifuziune al Republicii Srpska și deplânge difuzarea canalului RT (fostul Russia Today), încălcând sancțiunile UE;</w:t>
            </w:r>
          </w:p>
        </w:tc>
        <w:tc>
          <w:tcPr>
            <w:tcW w:w="4876" w:type="dxa"/>
            <w:tcBorders>
              <w:top w:val="nil"/>
              <w:left w:val="nil"/>
              <w:bottom w:val="nil"/>
              <w:right w:val="nil"/>
            </w:tcBorders>
          </w:tcPr>
          <w:p>
            <w:pPr>
              <w:pStyle w:val="Normal6a"/>
            </w:pPr>
            <w:r>
              <w:t>22.</w:t>
            </w:r>
            <w:r>
              <w:tab/>
            </w:r>
            <w:r>
              <w:t xml:space="preserve">subliniază rolul esențial al presei independente; solicită Bosniei și Herțegovinei să asigure sustenabilitatea financiară și independența politică a organismelor publice de radiodifuziune și a Agenției de reglementare în domeniul comunicațiilor; se declară profund îngrijorat de propaganda rusă prin vocea organismului public de radiodifuziune al Republicii Srpska și deplânge difuzarea canalului RT (fostul Russia Today), încălcând sancțiunile UE; </w:t>
            </w:r>
            <w:r>
              <w:rPr>
                <w:b/>
                <w:i/>
              </w:rPr>
              <w:t>solicită să se asigure pluralismul mass-mediei publice pe întreg teritoriul Bosniei și Herțegovinei, inclusiv reprezentarea echilibrată a tuturor popoarelor și minorităților;</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Davor Ivo Stier, Karlo Ressler, Željana Zovko,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subliniază rolul esențial al presei independente; solicită Bosniei și Herțegovinei să asigure sustenabilitatea financiară și independența politică a organismelor publice de radiodifuziune și a Agenției de reglementare în domeniul comunicațiilor; se declară profund îngrijorat de propaganda rusă prin vocea organismului public de radiodifuziune al Republicii Srpska și deplânge difuzarea canalului RT (fostul Russia Today), încălcând sancțiunile UE;</w:t>
            </w:r>
          </w:p>
        </w:tc>
        <w:tc>
          <w:tcPr>
            <w:tcW w:w="4876" w:type="dxa"/>
            <w:tcBorders>
              <w:top w:val="nil"/>
              <w:left w:val="nil"/>
              <w:bottom w:val="nil"/>
              <w:right w:val="nil"/>
            </w:tcBorders>
          </w:tcPr>
          <w:p>
            <w:pPr>
              <w:pStyle w:val="Normal6a"/>
            </w:pPr>
            <w:r>
              <w:t>22.</w:t>
            </w:r>
            <w:r>
              <w:tab/>
            </w:r>
            <w:r>
              <w:t xml:space="preserve">subliniază rolul esențial al presei independente; solicită Bosniei și Herțegovinei să asigure sustenabilitatea financiară și independența politică a organismelor publice de radiodifuziune și a Agenției de reglementare în domeniul comunicațiilor; se declară profund îngrijorat de propaganda rusă prin vocea organismului public de radiodifuziune al Republicii Srpska și deplânge difuzarea canalului RT (fostul Russia Today), încălcând sancțiunile UE; </w:t>
            </w:r>
            <w:r>
              <w:rPr>
                <w:b/>
                <w:i/>
              </w:rPr>
              <w:t>salută numirea Consiliului Public de Radiodifuziune în FBiH după 12 ani de blocaj;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subliniază rolul esențial al presei independente; solicită Bosniei și Herțegovinei să asigure sustenabilitatea financiară și independența politică a organismelor publice de radiodifuziune și a Agenției de reglementare în domeniul comunicațiilor; se declară profund îngrijorat de propaganda rusă prin vocea organismului public de radiodifuziune al Republicii Srpska și deplânge difuzarea canalului RT (fostul Russia Today), încălcând sancțiunile UE;</w:t>
            </w:r>
          </w:p>
        </w:tc>
        <w:tc>
          <w:tcPr>
            <w:tcW w:w="4876" w:type="dxa"/>
            <w:tcBorders>
              <w:top w:val="nil"/>
              <w:left w:val="nil"/>
              <w:bottom w:val="nil"/>
              <w:right w:val="nil"/>
            </w:tcBorders>
          </w:tcPr>
          <w:p>
            <w:pPr>
              <w:pStyle w:val="Normal6a"/>
            </w:pPr>
            <w:r>
              <w:t>22.</w:t>
            </w:r>
            <w:r>
              <w:tab/>
            </w:r>
            <w:r>
              <w:t>subliniază rolul esențial al presei independente</w:t>
            </w:r>
            <w:r>
              <w:rPr>
                <w:b/>
                <w:i/>
              </w:rPr>
              <w:t>, precum și importanța respectării standardelor privind libertatea de exprimare</w:t>
            </w:r>
            <w:r>
              <w:t>; solicită Bosniei și Herțegovinei să asigure sustenabilitatea financiară și independența politică a organismelor publice de radiodifuziune și a Agenției de reglementare în domeniul comunicațiilor; se declară profund îngrijorat de propaganda rusă prin vocea organismului public de radiodifuziune al Republicii Srpska și deplânge difuzarea canalului RT (fostul Russia Today), încălcând sancțiunile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subliniază rolul esențial al presei independente; solicită Bosniei și Herțegovinei să asigure sustenabilitatea financiară și independența politică a organismelor publice de radiodifuziune și a Agenției de reglementare în domeniul comunicațiilor; se declară profund îngrijorat de propaganda rusă prin vocea organismului public de radiodifuziune al Republicii Srpska și deplânge difuzarea canalului RT (fostul Russia Today), încălcând sancțiunile UE;</w:t>
            </w:r>
          </w:p>
        </w:tc>
        <w:tc>
          <w:tcPr>
            <w:tcW w:w="4876" w:type="dxa"/>
            <w:tcBorders>
              <w:top w:val="nil"/>
              <w:left w:val="nil"/>
              <w:bottom w:val="nil"/>
              <w:right w:val="nil"/>
            </w:tcBorders>
          </w:tcPr>
          <w:p>
            <w:pPr>
              <w:pStyle w:val="Normal6a"/>
            </w:pPr>
            <w:r>
              <w:t>22.</w:t>
            </w:r>
            <w:r>
              <w:tab/>
            </w:r>
            <w:r>
              <w:t xml:space="preserve">subliniază rolul esențial al presei independente; solicită Bosniei și Herțegovinei să asigure sustenabilitatea financiară și independența politică a organismelor publice de radiodifuziune și a Agenției de reglementare în domeniul comunicațiilor; se declară profund îngrijorat de propaganda rusă prin vocea organismului public de radiodifuziune al Republicii Srpska și deplânge difuzarea canalului </w:t>
            </w:r>
            <w:r>
              <w:rPr>
                <w:b/>
                <w:i/>
              </w:rPr>
              <w:t>de propagandă</w:t>
            </w:r>
            <w:r>
              <w:t xml:space="preserve"> RT (fostul Russia Today)</w:t>
            </w:r>
            <w:r>
              <w:rPr>
                <w:b/>
                <w:i/>
              </w:rPr>
              <w:t>, care este operat de Rusia</w:t>
            </w:r>
            <w:r>
              <w:t>, încălcând sancțiunile UE;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invită Consiliul public de radiodifuziune numit recent în Federația BiH să asigure informații imparțiale și obiective în cele trei limbi oficiale;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Nikolina Brnjac, Davor Ivo Stier,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reiterează necesitatea ca instituțiile media publice să reprezinte în mod egal toate popoarele constitutive și face apel la garantarea pluralismului media în grilele de programe ale mijloacelor de informare în masă, precum și la furnizarea de conținut în limbile popoarelor constitutive;</w:t>
            </w:r>
            <w:r>
              <w:t xml:space="preserve"> </w:t>
            </w:r>
            <w:r>
              <w:rPr>
                <w:b/>
                <w:i/>
              </w:rPr>
              <w:t>subliniază nevoia de a asigura existența unor instituții publice de radiodifuziune în limbile oficiale ale tuturor popoarelor constitutive, ceea ce ar proteja identitatea culturală și limba maternă a fiecărei comunități;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condamnă presiunea politică, atacurile, intimidările, amenințările, remarcile defăimătoare și acțiunile strategice în justiție împotriva mobilizării publice (SLAPP) îndreptate împotriva jurnaliștilor și a lucrătorilor din presă, în special de către politicieni de nivel înalt;</w:t>
            </w:r>
          </w:p>
        </w:tc>
        <w:tc>
          <w:tcPr>
            <w:tcW w:w="4876" w:type="dxa"/>
            <w:tcBorders>
              <w:top w:val="nil"/>
              <w:left w:val="nil"/>
              <w:bottom w:val="nil"/>
              <w:right w:val="nil"/>
            </w:tcBorders>
          </w:tcPr>
          <w:p>
            <w:pPr>
              <w:pStyle w:val="Normal6a"/>
            </w:pPr>
            <w:r>
              <w:t>23.</w:t>
            </w:r>
            <w:r>
              <w:tab/>
            </w:r>
            <w:r>
              <w:t xml:space="preserve">condamnă presiunea politică, atacurile, intimidările, amenințările, remarcile defăimătoare și acțiunile strategice în justiție împotriva mobilizării publice (SLAPP) îndreptate împotriva jurnaliștilor și a lucrătorilor din presă, în special de către politicieni de nivel înalt; </w:t>
            </w:r>
            <w:r>
              <w:rPr>
                <w:b/>
                <w:i/>
              </w:rPr>
              <w:t>reamintește că este probabil ca inițiativele legislative care sancționează „știrile false” online, cum ar fi cele din Cantonul Sarajevo, să fie instrumentalizate în mod abuziv pentru a restricționa libertatea mass-mediei;</w:t>
            </w:r>
            <w:r>
              <w:t xml:space="preserve"> </w:t>
            </w:r>
            <w:r>
              <w:rPr>
                <w:b/>
                <w:i/>
              </w:rPr>
              <w:t>cere să se dezincrimineze defăimarea în întreaga țară, deoarece aceasta este o practică disproporționată care poate duce la reducerea la tăcere a criticilor și la intimidarea jurnaliștilor;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condamnă presiunea politică, atacurile, intimidările, amenințările, remarcile defăimătoare și acțiunile strategice în justiție împotriva mobilizării publice (SLAPP) îndreptate împotriva jurnaliștilor și a lucrătorilor din presă, în special de către politicieni de nivel înalt;</w:t>
            </w:r>
          </w:p>
        </w:tc>
        <w:tc>
          <w:tcPr>
            <w:tcW w:w="4876" w:type="dxa"/>
            <w:tcBorders>
              <w:top w:val="nil"/>
              <w:left w:val="nil"/>
              <w:bottom w:val="nil"/>
              <w:right w:val="nil"/>
            </w:tcBorders>
          </w:tcPr>
          <w:p>
            <w:pPr>
              <w:pStyle w:val="Normal6a"/>
            </w:pPr>
            <w:r>
              <w:t>23.</w:t>
            </w:r>
            <w:r>
              <w:tab/>
            </w:r>
            <w:r>
              <w:t xml:space="preserve">condamnă presiunea politică, atacurile, intimidările, amenințările, remarcile defăimătoare și acțiunile strategice în justiție împotriva mobilizării publice (SLAPP) îndreptate împotriva jurnaliștilor și a lucrătorilor din presă, în special de către politicieni de nivel înalt; </w:t>
            </w:r>
            <w:r>
              <w:rPr>
                <w:b/>
                <w:i/>
              </w:rPr>
              <w:t>solicită garantarea libertății de exprimare și a independenței mass-mediei, alături de protecția jurnaliștilor și a lucrătorilor din mass-media;</w:t>
            </w:r>
            <w:r>
              <w:t xml:space="preserve"> </w:t>
            </w:r>
            <w:r>
              <w:rPr>
                <w:b/>
                <w:i/>
              </w:rPr>
              <w:t>subliniază că este important să se asigure măsuri judiciare adecvate în cazurile de amenințări și violență împotriva jurnaliștilor, pentru a le proteja drepturile și a asigura tragerea la răspundere a acestora;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condamnă presiunea politică, atacurile, intimidările, amenințările, remarcile defăimătoare și acțiunile strategice în justiție împotriva mobilizării publice (SLAPP) îndreptate împotriva jurnaliștilor și a lucrătorilor din presă, în special de către politicieni de nivel înalt;</w:t>
            </w:r>
          </w:p>
        </w:tc>
        <w:tc>
          <w:tcPr>
            <w:tcW w:w="4876" w:type="dxa"/>
            <w:tcBorders>
              <w:top w:val="nil"/>
              <w:left w:val="nil"/>
              <w:bottom w:val="nil"/>
              <w:right w:val="nil"/>
            </w:tcBorders>
          </w:tcPr>
          <w:p>
            <w:pPr>
              <w:pStyle w:val="Normal6a"/>
            </w:pPr>
            <w:r>
              <w:t>23.</w:t>
            </w:r>
            <w:r>
              <w:tab/>
            </w:r>
            <w:r>
              <w:t xml:space="preserve">condamnă presiunea politică, atacurile, intimidările, amenințările, remarcile defăimătoare și acțiunile strategice în justiție împotriva mobilizării publice (SLAPP) îndreptate împotriva jurnaliștilor și a lucrătorilor din presă, în special de către politicieni de nivel înalt; </w:t>
            </w:r>
            <w:r>
              <w:rPr>
                <w:b/>
                <w:i/>
              </w:rPr>
              <w:t>este preocupat de implicarea firmelor europene în aceste proiecte, în special a societății miniere belgiene BUK, și îndeamnă statele membre să ia măsuri;</w:t>
            </w:r>
            <w:r>
              <w:t xml:space="preserve"> </w:t>
            </w:r>
            <w:r>
              <w:rPr>
                <w:b/>
                <w:i/>
              </w:rPr>
              <w:t>invită autoritățile să adopte un cadru juridic care să protejeze în mod eficient jurnaliștii, apărătorii drepturilor omului, activiștii de mediu și alte părți interesate împotriva SLAPP;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condamnă presiunea politică, atacurile, intimidările, amenințările, remarcile defăimătoare și acțiunile strategice în justiție împotriva mobilizării publice (SLAPP) îndreptate împotriva jurnaliștilor și a lucrătorilor din presă, în special de către politicieni de nivel înalt;</w:t>
            </w:r>
          </w:p>
        </w:tc>
        <w:tc>
          <w:tcPr>
            <w:tcW w:w="4876" w:type="dxa"/>
            <w:tcBorders>
              <w:top w:val="nil"/>
              <w:left w:val="nil"/>
              <w:bottom w:val="nil"/>
              <w:right w:val="nil"/>
            </w:tcBorders>
          </w:tcPr>
          <w:p>
            <w:pPr>
              <w:pStyle w:val="Normal6a"/>
            </w:pPr>
            <w:r>
              <w:t>23.</w:t>
            </w:r>
            <w:r>
              <w:tab/>
            </w:r>
            <w:r>
              <w:t xml:space="preserve">condamnă presiunea politică, atacurile, intimidările, amenințările, remarcile defăimătoare și acțiunile strategice în justiție împotriva mobilizării publice (SLAPP) îndreptate împotriva jurnaliștilor și a lucrătorilor din presă, în special de către politicieni de nivel înalt; </w:t>
            </w:r>
            <w:r>
              <w:rPr>
                <w:b/>
                <w:i/>
              </w:rPr>
              <w:t>condamnă atacurile liderilor Partidului de Acțiune Democratică (SDA) împotriva lui Zoran Krešić, jurnalistul pentru lista Večernji și corespondentul agenției de știri Hina;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condamnă presiunea politică, atacurile, intimidările, amenințările, remarcile defăimătoare și acțiunile strategice în justiție împotriva mobilizării publice (SLAPP) îndreptate împotriva jurnaliștilor și a lucrătorilor din presă, în special de către politicieni de nivel înalt;</w:t>
            </w:r>
          </w:p>
        </w:tc>
        <w:tc>
          <w:tcPr>
            <w:tcW w:w="4876" w:type="dxa"/>
            <w:tcBorders>
              <w:top w:val="nil"/>
              <w:left w:val="nil"/>
              <w:bottom w:val="nil"/>
              <w:right w:val="nil"/>
            </w:tcBorders>
          </w:tcPr>
          <w:p>
            <w:pPr>
              <w:pStyle w:val="Normal6a"/>
            </w:pPr>
            <w:r>
              <w:t>23.</w:t>
            </w:r>
            <w:r>
              <w:tab/>
            </w:r>
            <w:r>
              <w:t xml:space="preserve">condamnă presiunea politică, atacurile, intimidările, amenințările, remarcile defăimătoare și acțiunile strategice în justiție împotriva mobilizării publice (SLAPP) îndreptate împotriva jurnaliștilor și a lucrătorilor din presă, în special de către politicieni de nivel înalt </w:t>
            </w:r>
            <w:r>
              <w:rPr>
                <w:b/>
                <w:i/>
              </w:rPr>
              <w:t>și actori politici străini care răspândesc dezinformări;</w:t>
            </w:r>
            <w:r>
              <w:t xml:space="preserve"> </w:t>
            </w:r>
            <w:r>
              <w:rPr>
                <w:b/>
                <w:i/>
              </w:rPr>
              <w:t>cere să se creeze o platformă națională pentru protecția jurnaliștilor, cu sprijinul UE și al OSCE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condamnă presiunea politică, atacurile, intimidările, amenințările, remarcile defăimătoare și acțiunile strategice în justiție împotriva mobilizării publice (SLAPP) îndreptate împotriva jurnaliștilor și a lucrătorilor din presă, în special de către politicieni de nivel înalt;</w:t>
            </w:r>
          </w:p>
        </w:tc>
        <w:tc>
          <w:tcPr>
            <w:tcW w:w="4876" w:type="dxa"/>
            <w:tcBorders>
              <w:top w:val="nil"/>
              <w:left w:val="nil"/>
              <w:bottom w:val="nil"/>
              <w:right w:val="nil"/>
            </w:tcBorders>
          </w:tcPr>
          <w:p>
            <w:pPr>
              <w:pStyle w:val="Normal6a"/>
            </w:pPr>
            <w:r>
              <w:t>23.</w:t>
            </w:r>
            <w:r>
              <w:tab/>
            </w:r>
            <w:r>
              <w:t xml:space="preserve">condamnă presiunea politică, atacurile, intimidările, amenințările, remarcile defăimătoare și acțiunile strategice în justiție împotriva mobilizării publice (SLAPP) îndreptate împotriva jurnaliștilor și a lucrătorilor din presă, în special de către politicieni de nivel înalt; </w:t>
            </w:r>
            <w:r>
              <w:rPr>
                <w:b/>
                <w:i/>
              </w:rPr>
              <w:t>regretă lipsa persistentă de progrese în garantarea libertății de exprimare și a mass-mediei și protecția jurnaliștilor;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Davor Ivo Stier, Karlo Ressler,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condamnă presiunea politică, atacurile, intimidările, amenințările, remarcile defăimătoare și acțiunile strategice în justiție împotriva mobilizării publice (SLAPP) îndreptate împotriva jurnaliștilor și a lucrătorilor din presă, în special de către politicieni de nivel înalt;</w:t>
            </w:r>
          </w:p>
        </w:tc>
        <w:tc>
          <w:tcPr>
            <w:tcW w:w="4876" w:type="dxa"/>
            <w:tcBorders>
              <w:top w:val="nil"/>
              <w:left w:val="nil"/>
              <w:bottom w:val="nil"/>
              <w:right w:val="nil"/>
            </w:tcBorders>
          </w:tcPr>
          <w:p>
            <w:pPr>
              <w:pStyle w:val="Normal6a"/>
            </w:pPr>
            <w:r>
              <w:t>23.</w:t>
            </w:r>
            <w:r>
              <w:tab/>
            </w:r>
            <w:r>
              <w:t xml:space="preserve">condamnă presiunea politică, atacurile, intimidările, amenințările, remarcile defăimătoare și acțiunile strategice în justiție împotriva mobilizării publice (SLAPP) îndreptate împotriva jurnaliștilor și a lucrătorilor din presă, în special de către politicieni de nivel înalt </w:t>
            </w:r>
            <w:r>
              <w:rPr>
                <w:b/>
                <w:i/>
              </w:rPr>
              <w:t>sau de organizațiile acestora care acționează ca reprezentanți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reiterează că instituțiile media publice trebuie să reprezinte în mod egal toate popoarele constitutive și face apel la garantarea pluralismului media în grilele de programe ale mijloacelor de informare în masă, precum și la furnizarea de conținut în limbile popoarelor constitutive;</w:t>
            </w:r>
            <w:r>
              <w:t xml:space="preserve"> </w:t>
            </w:r>
            <w:r>
              <w:rPr>
                <w:b/>
                <w:i/>
              </w:rPr>
              <w:t>subliniază nevoia de a asigura existența unor instituții publice de radiodifuziune în limbile oficiale ale tuturor popoarelor constitutive, ceea ce ar proteja identitatea culturală și limba maternă a fiecărei comunități;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invită Bosnia și Herțegovina să accelereze alinierea la pachetul UE privind serviciile digitale pentru a îmbunătăți integritatea informațiilor și a asigura protecția cetățenilor săi împotriva conținutului online ilegal și dăunător, inclusiv a dezinformării;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regretă că hotărârea cu forță juridică obligatorie a Curții Constituționale în cauza Ljubić nu a fost pusă în executare, ceea ce a condus la negarea dreptului croaților de a-și alege propriii reprezentanți politici legitimi, în special de a-i alege pe membrii croați ai Președinției Bosniei și Herțegovinei;</w:t>
            </w:r>
            <w:r>
              <w:t xml:space="preserve"> </w:t>
            </w:r>
            <w:r>
              <w:rPr>
                <w:b/>
                <w:i/>
              </w:rPr>
              <w:t>îndeamnă toate părțile interesate să ajungă la un acord cu privire la reforma legii electorale, pentru a garanta că toate popoarele constitutive și toți cetățenii vor avea dreptul de a-și alege propriii reprezentanți politici legitimi;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salută apelurile la integrarea rapidă a tuturor Balcanilor de Vest în piața unică digitală a UE înainte de aderarea efectivă la UE, ceea ce ar fi extrem de benefic pentru crearea unui mediu sigur din punct de vedere digital;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îndeamnă Bosnia și Herțegovina să asigure și să pună efectiv în aplicare legile privind drepturile generale ale omului; </w:t>
            </w:r>
            <w:r>
              <w:rPr>
                <w:b/>
                <w:i/>
              </w:rPr>
              <w:t>îndeamnă Bosnia și Herțegovina să urmărească penal infracțiunile de discriminare;</w:t>
            </w:r>
          </w:p>
        </w:tc>
        <w:tc>
          <w:tcPr>
            <w:tcW w:w="4876" w:type="dxa"/>
            <w:tcBorders>
              <w:top w:val="nil"/>
              <w:left w:val="nil"/>
              <w:bottom w:val="nil"/>
              <w:right w:val="nil"/>
            </w:tcBorders>
          </w:tcPr>
          <w:p>
            <w:pPr>
              <w:pStyle w:val="Normal6a"/>
            </w:pPr>
            <w:r>
              <w:t>24.</w:t>
            </w:r>
            <w:r>
              <w:tab/>
            </w:r>
            <w:r>
              <w:t>îndeamnă Bosnia și Herțegovina să asigure și să pună efectiv în aplicare legile privind drepturile generale ale omului;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îndeamnă Bosnia și Herțegovina să asigure și să pună efectiv în aplicare </w:t>
            </w:r>
            <w:r>
              <w:rPr>
                <w:b/>
                <w:i/>
              </w:rPr>
              <w:t>legile privind drepturile generale ale</w:t>
            </w:r>
            <w:r>
              <w:t xml:space="preserve"> omului</w:t>
            </w:r>
            <w:r>
              <w:rPr>
                <w:b/>
                <w:i/>
              </w:rPr>
              <w:t>;</w:t>
            </w:r>
            <w:r>
              <w:t xml:space="preserve"> </w:t>
            </w:r>
            <w:r>
              <w:rPr>
                <w:b/>
                <w:i/>
              </w:rPr>
              <w:t>îndeamnă Bosnia și Herțegovina să urmărească penal infracțiunile de discriminare</w:t>
            </w:r>
            <w:r>
              <w:t>;</w:t>
            </w:r>
          </w:p>
        </w:tc>
        <w:tc>
          <w:tcPr>
            <w:tcW w:w="4876" w:type="dxa"/>
            <w:tcBorders>
              <w:top w:val="nil"/>
              <w:left w:val="nil"/>
              <w:bottom w:val="nil"/>
              <w:right w:val="nil"/>
            </w:tcBorders>
          </w:tcPr>
          <w:p>
            <w:pPr>
              <w:pStyle w:val="Normal6a"/>
            </w:pPr>
            <w:r>
              <w:t>24.</w:t>
            </w:r>
            <w:r>
              <w:tab/>
            </w:r>
            <w:r>
              <w:t xml:space="preserve">îndeamnă Bosnia și Herțegovina să asigure și să pună efectiv în aplicare </w:t>
            </w:r>
            <w:r>
              <w:rPr>
                <w:b/>
                <w:i/>
              </w:rPr>
              <w:t>principiul nediscriminării și drepturile</w:t>
            </w:r>
            <w:r>
              <w:t xml:space="preserve"> omului </w:t>
            </w:r>
            <w:r>
              <w:rPr>
                <w:b/>
                <w:i/>
              </w:rPr>
              <w:t>pentru toți cetățenii săi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îndeamnă Bosnia și Herțegovina să asigure și să pună efectiv în aplicare legile privind drepturile generale ale omului; îndeamnă Bosnia și Herțegovina să urmărească penal infracțiunile de discriminare;</w:t>
            </w:r>
          </w:p>
        </w:tc>
        <w:tc>
          <w:tcPr>
            <w:tcW w:w="4876" w:type="dxa"/>
            <w:tcBorders>
              <w:top w:val="nil"/>
              <w:left w:val="nil"/>
              <w:bottom w:val="nil"/>
              <w:right w:val="nil"/>
            </w:tcBorders>
          </w:tcPr>
          <w:p>
            <w:pPr>
              <w:pStyle w:val="Normal6a"/>
            </w:pPr>
            <w:r>
              <w:t>24.</w:t>
            </w:r>
            <w:r>
              <w:tab/>
            </w:r>
            <w:r>
              <w:t xml:space="preserve">îndeamnă Bosnia și Herțegovina să asigure și să pună efectiv în aplicare legile privind drepturile generale ale omului; îndeamnă Bosnia și Herțegovina să urmărească penal infracțiunile de discriminare; </w:t>
            </w:r>
            <w:r>
              <w:rPr>
                <w:b/>
                <w:i/>
              </w:rPr>
              <w:t>regretă că planul de acțiune pentru egalitatea de gen 2023-2027 nu a beneficiat până în prezent de finanțare și monitorizare;</w:t>
            </w:r>
            <w:r>
              <w:t xml:space="preserve"> </w:t>
            </w:r>
            <w:r>
              <w:rPr>
                <w:b/>
                <w:i/>
              </w:rPr>
              <w:t>solicită o creștere a participării publice și politice a femeilor în Bosnia și Herțegovina;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Davor Ivo Stier, Karlo Ressler, Nikolina Brnjac,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îndeamnă Bosnia și Herțegovina să asigure și să pună efectiv în aplicare legile privind drepturile generale ale omului; îndeamnă Bosnia și Herțegovina să urmărească penal infracțiunile de discriminare;</w:t>
            </w:r>
          </w:p>
        </w:tc>
        <w:tc>
          <w:tcPr>
            <w:tcW w:w="4876" w:type="dxa"/>
            <w:tcBorders>
              <w:top w:val="nil"/>
              <w:left w:val="nil"/>
              <w:bottom w:val="nil"/>
              <w:right w:val="nil"/>
            </w:tcBorders>
          </w:tcPr>
          <w:p>
            <w:pPr>
              <w:pStyle w:val="Normal6a"/>
            </w:pPr>
            <w:r>
              <w:t>24.</w:t>
            </w:r>
            <w:r>
              <w:tab/>
            </w:r>
            <w:r>
              <w:t xml:space="preserve">îndeamnă Bosnia și Herțegovina să asigure și să pună efectiv în aplicare legile privind drepturile generale ale omului; îndeamnă Bosnia și Herțegovina să urmărească penal infracțiunile de discriminare; </w:t>
            </w:r>
            <w:r>
              <w:rPr>
                <w:b/>
                <w:i/>
              </w:rPr>
              <w:t>salută noua lege din BiH privind combaterea violenței împotriva femeilor și propunerea de includere a femicidului în Codul penal al FBiH;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invită autoritățile relevante din Bosnia și Herțegovina să elaboreze și să adopte planul național de acțiune în curs privind protecția drepturilor copilului, întrucât există un vid legislativ de la expirarea cadrului anterior pentru perioada 2015-2018;</w:t>
            </w:r>
            <w:r>
              <w:t xml:space="preserve"> </w:t>
            </w:r>
            <w:r>
              <w:rPr>
                <w:b/>
                <w:i/>
              </w:rPr>
              <w:t>subliniază că sărăcia și excluziunea socială afectează un procent ridicat de copii din țară, în special copiii din grupuri vulnerabile, inclusiv copiii romi, copiii cu dizabilități, copiii aflați în conflict cu legea și copiii aflați în mișcare;</w:t>
            </w:r>
            <w:r>
              <w:t xml:space="preserve"> </w:t>
            </w:r>
            <w:r>
              <w:rPr>
                <w:b/>
                <w:i/>
              </w:rPr>
              <w:t>reamintește că Bosnia și Herțegovina trebuie să își respecte angajamentele internaționale, astfel încât niciun copil să nu fie lăsat în urmă;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îndeamnă Bosnia și Herțegovina să asigure un cadru legislativ adecvat pentru a preveni violența împotriva femeilor, inclusiv recunoașterea feminicidului ca infracțiune penală specifică, și să aplice efectiv legile privind egalitatea de gen în toate ramurile guvernului;</w:t>
            </w:r>
            <w:r>
              <w:t xml:space="preserve"> </w:t>
            </w:r>
            <w:r>
              <w:rPr>
                <w:b/>
                <w:i/>
              </w:rPr>
              <w:t>invită Bosnia și Herțegovina să instituie un sistem oficial centralizat de colectare a datelor privind femicidul, pentru a înțelege mai bine amploarea acestei infracțiuni și pentru a sublinia nevoia urgentă de acțiuni preventive;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invită instituțiile din Bosnia și Herțegovina să își îmbunătățească răspunsurile și acțiunile de combatere a discriminării împotriva persoanelor LGBTI;</w:t>
            </w:r>
            <w:r>
              <w:t xml:space="preserve"> </w:t>
            </w:r>
            <w:r>
              <w:rPr>
                <w:b/>
                <w:i/>
              </w:rPr>
              <w:t>subliniază că este important să se consolideze protecția juridică, să se promoveze sensibilizarea publicului și să se asigure că autoritățile iau măsuri eficiente pentru a preveni și a combate discriminarea, hărțuirea și violența legate de LGBTI;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recunoaște barierele suplimentare și discriminarea cu care se confruntă femeile aparținând minorităților etnice, în special femeile rome, și femeile din zonele rurale, în special în ceea ce privește accesul la servicii și prevenirea violenței;</w:t>
            </w:r>
            <w:r>
              <w:t xml:space="preserve"> </w:t>
            </w:r>
            <w:r>
              <w:rPr>
                <w:b/>
                <w:i/>
              </w:rPr>
              <w:t>subliniază necesitatea armonizării și a punerii efective în aplicare a legislației privind egalitatea de gen în Bosnia și Herțegovina, asigurându-se că toate femeile, indiferent de etnie sau locul în care trăiesc, au acces egal la servicii și protecție împotriva violenței;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încurajează Consiliul de Miniștri al Bosniei și Herțegovinei să adopte Strategia pentru dezvoltarea unui mediu propice pentru societatea civilă, asigurându-se că aceasta se axează fără echivoc pe îmbunătățirea cadrului legislativ și pe asigurarea unei finanțări mai substanțiale și mai transparente pentru organizațiile societății civile;</w:t>
            </w:r>
            <w:r>
              <w:t xml:space="preserve"> </w:t>
            </w:r>
            <w:r>
              <w:rPr>
                <w:b/>
                <w:i/>
              </w:rPr>
              <w:t>cere o mai bună protecție a apărătorilor drepturilor omului din Bosnia și Herțegovina, inclusiv a femeilor activiste și a jurnaliștilor;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24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invită autoritățile Bosniei și Herțegovinei să accelereze urmărirea penală a crimelor de război în conformitate cu Strategia revizuită de stat pentru prevenirea crimelor de război;</w:t>
            </w:r>
            <w:r>
              <w:t xml:space="preserve"> </w:t>
            </w:r>
            <w:r>
              <w:rPr>
                <w:b/>
                <w:i/>
              </w:rPr>
              <w:t>încurajează autoritățile din Bosnia și Herțegovina să își alinieze legislația pentru a se asigura că toate victimele crimelor de război au acces egal la drepturi și protecție;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reamintește necesitatea ca teme ca migrația și azilul să fie gestionate în acord cu principiul solidarității;</w:t>
            </w:r>
            <w:r>
              <w:t xml:space="preserve"> </w:t>
            </w:r>
            <w:r>
              <w:rPr>
                <w:b/>
                <w:i/>
              </w:rPr>
              <w:t>invită Bosnia și Herțegovina să își asume întreaga responsabilitate pentru gestionarea centrelor de primire și să garanteze accesul la proceduri de azil eficiente și fezabile;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reamintește necesitatea </w:t>
            </w:r>
            <w:r>
              <w:rPr>
                <w:b/>
                <w:i/>
              </w:rPr>
              <w:t>ca teme ca migrația și azilul să fie gestionate în acord cu principiul solidarității</w:t>
            </w:r>
            <w:r>
              <w:t xml:space="preserve">; invită Bosnia și Herțegovina să </w:t>
            </w:r>
            <w:r>
              <w:rPr>
                <w:b/>
                <w:i/>
              </w:rPr>
              <w:t>își asume întreaga responsabilitate pentru gestionarea centrelor de primire și să garanteze accesul la proceduri de azil eficiente și fezabile</w:t>
            </w:r>
            <w:r>
              <w:t>;</w:t>
            </w:r>
          </w:p>
        </w:tc>
        <w:tc>
          <w:tcPr>
            <w:tcW w:w="4876" w:type="dxa"/>
            <w:tcBorders>
              <w:top w:val="nil"/>
              <w:left w:val="nil"/>
              <w:bottom w:val="nil"/>
              <w:right w:val="nil"/>
            </w:tcBorders>
          </w:tcPr>
          <w:p>
            <w:pPr>
              <w:pStyle w:val="Normal6a"/>
            </w:pPr>
            <w:r>
              <w:t>25.</w:t>
            </w:r>
            <w:r>
              <w:tab/>
            </w:r>
            <w:r>
              <w:t xml:space="preserve">reamintește necesitatea </w:t>
            </w:r>
            <w:r>
              <w:rPr>
                <w:b/>
                <w:i/>
              </w:rPr>
              <w:t>unor măsuri ferme împotriva imigrației ilegale</w:t>
            </w:r>
            <w:r>
              <w:t>; invită Bosnia și Herțegovina să </w:t>
            </w:r>
            <w:r>
              <w:rPr>
                <w:b/>
                <w:i/>
              </w:rPr>
              <w:t>să instituie un control eficient și solid la frontiere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reamintește necesitatea </w:t>
            </w:r>
            <w:r>
              <w:rPr>
                <w:b/>
                <w:i/>
              </w:rPr>
              <w:t>ca teme ca migrația și azilul să fie gestionate în acord cu principiul solidarității</w:t>
            </w:r>
            <w:r>
              <w:t>; invită Bosnia și Herțegovina să își asume întreaga responsabilitate pentru gestionarea centrelor de primire și să garanteze accesul la proceduri de azil eficiente și fezabile;</w:t>
            </w:r>
          </w:p>
        </w:tc>
        <w:tc>
          <w:tcPr>
            <w:tcW w:w="4876" w:type="dxa"/>
            <w:tcBorders>
              <w:top w:val="nil"/>
              <w:left w:val="nil"/>
              <w:bottom w:val="nil"/>
              <w:right w:val="nil"/>
            </w:tcBorders>
          </w:tcPr>
          <w:p>
            <w:pPr>
              <w:pStyle w:val="Normal6a"/>
            </w:pPr>
            <w:r>
              <w:t>25.</w:t>
            </w:r>
            <w:r>
              <w:tab/>
            </w:r>
            <w:r>
              <w:t xml:space="preserve">reamintește necesitatea </w:t>
            </w:r>
            <w:r>
              <w:rPr>
                <w:b/>
                <w:i/>
              </w:rPr>
              <w:t>unei gestionări eficiente a migrației și azilului și a unui sistem eficace de returnare</w:t>
            </w:r>
            <w:r>
              <w:t>; invită Bosnia și Herțegovina să își asume întreaga responsabilitate pentru gestionarea centrelor de primire și să garanteze accesul la proceduri de azil eficiente și fezabile;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reamintește necesitatea ca teme ca migrația și azilul să fie gestionate în acord cu principiul solidarității; invită Bosnia și Herțegovina să </w:t>
            </w:r>
            <w:r>
              <w:rPr>
                <w:b/>
                <w:i/>
              </w:rPr>
              <w:t>își asume întreaga responsabilitate</w:t>
            </w:r>
            <w:r>
              <w:t xml:space="preserve"> pentru </w:t>
            </w:r>
            <w:r>
              <w:rPr>
                <w:b/>
                <w:i/>
              </w:rPr>
              <w:t>gestionarea centrelor de primire</w:t>
            </w:r>
            <w:r>
              <w:t xml:space="preserve"> și să </w:t>
            </w:r>
            <w:r>
              <w:rPr>
                <w:b/>
                <w:i/>
              </w:rPr>
              <w:t>garanteze accesul la proceduri de azil eficiente și fezabile</w:t>
            </w:r>
            <w:r>
              <w:t>;</w:t>
            </w:r>
          </w:p>
        </w:tc>
        <w:tc>
          <w:tcPr>
            <w:tcW w:w="4876" w:type="dxa"/>
            <w:tcBorders>
              <w:top w:val="nil"/>
              <w:left w:val="nil"/>
              <w:bottom w:val="nil"/>
              <w:right w:val="nil"/>
            </w:tcBorders>
          </w:tcPr>
          <w:p>
            <w:pPr>
              <w:pStyle w:val="Normal6a"/>
            </w:pPr>
            <w:r>
              <w:t>25.</w:t>
            </w:r>
            <w:r>
              <w:tab/>
            </w:r>
            <w:r>
              <w:t xml:space="preserve">reamintește necesitatea ca teme ca migrația și azilul să fie gestionate în acord cu principiul solidarității </w:t>
            </w:r>
            <w:r>
              <w:rPr>
                <w:b/>
                <w:i/>
              </w:rPr>
              <w:t>și echității</w:t>
            </w:r>
            <w:r>
              <w:t xml:space="preserve">; invită Bosnia și Herțegovina să </w:t>
            </w:r>
            <w:r>
              <w:rPr>
                <w:b/>
                <w:i/>
              </w:rPr>
              <w:t>asigure condiții de primire suficiente și să garanteze accesul la proceduri de azil eficiente și fezabile, cu respectarea deplină a dreptului internațional și a drepturilor omului;</w:t>
            </w:r>
            <w:r>
              <w:t xml:space="preserve"> </w:t>
            </w:r>
            <w:r>
              <w:rPr>
                <w:b/>
                <w:i/>
              </w:rPr>
              <w:t>își exprimă îngrijorarea cu privire la rapoartele privind condițiile de primire insuficiente în centrul finanțat de UE din Lipa;</w:t>
            </w:r>
            <w:r>
              <w:t xml:space="preserve"> </w:t>
            </w:r>
            <w:r>
              <w:rPr>
                <w:b/>
                <w:i/>
              </w:rPr>
              <w:t>subliniază necesitatea de a spori transparența și controlul democratic în ceea ce privește alocarea și execuția fondurilor UE în domeniul migrației;</w:t>
            </w:r>
            <w:r>
              <w:t xml:space="preserve"> </w:t>
            </w:r>
            <w:r>
              <w:rPr>
                <w:b/>
                <w:i/>
              </w:rPr>
              <w:t>reamintește că Bosnia și Herțegovina este înconjurată, din punct de vedere geografic, de state membre ale UE și denunță cu fermitate faptul că migranții care încearcă să intre în Croația, inclusiv</w:t>
            </w:r>
            <w:r>
              <w:t xml:space="preserve"> pentru </w:t>
            </w:r>
            <w:r>
              <w:rPr>
                <w:b/>
                <w:i/>
              </w:rPr>
              <w:t>a solicita protecție internațională în Uniunea Europeană, au fost returnați în mod violent de Croația, cu încălcarea flagrantă a drepturilor omului recunoscute de UE, precum și a legii privind refugiații, ceea ce a condus la exacerbarea condițiilor inumane și degradante în care trăiesc migranții aflați în Bosnia și Herțegovina;</w:t>
            </w:r>
            <w:r>
              <w:t xml:space="preserve"> </w:t>
            </w:r>
            <w:r>
              <w:rPr>
                <w:b/>
                <w:i/>
              </w:rPr>
              <w:t>solicită de urgență Comisiei să tragă la răspundere guvernul croat</w:t>
            </w:r>
            <w:r>
              <w:t xml:space="preserve"> și să </w:t>
            </w:r>
            <w:r>
              <w:rPr>
                <w:b/>
                <w:i/>
              </w:rPr>
              <w:t>deschidă acțiuni de constatare a neîndeplinirii obligațiilor pentru practicile continuate de respingere violentă la frontiera UE cu Bosnia și Herțegovina;</w:t>
            </w:r>
            <w:r>
              <w:t xml:space="preserve"> </w:t>
            </w:r>
            <w:r>
              <w:rPr>
                <w:b/>
                <w:i/>
              </w:rPr>
              <w:t>remarcă semnarea acordului de statut îmbunătățit al BiH cu Agenția Europeană pentru Poliția de Frontieră și Garda de Coastă și reamintește că orice acord ulterior cu această agenție ar trebui să respecte pe deplin drepturile fundamentale și standardele internaționale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reamintește necesitatea </w:t>
            </w:r>
            <w:r>
              <w:rPr>
                <w:b/>
                <w:i/>
              </w:rPr>
              <w:t>ca teme ca migrația și azilul să fie gestionate în acord cu principiul solidarității</w:t>
            </w:r>
            <w:r>
              <w:t>; invită Bosnia și Herțegovina să își asume întreaga responsabilitate pentru gestionarea centrelor de primire și să garanteze accesul la proceduri de azil eficiente și fezabile;</w:t>
            </w:r>
          </w:p>
        </w:tc>
        <w:tc>
          <w:tcPr>
            <w:tcW w:w="4876" w:type="dxa"/>
            <w:tcBorders>
              <w:top w:val="nil"/>
              <w:left w:val="nil"/>
              <w:bottom w:val="nil"/>
              <w:right w:val="nil"/>
            </w:tcBorders>
          </w:tcPr>
          <w:p>
            <w:pPr>
              <w:pStyle w:val="Normal6a"/>
            </w:pPr>
            <w:r>
              <w:t>25.</w:t>
            </w:r>
            <w:r>
              <w:tab/>
            </w:r>
            <w:r>
              <w:t xml:space="preserve">reamintește necesitatea </w:t>
            </w:r>
            <w:r>
              <w:rPr>
                <w:b/>
                <w:i/>
              </w:rPr>
              <w:t>unei politici controlate și umane în materie de migrație și azil, care să combine solidaritatea cu grupurile vulnerabile cu un control eficient la frontiere, în conformitate cu principiile dreptului UE și cu obligațiile tratatelor internaționale</w:t>
            </w:r>
            <w:r>
              <w:t>; invită Bosnia și Herțegovina să își asume întreaga responsabilitate pentru gestionarea centrelor de primire și să garanteze accesul la proceduri de azil eficiente și fezabile;</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reamintește </w:t>
            </w:r>
            <w:r>
              <w:rPr>
                <w:b/>
                <w:i/>
              </w:rPr>
              <w:t>necesitatea ca teme ca migrația și azilul să fie gestionate în acord cu principiul solidarității</w:t>
            </w:r>
            <w:r>
              <w:t>; invită Bosnia și Herțegovina să își asume întreaga responsabilitate pentru gestionarea centrelor de primire și să garanteze accesul la proceduri de azil eficiente și fezabile;</w:t>
            </w:r>
          </w:p>
        </w:tc>
        <w:tc>
          <w:tcPr>
            <w:tcW w:w="4876" w:type="dxa"/>
            <w:tcBorders>
              <w:top w:val="nil"/>
              <w:left w:val="nil"/>
              <w:bottom w:val="nil"/>
              <w:right w:val="nil"/>
            </w:tcBorders>
          </w:tcPr>
          <w:p>
            <w:pPr>
              <w:pStyle w:val="Normal6a"/>
            </w:pPr>
            <w:r>
              <w:t>25.</w:t>
            </w:r>
            <w:r>
              <w:tab/>
            </w:r>
            <w:r>
              <w:t xml:space="preserve">reamintește </w:t>
            </w:r>
            <w:r>
              <w:rPr>
                <w:b/>
                <w:i/>
              </w:rPr>
              <w:t>că este nevoie de migrație controlată și de gestionare a azilului;</w:t>
            </w:r>
            <w:r>
              <w:t xml:space="preserve"> </w:t>
            </w:r>
            <w:r>
              <w:rPr>
                <w:b/>
                <w:i/>
              </w:rPr>
              <w:t>îndeamnă Bosnia și Herțegovina să își intensifice eforturile de combatere a criminalității transfrontaliere, în special a traficului de ființe umane</w:t>
            </w:r>
            <w:r>
              <w:t xml:space="preserve">; invită </w:t>
            </w:r>
            <w:r>
              <w:rPr>
                <w:b/>
                <w:i/>
              </w:rPr>
              <w:t>UE să ajute</w:t>
            </w:r>
            <w:r>
              <w:t xml:space="preserve"> Bosnia și Herțegovina să își asume întreaga responsabilitate pentru gestionarea centrelor de primire</w:t>
            </w:r>
            <w:r>
              <w:rPr>
                <w:b/>
                <w:i/>
              </w:rPr>
              <w:t>, aflate adesea la granițele UE,</w:t>
            </w:r>
            <w:r>
              <w:t xml:space="preserve"> și să garanteze accesul la proceduri de azil eficiente și fezabile;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Davor Ivo Stier, Karlo Ressler, Željana Zovko,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reamintește necesitatea ca teme ca migrația și azilul să fie gestionate în acord cu principiul solidarității; invită Bosnia și Herțegovina să își asume întreaga responsabilitate pentru gestionarea centrelor de primire și să garanteze accesul la proceduri de azil eficiente și fezabile;</w:t>
            </w:r>
          </w:p>
        </w:tc>
        <w:tc>
          <w:tcPr>
            <w:tcW w:w="4876" w:type="dxa"/>
            <w:tcBorders>
              <w:top w:val="nil"/>
              <w:left w:val="nil"/>
              <w:bottom w:val="nil"/>
              <w:right w:val="nil"/>
            </w:tcBorders>
          </w:tcPr>
          <w:p>
            <w:pPr>
              <w:pStyle w:val="Normal6a"/>
            </w:pPr>
            <w:r>
              <w:t>25.</w:t>
            </w:r>
            <w:r>
              <w:tab/>
            </w:r>
            <w:r>
              <w:t xml:space="preserve">reamintește necesitatea ca teme ca migrația și azilul să fie gestionate în acord cu principiul solidarității; invită Bosnia și Herțegovina să își asume întreaga responsabilitate pentru gestionarea centrelor de primire și să garanteze accesul la proceduri de azil eficiente și fezabile; </w:t>
            </w:r>
            <w:r>
              <w:rPr>
                <w:b/>
                <w:i/>
              </w:rPr>
              <w:t>salută acordul dintre Bosnia și Herțegovina și Frontex parafat la 18 decembrie 2024 și solicită semnarea și ratificarea promptă a acestuia;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reamintește necesitatea ca teme ca migrația și azilul să fie gestionate în acord cu principiul solidarității; invită Bosnia și Herțegovina să își asume întreaga responsabilitate pentru gestionarea centrelor de primire și să garanteze accesul la proceduri de azil eficiente și fezabile;</w:t>
            </w:r>
          </w:p>
        </w:tc>
        <w:tc>
          <w:tcPr>
            <w:tcW w:w="4876" w:type="dxa"/>
            <w:tcBorders>
              <w:top w:val="nil"/>
              <w:left w:val="nil"/>
              <w:bottom w:val="nil"/>
              <w:right w:val="nil"/>
            </w:tcBorders>
          </w:tcPr>
          <w:p>
            <w:pPr>
              <w:pStyle w:val="Normal6a"/>
            </w:pPr>
            <w:r>
              <w:t>25.</w:t>
            </w:r>
            <w:r>
              <w:tab/>
            </w:r>
            <w:r>
              <w:t>reamintește necesitatea ca teme ca migrația și azilul să fie gestionate în acord cu principiul solidarității; invită Bosnia și Herțegovina să își asume întreaga responsabilitate pentru gestionarea centrelor de primire și să garanteze accesul la proceduri de azil eficiente și fezabile</w:t>
            </w:r>
            <w:r>
              <w:rPr>
                <w:b/>
                <w:i/>
              </w:rPr>
              <w:t>, asigurând drepturile fundamentale ale omului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reamintește </w:t>
            </w:r>
            <w:r>
              <w:rPr>
                <w:b/>
                <w:i/>
              </w:rPr>
              <w:t>necesitatea ca teme ca migrația și azilul să fie gestionate în acord cu principiul solidarității</w:t>
            </w:r>
            <w:r>
              <w:t>; invită Bosnia și Herțegovina să își asume întreaga responsabilitate pentru gestionarea centrelor de primire și să garanteze accesul la proceduri de azil eficiente și fezabile;</w:t>
            </w:r>
          </w:p>
        </w:tc>
        <w:tc>
          <w:tcPr>
            <w:tcW w:w="4876" w:type="dxa"/>
            <w:tcBorders>
              <w:top w:val="nil"/>
              <w:left w:val="nil"/>
              <w:bottom w:val="nil"/>
              <w:right w:val="nil"/>
            </w:tcBorders>
          </w:tcPr>
          <w:p>
            <w:pPr>
              <w:pStyle w:val="Normal6a"/>
            </w:pPr>
            <w:r>
              <w:t>25.</w:t>
            </w:r>
            <w:r>
              <w:tab/>
            </w:r>
            <w:r>
              <w:t xml:space="preserve">reamintește </w:t>
            </w:r>
            <w:r>
              <w:rPr>
                <w:b/>
                <w:i/>
              </w:rPr>
              <w:t>că este nevoie de o gestionare eficientă a migrației și a azilului</w:t>
            </w:r>
            <w:r>
              <w:t>; invită Bosnia și Herțegovina să își asume întreaga responsabilitate pentru gestionarea centrelor de primire și să garanteze accesul la proceduri de azil eficiente și fezabile;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reamintește că regiunea Balcanilor reprezintă un traseu esențiale pentru migrația ilegală;</w:t>
            </w:r>
            <w:r>
              <w:t xml:space="preserve"> </w:t>
            </w:r>
            <w:r>
              <w:rPr>
                <w:b/>
                <w:i/>
              </w:rPr>
              <w:t>ia act de faptul că, potrivit UNHCR, 35 000 de migranți au călătorit pe ruta balcanică prin BiH în 2023;</w:t>
            </w:r>
            <w:r>
              <w:t xml:space="preserve"> </w:t>
            </w:r>
            <w:r>
              <w:rPr>
                <w:b/>
                <w:i/>
              </w:rPr>
              <w:t>remarcă faptul că, în 2023, frontiera dintre BiH și Croația a fost al doilea punct de trecere cel mai des utilizat pentru persoanele care introduc ilegal migranți din Balcani și că, în 2024, rețelele infracționale și-au intensificat și mai mult activitățile pe ruta BiH-Croația-Slovenia;</w:t>
            </w:r>
            <w:r>
              <w:t xml:space="preserve"> </w:t>
            </w:r>
            <w:r>
              <w:rPr>
                <w:b/>
                <w:i/>
              </w:rPr>
              <w:t>sprijină ferm acțiunile Grupului operativ operațional al Europol, care vizează persoanele care introduc ilegal migranți care își desfășoară activitatea de-a lungul rutei Balcanilor;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invită autoritățile naționale competente, în conformitate cu Directiva UE privind protecția avertizorilor de integritate și cu cele mai bune practici internaționale, să analizeze, să armonizeze și să consolideze cadrele juridice și instituționale pentru protecția avertizorilor de integritate, asigurând punerea în aplicare efectivă, accesul la mecanisme de protecție și garanții împotriva represaliilor;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subliniază că procesul de aderare la UE ar trebui să sprijine Bosnia și Herțegovina în protejarea libertății religioase și în asigurarea tratamentului egal al tuturor comunităților religioase tradiționale;</w:t>
            </w:r>
            <w:r>
              <w:t xml:space="preserve"> </w:t>
            </w:r>
            <w:r>
              <w:rPr>
                <w:b/>
                <w:i/>
              </w:rPr>
              <w:t>subliniază importanța respectării patrimoniului religios și cultural ca parte a valorilor și identității europene;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Željana Zovko,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salută decizia din 9 aprilie a guvernului Federației BiH de a include infracțiunea de femicid în codul penal;</w:t>
            </w:r>
            <w:r>
              <w:t xml:space="preserve"> </w:t>
            </w:r>
            <w:r>
              <w:rPr>
                <w:b/>
                <w:i/>
              </w:rPr>
              <w:t>invită parlamentul federal să aprobe de urgență această nouă lege;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Reconcilierea și relațiile de bună vecinătate</w:t>
            </w:r>
          </w:p>
        </w:tc>
        <w:tc>
          <w:tcPr>
            <w:tcW w:w="4876" w:type="dxa"/>
            <w:tcBorders>
              <w:top w:val="nil"/>
              <w:left w:val="nil"/>
              <w:bottom w:val="nil"/>
              <w:right w:val="nil"/>
            </w:tcBorders>
          </w:tcPr>
          <w:p>
            <w:pPr>
              <w:pStyle w:val="Normal6a"/>
            </w:pPr>
            <w:r>
              <w:t>Reconcilierea</w:t>
            </w:r>
            <w:r>
              <w:rPr>
                <w:b/>
                <w:i/>
              </w:rPr>
              <w:t>, cooperarea regională</w:t>
            </w:r>
            <w:r>
              <w:t xml:space="preserve"> și relațiile de bună vecinătate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reamintește că</w:t>
            </w:r>
            <w:r>
              <w:t xml:space="preserve"> relațiile de bună vecinătate și cooperarea regională </w:t>
            </w:r>
            <w:r>
              <w:rPr>
                <w:b/>
                <w:i/>
              </w:rPr>
              <w:t>sunt elemente esențiale ale procesului de extindere a UE</w:t>
            </w:r>
            <w:r>
              <w:t>;</w:t>
            </w:r>
          </w:p>
        </w:tc>
        <w:tc>
          <w:tcPr>
            <w:tcW w:w="4876" w:type="dxa"/>
            <w:tcBorders>
              <w:top w:val="nil"/>
              <w:left w:val="nil"/>
              <w:bottom w:val="nil"/>
              <w:right w:val="nil"/>
            </w:tcBorders>
          </w:tcPr>
          <w:p>
            <w:pPr>
              <w:pStyle w:val="Normal6a"/>
            </w:pPr>
            <w:r>
              <w:t>26.</w:t>
            </w:r>
            <w:r>
              <w:tab/>
            </w:r>
            <w:r>
              <w:rPr>
                <w:b/>
                <w:i/>
              </w:rPr>
              <w:t>apreciază</w:t>
            </w:r>
            <w:r>
              <w:t xml:space="preserve"> relațiile de bună vecinătate și cooperarea regională;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reamintește că relațiile de bună vecinătate și cooperarea regională </w:t>
            </w:r>
            <w:r>
              <w:rPr>
                <w:b/>
                <w:i/>
              </w:rPr>
              <w:t>sunt</w:t>
            </w:r>
            <w:r>
              <w:t xml:space="preserve"> elemente esențiale ale procesului de extindere a UE;</w:t>
            </w:r>
          </w:p>
        </w:tc>
        <w:tc>
          <w:tcPr>
            <w:tcW w:w="4876" w:type="dxa"/>
            <w:tcBorders>
              <w:top w:val="nil"/>
              <w:left w:val="nil"/>
              <w:bottom w:val="nil"/>
              <w:right w:val="nil"/>
            </w:tcBorders>
          </w:tcPr>
          <w:p>
            <w:pPr>
              <w:pStyle w:val="Normal6a"/>
            </w:pPr>
            <w:r>
              <w:t>26.</w:t>
            </w:r>
            <w:r>
              <w:tab/>
            </w:r>
            <w:r>
              <w:t xml:space="preserve">reamintește că relațiile de bună vecinătate și cooperarea regională </w:t>
            </w:r>
            <w:r>
              <w:rPr>
                <w:b/>
                <w:i/>
              </w:rPr>
              <w:t>reprezintă</w:t>
            </w:r>
            <w:r>
              <w:t xml:space="preserve"> elemente esențiale ale procesului de extindere a UE</w:t>
            </w:r>
            <w:r>
              <w:rPr>
                <w:b/>
                <w:i/>
              </w:rPr>
              <w:t>, cu accent pe integrarea economică și comerțul ca factori care întăresc piața internă europeană</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condamnă cu fermitate adoptarea în comun a așa-numitei „Declarații a Adunării tuturor sârbilor” de către Republica Serbia și entitatea Republica Srpska, care subminează suveranitatea și ordinea constituțională a Bosniei și Herțegovinei, denaturează Acordul de pace de la Dayton și prezintă în mod eronat statutul juridic al entității Republica Srpska;</w:t>
            </w:r>
            <w:r>
              <w:t xml:space="preserve"> </w:t>
            </w:r>
            <w:r>
              <w:rPr>
                <w:b/>
                <w:i/>
              </w:rPr>
              <w:t>în plus, aceasta contravine valorilor Uniunii Europene și nu promovează relații de bună vecinătate cu Bosnia și Herțegovina;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subliniază importanța reconcilierii în Bosnia și Herțegovina și îndeamnă toate autoritățile să promoveze și să garanteze în mod activ accesul la adevăr, justiție și căi de atac favorabile incluziunii; </w:t>
            </w:r>
            <w:r>
              <w:rPr>
                <w:b/>
                <w:i/>
              </w:rPr>
              <w:t>cere</w:t>
            </w:r>
            <w:r>
              <w:t xml:space="preserve"> să se </w:t>
            </w:r>
            <w:r>
              <w:rPr>
                <w:b/>
                <w:i/>
              </w:rPr>
              <w:t>cerceteze cu mai multă râvnă problema</w:t>
            </w:r>
            <w:r>
              <w:t xml:space="preserve"> persoanelor dispărute;</w:t>
            </w:r>
          </w:p>
        </w:tc>
        <w:tc>
          <w:tcPr>
            <w:tcW w:w="4876" w:type="dxa"/>
            <w:tcBorders>
              <w:top w:val="nil"/>
              <w:left w:val="nil"/>
              <w:bottom w:val="nil"/>
              <w:right w:val="nil"/>
            </w:tcBorders>
          </w:tcPr>
          <w:p>
            <w:pPr>
              <w:pStyle w:val="Normal6a"/>
            </w:pPr>
            <w:r>
              <w:t>27.</w:t>
            </w:r>
            <w:r>
              <w:tab/>
            </w:r>
            <w:r>
              <w:t xml:space="preserve">subliniază importanța reconcilierii în Bosnia și Herțegovina și îndeamnă toate autoritățile să promoveze și să garanteze în mod activ accesul la adevăr, justiție și căi de atac favorabile incluziunii; </w:t>
            </w:r>
            <w:r>
              <w:rPr>
                <w:b/>
                <w:i/>
              </w:rPr>
              <w:t>recunoaște că reconcilierea trebuie</w:t>
            </w:r>
            <w:r>
              <w:t xml:space="preserve"> să se </w:t>
            </w:r>
            <w:r>
              <w:rPr>
                <w:b/>
                <w:i/>
              </w:rPr>
              <w:t>bazeze pe respectul reciproc și pe respectarea drepturilor și principiilor constituționale ale tuturor celor trei comunități care se află în căutarea propriului adevăr și a justiției, a</w:t>
            </w:r>
            <w:r>
              <w:t xml:space="preserve"> persoanelor dispărute </w:t>
            </w:r>
            <w:r>
              <w:rPr>
                <w:b/>
                <w:i/>
              </w:rPr>
              <w:t>și a proceselor autorilor tuturor părților, pentru a realiza reconcilierea la 30 de ani de la Acordul de pace de la Dayton-Paris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subliniază importanța reconcilierii în Bosnia și Herțegovina și îndeamnă toate autoritățile să promoveze și să garanteze în mod activ accesul la adevăr, justiție și căi de atac </w:t>
            </w:r>
            <w:r>
              <w:rPr>
                <w:b/>
                <w:i/>
              </w:rPr>
              <w:t>favorabile incluziunii</w:t>
            </w:r>
            <w:r>
              <w:t>; cere să se cerceteze cu mai multă râvnă problema persoanelor dispărute;</w:t>
            </w:r>
          </w:p>
        </w:tc>
        <w:tc>
          <w:tcPr>
            <w:tcW w:w="4876" w:type="dxa"/>
            <w:tcBorders>
              <w:top w:val="nil"/>
              <w:left w:val="nil"/>
              <w:bottom w:val="nil"/>
              <w:right w:val="nil"/>
            </w:tcBorders>
          </w:tcPr>
          <w:p>
            <w:pPr>
              <w:pStyle w:val="Normal6a"/>
            </w:pPr>
            <w:r>
              <w:t>27.</w:t>
            </w:r>
            <w:r>
              <w:tab/>
            </w:r>
            <w:r>
              <w:t xml:space="preserve">subliniază importanța reconcilierii în Bosnia și Herțegovina și îndeamnă toate autoritățile să promoveze și să garanteze în mod activ accesul la adevăr, justiție și căi de atac </w:t>
            </w:r>
            <w:r>
              <w:rPr>
                <w:b/>
                <w:i/>
              </w:rPr>
              <w:t>incluzive, care să cuprindă și promovarea unei culturii a amintirii practicată de femei;</w:t>
            </w:r>
            <w:r>
              <w:t xml:space="preserve"> </w:t>
            </w:r>
            <w:r>
              <w:rPr>
                <w:b/>
                <w:i/>
              </w:rPr>
              <w:t>îndeamnă să se adopte Strategia națională privind justiția de tranziție</w:t>
            </w:r>
            <w:r>
              <w:t>; cere să se cerceteze cu mai multă râvnă problema persoanelor dispărute;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subliniază importanța reconcilierii în Bosnia și Herțegovina și îndeamnă toate autoritățile să promoveze și să garanteze </w:t>
            </w:r>
            <w:r>
              <w:rPr>
                <w:b/>
                <w:i/>
              </w:rPr>
              <w:t>în mod activ</w:t>
            </w:r>
            <w:r>
              <w:t xml:space="preserve"> accesul la adevăr, justiție și căi de atac favorabile incluziunii; cere să se cerceteze cu mai multă râvnă problema persoanelor dispărute;</w:t>
            </w:r>
          </w:p>
        </w:tc>
        <w:tc>
          <w:tcPr>
            <w:tcW w:w="4876" w:type="dxa"/>
            <w:tcBorders>
              <w:top w:val="nil"/>
              <w:left w:val="nil"/>
              <w:bottom w:val="nil"/>
              <w:right w:val="nil"/>
            </w:tcBorders>
          </w:tcPr>
          <w:p>
            <w:pPr>
              <w:pStyle w:val="Normal6a"/>
            </w:pPr>
            <w:r>
              <w:t>27.</w:t>
            </w:r>
            <w:r>
              <w:tab/>
            </w:r>
            <w:r>
              <w:t xml:space="preserve">subliniază importanța reconcilierii în Bosnia și Herțegovina </w:t>
            </w:r>
            <w:r>
              <w:rPr>
                <w:b/>
                <w:i/>
              </w:rPr>
              <w:t>pentru a depăși moștenirea războiului</w:t>
            </w:r>
            <w:r>
              <w:t xml:space="preserve"> și îndeamnă toate autoritățile să promoveze </w:t>
            </w:r>
            <w:r>
              <w:rPr>
                <w:b/>
                <w:i/>
              </w:rPr>
              <w:t>în mod activ</w:t>
            </w:r>
            <w:r>
              <w:t xml:space="preserve"> și să garanteze accesul la adevăr, justiție și căi de atac favorabile incluziunii</w:t>
            </w:r>
            <w:r>
              <w:rPr>
                <w:b/>
                <w:i/>
              </w:rPr>
              <w:t>, inclusiv adoptarea unei legi la nivel de stat care să stabilească drepturi minime pentru victimele din timpul războiului în întreaga țară</w:t>
            </w:r>
            <w:r>
              <w:t>; cere să se cerceteze cu mai multă râvnă problema persoanelor dispărute;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subliniază importanța reconcilierii în Bosnia și Herțegovina și îndeamnă toate autoritățile să promoveze și să garanteze în mod activ accesul la adevăr, justiție și căi de atac favorabile incluziunii; cere să se cerceteze cu mai multă râvnă problema persoanelor dispărute;</w:t>
            </w:r>
          </w:p>
        </w:tc>
        <w:tc>
          <w:tcPr>
            <w:tcW w:w="4876" w:type="dxa"/>
            <w:tcBorders>
              <w:top w:val="nil"/>
              <w:left w:val="nil"/>
              <w:bottom w:val="nil"/>
              <w:right w:val="nil"/>
            </w:tcBorders>
          </w:tcPr>
          <w:p>
            <w:pPr>
              <w:pStyle w:val="Normal6a"/>
            </w:pPr>
            <w:r>
              <w:t>27.</w:t>
            </w:r>
            <w:r>
              <w:tab/>
            </w:r>
            <w:r>
              <w:t xml:space="preserve">subliniază importanța reconcilierii în Bosnia și Herțegovina și îndeamnă toate autoritățile să promoveze și să garanteze în mod activ accesul la adevăr, justiție și căi de atac favorabile incluziunii; cere să se cerceteze cu mai multă râvnă problema persoanelor dispărute; </w:t>
            </w:r>
            <w:r>
              <w:rPr>
                <w:b/>
                <w:i/>
              </w:rPr>
              <w:t>îndeamnă Comisia să depună eforturi suplimentare pentru a promova, sprijini și înlesni procesele de reconciliere în Bosnia și Herțegovina;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 – subpunctul 1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își reiterează apelul adoptarea unor măsuri suplimentare și a unor programe concrete referitoare la întoarcerea sustenabilă a refugiaților și a persoanelor strămutate în interiorul țării, accesul la îngrijiri de sănătate și la ocuparea forței de muncă, protecție socială și educație, dar și privind respectarea deplină a tuturor drepturilor acestora la despăgubiri pentru proprietățile nereturnabile;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respectarea principiului de partajare a puterii prevăzut în Acordul de pace de la Dayton-Paris, care instituie trei comunități constitutive ca fundament al statului actual, este singurul instrument de reconstruire a reconcilierii durabile și a coexistenței pașnice;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remarcă faptul că principiile federalismului ar fi potrivite pentru funcționarea acestui stat, întrucât ar institui egalitatea pe toate planurile între comunitățile constitutive și între cetățeni;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Davor Ivo Stier, Sunčana Glavak, Karlo Ressler, Željana Zovko, Nikolina Brnjac,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deplânge toate formele de revizionism istoric, de negare a genocidului, de glorificare a crimelor de război și a criminalilor și contestarea faptelor sau a independenței și imparțialității tribunalelor internaționale și naționale, în special de către liderii politici;</w:t>
            </w:r>
          </w:p>
        </w:tc>
        <w:tc>
          <w:tcPr>
            <w:tcW w:w="4876" w:type="dxa"/>
            <w:tcBorders>
              <w:top w:val="nil"/>
              <w:left w:val="nil"/>
              <w:bottom w:val="nil"/>
              <w:right w:val="nil"/>
            </w:tcBorders>
          </w:tcPr>
          <w:p>
            <w:pPr>
              <w:pStyle w:val="Normal6a"/>
            </w:pPr>
            <w:r>
              <w:t>28.</w:t>
            </w:r>
            <w:r>
              <w:tab/>
            </w:r>
            <w:r>
              <w:t xml:space="preserve">deplânge toate formele de revizionism istoric, de negare a genocidului, de glorificare a crimelor de război și a criminalilor și contestarea faptelor sau a independenței și imparțialității tribunalelor internaționale și naționale, în special de către liderii politici; </w:t>
            </w:r>
            <w:r>
              <w:rPr>
                <w:b/>
                <w:i/>
              </w:rPr>
              <w:t>subliniază că reconcilierea necesită o respingere clară a vinovăției colective și promovarea înțelegerii reciproce, în special în rândul tinerilor;</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deplânge toate formele de revizionism istoric, de negare a genocidului, de glorificare a crimelor de război și a criminalilor și contestarea faptelor sau a independenței și imparțialității tribunalelor internaționale și naționale, în special de către liderii politici;</w:t>
            </w:r>
          </w:p>
        </w:tc>
        <w:tc>
          <w:tcPr>
            <w:tcW w:w="4876" w:type="dxa"/>
            <w:tcBorders>
              <w:top w:val="nil"/>
              <w:left w:val="nil"/>
              <w:bottom w:val="nil"/>
              <w:right w:val="nil"/>
            </w:tcBorders>
          </w:tcPr>
          <w:p>
            <w:pPr>
              <w:pStyle w:val="Normal6a"/>
            </w:pPr>
            <w:r>
              <w:t>28.</w:t>
            </w:r>
            <w:r>
              <w:tab/>
            </w:r>
            <w:r>
              <w:t xml:space="preserve">deplânge toate formele de revizionism istoric, de negare a genocidului, de </w:t>
            </w:r>
            <w:r>
              <w:rPr>
                <w:b/>
                <w:i/>
              </w:rPr>
              <w:t>iredentism, de</w:t>
            </w:r>
            <w:r>
              <w:t xml:space="preserve"> glorificare a crimelor de război și a criminalilor și contestarea faptelor sau a independenței și imparțialității tribunalelor internaționale și naționale, în special de către liderii politici; </w:t>
            </w:r>
            <w:r>
              <w:rPr>
                <w:b/>
                <w:i/>
              </w:rPr>
              <w:t>constată că ideile lui Srpski Svet sunt incompatibile cu aspirațiile de aderare la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28 – subpunctul 1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invită Serbia să se angajeze constructiv față de stabilitatea și integritatea teritorială a Bosniei și Herțegovinei și să ofere sprijin activ și să contribuie în mod constructiv la progresul Bosniei și Herțegovinei în vederea aderării la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subliniază importanța diplomației preventive în Bosnia și Herțegovina;</w:t>
            </w:r>
            <w:r>
              <w:t xml:space="preserve"> </w:t>
            </w:r>
            <w:r>
              <w:rPr>
                <w:b/>
                <w:i/>
              </w:rPr>
              <w:t>invită SEAE să consolideze dezvoltarea competențelor în rândul personalului său pentru a înțelege mai bine contextul istoric, cultural și religios local, așa cum se subliniază în raportul privind rolul diplomației preventive adoptat de Parlamentul European în ianuarie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este preocupat de adoptarea „Declarației privind protecția drepturilor naționale și politice și viitorul comun al poporului sârb”, care încalcă mai multe aspecte ale Acordului de pace de la Dayton și subminează suveranitatea, integritatea teritorială și unitatea Bosniei și Herțegovinei;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r>
        <w:rPr>
          <w:rStyle w:val="HideTWBExt"/>
          <w:b w:val="0"/>
        </w:rPr>
        <w:t>&lt;AuNomDe&gt;</w:t>
      </w:r>
      <w:r>
        <w:rPr>
          <w:rStyle w:val="HideTWBInt"/>
        </w:rPr>
        <w:t>{S&amp;D}</w:t>
      </w:r>
      <w:r>
        <w:t>în numele Grupului S&amp;D</w:t>
      </w:r>
      <w:r>
        <w:rPr>
          <w:rStyle w:val="HideTWBExt"/>
          <w:b w:val="0"/>
        </w:rPr>
        <w:t>&lt;/AuNomDe&gt;</w:t>
      </w:r>
    </w:p>
    <w:p>
      <w:pPr>
        <w:pStyle w:val="NormalBold"/>
      </w:pPr>
      <w:r>
        <w:rPr>
          <w:rStyle w:val="HideTWBExt"/>
          <w:b w:val="0"/>
        </w:rPr>
        <w:t>&lt;Members&gt;</w:t>
      </w:r>
      <w:r>
        <w:t>Thijs Reuten,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salută decizia Adunării Generale prin care se proclamă ziua de 11 iulie drept Ziua internațională de reflecție și comemorare a genocidului din 1995 de la Srebrenica;</w:t>
            </w:r>
          </w:p>
        </w:tc>
        <w:tc>
          <w:tcPr>
            <w:tcW w:w="4876" w:type="dxa"/>
            <w:tcBorders>
              <w:top w:val="nil"/>
              <w:left w:val="nil"/>
              <w:bottom w:val="nil"/>
              <w:right w:val="nil"/>
            </w:tcBorders>
          </w:tcPr>
          <w:p>
            <w:pPr>
              <w:pStyle w:val="Normal6a"/>
            </w:pPr>
            <w:r>
              <w:t>29.</w:t>
            </w:r>
            <w:r>
              <w:tab/>
            </w:r>
            <w:r>
              <w:t xml:space="preserve">salută decizia Adunării Generale prin care se proclamă ziua de 11 iulie drept Ziua internațională de reflecție și comemorare a genocidului din 1995 de la Srebrenica; </w:t>
            </w:r>
            <w:r>
              <w:rPr>
                <w:b/>
                <w:i/>
              </w:rPr>
              <w:t>invită autoritățile să asigure securitatea la Centrul Memorial Srebrenica-Potocari;</w:t>
            </w:r>
            <w:r>
              <w:t xml:space="preserve"> </w:t>
            </w:r>
            <w:r>
              <w:rPr>
                <w:b/>
                <w:i/>
              </w:rPr>
              <w:t>subliniază că Centrul Memorial a trebuit să se închidă temporar din cauza unor îngrijorări legate de securitate;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salută decizia Adunării Generale prin care se proclamă ziua de 11 iulie drept Ziua internațională de reflecție și comemorare a genocidului din 1995 de la Srebrenica;</w:t>
            </w:r>
          </w:p>
        </w:tc>
        <w:tc>
          <w:tcPr>
            <w:tcW w:w="4876" w:type="dxa"/>
            <w:tcBorders>
              <w:top w:val="nil"/>
              <w:left w:val="nil"/>
              <w:bottom w:val="nil"/>
              <w:right w:val="nil"/>
            </w:tcBorders>
          </w:tcPr>
          <w:p>
            <w:pPr>
              <w:pStyle w:val="Normal6a"/>
            </w:pPr>
            <w:r>
              <w:t>29.</w:t>
            </w:r>
            <w:r>
              <w:tab/>
            </w:r>
            <w:r>
              <w:t xml:space="preserve">salută decizia Adunării Generale prin care se proclamă ziua de 11 iulie drept Ziua internațională de reflecție și comemorare a genocidului din 1995 de la Srebrenica; </w:t>
            </w:r>
            <w:r>
              <w:rPr>
                <w:b/>
                <w:i/>
              </w:rPr>
              <w:t>se angajează să organizeze o comemorare în cadrul sesiunii sale plenare din iulie pentru cea de a 30-a comemorare a genocidului de la Srebrenica;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își reiterează sprijinul pentru inițiativa de instituire a Comisiei regionale pentru stabilirea faptelor legate de crimele de război și de alte încălcări grave ale drepturilor omului pe teritoriul fostei Iugoslavii (RECOM);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29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29b.</w:t>
            </w:r>
            <w:r>
              <w:tab/>
            </w:r>
            <w:r>
              <w:rPr>
                <w:b/>
                <w:i/>
              </w:rPr>
              <w:t>recunoaște rolul extrem de important jucat de Comisia internațională pentru persoane dispărute (ICMP), inclusiv prin asigurarea capacității instituționale, sprijinirea familiilor și furnizarea de dovezi instanțelor;</w:t>
            </w:r>
            <w:r>
              <w:t xml:space="preserve"> </w:t>
            </w:r>
            <w:r>
              <w:rPr>
                <w:b/>
                <w:i/>
              </w:rPr>
              <w:t>îndeamnă UE să se asigure că ICMP are acces la o finanțare suficientă pentru a-și continua activitățile;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subliniază că cooperarea regională prin intermediul pieței regionale comune este esențială pentru promovarea creșterii economice; invită Bosnia și Herțegovina să ratifice rapid toate acordurile regionale de mobilitate </w:t>
            </w:r>
            <w:r>
              <w:rPr>
                <w:b/>
                <w:i/>
              </w:rPr>
              <w:t>în</w:t>
            </w:r>
            <w:r>
              <w:t xml:space="preserve"> cadrul Procesului de la Berlin;</w:t>
            </w:r>
          </w:p>
        </w:tc>
        <w:tc>
          <w:tcPr>
            <w:tcW w:w="4876" w:type="dxa"/>
            <w:tcBorders>
              <w:top w:val="nil"/>
              <w:left w:val="nil"/>
              <w:bottom w:val="nil"/>
              <w:right w:val="nil"/>
            </w:tcBorders>
          </w:tcPr>
          <w:p>
            <w:pPr>
              <w:pStyle w:val="Normal6a"/>
            </w:pPr>
            <w:r>
              <w:t>30.</w:t>
            </w:r>
            <w:r>
              <w:tab/>
            </w:r>
            <w:r>
              <w:t xml:space="preserve">subliniază că cooperarea regională prin intermediul pieței regionale comune este esențială pentru promovarea creșterii economice; invită Bosnia și Herțegovina să ratifice rapid toate acordurile regionale de mobilitate </w:t>
            </w:r>
            <w:r>
              <w:rPr>
                <w:b/>
                <w:i/>
              </w:rPr>
              <w:t>din</w:t>
            </w:r>
            <w:r>
              <w:t xml:space="preserve"> cadrul Procesului de la Berlin </w:t>
            </w:r>
            <w:r>
              <w:rPr>
                <w:b/>
                <w:i/>
              </w:rPr>
              <w:t>și să consolideze și mai mult cooperarea economică prin intermediul acestei piețe, în conformitate cu obiectivele extinderii UE</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subliniază că cooperarea regională prin intermediul pieței regionale comune este </w:t>
            </w:r>
            <w:r>
              <w:rPr>
                <w:b/>
                <w:i/>
              </w:rPr>
              <w:t>esențială</w:t>
            </w:r>
            <w:r>
              <w:t xml:space="preserve"> pentru promovarea creșterii economice; invită Bosnia și Herțegovina să ratifice rapid toate acordurile regionale de mobilitate în cadrul Procesului de la Berlin;</w:t>
            </w:r>
          </w:p>
        </w:tc>
        <w:tc>
          <w:tcPr>
            <w:tcW w:w="4876" w:type="dxa"/>
            <w:tcBorders>
              <w:top w:val="nil"/>
              <w:left w:val="nil"/>
              <w:bottom w:val="nil"/>
              <w:right w:val="nil"/>
            </w:tcBorders>
          </w:tcPr>
          <w:p>
            <w:pPr>
              <w:pStyle w:val="Normal6a"/>
            </w:pPr>
            <w:r>
              <w:t>30.</w:t>
            </w:r>
            <w:r>
              <w:tab/>
            </w:r>
            <w:r>
              <w:t xml:space="preserve">subliniază că cooperarea regională prin intermediul pieței regionale comune este </w:t>
            </w:r>
            <w:r>
              <w:rPr>
                <w:b/>
                <w:i/>
              </w:rPr>
              <w:t>un atribut benefic</w:t>
            </w:r>
            <w:r>
              <w:t xml:space="preserve"> pentru promovarea creșterii economice; invită Bosnia și Herțegovina să ratifice rapid toate acordurile regionale de mobilitate în cadrul Procesului de la Berlin;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subliniază importanța unei cooperări regionale consolidate în ceea ce privește urmărirea penală a crimelor de război prin extrădarea suspecților, precum și a cooperării dintre autoritățile judiciare și a schimbului de informații cu privire la toate aspectele formale relevante care vizează urmărirea penală;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subliniază importanța unei cooperări regionale consolidate în ceea ce privește urmărirea penală a crimelor de război prin extrădarea suspecților, precum și a cooperării dintre autoritățile judiciare și a schimbului de informații cu privire la toate aspectele formale relevante care vizează urmărirea penală;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31.</w:t>
            </w:r>
            <w:r>
              <w:tab/>
            </w:r>
            <w:r>
              <w:rPr>
                <w:b/>
                <w:i/>
              </w:rPr>
              <w:t>consideră binevenit Planul de creștere pentru Balcanii de Vest, care include și Mecanismul de reformă și creștere pentru Balcanii de Vest;</w:t>
            </w:r>
            <w:r>
              <w:t xml:space="preserve"> </w:t>
            </w:r>
            <w:r>
              <w:rPr>
                <w:b/>
                <w:i/>
              </w:rPr>
              <w:t>îndeamnă Bosnia și Herțegovina să adopte fără întârziere agenda de reformă;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consideră binevenit Planul de creștere pentru Balcanii de Vest, care include și Mecanismul de reformă și creștere pentru Balcanii de Vest; îndeamnă Bosnia și Herțegovina să adopte fără întârziere agenda de reformă;</w:t>
            </w:r>
          </w:p>
        </w:tc>
        <w:tc>
          <w:tcPr>
            <w:tcW w:w="4876" w:type="dxa"/>
            <w:tcBorders>
              <w:top w:val="nil"/>
              <w:left w:val="nil"/>
              <w:bottom w:val="nil"/>
              <w:right w:val="nil"/>
            </w:tcBorders>
          </w:tcPr>
          <w:p>
            <w:pPr>
              <w:pStyle w:val="Normal6a"/>
            </w:pPr>
            <w:r>
              <w:t>31.</w:t>
            </w:r>
            <w:r>
              <w:tab/>
            </w:r>
            <w:r>
              <w:t>consideră binevenit Planul de creștere pentru Balcanii de Vest, care include și Mecanismul de reformă și creștere pentru Balcanii de Vest</w:t>
            </w:r>
            <w:r>
              <w:rPr>
                <w:b/>
                <w:i/>
              </w:rPr>
              <w:t>, care prevede o alocare orientativă de peste 1 miliard de EUR pentru Bosnia și Herțegovina;</w:t>
            </w:r>
            <w:r>
              <w:t xml:space="preserve"> </w:t>
            </w:r>
            <w:r>
              <w:rPr>
                <w:b/>
                <w:i/>
              </w:rPr>
              <w:t>regretă că Bosnia și Herțegovina rămâne singura țară din Balcanii de Vest care nu și-a adoptat agenda de reformă și subliniază că, dacă acest lucru persistă, bugetul va fi alocat altor țări din Balcanii de Vest</w:t>
            </w:r>
            <w:r>
              <w:t xml:space="preserve">; îndeamnă Bosnia și Herțegovina să adopte fără întârziere agenda de reformă </w:t>
            </w:r>
            <w:r>
              <w:rPr>
                <w:b/>
                <w:i/>
              </w:rPr>
              <w:t>și să introducă un mecanism solid de monitorizare transparentă, incluzivă și în timp util a implementării sale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Pierre-Romain Thionnet, Jordan Bardella,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rPr>
                <w:b/>
                <w:i/>
              </w:rPr>
              <w:t>consideră binevenit</w:t>
            </w:r>
            <w:r>
              <w:t xml:space="preserve"> Planul de creștere pentru Balcanii de Vest, care include și Mecanismul de reformă și creștere pentru Balcanii de Vest; îndeamnă Bosnia și Herțegovina să adopte fără întârziere agenda de reformă;</w:t>
            </w:r>
          </w:p>
        </w:tc>
        <w:tc>
          <w:tcPr>
            <w:tcW w:w="4876" w:type="dxa"/>
            <w:tcBorders>
              <w:top w:val="nil"/>
              <w:left w:val="nil"/>
              <w:bottom w:val="nil"/>
              <w:right w:val="nil"/>
            </w:tcBorders>
          </w:tcPr>
          <w:p>
            <w:pPr>
              <w:pStyle w:val="Normal6a"/>
            </w:pPr>
            <w:r>
              <w:t>31.</w:t>
            </w:r>
            <w:r>
              <w:tab/>
            </w:r>
            <w:r>
              <w:rPr>
                <w:b/>
                <w:i/>
              </w:rPr>
              <w:t>ia act de</w:t>
            </w:r>
            <w:r>
              <w:t xml:space="preserve"> Planul de creștere pentru Balcanii de Vest, care include și Mecanismul de reformă și creștere pentru Balcanii de Vest; îndeamnă Bosnia și Herțegovina să adopte fără întârziere agenda de reformă; </w:t>
            </w:r>
            <w:r>
              <w:rPr>
                <w:b/>
                <w:i/>
              </w:rPr>
              <w:t>constată totuși cu îngrijorare că nu a fost efectuată nicio evaluare a impactului înainte de adoptarea planului, ceea ce contravine cerințelor Acordului interinstituțional din 13 aprilie 2016 privind o mai bună legiferare.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consideră binevenit Planul de creștere pentru Balcanii de Vest, care include și Mecanismul de reformă și creștere pentru Balcanii de Vest; îndeamnă Bosnia și Herțegovina să adopte fără întârziere agenda de reformă;</w:t>
            </w:r>
          </w:p>
        </w:tc>
        <w:tc>
          <w:tcPr>
            <w:tcW w:w="4876" w:type="dxa"/>
            <w:tcBorders>
              <w:top w:val="nil"/>
              <w:left w:val="nil"/>
              <w:bottom w:val="nil"/>
              <w:right w:val="nil"/>
            </w:tcBorders>
          </w:tcPr>
          <w:p>
            <w:pPr>
              <w:pStyle w:val="Normal6a"/>
            </w:pPr>
            <w:r>
              <w:t>31.</w:t>
            </w:r>
            <w:r>
              <w:tab/>
            </w:r>
            <w:r>
              <w:t xml:space="preserve">consideră binevenit Planul de creștere pentru Balcanii de Vest, care include și Mecanismul de reformă și creștere pentru Balcanii de Vest; îndeamnă Bosnia și Herțegovina să adopte fără întârziere agenda de reformă; </w:t>
            </w:r>
            <w:r>
              <w:rPr>
                <w:b/>
                <w:i/>
              </w:rPr>
              <w:t>subliniază că trebuie acordată prioritate domeniilor-cheie, cum ar fi administrația publică, statul de drept, combaterea corupției, decarbonizarea, digitalizarea, conectivitatea și dezvoltarea capitalului uman, abordând în același timp provocările sociale;</w:t>
            </w:r>
            <w:r>
              <w:t xml:space="preserve"> </w:t>
            </w:r>
            <w:r>
              <w:rPr>
                <w:b/>
                <w:i/>
              </w:rPr>
              <w:t>cere să se adopte politici de calitate în domeniul ocupării forței de muncă și să se promoveze coeziunea socială ascendentă;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consideră binevenit Planul de creștere pentru Balcanii de Vest, care include și Mecanismul de reformă și creștere pentru Balcanii de Vest; îndeamnă </w:t>
            </w:r>
            <w:r>
              <w:rPr>
                <w:b/>
                <w:i/>
              </w:rPr>
              <w:t>Bosnia și Herțegovina să adopte</w:t>
            </w:r>
            <w:r>
              <w:t xml:space="preserve"> fără întârziere </w:t>
            </w:r>
            <w:r>
              <w:rPr>
                <w:b/>
                <w:i/>
              </w:rPr>
              <w:t>agenda</w:t>
            </w:r>
            <w:r>
              <w:t xml:space="preserve"> de reformă;</w:t>
            </w:r>
          </w:p>
        </w:tc>
        <w:tc>
          <w:tcPr>
            <w:tcW w:w="4876" w:type="dxa"/>
            <w:tcBorders>
              <w:top w:val="nil"/>
              <w:left w:val="nil"/>
              <w:bottom w:val="nil"/>
              <w:right w:val="nil"/>
            </w:tcBorders>
          </w:tcPr>
          <w:p>
            <w:pPr>
              <w:pStyle w:val="Normal6a"/>
            </w:pPr>
            <w:r>
              <w:t>31.</w:t>
            </w:r>
            <w:r>
              <w:tab/>
            </w:r>
            <w:r>
              <w:t xml:space="preserve">consideră binevenit Planul de creștere pentru Balcanii de Vest, care include și Mecanismul de reformă și creștere pentru Balcanii de Vest; îndeamnă </w:t>
            </w:r>
            <w:r>
              <w:rPr>
                <w:b/>
                <w:i/>
              </w:rPr>
              <w:t>Consiliul de Miniștri și cantoanele Bosniei și Herțegovinei să deblocheze</w:t>
            </w:r>
            <w:r>
              <w:t xml:space="preserve"> fără întârziere </w:t>
            </w:r>
            <w:r>
              <w:rPr>
                <w:b/>
                <w:i/>
              </w:rPr>
              <w:t>adoptarea agendei de reformă;</w:t>
            </w:r>
            <w:r>
              <w:t xml:space="preserve"> </w:t>
            </w:r>
            <w:r>
              <w:rPr>
                <w:b/>
                <w:i/>
              </w:rPr>
              <w:t>invită UE să fie mai fermă și să îi identifice pe cei care blochează adoptarea agendei de reformă și care împiedică astfel accesul Bosniei și Herțegovinei la fondurile Mecanismului</w:t>
            </w:r>
            <w:r>
              <w:t xml:space="preserve"> de reformă </w:t>
            </w:r>
            <w:r>
              <w:rPr>
                <w:b/>
                <w:i/>
              </w:rPr>
              <w:t>și creștere pentru Balcanii de Vest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Davor Ivo Stier, Karlo Ressler, Željana Zovko, Nikolina Brnjac, Tomislav Sokol, Sunčana Glavak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consideră binevenit Planul de creștere pentru Balcanii de Vest, care include și Mecanismul de reformă și creștere pentru Balcanii de Vest; îndeamnă Bosnia și Herțegovina să adopte fără întârziere agenda de reformă;</w:t>
            </w:r>
          </w:p>
        </w:tc>
        <w:tc>
          <w:tcPr>
            <w:tcW w:w="4876" w:type="dxa"/>
            <w:tcBorders>
              <w:top w:val="nil"/>
              <w:left w:val="nil"/>
              <w:bottom w:val="nil"/>
              <w:right w:val="nil"/>
            </w:tcBorders>
          </w:tcPr>
          <w:p>
            <w:pPr>
              <w:pStyle w:val="Normal6a"/>
            </w:pPr>
            <w:r>
              <w:t>31.</w:t>
            </w:r>
            <w:r>
              <w:tab/>
            </w:r>
            <w:r>
              <w:t xml:space="preserve">consideră binevenit Planul de creștere pentru Balcanii de Vest, care include și Mecanismul de reformă și creștere pentru Balcanii de Vest; îndeamnă Bosnia și Herțegovina să adopte fără întârziere agenda de reformă; </w:t>
            </w:r>
            <w:r>
              <w:rPr>
                <w:b/>
                <w:i/>
              </w:rPr>
              <w:t>invită Comisia să exploreze modalități de cooperare cu autoritățile regionale interesate și angajate, utilizând Mecanismul de reformă și creștere, chiar înainte de adoptarea agendei de reformă la nivel de stat;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consideră binevenit Planul de creștere pentru Balcanii de Vest, care include și Mecanismul de reformă și creștere pentru Balcanii de Vest; îndeamnă Bosnia și Herțegovina să adopte fără întârziere agenda de reformă;</w:t>
            </w:r>
          </w:p>
        </w:tc>
        <w:tc>
          <w:tcPr>
            <w:tcW w:w="4876" w:type="dxa"/>
            <w:tcBorders>
              <w:top w:val="nil"/>
              <w:left w:val="nil"/>
              <w:bottom w:val="nil"/>
              <w:right w:val="nil"/>
            </w:tcBorders>
          </w:tcPr>
          <w:p>
            <w:pPr>
              <w:pStyle w:val="Normal6a"/>
            </w:pPr>
            <w:r>
              <w:t>31.</w:t>
            </w:r>
            <w:r>
              <w:tab/>
            </w:r>
            <w:r>
              <w:t xml:space="preserve">consideră binevenit Planul de creștere pentru Balcanii de Vest, care include și Mecanismul de reformă și creștere pentru Balcanii de Vest; îndeamnă Bosnia și Herțegovina să adopte fără întârziere agenda de reformă; </w:t>
            </w:r>
            <w:r>
              <w:rPr>
                <w:b/>
                <w:i/>
              </w:rPr>
              <w:t>consideră că adoptarea oportunităților oferite de planul de creștere ar consolida economia Bosniei și Herțegovinei;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reamintește că fondurile UE pentru proiecte în entitatea RS ar trebui să rămână înghețate până când entitatea RS va abandona calea nedemocratică pe care a apucat-o și se va alinia întru totul cu PESC;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31b.</w:t>
            </w:r>
            <w:r>
              <w:tab/>
            </w:r>
            <w:r>
              <w:rPr>
                <w:b/>
                <w:i/>
              </w:rPr>
              <w:t>invită autoritățile să reducă riscul de excluziune socială și de sărăcie, îmbunătățind accesul la servicii sociale, locuințe, de educație și de asistență medicală, în special pentru persoanele rome și din comunitățile LGBTQI+, dar și pentru alte minorități și grupuri vulnerabile;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31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31c.</w:t>
            </w:r>
            <w:r>
              <w:tab/>
            </w:r>
            <w:r>
              <w:rPr>
                <w:b/>
                <w:i/>
              </w:rPr>
              <w:t>încurajează instituțiile UE să colaboreze cu societatea civilă și cu experții pentru a dezvolta modalități de a face ca protecția sănătății și protecția socială să devină flexibilă și portabilă, pentru a asigura egalitatea și mobilitatea în Bosnia și Herțegovina;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32.</w:t>
            </w:r>
            <w:r>
              <w:tab/>
            </w:r>
            <w:r>
              <w:rPr>
                <w:b/>
                <w:i/>
              </w:rPr>
              <w:t>încurajează Bosnia și Herțegovina să utilizeze în mod optim întregul sprijin financiar furnizat de UE;</w:t>
            </w:r>
            <w:r>
              <w:t xml:space="preserve"> </w:t>
            </w:r>
            <w:r>
              <w:rPr>
                <w:b/>
                <w:i/>
              </w:rPr>
              <w:t>invită Comisia să ofere în continuare asistență financiară și tehnică pentru integrarea Bosniei și Herțegovinei în UE pe baza unei condiționalități stricte;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încurajează Bosnia și Herțegovina să utilizeze în mod optim întregul sprijin financiar furnizat de UE; invită Comisia să ofere în continuare asistență financiară și tehnică pentru integrarea Bosniei și Herțegovinei în UE pe baza unei condiționalități </w:t>
            </w:r>
            <w:r>
              <w:rPr>
                <w:b/>
                <w:i/>
              </w:rPr>
              <w:t>stricte</w:t>
            </w:r>
            <w:r>
              <w:t>;</w:t>
            </w:r>
          </w:p>
        </w:tc>
        <w:tc>
          <w:tcPr>
            <w:tcW w:w="4876" w:type="dxa"/>
            <w:tcBorders>
              <w:top w:val="nil"/>
              <w:left w:val="nil"/>
              <w:bottom w:val="nil"/>
              <w:right w:val="nil"/>
            </w:tcBorders>
          </w:tcPr>
          <w:p>
            <w:pPr>
              <w:pStyle w:val="Normal6a"/>
            </w:pPr>
            <w:r>
              <w:t>32.</w:t>
            </w:r>
            <w:r>
              <w:tab/>
            </w:r>
            <w:r>
              <w:t xml:space="preserve">încurajează Bosnia și Herțegovina să utilizeze în mod optim întregul sprijin financiar furnizat de UE; invită Comisia să ofere în continuare asistență financiară și tehnică pentru integrarea Bosniei și Herțegovinei în UE pe baza unei condiționalități </w:t>
            </w:r>
            <w:r>
              <w:rPr>
                <w:b/>
                <w:i/>
              </w:rPr>
              <w:t>clar definite;</w:t>
            </w:r>
            <w:r>
              <w:t xml:space="preserve"> </w:t>
            </w:r>
            <w:r>
              <w:rPr>
                <w:b/>
                <w:i/>
              </w:rPr>
              <w:t>consideră că finanțarea europeană ar trebui în general să sprijine mai bine reformele democratice ale țării;</w:t>
            </w:r>
            <w:r>
              <w:t xml:space="preserve"> </w:t>
            </w:r>
            <w:r>
              <w:rPr>
                <w:b/>
                <w:i/>
              </w:rPr>
              <w:t>în acest context, cere ca fondurile UE corespunzătoare să fie reprogramate, astfel încât mai multe fonduri să fie redirecționate către sprijinul pentru asistența tehnică în absorbirea fondurilor și pentru reformele judiciare și măsurile de combatere a corupției;</w:t>
            </w:r>
            <w:r>
              <w:t xml:space="preserve"> </w:t>
            </w:r>
            <w:r>
              <w:rPr>
                <w:b/>
                <w:i/>
              </w:rPr>
              <w:t>mai mult, invită UE și țările din Balcanii de Vest să stabilească un cadru pentru cooperarea fructuoasă între Parchetul European (EPPO) și instituțiile respective din Balcanii de Vest, pentru a se asigura că EPPO își poate exercita efectiv competențele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încurajează Bosnia și Herțegovina să utilizeze în mod optim întregul sprijin financiar furnizat de UE; invită Comisia să ofere în continuare asistență financiară și tehnică pentru integrarea Bosniei și Herțegovinei în UE pe baza unei condiționalități stricte;</w:t>
            </w:r>
          </w:p>
        </w:tc>
        <w:tc>
          <w:tcPr>
            <w:tcW w:w="4876" w:type="dxa"/>
            <w:tcBorders>
              <w:top w:val="nil"/>
              <w:left w:val="nil"/>
              <w:bottom w:val="nil"/>
              <w:right w:val="nil"/>
            </w:tcBorders>
          </w:tcPr>
          <w:p>
            <w:pPr>
              <w:pStyle w:val="Normal6a"/>
            </w:pPr>
            <w:r>
              <w:t>32.</w:t>
            </w:r>
            <w:r>
              <w:tab/>
            </w:r>
            <w:r>
              <w:t xml:space="preserve">încurajează Bosnia și Herțegovina să utilizeze în mod optim întregul sprijin financiar furnizat de UE; invită Comisia să ofere în continuare asistență financiară și tehnică pentru integrarea Bosniei și Herțegovinei în UE pe baza unei condiționalități stricte </w:t>
            </w:r>
            <w:r>
              <w:rPr>
                <w:b/>
                <w:i/>
              </w:rPr>
              <w:t>și o monitorizare amănunțită a cheltuielilor și a rezultatelor, în conformitate cu obiectivele Uniunii de gestionare bugetară eficientă și responsabilă</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32 – subpunctul 1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își exprimă îngrijorarea cu privire la tendințele democratice extrem de negative din țară, determinate în special de numărul mare de tineri care părăsesc țara, și subliniază importanța adoptării urgente a unor măsuri suplimentare pentru a aborda această provocare;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invită, în acest context, UE și țările din Balcanii de Vest să stabilească un cadru pentru o cooperare eficientă între Parchetul European (EPPO) și țările candidate;</w:t>
            </w:r>
            <w:r>
              <w:t xml:space="preserve"> </w:t>
            </w:r>
            <w:r>
              <w:rPr>
                <w:b/>
                <w:i/>
              </w:rPr>
              <w:t>încurajează Bosnia și Herțegovina să încheie rapid acorduri de lucru bilaterale cu EPPO pentru a facilita cooperarea strânsă și urmărirea penală a cazurilor de utilizare abuzivă a fondurilor UE, inclusiv prin detașarea unor ofițeri naționali de legătură la EPPO;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invită autoritățile relevante din Bosnia și Herțegovina să finalizeze și să adopte Garanția pentru tineret pentru a îmbunătăți accesul tinerilor la locuri de muncă, educație, formare și ucenicie, pentru a aborda șomajul ridicat în rândul tinerilor și necorelarea competențelor, precum și pentru a promova incluziunea socială și a reduce exodul creierelor;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Davor Ivo Stier, Sunčana Glavak, Karlo Ressler, Željana Zovko, Nikolina Brnjac, 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cere să se consolideze capacitatea autorităților locale și regionale de introduce reforme socioeconomice și de a gestiona proiectele cofinanțate din fondurile UE, în vederea creșterii absorbției și a reducerii disparităților regionale;</w:t>
            </w:r>
          </w:p>
        </w:tc>
      </w:tr>
    </w:tbl>
    <w:p>
      <w:pPr>
        <w:pStyle w:val="AmOrLang"/>
      </w:pPr>
      <w:r>
        <w:t xml:space="preserve">Or. </w:t>
      </w:r>
      <w:r>
        <w:rPr>
          <w:rStyle w:val="HideTWBExt"/>
        </w:rPr>
        <w:t>&lt;Original&gt;</w:t>
      </w:r>
      <w:r>
        <w:rPr>
          <w:rStyle w:val="HideTWBInt"/>
        </w:rPr>
        <w:t>{HR}</w:t>
      </w:r>
      <w:r>
        <w:t>hr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subliniază că trebuie abordate provocările sociale, asigurate politici de ocupare a forței de muncă de calitate, trebuie promovată coeziunea socială ascendentă și convergența către standardele Uniunii și trebuie sprijinite progresele în direcția Pilonului european al drepturilor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solicită numirea rapidă a coordonatorului IPA III și regretă distribuția regională inegală a fondurilor IPA III în Bosnia și Herțegovina;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32b.</w:t>
            </w:r>
            <w:r>
              <w:tab/>
            </w:r>
            <w:r>
              <w:rPr>
                <w:b/>
                <w:i/>
              </w:rPr>
              <w:t>subliniază neconcordanța dintre sistemul de învățământ și nevoile pieței muncii;</w:t>
            </w:r>
            <w:r>
              <w:t xml:space="preserve"> </w:t>
            </w:r>
            <w:r>
              <w:rPr>
                <w:b/>
                <w:i/>
              </w:rPr>
              <w:t>subliniază efectele negative ale continuării exodului creierelor asupra economiei Bosniei și Herțegovinei;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Subtitlul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Energia, mediul, dezvoltarea</w:t>
            </w:r>
            <w:r>
              <w:t xml:space="preserve"> sustenabilă și </w:t>
            </w:r>
            <w:r>
              <w:rPr>
                <w:b/>
                <w:i/>
              </w:rPr>
              <w:t>conectivitatea</w:t>
            </w:r>
          </w:p>
        </w:tc>
        <w:tc>
          <w:tcPr>
            <w:tcW w:w="4876" w:type="dxa"/>
            <w:tcBorders>
              <w:top w:val="nil"/>
              <w:left w:val="nil"/>
              <w:bottom w:val="nil"/>
              <w:right w:val="nil"/>
            </w:tcBorders>
          </w:tcPr>
          <w:p>
            <w:pPr>
              <w:pStyle w:val="Normal6a"/>
            </w:pPr>
            <w:r>
              <w:rPr>
                <w:b/>
                <w:i/>
              </w:rPr>
              <w:t>Energie, mediu, biodiversitate, dezvoltare</w:t>
            </w:r>
            <w:r>
              <w:t xml:space="preserve"> sustenabilă și </w:t>
            </w:r>
            <w:r>
              <w:rPr>
                <w:b/>
                <w:i/>
              </w:rPr>
              <w:t>conectivitate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32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32b.</w:t>
            </w:r>
            <w:r>
              <w:tab/>
            </w:r>
            <w:r>
              <w:rPr>
                <w:b/>
                <w:i/>
              </w:rPr>
              <w:t>regretă că îmbunătățirea și progresele sustenabile în acest domeniu sunt, de asemenea, împiedicate de structura de guvernare și de o lipsă acută de strategii la nivel național în toate domeniile și la toate nivelurile;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rPr>
                <w:b/>
                <w:i/>
              </w:rPr>
              <w:t>încurajează</w:t>
            </w:r>
            <w:r>
              <w:t xml:space="preserve"> Bosnia și Herțegovina </w:t>
            </w:r>
            <w:r>
              <w:rPr>
                <w:b/>
                <w:i/>
              </w:rPr>
              <w:t>să accelereze diversificarea surselor de energie, în special în ceea ce privește dependența de gaze naturale de Rusia, consolidând în același timp securitatea și eficiența</w:t>
            </w:r>
            <w:r>
              <w:t xml:space="preserve"> energetică</w:t>
            </w:r>
            <w:r>
              <w:rPr>
                <w:b/>
                <w:i/>
              </w:rPr>
              <w:t>, cuplarea cu piața europeană și tranziția către surse regenerabile de energie</w:t>
            </w:r>
            <w:r>
              <w:t>;</w:t>
            </w:r>
          </w:p>
        </w:tc>
        <w:tc>
          <w:tcPr>
            <w:tcW w:w="4876" w:type="dxa"/>
            <w:tcBorders>
              <w:top w:val="nil"/>
              <w:left w:val="nil"/>
              <w:bottom w:val="nil"/>
              <w:right w:val="nil"/>
            </w:tcBorders>
          </w:tcPr>
          <w:p>
            <w:pPr>
              <w:pStyle w:val="Normal6a"/>
            </w:pPr>
            <w:r>
              <w:t>33.</w:t>
            </w:r>
            <w:r>
              <w:tab/>
            </w:r>
            <w:r>
              <w:rPr>
                <w:b/>
                <w:i/>
              </w:rPr>
              <w:t>subliniază că</w:t>
            </w:r>
            <w:r>
              <w:t xml:space="preserve"> Bosnia și Herțegovina </w:t>
            </w:r>
            <w:r>
              <w:rPr>
                <w:b/>
                <w:i/>
              </w:rPr>
              <w:t>este liberă să urmărească o politică</w:t>
            </w:r>
            <w:r>
              <w:t xml:space="preserve"> energetică </w:t>
            </w:r>
            <w:r>
              <w:rPr>
                <w:b/>
                <w:i/>
              </w:rPr>
              <w:t>independentă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António Tânger Corrêa,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încurajează Bosnia și Herțegovina să </w:t>
            </w:r>
            <w:r>
              <w:rPr>
                <w:b/>
                <w:i/>
              </w:rPr>
              <w:t>accelereze diversificarea surselor</w:t>
            </w:r>
            <w:r>
              <w:t xml:space="preserve"> de energie, </w:t>
            </w:r>
            <w:r>
              <w:rPr>
                <w:b/>
                <w:i/>
              </w:rPr>
              <w:t>în special în ceea ce privește dependența de gaze naturale de Rusia,</w:t>
            </w:r>
            <w:r>
              <w:t xml:space="preserve"> consolidând în același timp securitatea și eficiența energetică, </w:t>
            </w:r>
            <w:r>
              <w:rPr>
                <w:b/>
                <w:i/>
              </w:rPr>
              <w:t>cuplarea</w:t>
            </w:r>
            <w:r>
              <w:t xml:space="preserve"> cu piața europeană </w:t>
            </w:r>
            <w:r>
              <w:rPr>
                <w:b/>
                <w:i/>
              </w:rPr>
              <w:t>și tranziția către surse regenerabile de energie</w:t>
            </w:r>
            <w:r>
              <w:t>;</w:t>
            </w:r>
          </w:p>
        </w:tc>
        <w:tc>
          <w:tcPr>
            <w:tcW w:w="4876" w:type="dxa"/>
            <w:tcBorders>
              <w:top w:val="nil"/>
              <w:left w:val="nil"/>
              <w:bottom w:val="nil"/>
              <w:right w:val="nil"/>
            </w:tcBorders>
          </w:tcPr>
          <w:p>
            <w:pPr>
              <w:pStyle w:val="Normal6a"/>
            </w:pPr>
            <w:r>
              <w:t>33.</w:t>
            </w:r>
            <w:r>
              <w:tab/>
            </w:r>
            <w:r>
              <w:t xml:space="preserve">încurajează Bosnia și Herțegovina să </w:t>
            </w:r>
            <w:r>
              <w:rPr>
                <w:b/>
                <w:i/>
              </w:rPr>
              <w:t>diversifice sursele</w:t>
            </w:r>
            <w:r>
              <w:t xml:space="preserve"> de energie, consolidând în același timp securitatea și eficiența energetică, </w:t>
            </w:r>
            <w:r>
              <w:rPr>
                <w:b/>
                <w:i/>
              </w:rPr>
              <w:t>corelându-se</w:t>
            </w:r>
            <w:r>
              <w:t xml:space="preserve"> cu piața europeană;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încurajează Bosnia și Herțegovina să </w:t>
            </w:r>
            <w:r>
              <w:rPr>
                <w:b/>
                <w:i/>
              </w:rPr>
              <w:t>accelereze diversificarea surselor de energie, în special în ceea ce privește dependența</w:t>
            </w:r>
            <w:r>
              <w:t xml:space="preserve"> de gaze </w:t>
            </w:r>
            <w:r>
              <w:rPr>
                <w:b/>
                <w:i/>
              </w:rPr>
              <w:t>naturale de Rusia, consolidând în același timp</w:t>
            </w:r>
            <w:r>
              <w:t xml:space="preserve"> securitatea și eficiența energetică</w:t>
            </w:r>
            <w:r>
              <w:rPr>
                <w:b/>
                <w:i/>
              </w:rPr>
              <w:t>, cuplarea cu</w:t>
            </w:r>
            <w:r>
              <w:t xml:space="preserve"> piața europeană și tranziția către surse regenerabile de energie;</w:t>
            </w:r>
          </w:p>
        </w:tc>
        <w:tc>
          <w:tcPr>
            <w:tcW w:w="4876" w:type="dxa"/>
            <w:tcBorders>
              <w:top w:val="nil"/>
              <w:left w:val="nil"/>
              <w:bottom w:val="nil"/>
              <w:right w:val="nil"/>
            </w:tcBorders>
          </w:tcPr>
          <w:p>
            <w:pPr>
              <w:pStyle w:val="Normal6a"/>
            </w:pPr>
            <w:r>
              <w:t>33.</w:t>
            </w:r>
            <w:r>
              <w:tab/>
            </w:r>
            <w:r>
              <w:t xml:space="preserve">încurajează Bosnia și Herțegovina să </w:t>
            </w:r>
            <w:r>
              <w:rPr>
                <w:b/>
                <w:i/>
              </w:rPr>
              <w:t>pună capăt dependenței sale de gaze naturale din Rusia, evitând, în același timp, dependența de noi infrastructuri</w:t>
            </w:r>
            <w:r>
              <w:t xml:space="preserve"> de gaze</w:t>
            </w:r>
            <w:r>
              <w:rPr>
                <w:b/>
                <w:i/>
              </w:rPr>
              <w:t>, creșterea dependenței de gaze sau crearea de active depreciate;</w:t>
            </w:r>
            <w:r>
              <w:t xml:space="preserve"> </w:t>
            </w:r>
            <w:r>
              <w:rPr>
                <w:b/>
                <w:i/>
              </w:rPr>
              <w:t>îndeamnă Bosnia și Herțegovina să își întărească</w:t>
            </w:r>
            <w:r>
              <w:t xml:space="preserve"> securitatea și eficiența energetică </w:t>
            </w:r>
            <w:r>
              <w:rPr>
                <w:b/>
                <w:i/>
              </w:rPr>
              <w:t>prin consolidarea rețelelor sale de transport și distribuție a energiei electrice, prin conectarea la</w:t>
            </w:r>
            <w:r>
              <w:t xml:space="preserve"> piața europeană și </w:t>
            </w:r>
            <w:r>
              <w:rPr>
                <w:b/>
                <w:i/>
              </w:rPr>
              <w:t>prin</w:t>
            </w:r>
            <w:r>
              <w:t xml:space="preserve"> tranziția către surse regenerabile de energie</w:t>
            </w:r>
            <w:r>
              <w:rPr>
                <w:b/>
                <w:i/>
              </w:rPr>
              <w:t>, în special către energia solară și eoliană, asigurând, în același timp, o consultare publică semnificativă și garanții efective de mediu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îndeamnă Bosnia și Herțegovina</w:t>
            </w:r>
            <w:r>
              <w:t xml:space="preserve"> să adopte </w:t>
            </w:r>
            <w:r>
              <w:rPr>
                <w:b/>
                <w:i/>
              </w:rPr>
              <w:t>planul național privind energia și clima și să pună în aplicare strategii de protecție a mediului la nivel</w:t>
            </w:r>
            <w:r>
              <w:t xml:space="preserve"> național</w:t>
            </w:r>
            <w:r>
              <w:rPr>
                <w:b/>
                <w:i/>
              </w:rPr>
              <w:t>, îmbunătățind în același timp calitatea și transparența investițiilor în domeniul mediului;</w:t>
            </w:r>
            <w:r>
              <w:t xml:space="preserve"> </w:t>
            </w:r>
            <w:r>
              <w:rPr>
                <w:b/>
                <w:i/>
              </w:rPr>
              <w:t>reiterează necesitatea unei protecții și îmbunătățiri eficace a calității aerului</w:t>
            </w:r>
            <w:r>
              <w:t>;</w:t>
            </w:r>
          </w:p>
        </w:tc>
        <w:tc>
          <w:tcPr>
            <w:tcW w:w="4876" w:type="dxa"/>
            <w:tcBorders>
              <w:top w:val="nil"/>
              <w:left w:val="nil"/>
              <w:bottom w:val="nil"/>
              <w:right w:val="nil"/>
            </w:tcBorders>
          </w:tcPr>
          <w:p>
            <w:pPr>
              <w:pStyle w:val="Normal6a"/>
            </w:pPr>
            <w:r>
              <w:t>34.</w:t>
            </w:r>
            <w:r>
              <w:tab/>
            </w:r>
            <w:r>
              <w:rPr>
                <w:b/>
                <w:i/>
              </w:rPr>
              <w:t>recomandă Bosniei și Herțegovinei</w:t>
            </w:r>
            <w:r>
              <w:t xml:space="preserve"> să adopte </w:t>
            </w:r>
            <w:r>
              <w:rPr>
                <w:b/>
                <w:i/>
              </w:rPr>
              <w:t>un plan energetic</w:t>
            </w:r>
            <w:r>
              <w:t xml:space="preserve"> național </w:t>
            </w:r>
            <w:r>
              <w:rPr>
                <w:b/>
                <w:i/>
              </w:rPr>
              <w:t>eficient din punctul de vedere al costurilor și realist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îndeamnă Bosnia și Herțegovina să adopte </w:t>
            </w:r>
            <w:r>
              <w:rPr>
                <w:b/>
                <w:i/>
              </w:rPr>
              <w:t>planul național privind energia și clima și să pună în aplicare</w:t>
            </w:r>
            <w:r>
              <w:t xml:space="preserve"> strategii de protecție a mediului la nivel național, îmbunătățind în același timp calitatea și transparența investițiilor în domeniul mediului; reiterează necesitatea unei protecții și îmbunătățiri eficace a calității aerului;</w:t>
            </w:r>
          </w:p>
        </w:tc>
        <w:tc>
          <w:tcPr>
            <w:tcW w:w="4876" w:type="dxa"/>
            <w:tcBorders>
              <w:top w:val="nil"/>
              <w:left w:val="nil"/>
              <w:bottom w:val="nil"/>
              <w:right w:val="nil"/>
            </w:tcBorders>
          </w:tcPr>
          <w:p>
            <w:pPr>
              <w:pStyle w:val="Normal6a"/>
            </w:pPr>
            <w:r>
              <w:t>34.</w:t>
            </w:r>
            <w:r>
              <w:tab/>
            </w:r>
            <w:r>
              <w:t>îndeamnă Bosnia și Herțegovina să adopte strategii de protecție a mediului la nivel național, îmbunătățind în același timp calitatea și transparența investițiilor în domeniul mediului; reiterează necesitatea unei protecții și îmbunătățiri eficace a calității aerului;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Giorgos Georgiou, Merja Kyllönen</w:t>
      </w:r>
      <w:r>
        <w:rPr>
          <w:rStyle w:val="HideTWBExt"/>
          <w:b w:val="0"/>
        </w:rPr>
        <w:t>&lt;/Members&gt;</w:t>
      </w:r>
    </w:p>
    <w:p>
      <w:r>
        <w:rPr>
          <w:rStyle w:val="HideTWBExt"/>
          <w:b w:val="0"/>
        </w:rPr>
        <w:t>&lt;AuNomDe&gt;</w:t>
      </w:r>
      <w:r>
        <w:rPr>
          <w:rStyle w:val="HideTWBInt"/>
        </w:rPr>
        <w:t>{The Left}</w:t>
      </w:r>
      <w:r>
        <w:t>în numele Grupului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îndeamnă Bosnia și Herțegovina să adopte planul național privind energia și clima și să pună în aplicare strategii de protecție a mediului la nivel național, îmbunătățind în același timp calitatea și transparența investițiilor în domeniul mediului; reiterează necesitatea unei protecții și îmbunătățiri eficace a calității aerului;</w:t>
            </w:r>
          </w:p>
        </w:tc>
        <w:tc>
          <w:tcPr>
            <w:tcW w:w="4876" w:type="dxa"/>
            <w:tcBorders>
              <w:top w:val="nil"/>
              <w:left w:val="nil"/>
              <w:bottom w:val="nil"/>
              <w:right w:val="nil"/>
            </w:tcBorders>
          </w:tcPr>
          <w:p>
            <w:pPr>
              <w:pStyle w:val="Normal6a"/>
            </w:pPr>
            <w:r>
              <w:t>34.</w:t>
            </w:r>
            <w:r>
              <w:tab/>
            </w:r>
            <w:r>
              <w:t xml:space="preserve">îndeamnă Bosnia și Herțegovina să adopte planul național privind energia și clima și să pună în aplicare strategii de protecție a mediului la nivel național, îmbunătățind în același timp calitatea și transparența investițiilor în domeniul mediului; reiterează necesitatea unei protecții și îmbunătățiri eficace a calității aerului; </w:t>
            </w:r>
            <w:r>
              <w:rPr>
                <w:b/>
                <w:i/>
              </w:rPr>
              <w:t>cere să se facă o tranziție verde accelerată și incluzivă social, aliniată la Agenda verde 2020 și la Acordul de la Paris, asigurându-se că nevoile grupurilor vulnerabile sunt protejate pe tot parcursul procesului;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António Tânger Corrêa,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îndeamnă Bosnia și Herțegovina să adopte </w:t>
            </w:r>
            <w:r>
              <w:rPr>
                <w:b/>
                <w:i/>
              </w:rPr>
              <w:t>planul național privind energia și clima</w:t>
            </w:r>
            <w:r>
              <w:t xml:space="preserve"> și să pună în aplicare strategii de protecție a mediului la nivel național</w:t>
            </w:r>
            <w:r>
              <w:rPr>
                <w:b/>
                <w:i/>
              </w:rPr>
              <w:t>, îmbunătățind în același timp calitatea și transparența investițiilor în domeniul mediului</w:t>
            </w:r>
            <w:r>
              <w:t>; reiterează necesitatea unei protecții și îmbunătățiri eficace a calității aerului;</w:t>
            </w:r>
          </w:p>
        </w:tc>
        <w:tc>
          <w:tcPr>
            <w:tcW w:w="4876" w:type="dxa"/>
            <w:tcBorders>
              <w:top w:val="nil"/>
              <w:left w:val="nil"/>
              <w:bottom w:val="nil"/>
              <w:right w:val="nil"/>
            </w:tcBorders>
          </w:tcPr>
          <w:p>
            <w:pPr>
              <w:pStyle w:val="Normal6a"/>
            </w:pPr>
            <w:r>
              <w:t>34.</w:t>
            </w:r>
            <w:r>
              <w:tab/>
            </w:r>
            <w:r>
              <w:t>Îndeamnă Bosnia și Herțegovina să adopte și să pună în aplicare strategii de protecție a mediului la nivel național; reiterează necesitatea unei protecții și îmbunătățiri eficace a calității aerului;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îndeamnă Bosnia și Herțegovina să adopte planul național privind energia și clima și să pună în aplicare strategii de protecție a mediului la nivel național, îmbunătățind în același timp calitatea și transparența investițiilor </w:t>
            </w:r>
            <w:r>
              <w:rPr>
                <w:b/>
                <w:i/>
              </w:rPr>
              <w:t>în domeniul mediului</w:t>
            </w:r>
            <w:r>
              <w:t>; reiterează necesitatea unei protecții și îmbunătățiri eficace a calității aerului;</w:t>
            </w:r>
          </w:p>
        </w:tc>
        <w:tc>
          <w:tcPr>
            <w:tcW w:w="4876" w:type="dxa"/>
            <w:tcBorders>
              <w:top w:val="nil"/>
              <w:left w:val="nil"/>
              <w:bottom w:val="nil"/>
              <w:right w:val="nil"/>
            </w:tcBorders>
          </w:tcPr>
          <w:p>
            <w:pPr>
              <w:pStyle w:val="Normal6a"/>
            </w:pPr>
            <w:r>
              <w:t>34.</w:t>
            </w:r>
            <w:r>
              <w:tab/>
            </w:r>
            <w:r>
              <w:t xml:space="preserve">îndeamnă Bosnia și Herțegovina să adopte planul </w:t>
            </w:r>
            <w:r>
              <w:rPr>
                <w:b/>
                <w:i/>
              </w:rPr>
              <w:t>său</w:t>
            </w:r>
            <w:r>
              <w:t xml:space="preserve"> național privind energia și clima </w:t>
            </w:r>
            <w:r>
              <w:rPr>
                <w:b/>
                <w:i/>
              </w:rPr>
              <w:t>îndelung așteptat</w:t>
            </w:r>
            <w:r>
              <w:t xml:space="preserve"> și să pună în aplicare strategii de protecție a mediului la nivel național, </w:t>
            </w:r>
            <w:r>
              <w:rPr>
                <w:b/>
                <w:i/>
              </w:rPr>
              <w:t>inclusiv prin protejarea din punct de vedere legal a site-urilor de smarald candidate nominalizate, îmbunătățirea caracterului adecvat al rețelei sale de smarald și asigurarea punerii în aplicare deplină a directivelor-cadru privind habitatele, păsările și apă,</w:t>
            </w:r>
            <w:r>
              <w:t xml:space="preserve"> îmbunătățind în același timp calitatea și transparența investițiilor </w:t>
            </w:r>
            <w:r>
              <w:rPr>
                <w:b/>
                <w:i/>
              </w:rPr>
              <w:t>de mediu</w:t>
            </w:r>
            <w:r>
              <w:t xml:space="preserve">; reiterează necesitatea unei protecții și îmbunătățiri eficace a calității aerului </w:t>
            </w:r>
            <w:r>
              <w:rPr>
                <w:b/>
                <w:i/>
              </w:rPr>
              <w:t>și a apei, precum și necesitatea unor sancțiuni eficiente, proporționale și disuasive pentru încălcarea legislației din domeniul mediului, inclusiv a angajamentelor privind poluarea aerului asumate în temeiul Tratatului de instituire a Comunității Energiei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îndeamnă Bosnia și Herțegovina să adopte planul național privind energia și clima și să pună în aplicare strategii de protecție a mediului la nivel național, îmbunătățind în același timp calitatea și transparența investițiilor în domeniul mediului; reiterează necesitatea unei protecții și îmbunătățiri eficace a calității aerului;</w:t>
            </w:r>
          </w:p>
        </w:tc>
        <w:tc>
          <w:tcPr>
            <w:tcW w:w="4876" w:type="dxa"/>
            <w:tcBorders>
              <w:top w:val="nil"/>
              <w:left w:val="nil"/>
              <w:bottom w:val="nil"/>
              <w:right w:val="nil"/>
            </w:tcBorders>
          </w:tcPr>
          <w:p>
            <w:pPr>
              <w:pStyle w:val="Normal6a"/>
            </w:pPr>
            <w:r>
              <w:t>34.</w:t>
            </w:r>
            <w:r>
              <w:tab/>
            </w:r>
            <w:r>
              <w:t xml:space="preserve">îndeamnă Bosnia și Herțegovina să adopte planul național privind energia și clima și să pună în aplicare strategii de protecție a mediului la nivel național, îmbunătățind în același timp calitatea și transparența investițiilor în domeniul mediului; reiterează necesitatea unei protecții și îmbunătățiri eficace a calității aerului; </w:t>
            </w:r>
            <w:r>
              <w:rPr>
                <w:b/>
                <w:i/>
              </w:rPr>
              <w:t>constată că progresele în domeniul protecției mediului și a climei, precum și alinierea la standardele UE au rămas la un nivel scăzut;</w:t>
            </w:r>
            <w:r>
              <w:t xml:space="preserve"> </w:t>
            </w:r>
            <w:r>
              <w:rPr>
                <w:b/>
                <w:i/>
              </w:rPr>
              <w:t>îndeamnă, prin urmare, autoritățile din Bosnia și Herțegovina să asigure o aliniere mai bună la standardele UE și la obiectivul în materie de politici privind protecția climei și energia;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 – subpunctul 1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îndeamnă BiH să acorde prioritate măsurilor menite să îmbunătățească competitivitatea și mediul de afaceri, îmbunătățind totodată coeziunea economică și socială, să stimuleze diversificarea economică, să promoveze tranziția digitală și tranziția verde și să încerce să rezolve problema economiei informale și a șomajului;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Željana Zovko, Sunčana Glavak, Tomislav Sokol, 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invită autoritățile din Bosnia și Herțegovina să reducă poluarea atmosferică transfrontalieră, mai ales în cazul rafinăriei de petrol de la Bosanski Brod, care le afectează calitatea vieții și sănătatea locuitorilor din Slavonski Brod, în Republica Croația;</w:t>
            </w:r>
            <w:r>
              <w:t xml:space="preserve"> </w:t>
            </w:r>
            <w:r>
              <w:rPr>
                <w:b/>
                <w:i/>
              </w:rPr>
              <w:t>reamintește că Bosnia și Herțegovina este parte semnatară a Convenției privind evaluarea impactului asupra mediului în context transfrontalier (Espoo, 1991) și își asumă obligațiile care decurg din aceasta;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cere să se elimine dispoziția din regulament referitoare la condițiile de deversare a apelor uzate în sistemele publice de canalizare și în râurile din Federația BiH, care permite în prezent poluatorilor să verse apa uzată care conține adesea metale grele în râuri, cu o supraveghere minimă, reprezentând astfel o amenințare semnificativă la adresa sănătății publice și a mediului;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subliniază nevoia de a îmbunătăți evaluările strategice de mediu (SEA) cuprinzătoare ex ante, cu implicarea semnificativă a comunităților locale vizate, a organizațiilor societății civile și a experților independenți;</w:t>
            </w:r>
            <w:r>
              <w:t xml:space="preserve"> </w:t>
            </w:r>
            <w:r>
              <w:rPr>
                <w:b/>
                <w:i/>
              </w:rPr>
              <w:t>evidențiază nevoia de a crește transparența procedurilor relevante pentru proiecte de infrastructură în sectoare sensibile la aspecte ecologice;</w:t>
            </w:r>
            <w:r>
              <w:t xml:space="preserve"> </w:t>
            </w:r>
            <w:r>
              <w:rPr>
                <w:b/>
                <w:i/>
              </w:rPr>
              <w:t>subliniază că este important să se îmbunătățească integrarea perspectivei de mediu în diferite politici sectoriale;</w:t>
            </w:r>
            <w:r>
              <w:t xml:space="preserve"> </w:t>
            </w:r>
            <w:r>
              <w:rPr>
                <w:b/>
                <w:i/>
              </w:rPr>
              <w:t>invită BiH să încurajeze urmărirea penală în cazul infracțiunilor împotriva mediului;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34c.</w:t>
            </w:r>
            <w:r>
              <w:tab/>
            </w:r>
            <w:r>
              <w:rPr>
                <w:b/>
                <w:i/>
              </w:rPr>
              <w:t>își exprimă îngrijorarea cu privire la planificarea hidroelectrică, care este încă în curs de desfășurare, fără să se respecte Convenția de la Espoo;</w:t>
            </w:r>
            <w:r>
              <w:t xml:space="preserve"> </w:t>
            </w:r>
            <w:r>
              <w:rPr>
                <w:b/>
                <w:i/>
              </w:rPr>
              <w:t>îndeamnă BiH să își protejeze râurile și să împiedice construcția și dezvoltarea de centrale hidroelectrice de mici dimensiuni pe malurile acestora;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își exprimă profunda îngrijorare cu privire la impactul dăunător al activităților miniere, inclusiv al celor desfășurate de societăți străine, asupra mediului din Bosnia și Herțegovina și asupra sănătății cetățenilor săi;</w:t>
            </w:r>
            <w:r>
              <w:t xml:space="preserve"> </w:t>
            </w:r>
            <w:r>
              <w:rPr>
                <w:b/>
                <w:i/>
              </w:rPr>
              <w:t>este deosebit de alarmat de operațiunile companiei Metalele Adriatice, care au condus la niveluri periculos de ridicate de cadmiu și de alte substanțe toxice care contaminează apa în Kakani, amenințând astfel aprovizionarea cu apă a aproape 40 000 de persoane;</w:t>
            </w:r>
            <w:r>
              <w:t xml:space="preserve"> </w:t>
            </w:r>
            <w:r>
              <w:rPr>
                <w:b/>
                <w:i/>
              </w:rPr>
              <w:t>condamnă cu fermitate încercările companiei e a reduce consecințele acțiunilor sale și de a exercita presiuni sau de a reduce la tăcere apărătorii mediului care ridică aceste probleme;</w:t>
            </w:r>
            <w:r>
              <w:t xml:space="preserve"> </w:t>
            </w:r>
            <w:r>
              <w:rPr>
                <w:b/>
                <w:i/>
              </w:rPr>
              <w:t>îndeamnă compania Metalele Adriatice să publice de urgență evaluarea sa de mediu intitulată „Raport privind cercetarea în domeniul biodiversității la situl minei Rupice și al minei deschise Veovača, municipalitatea Vareš”;</w:t>
            </w:r>
            <w:r>
              <w:t xml:space="preserve"> </w:t>
            </w:r>
            <w:r>
              <w:rPr>
                <w:b/>
                <w:i/>
              </w:rPr>
              <w:t>își exprimă, de asemenea, îngrijorarea cu privire la extracția litiului lângă Lopare, în special de către compania elvețiană Arcore AG;</w:t>
            </w:r>
            <w:r>
              <w:t xml:space="preserve"> </w:t>
            </w:r>
            <w:r>
              <w:rPr>
                <w:b/>
                <w:i/>
              </w:rPr>
              <w:t>invită toate entitățile miniere care își desfășoară activitatea în Bosnia și Herțegovina să respecte pe deplin legislația națională și să plaseze protecția mediului și sănătatea publică în prim-planul operațiunilor 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34e.</w:t>
            </w:r>
            <w:r>
              <w:tab/>
            </w:r>
            <w:r>
              <w:rPr>
                <w:b/>
                <w:i/>
              </w:rPr>
              <w:t>invită autoritățile Bosniei și Herțegovinei să respecte pe deplin deciziile Convenției de la Berna privind râul Neretva și să adopte măsuri de protejare a biodiversității și a integrității sale ecologice;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 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34f.</w:t>
            </w:r>
            <w:r>
              <w:tab/>
            </w:r>
            <w:r>
              <w:rPr>
                <w:b/>
                <w:i/>
              </w:rPr>
              <w:t>subliniază necesitatea urgentă ca Federația Bosniei și Herțegovinei să adopte o lege privind pădurile echitabilă, modernă și orientată către experți, care este absentă de peste cincisprezece ani;</w:t>
            </w:r>
            <w:r>
              <w:t xml:space="preserve"> </w:t>
            </w:r>
            <w:r>
              <w:rPr>
                <w:b/>
                <w:i/>
              </w:rPr>
              <w:t>solicită, de asemenea, o mai bună protecție a pădurilor și a râurilor prin îmbunătățirea supravegherii inspecțiilor și crearea unui cadru juridic clar și strict care să permită organismelor de inspecție să funcționeze eficient, în conformitate cu standardele sistemice și de mediu;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34 g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34g.</w:t>
            </w:r>
            <w:r>
              <w:tab/>
            </w:r>
            <w:r>
              <w:rPr>
                <w:b/>
                <w:i/>
              </w:rPr>
              <w:t>invită Bosnia și Herțegovina să finalizeze și să adopte de urgență desemnarea legală a Livanjsko Polje drept peisaj protejat de categoria V, însoțită de instituirea și finanțarea adecvată a unui organism de conducere specific și a unui plan de gestionare cuprinzător, care să implice în mod activ comunitățile locale și municipalitățile printr-o participare semnificativă, formare și consolidarea capacităților pentru a asigura conservarea pe termen lung și dezvoltarea durabilă, aliniate la standardele internaționale în materie de biodiversitate și la obiectivele de mediu ale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își exprimă solidaritatea cu Bosnia și Herțegovina </w:t>
            </w:r>
            <w:r>
              <w:rPr>
                <w:b/>
                <w:i/>
              </w:rPr>
              <w:t>după inundațiile</w:t>
            </w:r>
            <w:r>
              <w:t xml:space="preserve"> devastatoare și alunecările de teren din 3-4 octombrie 2024;</w:t>
            </w:r>
          </w:p>
        </w:tc>
        <w:tc>
          <w:tcPr>
            <w:tcW w:w="4876" w:type="dxa"/>
            <w:tcBorders>
              <w:top w:val="nil"/>
              <w:left w:val="nil"/>
              <w:bottom w:val="nil"/>
              <w:right w:val="nil"/>
            </w:tcBorders>
          </w:tcPr>
          <w:p>
            <w:pPr>
              <w:pStyle w:val="Normal6a"/>
            </w:pPr>
            <w:r>
              <w:t>35.</w:t>
            </w:r>
            <w:r>
              <w:tab/>
            </w:r>
            <w:r>
              <w:t xml:space="preserve">își exprimă solidaritatea cu Bosnia și Herțegovina </w:t>
            </w:r>
            <w:r>
              <w:rPr>
                <w:b/>
                <w:i/>
              </w:rPr>
              <w:t>și toate victimele inundațiilor</w:t>
            </w:r>
            <w:r>
              <w:t xml:space="preserve"> devastatoare și alunecările de teren din 3-4 octombrie 2024; </w:t>
            </w:r>
            <w:r>
              <w:rPr>
                <w:b/>
                <w:i/>
              </w:rPr>
              <w:t>invită Federația autorităților Bosniei și Herțegovinei să sporească sprijinul acordat persoanelor afectate și să se asigure că sunt tratate toate deficiențele legate de aplicarea legii și de gestionare a pădurilor care ar fi putut exacerba catastrofa;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35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salută consolidarea din 2025 a operațiunii EUFOR Althea și îndeamnă la o prezența internațională continuă pentru a descuraja eforturile de destabilizare ale actorilor aliniați la relațiile cu țările străine;</w:t>
            </w:r>
            <w:r>
              <w:t xml:space="preserve"> </w:t>
            </w:r>
            <w:r>
              <w:rPr>
                <w:b/>
                <w:i/>
              </w:rPr>
              <w:t>încurajează o mai bună coordonare NATO-UE în ceea ce privește furnizarea de cursuri de pregătire în domeniul securității cibernetice și sprijin pentru răspunsul la amenințările hibride autorităților bosniace;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772.209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154</w:t>
    </w:r>
    <w:r>
      <w:fldChar w:fldCharType="end"/>
    </w:r>
    <w:r>
      <w:t>/</w:t>
    </w:r>
    <w:r>
      <w:fldChar w:fldCharType="begin"/>
    </w:r>
    <w:r>
      <w:instrText xml:space="preserve"> NUMPAGES </w:instrText>
    </w:r>
    <w:r>
      <w:fldChar w:fldCharType="separate"/>
    </w:r>
    <w:r>
      <w:t>154</w:t>
    </w:r>
    <w:r>
      <w:fldChar w:fldCharType="end"/>
    </w:r>
    <w:r>
      <w:tab/>
    </w:r>
    <w:r>
      <w:rPr>
        <w:rStyle w:val="HideTWBExt"/>
      </w:rPr>
      <w:t>&lt;PathFdR&gt;</w:t>
    </w:r>
    <w:r>
      <w:t>AM\1319379RO.docx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AM\1319379RO.docx</w:t>
    </w:r>
    <w:r>
      <w:rPr>
        <w:rStyle w:val="HideTWBExt"/>
      </w:rPr>
      <w:t>&lt;/PathFdR&gt;</w:t>
    </w:r>
    <w:r>
      <w:tab/>
    </w:r>
    <w:r>
      <w:fldChar w:fldCharType="begin"/>
    </w:r>
    <w:r>
      <w:instrText xml:space="preserve"> PAGE </w:instrText>
    </w:r>
    <w:r>
      <w:fldChar w:fldCharType="separate"/>
    </w:r>
    <w:r>
      <w:t>153</w:t>
    </w:r>
    <w:r>
      <w:fldChar w:fldCharType="end"/>
    </w:r>
    <w:r>
      <w:t>/</w:t>
    </w:r>
    <w:r>
      <w:fldChar w:fldCharType="begin"/>
    </w:r>
    <w:r>
      <w:instrText xml:space="preserve"> NUMPAGES </w:instrText>
    </w:r>
    <w:r>
      <w:fldChar w:fldCharType="separate"/>
    </w:r>
    <w:r>
      <w:t>154</w:t>
    </w:r>
    <w:r>
      <w:fldChar w:fldCharType="end"/>
    </w:r>
    <w:r>
      <w:tab/>
    </w:r>
    <w:r>
      <w:t>PE</w:t>
    </w:r>
    <w:r>
      <w:rPr>
        <w:rStyle w:val="HideTWBExt"/>
      </w:rPr>
      <w:t>&lt;NoPE&gt;</w:t>
    </w:r>
    <w:r>
      <w:t>772.209</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AM\1319379RO.docx</w:t>
    </w:r>
    <w:r>
      <w:rPr>
        <w:rStyle w:val="HideTWBExt"/>
      </w:rPr>
      <w:t>&lt;/PathFdR&gt;</w:t>
    </w:r>
    <w:r>
      <w:tab/>
    </w:r>
    <w:r>
      <w:tab/>
    </w:r>
    <w:r>
      <w:t>PE</w:t>
    </w:r>
    <w:r>
      <w:rPr>
        <w:rStyle w:val="HideTWBExt"/>
      </w:rPr>
      <w:t>&lt;NoPE&gt;</w:t>
    </w:r>
    <w:r>
      <w:t>772.209</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154</Pages>
  <Words>30813</Words>
  <Characters>187028</Characters>
  <Application>Microsoft Office Word</Application>
  <DocSecurity>0</DocSecurity>
  <Lines>1</Lines>
  <Paragraphs>2839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1319379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173758</vt:lpwstr>
  </property>
  <property fmtid="{D5CDD505-2E9C-101B-9397-08002B2CF9AE}" pid="7" name="dmxml.render.traceId">
    <vt:lpwstr>68149e394d16b3f1169a1acc9832f93f</vt:lpwstr>
  </property>
  <property fmtid="{D5CDD505-2E9C-101B-9397-08002B2CF9AE}" pid="8" name="FooterPath">
    <vt:lpwstr>AM\1319379RO.docx</vt:lpwstr>
  </property>
  <property fmtid="{D5CDD505-2E9C-101B-9397-08002B2CF9AE}" pid="9" name="PE Number">
    <vt:lpwstr>772.209</vt:lpwstr>
  </property>
  <property fmtid="{D5CDD505-2E9C-101B-9397-08002B2CF9AE}" pid="10" name="UID">
    <vt:lpwstr>eu.europa.europarl-DIN1-2025-0000083533_02.00-ro-01.00_text-xml</vt:lpwstr>
  </property>
</Properties>
</file>