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Committee on Foreign Affairs</w:t>
      </w:r>
      <w:r>
        <w:rPr>
          <w:rStyle w:val="HideTWBExt"/>
        </w:rPr>
        <w:t>&lt;/Commission&gt;</w:t>
      </w:r>
    </w:p>
    <w:p>
      <w:pPr>
        <w:pStyle w:val="LineBottom"/>
      </w:pPr>
      <w:r>
        <w:t xml:space="preserve"> </w:t>
      </w:r>
    </w:p>
    <w:p>
      <w:pPr>
        <w:pStyle w:val="CoverReference"/>
      </w:pPr>
      <w:r>
        <w:rPr>
          <w:rStyle w:val="HideTWBExt"/>
        </w:rPr>
        <w:t>&lt;RefProc&gt;</w:t>
      </w:r>
      <w:r>
        <w:t>2024/0101R</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{03/06/2025}</w:t>
      </w:r>
      <w:r>
        <w:t>3.6.2025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34</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Željana Zovko</w:t>
      </w:r>
      <w:r>
        <w:rPr>
          <w:rStyle w:val="HideTWBExt"/>
        </w:rPr>
        <w:t>&lt;/Rapporteur&gt;</w:t>
      </w:r>
    </w:p>
    <w:p>
      <w:pPr>
        <w:pStyle w:val="CoverNormal24a"/>
      </w:pPr>
      <w:r>
        <w:rPr>
          <w:rStyle w:val="HideTWBExt"/>
        </w:rPr>
        <w:t>&lt;DocRefPE&gt;</w:t>
      </w:r>
      <w:r>
        <w:t>(PE770.055v01-00)</w:t>
      </w:r>
      <w:r>
        <w:rPr>
          <w:rStyle w:val="HideTWBExt"/>
        </w:rPr>
        <w:t>&lt;/DocRefPE&gt;</w:t>
      </w:r>
    </w:p>
    <w:p>
      <w:pPr>
        <w:pStyle w:val="CoverNormal"/>
      </w:pPr>
      <w:r>
        <w:rPr>
          <w:rStyle w:val="HideTWBExt"/>
        </w:rPr>
        <w:t>&lt;Titre&gt;</w:t>
      </w:r>
      <w:r>
        <w:t>Interim report in view of the consent procedure on the Agreement establishing an association between the EU and the Principality of Andorra and the Republic of San Marino</w:t>
      </w:r>
      <w:r>
        <w:rPr>
          <w:rStyle w:val="HideTWBExt"/>
        </w:rPr>
        <w:t>&lt;/Titre&gt;</w:t>
      </w:r>
    </w:p>
    <w:p>
      <w:pPr>
        <w:pStyle w:val="CoverNormal24a"/>
      </w:pPr>
      <w:r>
        <w:rPr>
          <w:rStyle w:val="HideTWBExt"/>
        </w:rPr>
        <w:t>&lt;DocRef&gt;</w:t>
      </w:r>
      <w:r>
        <w:t>(2024/0101R(NLE))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Andorra and San Marino have a long-standing practice of supporting the European Union policy stance in the United Nations;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Monaco decided to suspend negotiations on 4 September 2023;</w:t>
            </w:r>
          </w:p>
        </w:tc>
        <w:tc>
          <w:tcPr>
            <w:tcW w:w="4876" w:type="dxa"/>
            <w:tcBorders>
              <w:top w:val="nil"/>
              <w:left w:val="nil"/>
              <w:bottom w:val="nil"/>
              <w:right w:val="nil"/>
            </w:tcBorders>
          </w:tcPr>
          <w:p>
            <w:pPr>
              <w:pStyle w:val="Normal6a"/>
            </w:pPr>
            <w:r>
              <w:t>C.</w:t>
            </w:r>
            <w:r>
              <w:tab/>
            </w:r>
            <w:r>
              <w:t>whereas</w:t>
            </w:r>
            <w:r>
              <w:rPr>
                <w:b/>
                <w:i/>
              </w:rPr>
              <w:t>, in August 2023, the EU financial supervisory authorities warned of potential money laundering risks and lax supervision in Monaco, Andorra and San Marino;</w:t>
            </w:r>
            <w:r>
              <w:t xml:space="preserve"> </w:t>
            </w:r>
            <w:r>
              <w:rPr>
                <w:b/>
                <w:i/>
              </w:rPr>
              <w:t>whereas, following this warning,</w:t>
            </w:r>
            <w:r>
              <w:t xml:space="preserve"> Monaco decided to suspend negotiations on 4 September 2023;</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Monaco decided to suspend negotiations on </w:t>
            </w:r>
            <w:r>
              <w:rPr>
                <w:b/>
                <w:i/>
              </w:rPr>
              <w:t>4</w:t>
            </w:r>
            <w:r>
              <w:t xml:space="preserve"> September 2023;</w:t>
            </w:r>
          </w:p>
        </w:tc>
        <w:tc>
          <w:tcPr>
            <w:tcW w:w="4876" w:type="dxa"/>
            <w:tcBorders>
              <w:top w:val="nil"/>
              <w:left w:val="nil"/>
              <w:bottom w:val="nil"/>
              <w:right w:val="nil"/>
            </w:tcBorders>
          </w:tcPr>
          <w:p>
            <w:pPr>
              <w:pStyle w:val="Normal6a"/>
            </w:pPr>
            <w:r>
              <w:t>C.</w:t>
            </w:r>
            <w:r>
              <w:tab/>
            </w:r>
            <w:r>
              <w:t xml:space="preserve">whereas Monaco </w:t>
            </w:r>
            <w:r>
              <w:rPr>
                <w:b/>
                <w:i/>
              </w:rPr>
              <w:t>and the EU</w:t>
            </w:r>
            <w:r>
              <w:t xml:space="preserve"> decided to suspend negotiations on </w:t>
            </w:r>
            <w:r>
              <w:rPr>
                <w:b/>
                <w:i/>
              </w:rPr>
              <w:t>14</w:t>
            </w:r>
            <w:r>
              <w:t xml:space="preserve"> September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Andorra and San Marino each have long-standing bilateral agreements with their respective neighbouring countries, which address issues of mutual concern, take into account the specificities and sensitivities of Andorra and San Marino and reflect the need to preserve the viability of such states; whereas such specificities and sensitivities have been acknowledged by the Parliamentary Assembly of the Council of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whereas the important reforms and progressive alignment with the EU legislation by Andorra as regards financial regulation should be commended; whereas Andorra was able to further intensify its move to a more diversified economy; whereas this long term process will present relevant challenges and therefore adequate protection will be required for workers in Andorra as it shifts to a more diversified economy; whereas broader access to the internal market will support economic development in the long term and will create new economic and employment opportunities in Andorra;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Highlights the fact that Andorra and San Marino are close, like-minded partners and neighbours sharing the same democratic values and many common interests with the EU, and the fact that this partnership is underpinned by close political, economic, geographical, historical, cultural, linguistic and people-to-people ties and by several cooperation agreements;</w:t>
            </w:r>
          </w:p>
        </w:tc>
        <w:tc>
          <w:tcPr>
            <w:tcW w:w="4876" w:type="dxa"/>
            <w:tcBorders>
              <w:top w:val="nil"/>
              <w:left w:val="nil"/>
              <w:bottom w:val="nil"/>
              <w:right w:val="nil"/>
            </w:tcBorders>
          </w:tcPr>
          <w:p>
            <w:pPr>
              <w:pStyle w:val="Normal6a"/>
            </w:pPr>
            <w:r>
              <w:t>2.</w:t>
            </w:r>
            <w:r>
              <w:tab/>
            </w:r>
            <w:r>
              <w:t xml:space="preserve">Highlights the fact that Andorra and San Marino are close, like-minded partners and neighbours sharing the same democratic values and many common interests with the EU, and the fact that this partnership is underpinned by close political, economic, geographical, historical, cultural, linguistic and people-to-people ties and by several cooperation agreements </w:t>
            </w:r>
            <w:r>
              <w:rPr>
                <w:b/>
                <w:i/>
              </w:rPr>
              <w:t>and by bilateral collaboration established through treaties concluded by various Member States with both countries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Highlights the fact that Andorra and San Marino are close, like-minded partners and neighbours sharing the same democratic values and many common interests with the EU, and the fact that this partnership is underpinned by close political, economic, geographical, historical, cultural, linguistic and people-to-people ties and by several cooperation agreements;</w:t>
            </w:r>
          </w:p>
        </w:tc>
        <w:tc>
          <w:tcPr>
            <w:tcW w:w="4876" w:type="dxa"/>
            <w:tcBorders>
              <w:top w:val="nil"/>
              <w:left w:val="nil"/>
              <w:bottom w:val="nil"/>
              <w:right w:val="nil"/>
            </w:tcBorders>
          </w:tcPr>
          <w:p>
            <w:pPr>
              <w:pStyle w:val="Normal6a"/>
            </w:pPr>
            <w:r>
              <w:t>2.</w:t>
            </w:r>
            <w:r>
              <w:tab/>
            </w:r>
            <w:r>
              <w:t xml:space="preserve">Highlights the fact that Andorra and San Marino are close, like-minded partners and neighbours sharing the same democratic values and </w:t>
            </w:r>
            <w:r>
              <w:rPr>
                <w:b/>
                <w:i/>
              </w:rPr>
              <w:t>Christian cultural heritage, as well as</w:t>
            </w:r>
            <w:r>
              <w:t xml:space="preserve"> many common interests with the EU, and the fact that this partnership is underpinned by close political, economic, geographical, historical, cultural, linguistic and people-to-people ties and by several cooperation agreements;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Highlights the engagement and effort of Andorra and San Marino in the Council of Europe where Human rights, rule of law and democracy are the common ground of sharing with every country of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Values Andorra and San Marino’s consistent positions, expressed through votes in the UN General Assembly, with regard to Russia’s unjustified, unprovoked and illegal war of aggression against Ukraine; welcomes their implementation of restrictive measures against Russia and their provision of humanitarian aid to Ukraine; deeply appreciates the efforts of Andorra and San Marino to host Ukrainian refugees despite the small size of their territories;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Values Andorra and San Marino’s consistent positions, expressed through votes in the UN General Assembly, with regard to Russia’s unjustified, unprovoked and illegal war of aggression against Ukraine; welcomes their implementation of restrictive measures against Russia and their provision of humanitarian aid to Ukraine; deeply appreciates the efforts of Andorra and San Marino to host Ukrainian refugees despite the small size of their territories;</w:t>
            </w:r>
          </w:p>
        </w:tc>
        <w:tc>
          <w:tcPr>
            <w:tcW w:w="4876" w:type="dxa"/>
            <w:tcBorders>
              <w:top w:val="nil"/>
              <w:left w:val="nil"/>
              <w:bottom w:val="nil"/>
              <w:right w:val="nil"/>
            </w:tcBorders>
          </w:tcPr>
          <w:p>
            <w:pPr>
              <w:pStyle w:val="Normal6a"/>
            </w:pPr>
            <w:r>
              <w:t>5.</w:t>
            </w:r>
            <w:r>
              <w:tab/>
            </w:r>
            <w:r>
              <w:t xml:space="preserve">Values Andorra and San Marino’s consistent positions, expressed through votes in the UN General Assembly, with regard to Russia’s unjustified, unprovoked and illegal war of aggression against Ukraine; </w:t>
            </w:r>
            <w:r>
              <w:rPr>
                <w:b/>
                <w:i/>
              </w:rPr>
              <w:t>strongly</w:t>
            </w:r>
            <w:r>
              <w:t xml:space="preserve"> welcomes their implementation of restrictive measures against Russia and their provision of humanitarian aid to Ukraine</w:t>
            </w:r>
            <w:r>
              <w:rPr>
                <w:b/>
                <w:i/>
              </w:rPr>
              <w:t>;</w:t>
            </w:r>
            <w:r>
              <w:t xml:space="preserve"> </w:t>
            </w:r>
            <w:r>
              <w:rPr>
                <w:b/>
                <w:i/>
              </w:rPr>
              <w:t>stresses that the restrictive measures against Russia must urgently be further strengthened</w:t>
            </w:r>
            <w:r>
              <w:t>; deeply appreciates the efforts of Andorra and San Marino to host Ukrainian refugees despite the small size of their territories;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Welcomes the conclusion of the Association Agreement between the European Union and the Republic of San Marino and the Principality of Andorra as an important step forward in significantly strengthening the mutually beneficial political and economic partnership and replacing the current customs unions between the EU and each of these countries; welcomes the fact that the Commission presented the Agreement as an EU-only agreement; highlights the fact that the Agreement is the most comprehensive one that the EU has concluded with any third country;</w:t>
            </w:r>
          </w:p>
        </w:tc>
        <w:tc>
          <w:tcPr>
            <w:tcW w:w="4876" w:type="dxa"/>
            <w:tcBorders>
              <w:top w:val="nil"/>
              <w:left w:val="nil"/>
              <w:bottom w:val="nil"/>
              <w:right w:val="nil"/>
            </w:tcBorders>
          </w:tcPr>
          <w:p>
            <w:pPr>
              <w:pStyle w:val="Normal6a"/>
            </w:pPr>
            <w:r>
              <w:t>7.</w:t>
            </w:r>
            <w:r>
              <w:tab/>
            </w:r>
            <w:r>
              <w:t xml:space="preserve">Welcomes the conclusion of the Association Agreement between the European Union and the Republic of San Marino and the Principality of Andorra as an important step forward in significantly strengthening the mutually beneficial political and economic partnership and replacing the current customs unions between the EU and each of these countries; welcomes the fact that the Commission presented the Agreement as an EU-only agreement; </w:t>
            </w:r>
            <w:r>
              <w:rPr>
                <w:b/>
                <w:i/>
              </w:rPr>
              <w:t>calls on Member States to preserve this EU-only agreement status in order to ensure swift entry into force of the agreement;</w:t>
            </w:r>
            <w:r>
              <w:t xml:space="preserve"> highlights the fact that the Agreement is the most comprehensive one that the EU has concluded with any third country;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Welcomes the conclusion of the Association Agreement between the European Union and the Republic of San Marino and the Principality of Andorra as an important step forward in significantly strengthening the mutually beneficial political and economic partnership and replacing the current customs unions between the EU and each of these countries; welcomes the fact that the Commission presented the Agreement as an EU-only agreement; highlights the fact that the Agreement is the most comprehensive one that the EU has concluded with any third country;</w:t>
            </w:r>
          </w:p>
        </w:tc>
        <w:tc>
          <w:tcPr>
            <w:tcW w:w="4876" w:type="dxa"/>
            <w:tcBorders>
              <w:top w:val="nil"/>
              <w:left w:val="nil"/>
              <w:bottom w:val="nil"/>
              <w:right w:val="nil"/>
            </w:tcBorders>
          </w:tcPr>
          <w:p>
            <w:pPr>
              <w:pStyle w:val="Normal6a"/>
            </w:pPr>
            <w:r>
              <w:t>7.</w:t>
            </w:r>
            <w:r>
              <w:tab/>
            </w:r>
            <w:r>
              <w:t xml:space="preserve">Welcomes the conclusion of the Association Agreement between the European Union and the Republic of San Marino and the Principality of Andorra as an important step forward in significantly strengthening the mutually beneficial political and economic partnership and replacing the current customs unions between the EU and each of these countries; welcomes the fact that the Commission presented the Agreement as an EU-only agreement </w:t>
            </w:r>
            <w:r>
              <w:rPr>
                <w:b/>
                <w:i/>
              </w:rPr>
              <w:t>allowing for a coordinated and expeditious ratification procedure</w:t>
            </w:r>
            <w:r>
              <w:t>; highlights the fact that the Agreement is the most comprehensive one that the EU has concluded with any third country;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Emphasises the fact that the 1990 customs agreement with Andorra and the 1991 customs agreement with San Marino have boosted the economies of these countries; considers that the new Association Agreement has the potential to further support their economic development, in particular by breaking down barriers to cross-border economic activity;</w:t>
            </w:r>
          </w:p>
        </w:tc>
        <w:tc>
          <w:tcPr>
            <w:tcW w:w="4876" w:type="dxa"/>
            <w:tcBorders>
              <w:top w:val="nil"/>
              <w:left w:val="nil"/>
              <w:bottom w:val="nil"/>
              <w:right w:val="nil"/>
            </w:tcBorders>
          </w:tcPr>
          <w:p>
            <w:pPr>
              <w:pStyle w:val="Normal6a"/>
            </w:pPr>
            <w:r>
              <w:t>8.</w:t>
            </w:r>
            <w:r>
              <w:tab/>
            </w:r>
            <w:r>
              <w:t xml:space="preserve">Emphasises the fact that the 1990 customs agreement with Andorra and the 1991 customs agreement with San Marino have boosted the economies of these countries; considers that the new Association Agreement has the potential to further support their economic development, in particular by breaking down barriers to cross-border economic activity; </w:t>
            </w:r>
            <w:r>
              <w:rPr>
                <w:b/>
                <w:i/>
              </w:rPr>
              <w:t>points out that the benefits are highly disproportionate in favour of Andorra and San Marino; stresses that the economic return or strategic advantage for EU citizens remains very limited;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Welcomes the fact that the Agreement takes into account the specific challenges faced by each country as a result of its small territorial dimensions and small population, as demanded by Parliament in its 2019 recommendation;</w:t>
            </w:r>
          </w:p>
        </w:tc>
        <w:tc>
          <w:tcPr>
            <w:tcW w:w="4876" w:type="dxa"/>
            <w:tcBorders>
              <w:top w:val="nil"/>
              <w:left w:val="nil"/>
              <w:bottom w:val="nil"/>
              <w:right w:val="nil"/>
            </w:tcBorders>
          </w:tcPr>
          <w:p>
            <w:pPr>
              <w:pStyle w:val="Normal6a"/>
            </w:pPr>
            <w:r>
              <w:t>10.</w:t>
            </w:r>
            <w:r>
              <w:tab/>
            </w:r>
            <w:r>
              <w:t xml:space="preserve">Welcomes the fact that the Agreement takes into account the specific challenges faced by each country as a result of its small territorial dimensions and small population, </w:t>
            </w:r>
            <w:r>
              <w:rPr>
                <w:b/>
                <w:i/>
              </w:rPr>
              <w:t>which will prevent the need for the two states to increase their bureaucracy substantially, which would in turn have negative implications on the available budgetary resources and public opinion</w:t>
            </w:r>
            <w:r>
              <w:t xml:space="preserve"> as demanded by Parliament in its 2019 recommendation;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Recalls that the Principality of Monaco had been officially engaged in the negotiation of an association agreement with the EU, alongside with Andorra and San Marino, since 2015; </w:t>
            </w:r>
            <w:r>
              <w:rPr>
                <w:b/>
                <w:i/>
              </w:rPr>
              <w:t>takes note of the suspension of</w:t>
            </w:r>
            <w:r>
              <w:t xml:space="preserve"> negotiations with Monaco; considers it desirable, once all the necessary conditions are met, to resume negotiations with Monaco, which remains a close, like-minded partner for the EU;</w:t>
            </w:r>
          </w:p>
        </w:tc>
        <w:tc>
          <w:tcPr>
            <w:tcW w:w="4876" w:type="dxa"/>
            <w:tcBorders>
              <w:top w:val="nil"/>
              <w:left w:val="nil"/>
              <w:bottom w:val="nil"/>
              <w:right w:val="nil"/>
            </w:tcBorders>
          </w:tcPr>
          <w:p>
            <w:pPr>
              <w:pStyle w:val="Normal6a"/>
            </w:pPr>
            <w:r>
              <w:t>11.</w:t>
            </w:r>
            <w:r>
              <w:tab/>
            </w:r>
            <w:r>
              <w:t xml:space="preserve">Recalls that the Principality of Monaco had been officially engaged in the negotiation of an association agreement with the EU, alongside with Andorra and San Marino, since 2015; </w:t>
            </w:r>
            <w:r>
              <w:rPr>
                <w:b/>
                <w:i/>
              </w:rPr>
              <w:t>notes that</w:t>
            </w:r>
            <w:r>
              <w:t xml:space="preserve"> negotiations with Monaco </w:t>
            </w:r>
            <w:r>
              <w:rPr>
                <w:b/>
                <w:i/>
              </w:rPr>
              <w:t>have been suspended following warnings from the EU financial regulators of money laundering risks and lax supervision in Monaco, Andorra and San Marino</w:t>
            </w:r>
            <w:r>
              <w:t>; considers it desirable, once all the necessary conditions are met, to resume negotiations with Monaco, which remains a close, like-minded partner for the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Recalls that the Principality of Monaco had been officially engaged in the negotiation of an association agreement with the EU, alongside with Andorra and San Marino, since 2015; takes note of the suspension of negotiations with Monaco; considers it desirable, once all the necessary conditions are met, to resume negotiations with Monaco, which remains a close, like-minded partner for the EU;</w:t>
            </w:r>
          </w:p>
        </w:tc>
        <w:tc>
          <w:tcPr>
            <w:tcW w:w="4876" w:type="dxa"/>
            <w:tcBorders>
              <w:top w:val="nil"/>
              <w:left w:val="nil"/>
              <w:bottom w:val="nil"/>
              <w:right w:val="nil"/>
            </w:tcBorders>
          </w:tcPr>
          <w:p>
            <w:pPr>
              <w:pStyle w:val="Normal6a"/>
            </w:pPr>
            <w:r>
              <w:t>11.</w:t>
            </w:r>
            <w:r>
              <w:tab/>
            </w:r>
            <w:r>
              <w:t xml:space="preserve">Recalls that the Principality of Monaco had been officially engaged in the negotiation of an association agreement with the EU, alongside with Andorra and San Marino, since 2015; takes note of the suspension of negotiations with Monaco; considers it desirable, once all the necessary conditions are met, to resume negotiations with Monaco, which remains a close, like-minded partner for the EU </w:t>
            </w:r>
            <w:r>
              <w:rPr>
                <w:b/>
                <w:i/>
              </w:rPr>
              <w:t>and which remains welcome to join the Association Agreement with Andorra and San Marino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Recalls that the Principality of Monaco had been officially engaged in the negotiation of an association agreement with the EU, alongside with Andorra and San Marino, since 2015; takes note of the suspension of negotiations with Monaco; </w:t>
            </w:r>
            <w:r>
              <w:rPr>
                <w:b/>
                <w:i/>
              </w:rPr>
              <w:t>considers it desirable, once all the necessary conditions are met, to resume</w:t>
            </w:r>
            <w:r>
              <w:t xml:space="preserve"> negotiations </w:t>
            </w:r>
            <w:r>
              <w:rPr>
                <w:b/>
                <w:i/>
              </w:rPr>
              <w:t>with Monaco, which remains a close, like-minded partner for the EU</w:t>
            </w:r>
            <w:r>
              <w:t>;</w:t>
            </w:r>
          </w:p>
        </w:tc>
        <w:tc>
          <w:tcPr>
            <w:tcW w:w="4876" w:type="dxa"/>
            <w:tcBorders>
              <w:top w:val="nil"/>
              <w:left w:val="nil"/>
              <w:bottom w:val="nil"/>
              <w:right w:val="nil"/>
            </w:tcBorders>
          </w:tcPr>
          <w:p>
            <w:pPr>
              <w:pStyle w:val="Normal6a"/>
            </w:pPr>
            <w:r>
              <w:t>11.</w:t>
            </w:r>
            <w:r>
              <w:tab/>
            </w:r>
            <w:r>
              <w:t xml:space="preserve">Recalls that the Principality of Monaco had been officially engaged in the negotiation of an association agreement with the EU, alongside with Andorra and San Marino, since 2015; takes note of the suspension of negotiations with Monaco; </w:t>
            </w:r>
            <w:r>
              <w:rPr>
                <w:b/>
                <w:i/>
              </w:rPr>
              <w:t>respects the sovereign decision of Monaco in this regard and underlines that the EU should neither interfere with nor exert pressure on Monaco regarding the possible resumption of</w:t>
            </w:r>
            <w:r>
              <w:t xml:space="preserve"> negotiations;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Notes that, according to the 2024 census, 3.1% of Monaco's population is Russian;</w:t>
            </w:r>
            <w:r>
              <w:t xml:space="preserve"> </w:t>
            </w:r>
            <w:r>
              <w:rPr>
                <w:b/>
                <w:i/>
              </w:rPr>
              <w:t>is deeply concerned about allegations that Monaco remains a hotspot for the laundering of illegally acquired assets from Russia;</w:t>
            </w:r>
            <w:r>
              <w:t xml:space="preserve"> </w:t>
            </w:r>
            <w:r>
              <w:rPr>
                <w:b/>
                <w:i/>
              </w:rPr>
              <w:t>therefore takes the view that negotiations with Monaco on the Association Agreement should not resume until such time as the allegations have been thoroughly investigated and appropriate measures have been taken to ensure that restrictive measures are as effective as possible;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Calls on the Commission to continuously monitor the adoption and implementation of the acquis falling under the scope of the Agreement, taking into account the respective dimensions and resources of the two states, and to provide the necessary institutional and policy support to the negotiating parties;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Welcomes the fact that the Agreement allows Andorra and San Marino to participate in the EU’s internal market for the mutual benefit of both sides; highlights the fact that their access to the internal market will become comparable to that of the one of the countries of the European Economic Area;</w:t>
            </w:r>
          </w:p>
        </w:tc>
        <w:tc>
          <w:tcPr>
            <w:tcW w:w="4876" w:type="dxa"/>
            <w:tcBorders>
              <w:top w:val="nil"/>
              <w:left w:val="nil"/>
              <w:bottom w:val="nil"/>
              <w:right w:val="nil"/>
            </w:tcBorders>
          </w:tcPr>
          <w:p>
            <w:pPr>
              <w:pStyle w:val="Normal6a"/>
            </w:pPr>
            <w:r>
              <w:t>12.</w:t>
            </w:r>
            <w:r>
              <w:tab/>
            </w:r>
            <w:r>
              <w:t xml:space="preserve">Welcomes the fact that the Agreement allows Andorra and San Marino to participate in the EU’s internal market for the mutual benefit of both sides; highlights the fact that their access to the internal market will become comparable to that of the one of the countries of the European Economic Area; </w:t>
            </w:r>
            <w:r>
              <w:rPr>
                <w:b/>
                <w:i/>
              </w:rPr>
              <w:t>recalls the merits and economic benefits of full access, including product and service access, to the Internal Market and the need to preserve in the Internal Market a level playing field and strong, resilient and effective institutional foundations for the benefit of all;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Welcomes the fact that the Agreement allows Andorra and San Marino to participate in the EU’s internal market for the mutual benefit of both sides; highlights the fact that their access to the internal market will become comparable to that of the one of the countries of the European Economic Area;</w:t>
            </w:r>
          </w:p>
        </w:tc>
        <w:tc>
          <w:tcPr>
            <w:tcW w:w="4876" w:type="dxa"/>
            <w:tcBorders>
              <w:top w:val="nil"/>
              <w:left w:val="nil"/>
              <w:bottom w:val="nil"/>
              <w:right w:val="nil"/>
            </w:tcBorders>
          </w:tcPr>
          <w:p>
            <w:pPr>
              <w:pStyle w:val="Normal6a"/>
            </w:pPr>
            <w:r>
              <w:t>12.</w:t>
            </w:r>
            <w:r>
              <w:tab/>
            </w:r>
            <w:r>
              <w:t xml:space="preserve">Welcomes the fact that the Agreement allows Andorra and San Marino to participate in the EU’s internal market for the mutual benefit of both sides; highlights the fact that their access to the internal market will become comparable to that of the one of the countries of the European Economic Area; </w:t>
            </w:r>
            <w:r>
              <w:rPr>
                <w:b/>
                <w:i/>
              </w:rPr>
              <w:t>questions whether the administrative burden and regulatory oversight may outweigh the practical gains for EU Member States and their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Emphasises the indivisibility of the four freedoms and the importance of compliance with the rules and principles of the internal market and of the establishment of a level playing field; welcomes the fact that the EU principle of non-discrimination on grounds of nationality is extended to Andorra and San Marino;</w:t>
            </w:r>
          </w:p>
        </w:tc>
        <w:tc>
          <w:tcPr>
            <w:tcW w:w="4876" w:type="dxa"/>
            <w:tcBorders>
              <w:top w:val="nil"/>
              <w:left w:val="nil"/>
              <w:bottom w:val="nil"/>
              <w:right w:val="nil"/>
            </w:tcBorders>
          </w:tcPr>
          <w:p>
            <w:pPr>
              <w:pStyle w:val="Normal6a"/>
            </w:pPr>
            <w:r>
              <w:t>13.</w:t>
            </w:r>
            <w:r>
              <w:tab/>
            </w:r>
            <w:r>
              <w:t xml:space="preserve">Emphasises the indivisibility of the four freedoms and the importance of compliance with the rules and principles of the internal market and of the establishment of a level playing field; welcomes the fact that the EU principle of non-discrimination on grounds of nationality is extended to Andorra and San Marino; </w:t>
            </w:r>
            <w:r>
              <w:rPr>
                <w:b/>
                <w:i/>
              </w:rPr>
              <w:t>emphasises that the TFEU allows Member States to restrict workers' right to free movement on the grounds of public policy, public security or public health;</w:t>
            </w:r>
            <w:r>
              <w:t xml:space="preserve"> </w:t>
            </w:r>
            <w:r>
              <w:rPr>
                <w:b/>
                <w:i/>
              </w:rPr>
              <w:t>stresses that freedom of movement is not the same as uncontrolled mobility;</w:t>
            </w:r>
            <w:r>
              <w:t xml:space="preserve"> </w:t>
            </w:r>
            <w:r>
              <w:rPr>
                <w:b/>
                <w:i/>
              </w:rPr>
              <w:t>takes the view that internal border controls can improve security by, among other things, preventing terrorism, international crime and irregular migration;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Observes that the Agreement allows for staggered access to the EU’s internal market for financial services over a maximum of 15 years, whereby the associated states may decide not to seek access to all market segments; emphasises that robust regulatory and supervisory frameworks and compliance with anti-money-laundering legislation are preconditions for the granting of access;</w:t>
            </w:r>
          </w:p>
        </w:tc>
        <w:tc>
          <w:tcPr>
            <w:tcW w:w="4876" w:type="dxa"/>
            <w:tcBorders>
              <w:top w:val="nil"/>
              <w:left w:val="nil"/>
              <w:bottom w:val="nil"/>
              <w:right w:val="nil"/>
            </w:tcBorders>
          </w:tcPr>
          <w:p>
            <w:pPr>
              <w:pStyle w:val="Normal6a"/>
            </w:pPr>
            <w:r>
              <w:t>15.</w:t>
            </w:r>
            <w:r>
              <w:tab/>
            </w:r>
            <w:r>
              <w:t xml:space="preserve">Observes that the Agreement allows for staggered access to the EU’s internal market for financial services over a maximum of 15 years, whereby the associated states may decide not to seek access to all market segments; emphasises that robust regulatory and supervisory frameworks and </w:t>
            </w:r>
            <w:r>
              <w:rPr>
                <w:b/>
                <w:i/>
              </w:rPr>
              <w:t>strict</w:t>
            </w:r>
            <w:r>
              <w:t xml:space="preserve"> compliance with anti-money-laundering legislation are preconditions for the granting of access;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Considers it important to offer administrative and technical assistance to Andorra and San Marino, given their limited administrative resources, in order to support swift alignment with the existing EU acquis and with a view to dynamic regulatory alignment and the effective implementation and enforcement of the Agreement;</w:t>
            </w:r>
          </w:p>
        </w:tc>
        <w:tc>
          <w:tcPr>
            <w:tcW w:w="4876" w:type="dxa"/>
            <w:tcBorders>
              <w:top w:val="nil"/>
              <w:left w:val="nil"/>
              <w:bottom w:val="nil"/>
              <w:right w:val="nil"/>
            </w:tcBorders>
          </w:tcPr>
          <w:p>
            <w:pPr>
              <w:pStyle w:val="Normal6a"/>
            </w:pPr>
            <w:r>
              <w:t>17.</w:t>
            </w:r>
            <w:r>
              <w:tab/>
            </w:r>
            <w:r>
              <w:t xml:space="preserve">Considers it important to offer administrative and technical assistance to Andorra and San Marino, given their limited administrative resources, in order to support swift alignment with the existing EU acquis and with a view to dynamic regulatory alignment and the effective implementation and enforcement of the Agreement; </w:t>
            </w:r>
            <w:r>
              <w:rPr>
                <w:b/>
                <w:i/>
              </w:rPr>
              <w:t>draws attention to the fact that such EU technical assistance represents yet another cost to the EU budget, with little to no equivalent benefit returned to EU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Considers it </w:t>
            </w:r>
            <w:r>
              <w:rPr>
                <w:b/>
                <w:i/>
              </w:rPr>
              <w:t>important</w:t>
            </w:r>
            <w:r>
              <w:t xml:space="preserve"> to offer administrative and technical assistance to Andorra and San Marino, given their limited administrative resources, in order to support swift alignment with the existing EU acquis and with a view to dynamic regulatory alignment and the effective implementation and enforcement of the Agreement;</w:t>
            </w:r>
          </w:p>
        </w:tc>
        <w:tc>
          <w:tcPr>
            <w:tcW w:w="4876" w:type="dxa"/>
            <w:tcBorders>
              <w:top w:val="nil"/>
              <w:left w:val="nil"/>
              <w:bottom w:val="nil"/>
              <w:right w:val="nil"/>
            </w:tcBorders>
          </w:tcPr>
          <w:p>
            <w:pPr>
              <w:pStyle w:val="Normal6a"/>
            </w:pPr>
            <w:r>
              <w:t>17.</w:t>
            </w:r>
            <w:r>
              <w:tab/>
            </w:r>
            <w:r>
              <w:t xml:space="preserve">Considers it </w:t>
            </w:r>
            <w:r>
              <w:rPr>
                <w:b/>
                <w:i/>
              </w:rPr>
              <w:t>possible</w:t>
            </w:r>
            <w:r>
              <w:t xml:space="preserve"> to offer administrative and technical assistance to Andorra and San Marino, given their limited administrative resources, in order to support swift alignment with the existing EU acquis and with a view to dynamic regulatory alignment and the effective implementation and enforcement of the Agreement;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Emphasises the importance to adjust the requirements related to the provision of statistical data under the Agreement to the size of Andorra and San Marino;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Welcomes the fact that the Agreement has the potential to enhance cooperation in a wide range of policy areas of common interest, such as research and development, environment and climate action, education, culture, civil protection and public health;</w:t>
            </w:r>
          </w:p>
        </w:tc>
        <w:tc>
          <w:tcPr>
            <w:tcW w:w="4876" w:type="dxa"/>
            <w:tcBorders>
              <w:top w:val="nil"/>
              <w:left w:val="nil"/>
              <w:bottom w:val="nil"/>
              <w:right w:val="nil"/>
            </w:tcBorders>
          </w:tcPr>
          <w:p>
            <w:pPr>
              <w:pStyle w:val="Normal6a"/>
            </w:pPr>
            <w:r>
              <w:t>18.</w:t>
            </w:r>
            <w:r>
              <w:tab/>
            </w:r>
            <w:r>
              <w:t xml:space="preserve">Welcomes the fact that the Agreement has the potential to enhance cooperation in a wide range of policy areas of common interest, such as research and development, environment and climate action, education, culture, civil protection and public health </w:t>
            </w:r>
            <w:r>
              <w:rPr>
                <w:b/>
                <w:i/>
              </w:rPr>
              <w:t>and stresses that the Agreement should serve as a vehicle to deepen cross-border cooperation and enable Andorran and San Marinese partners to access the Interreg ERDF funds available in these areas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Notes that the implementation of these policies together with alignment with the internal market will foster deeper integration with the EU, enhance sustainable growth and benefit consumers in Andorra and San Marino; highlights the fact that consumers in Andorra and San Marino will benefit from a wider variety of goods and services at competitive prices, enhancing their purchasing power and overall quality of life;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Encourages the development of closer ties with Andorra and San Marino in the area of justice and home affairs </w:t>
            </w:r>
            <w:r>
              <w:rPr>
                <w:b/>
                <w:i/>
              </w:rPr>
              <w:t>too</w:t>
            </w:r>
            <w:r>
              <w:t>;</w:t>
            </w:r>
          </w:p>
        </w:tc>
        <w:tc>
          <w:tcPr>
            <w:tcW w:w="4876" w:type="dxa"/>
            <w:tcBorders>
              <w:top w:val="nil"/>
              <w:left w:val="nil"/>
              <w:bottom w:val="nil"/>
              <w:right w:val="nil"/>
            </w:tcBorders>
          </w:tcPr>
          <w:p>
            <w:pPr>
              <w:pStyle w:val="Normal6a"/>
            </w:pPr>
            <w:r>
              <w:t>19.</w:t>
            </w:r>
            <w:r>
              <w:tab/>
            </w:r>
            <w:r>
              <w:rPr>
                <w:b/>
                <w:i/>
              </w:rPr>
              <w:t>Welcomes the establishment of a dispute settlement mechanism with the Court of Justice of the European Union as the arbiter of disputes on the interpretation and application of the Agreement, which will safeguard the cohesiveness of the internal market and</w:t>
            </w:r>
            <w:r>
              <w:t xml:space="preserve"> encourages the development of closer ties with Andorra and San Marino in the area of justice and home affairs;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Encourages the development of closer ties with Andorra and San Marino in the area of justice and home affairs too;</w:t>
            </w:r>
          </w:p>
        </w:tc>
        <w:tc>
          <w:tcPr>
            <w:tcW w:w="4876" w:type="dxa"/>
            <w:tcBorders>
              <w:top w:val="nil"/>
              <w:left w:val="nil"/>
              <w:bottom w:val="nil"/>
              <w:right w:val="nil"/>
            </w:tcBorders>
          </w:tcPr>
          <w:p>
            <w:pPr>
              <w:pStyle w:val="Normal6a"/>
            </w:pPr>
            <w:r>
              <w:t>19.</w:t>
            </w:r>
            <w:r>
              <w:tab/>
            </w:r>
            <w:r>
              <w:t>Encourages the development of closer ties with Andorra and San Marino in the area of justice and home affairs too</w:t>
            </w:r>
            <w:r>
              <w:rPr>
                <w:b/>
                <w:i/>
              </w:rPr>
              <w:t>, particularly with a view to combating irregular migration, organised crime, terrorism and other cross-border threats</w:t>
            </w:r>
            <w:r>
              <w:t xml:space="preserve">; </w:t>
            </w:r>
            <w:r>
              <w:rPr>
                <w:b/>
                <w:i/>
              </w:rPr>
              <w:t>considers that closer cooperation, with Eurojust and Europol for instance, would redound to the benefit of all parties;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Highlights the importance of bilateral agreements between neighbouring Member States that can facilitate cross border cooperation with Andorra and San Marino;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Welcomes the attempts to secure adequate access to liquidity for Andorra and San Marino, with a view to fostering the resilience capacity and stability of their respective national banking and insurance systems in the case of an internal or external systemic shock; encourages San Marino to become a member of the International Monetary Fund and provide the country, if needed, with technical assistance to this effect;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Considers that the Delegation for Northern Cooperation and for Relations with Switzerland and Norway and to the EU-Iceland Joint Parliamentary Committee and the European Economic Area Joint Parliamentary Committee is best placed to represent the European Parliament in the PAC, given its existing role in the institutionally similar European Economic Area Joint Parliamentary Committee;</w:t>
            </w:r>
          </w:p>
        </w:tc>
        <w:tc>
          <w:tcPr>
            <w:tcW w:w="4876" w:type="dxa"/>
            <w:tcBorders>
              <w:top w:val="nil"/>
              <w:left w:val="nil"/>
              <w:bottom w:val="nil"/>
              <w:right w:val="nil"/>
            </w:tcBorders>
          </w:tcPr>
          <w:p>
            <w:pPr>
              <w:pStyle w:val="Normal6a"/>
            </w:pPr>
            <w:r>
              <w:t>23.</w:t>
            </w:r>
            <w:r>
              <w:tab/>
            </w:r>
            <w:r>
              <w:t xml:space="preserve">Considers that the Delegation for Northern Cooperation and for Relations with Switzerland and Norway and to the EU-Iceland Joint Parliamentary Committee and the European Economic Area Joint Parliamentary Committee is best placed to represent the European Parliament in the PAC, given its existing role in the institutionally similar European Economic Area Joint Parliamentary Committee; </w:t>
            </w:r>
            <w:r>
              <w:rPr>
                <w:b/>
                <w:i/>
              </w:rPr>
              <w:t>considers that the addition of PAC (Andorra and San Marino) to the D-EEA should also increase the size of the Delegation and the appointment of a separate Vice-Chair in charge of the PAC;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Commends</w:t>
            </w:r>
            <w:r>
              <w:t xml:space="preserve"> Andorra and San Marino’s </w:t>
            </w:r>
            <w:r>
              <w:rPr>
                <w:b/>
                <w:i/>
              </w:rPr>
              <w:t>efforts to communicate the</w:t>
            </w:r>
            <w:r>
              <w:t xml:space="preserve"> advantages and obligations conferred by the Agreement </w:t>
            </w:r>
            <w:r>
              <w:rPr>
                <w:b/>
                <w:i/>
              </w:rPr>
              <w:t>and encourages continued transparency in order to ensure public awareness</w:t>
            </w:r>
            <w:r>
              <w:t>;</w:t>
            </w:r>
          </w:p>
        </w:tc>
        <w:tc>
          <w:tcPr>
            <w:tcW w:w="4876" w:type="dxa"/>
            <w:tcBorders>
              <w:top w:val="nil"/>
              <w:left w:val="nil"/>
              <w:bottom w:val="nil"/>
              <w:right w:val="nil"/>
            </w:tcBorders>
          </w:tcPr>
          <w:p>
            <w:pPr>
              <w:pStyle w:val="Normal6a"/>
            </w:pPr>
            <w:r>
              <w:t>25.</w:t>
            </w:r>
            <w:r>
              <w:tab/>
            </w:r>
            <w:r>
              <w:rPr>
                <w:b/>
                <w:i/>
              </w:rPr>
              <w:t>Underlines that</w:t>
            </w:r>
            <w:r>
              <w:t xml:space="preserve"> Andorra and San Marino’s advantages and obligations conferred by the Agreement </w:t>
            </w:r>
            <w:r>
              <w:rPr>
                <w:b/>
                <w:i/>
              </w:rPr>
              <w:t>remain largely in favour of the two states, and of questionable relevance for the EU citizens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774.326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w:t>
    </w:r>
    <w:r>
      <w:fldChar w:fldCharType="end"/>
    </w:r>
    <w:r>
      <w:t>/</w:t>
    </w:r>
    <w:r>
      <w:fldChar w:fldCharType="begin"/>
    </w:r>
    <w:r>
      <w:instrText xml:space="preserve"> NUMPAGES </w:instrText>
    </w:r>
    <w:r>
      <w:fldChar w:fldCharType="separate"/>
    </w:r>
    <w:r>
      <w:t>19</w:t>
    </w:r>
    <w:r>
      <w:fldChar w:fldCharType="end"/>
    </w:r>
    <w:r>
      <w:tab/>
    </w:r>
    <w:r>
      <w:rPr>
        <w:rStyle w:val="HideTWBExt"/>
      </w:rPr>
      <w:t>&lt;PathFdR&gt;</w:t>
    </w:r>
    <w:r>
      <w:t>AM\1322362EN.docx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AM\1322362EN.docx</w:t>
    </w:r>
    <w:r>
      <w:rPr>
        <w:rStyle w:val="HideTWBExt"/>
      </w:rPr>
      <w:t>&lt;/PathFdR&gt;</w:t>
    </w:r>
    <w:r>
      <w:tab/>
    </w:r>
    <w:r>
      <w:fldChar w:fldCharType="begin"/>
    </w:r>
    <w:r>
      <w:instrText xml:space="preserve"> PAGE </w:instrText>
    </w:r>
    <w:r>
      <w:fldChar w:fldCharType="separate"/>
    </w:r>
    <w:r>
      <w:t>19</w:t>
    </w:r>
    <w:r>
      <w:fldChar w:fldCharType="end"/>
    </w:r>
    <w:r>
      <w:t>/</w:t>
    </w:r>
    <w:r>
      <w:fldChar w:fldCharType="begin"/>
    </w:r>
    <w:r>
      <w:instrText xml:space="preserve"> NUMPAGES </w:instrText>
    </w:r>
    <w:r>
      <w:fldChar w:fldCharType="separate"/>
    </w:r>
    <w:r>
      <w:t>19</w:t>
    </w:r>
    <w:r>
      <w:fldChar w:fldCharType="end"/>
    </w:r>
    <w:r>
      <w:tab/>
    </w:r>
    <w:r>
      <w:t>PE</w:t>
    </w:r>
    <w:r>
      <w:rPr>
        <w:rStyle w:val="HideTWBExt"/>
      </w:rPr>
      <w:t>&lt;NoPE&gt;</w:t>
    </w:r>
    <w:r>
      <w:t>774.326</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AM\1322362EN.docx</w:t>
    </w:r>
    <w:r>
      <w:rPr>
        <w:rStyle w:val="HideTWBExt"/>
      </w:rPr>
      <w:t>&lt;/PathFdR&gt;</w:t>
    </w:r>
    <w:r>
      <w:tab/>
    </w:r>
    <w:r>
      <w:tab/>
    </w:r>
    <w:r>
      <w:t>PE</w:t>
    </w:r>
    <w:r>
      <w:rPr>
        <w:rStyle w:val="HideTWBExt"/>
      </w:rPr>
      <w:t>&lt;NoPE&gt;</w:t>
    </w:r>
    <w:r>
      <w:t>774.326</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Pages>
  <Words>3929</Words>
  <Characters>21711</Characters>
  <Application>Microsoft Office Word</Application>
  <DocSecurity>0</DocSecurity>
  <Lines>1</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1322362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192084</vt:lpwstr>
  </property>
  <property fmtid="{D5CDD505-2E9C-101B-9397-08002B2CF9AE}" pid="7" name="dmxml.render.traceId">
    <vt:lpwstr>6847e027016c48c22fa182c3b48199f7</vt:lpwstr>
  </property>
  <property fmtid="{D5CDD505-2E9C-101B-9397-08002B2CF9AE}" pid="8" name="FooterPath">
    <vt:lpwstr>AM\1322362EN.docx</vt:lpwstr>
  </property>
  <property fmtid="{D5CDD505-2E9C-101B-9397-08002B2CF9AE}" pid="9" name="PE Number">
    <vt:lpwstr>774.326</vt:lpwstr>
  </property>
  <property fmtid="{D5CDD505-2E9C-101B-9397-08002B2CF9AE}" pid="10" name="UID">
    <vt:lpwstr>eu.europa.europarl-DIN1-2025-0000117029_02.00-en-01.00_text-xml</vt:lpwstr>
  </property>
</Properties>
</file>