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Komisja Spraw Zagranicznych</w:t>
      </w:r>
      <w:r>
        <w:rPr>
          <w:rStyle w:val="HideTWBExt"/>
        </w:rPr>
        <w:t>&lt;/Commission&gt;</w:t>
      </w:r>
    </w:p>
    <w:p>
      <w:pPr>
        <w:pStyle w:val="LineBottom"/>
      </w:pPr>
      <w:r>
        <w:t xml:space="preserve"> </w:t>
      </w:r>
    </w:p>
    <w:p>
      <w:pPr>
        <w:pStyle w:val="CoverReference"/>
      </w:pPr>
      <w:r>
        <w:rPr>
          <w:rStyle w:val="HideTWBExt"/>
        </w:rPr>
        <w:t>&lt;RefProc&gt;</w:t>
      </w:r>
      <w:r>
        <w:t>2025/2083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{17/06/2025}</w:t>
      </w:r>
      <w:r>
        <w:t>17.6.2025</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1</w:t>
      </w:r>
      <w:r>
        <w:t xml:space="preserve"> - </w:t>
      </w:r>
      <w:r>
        <w:t>398</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Davor Ivo Stier</w:t>
      </w:r>
      <w:r>
        <w:rPr>
          <w:rStyle w:val="HideTWBExt"/>
        </w:rPr>
        <w:t>&lt;/Rapporteur&gt;</w:t>
      </w:r>
    </w:p>
    <w:p>
      <w:pPr>
        <w:pStyle w:val="CoverNormal24a"/>
      </w:pPr>
      <w:r>
        <w:rPr>
          <w:rStyle w:val="HideTWBExt"/>
        </w:rPr>
        <w:t>&lt;DocRefPE&gt;</w:t>
      </w:r>
      <w:r>
        <w:t>(PE773.170v01-00)</w:t>
      </w:r>
      <w:r>
        <w:rPr>
          <w:rStyle w:val="HideTWBExt"/>
        </w:rPr>
        <w:t>&lt;/DocRefPE&gt;</w:t>
      </w:r>
    </w:p>
    <w:p>
      <w:pPr>
        <w:pStyle w:val="CoverNormal"/>
      </w:pPr>
      <w:r>
        <w:rPr>
          <w:rStyle w:val="HideTWBExt"/>
        </w:rPr>
        <w:t>&lt;Titre&gt;</w:t>
      </w:r>
      <w:r>
        <w:t>Unijna strategia polityczna dotycząca Ameryki Łacińskiej</w:t>
      </w:r>
      <w:r>
        <w:rPr>
          <w:rStyle w:val="HideTWBExt"/>
        </w:rPr>
        <w:t>&lt;/Titre&gt;</w:t>
      </w:r>
    </w:p>
    <w:p>
      <w:pPr>
        <w:pStyle w:val="CoverNormal24a"/>
      </w:pPr>
      <w:r>
        <w:rPr>
          <w:rStyle w:val="HideTWBExt"/>
        </w:rPr>
        <w:t>&lt;DocRef&gt;</w:t>
      </w:r>
      <w:r>
        <w:t>(2025/2083(INI))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2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Konwencję Narodów Zjednoczonych o prawie morza (UNCLOS),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2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art. 21 Traktatu o Unii Europejskiej (TUE),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uwzględniając swoje rezolucje w sprawie Wenezueli, w szczególności rezolucję z 21 stycznia 2025 r. w sprawie sytuacji w Wenezueli po uzurpowaniu stanowiska prezydenta 10 stycznia 2025 r.</w:t>
            </w:r>
            <w:r>
              <w:rPr>
                <w:b/>
                <w:i/>
                <w:vertAlign w:val="superscript"/>
              </w:rPr>
              <w:t>2</w:t>
            </w:r>
            <w:r>
              <w:rPr>
                <w:b/>
                <w:i/>
              </w:rPr>
              <w:t>oraz rezolucję z 19 września 2024 r. w sprawie sytuacji w Wenezueli</w:t>
            </w:r>
            <w:r>
              <w:rPr>
                <w:b/>
                <w:i/>
                <w:vertAlign w:val="superscript"/>
              </w:rPr>
              <w:t>3</w:t>
            </w:r>
            <w:r>
              <w:rPr>
                <w:b/>
                <w:i/>
              </w:rPr>
              <w:t>, rezolucje w sprawie Kuby, w szczególności rezolucję z 12 lipca 2023 r. w sprawie stanu realizacji umowy o dialogu politycznym i współpracy między UE a Kubą w świetle niedawnej wizyty wysokiego przedstawiciela na tej wyspie</w:t>
            </w:r>
            <w:r>
              <w:rPr>
                <w:b/>
                <w:i/>
                <w:vertAlign w:val="superscript"/>
              </w:rPr>
              <w:t>4</w:t>
            </w:r>
            <w:r>
              <w:rPr>
                <w:b/>
                <w:i/>
              </w:rPr>
              <w:t>oraz rezolucję z 19 września 2024 r. dotyczącą sprawy Joségo Daniela Ferrera Garcíi na Kubie</w:t>
            </w:r>
            <w:r>
              <w:rPr>
                <w:b/>
                <w:i/>
                <w:vertAlign w:val="superscript"/>
              </w:rPr>
              <w:t>5</w:t>
            </w:r>
            <w:r>
              <w:rPr>
                <w:b/>
                <w:i/>
              </w:rPr>
              <w:t>, a także rezolucje w sprawie Nikaragui, w szczególności rezolucję z 13 lutego 2025 r. w sprawie represji, jakich dopuszcza się reżim Ortegi i Murillo w Nikaragui, wymierzonych zwłaszcza w obrońców praw człowieka, przeciwników politycznych i wspólnoty religijne</w:t>
            </w:r>
            <w:r>
              <w:rPr>
                <w:b/>
                <w:i/>
                <w:vertAlign w:val="superscript"/>
              </w:rPr>
              <w:t>6</w:t>
            </w:r>
            <w:r>
              <w:rPr>
                <w:b/>
                <w:i/>
              </w:rPr>
              <w:t>,</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Dz.U.</w:t>
            </w:r>
            <w:r>
              <w:t xml:space="preserve"> </w:t>
            </w:r>
            <w:r>
              <w:rPr>
                <w:b/>
                <w:i/>
              </w:rPr>
              <w:t>C, C/2025/2148, 23.4.2025, ELI:</w:t>
            </w:r>
            <w:r>
              <w:t xml:space="preserve"> </w:t>
            </w:r>
            <w:r>
              <w:rPr>
                <w:b/>
                <w:i/>
              </w:rPr>
              <w:t>http://data.europa.eu/eli/C/2025/2148/oj.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Dz.U.</w:t>
            </w:r>
            <w:r>
              <w:t xml:space="preserve"> </w:t>
            </w:r>
            <w:r>
              <w:rPr>
                <w:b/>
                <w:i/>
              </w:rPr>
              <w:t>C, C/2024/7215, 10.12.2024, ELI:</w:t>
            </w:r>
            <w:r>
              <w:t xml:space="preserve"> </w:t>
            </w:r>
            <w:r>
              <w:rPr>
                <w:b/>
                <w:i/>
              </w:rPr>
              <w:t>http://data.europa.eu/eli/C/2024/7215/oj.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Dz.U.</w:t>
            </w:r>
            <w:r>
              <w:t xml:space="preserve"> </w:t>
            </w:r>
            <w:r>
              <w:rPr>
                <w:b/>
                <w:i/>
              </w:rPr>
              <w:t>C, C/2024/4001, 17.7.2024, ELI:</w:t>
            </w:r>
            <w:r>
              <w:t xml:space="preserve"> </w:t>
            </w:r>
            <w:r>
              <w:rPr>
                <w:b/>
                <w:i/>
              </w:rPr>
              <w:t>http://data.europa.eu/eli/C/2024/4001/oj.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Dz.U.</w:t>
            </w:r>
            <w:r>
              <w:t xml:space="preserve"> </w:t>
            </w:r>
            <w:r>
              <w:rPr>
                <w:b/>
                <w:i/>
              </w:rPr>
              <w:t>C, C/2024/7213, 10.12.2024, ELI:</w:t>
            </w:r>
            <w:r>
              <w:t xml:space="preserve"> </w:t>
            </w:r>
            <w:r>
              <w:rPr>
                <w:b/>
                <w:i/>
              </w:rPr>
              <w:t>http://data.europa.eu/eli/C/2024/7213/oj.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Dz.U.</w:t>
            </w:r>
            <w:r>
              <w:t xml:space="preserve"> </w:t>
            </w:r>
            <w:r>
              <w:rPr>
                <w:b/>
                <w:i/>
              </w:rPr>
              <w:t>C, C/2025/2249, 29.4.2025, ELI:</w:t>
            </w:r>
            <w:r>
              <w:t xml:space="preserve"> </w:t>
            </w:r>
            <w:r>
              <w:rPr>
                <w:b/>
                <w:i/>
              </w:rPr>
              <w:t>http://data.europa.eu/eli/C/2025/2249/oj.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uwzględniając wspólny komunikat Komisji i wysokiego przedstawiciela Unii do spraw zagranicznych i polityki bezpieczeństwa z 1 grudnia 2021 r. pt. „Strategia Global Gateway” (JOIN(2021)0030),</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5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wspólną deklarację ministrów spraw wewnętrznych lub bezpieczeństwa państw członkowskich Unii Europejskiej oraz ministrów odpowiedzialnych za kwestie bezpieczeństwa państw będących członkami Komitetu Ameryki Łacińskiej ds. Bezpieczeństwa Wewnętrznego, przyjętą 5 marca 2025 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5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Konwencję Rady Europy o zapobieganiu i zwalczaniu przemocy wobec kobiet i przemocy domowej (zwaną dalej „konwencją stambulską”), która weszła w życie 1 sierpnia 2014 r. i została podpisana przez Unię Europejską 12 czerwca 2017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5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swoją rezolucję z 28 listopada 2019 r. w sprawie przystąpienia UE do konwencji stambulskiej i innych środków przeciwdziałania przemocy ze względu na płeć,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5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Europejski raport narkotykowy 2025 opublikowany przez Agencję Unii Europejskiej ds. Narkotyków 5 czerwca 2025 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5 c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swoją rezolucję z 21 stycznia 2021 r. w sprawie europejskiej strategii na rzecz równouprawnienia płci,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6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rezolucję Zgromadzenia Ogólnego ONZ z 5 grudnia 2024 r. zatytułowaną „Apel o zawieszenie broni w Strefie Gazy” (A/ES-10/L.33),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8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trzydzieści dwie rezolucje Zgromadzenia Ogólnego ONZ z lat 1992–2024, w tym rezolucję A/RES/79/7 z 1 listopada 2024 r. w sprawie konieczności zniesienia embarga gospodarczego, handlowego i finansowego nałożonego przez Stany Zjednoczone Ameryki na Kubę,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8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Deklarację praw ludów tubylczych przyjętą przez Zgromadzenie Ogólne ONZ 13 września 2007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8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porozumienie regionalne z Escazú z 4 marca 2018 r. o dostępie do informacji, udziale społeczeństwa i o dostępie do wymiaru sprawiedliwości w sprawach dotyczących środowiska w Ameryce Łacińskiej i na Karaibach,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11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akt w sprawie surowców krytycznych (rozporządzenie (UE) 2024/1252),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mając na uwadze, że porządek międzynarodowy przechodzi głęboką transformację, w której logika współpracy, kształtująca od dziesięcioleci stosunki globalne, zastępowana jest ostrą konkurencją strategiczną i w której prawo silniejszego grozi zastąpieniem prawa międzynarodowego jako zasady przewodniej;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mając na uwadze, że w ciągu zaledwie kilku lat międzynarodowym systemem, który gwarantował pewną stabilność po II wojnie światowej, wstrząsnęły rosnące napięcia, impulsy nacjonalistyczne i dynamika konfrontacji, co grozi załamaniu równowagi na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mając na uwadze, że Unia Europejska, która jest jednym z najbardziej zagorzałych architektów i obrońców wielostronnego systemu opartego na zasadach, boryka się obecnie z wrogim i trudnym otoczeniem;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mając na uwadze, że napięcia strukturalne między Stanami Zjednoczonymi a Chinami, kwestionowanie wartości demokratycznych na różnych szerokościach geograficznych oraz pokusa bipolarności, która ogranicza złożoność świata do starcia mocarstw, wymagają zdecydowanej i strategicznej reakcji ze strony Europy;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mając na uwadze, że niewiele regionów oferuje taki potencjał, taką harmonię i takie możliwości dla Europy jak stosunki z Ameryką Łacińską i Karaibami;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mając na uwadze, że Unię Europejską oraz narody Ameryki Łacińskiej i Karaibów od dawna łączą więzi historyczne, kulturowe i gospodarcze</w:t>
            </w:r>
            <w:r>
              <w:rPr>
                <w:b/>
                <w:i/>
              </w:rPr>
              <w:t>, dzięki czemu powstał naturalny</w:t>
            </w:r>
            <w:r>
              <w:t xml:space="preserve"> sojusz </w:t>
            </w:r>
            <w:r>
              <w:rPr>
                <w:b/>
                <w:i/>
              </w:rPr>
              <w:t>oparty</w:t>
            </w:r>
            <w:r>
              <w:t xml:space="preserve"> na demokracji, prawach człowieka i wielostronnej współpracy;</w:t>
            </w:r>
          </w:p>
        </w:tc>
        <w:tc>
          <w:tcPr>
            <w:tcW w:w="4876" w:type="dxa"/>
            <w:tcBorders>
              <w:top w:val="nil"/>
              <w:left w:val="nil"/>
              <w:bottom w:val="nil"/>
              <w:right w:val="nil"/>
            </w:tcBorders>
          </w:tcPr>
          <w:p>
            <w:pPr>
              <w:pStyle w:val="Normal6a"/>
            </w:pPr>
            <w:r>
              <w:t>A.</w:t>
            </w:r>
            <w:r>
              <w:tab/>
            </w:r>
            <w:r>
              <w:t>mając na uwadze, że Unię Europejską oraz narody Ameryki Łacińskiej i Karaibów od dawna łączą więzi historyczne, kulturowe i gospodarcze</w:t>
            </w:r>
            <w:r>
              <w:rPr>
                <w:b/>
                <w:i/>
              </w:rPr>
              <w:t>;</w:t>
            </w:r>
            <w:r>
              <w:t xml:space="preserve"> </w:t>
            </w:r>
            <w:r>
              <w:rPr>
                <w:b/>
                <w:i/>
              </w:rPr>
              <w:t>mając na uwadze, że wśród krajów regionu Ameryki Łacińskiej i Karaibów są zarówno funkcjonujące demokracje, jak i dyktatury, w których dochodzi do systemowych naruszeń praw człowieka;</w:t>
            </w:r>
            <w:r>
              <w:t xml:space="preserve"> </w:t>
            </w:r>
            <w:r>
              <w:rPr>
                <w:b/>
                <w:i/>
              </w:rPr>
              <w:t>mając na uwadze, że</w:t>
            </w:r>
            <w:r>
              <w:t xml:space="preserve"> sojusz </w:t>
            </w:r>
            <w:r>
              <w:rPr>
                <w:b/>
                <w:i/>
              </w:rPr>
              <w:t>między krajami tego regionu a UE powinien opierać się</w:t>
            </w:r>
            <w:r>
              <w:t xml:space="preserve"> na demokracji, prawach człowieka i wielostronnej współpracy;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mając na uwadze, że Unię Europejską oraz narody Ameryki Łacińskiej i Karaibów od dawna łączą więzi historyczne, kulturowe i gospodarcze</w:t>
            </w:r>
            <w:r>
              <w:rPr>
                <w:b/>
                <w:i/>
              </w:rPr>
              <w:t>, dzięki czemu powstał naturalny sojusz oparty na demokracji, prawach człowieka i wielostronnej współpracy</w:t>
            </w:r>
            <w:r>
              <w:t>;</w:t>
            </w:r>
          </w:p>
        </w:tc>
        <w:tc>
          <w:tcPr>
            <w:tcW w:w="4876" w:type="dxa"/>
            <w:tcBorders>
              <w:top w:val="nil"/>
              <w:left w:val="nil"/>
              <w:bottom w:val="nil"/>
              <w:right w:val="nil"/>
            </w:tcBorders>
          </w:tcPr>
          <w:p>
            <w:pPr>
              <w:pStyle w:val="Normal6a"/>
            </w:pPr>
            <w:r>
              <w:t>A.</w:t>
            </w:r>
            <w:r>
              <w:tab/>
            </w:r>
            <w:r>
              <w:t>mając na uwadze, że Unię Europejską oraz narody Ameryki Łacińskiej i Karaibów od dawna łączą więzi historyczne, kulturowe i gospodarcze;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mając na uwadze, że Unię Europejską oraz narody Ameryki Łacińskiej i Karaibów od dawna łączą więzi historyczne, kulturowe i gospodarcze, dzięki czemu powstał naturalny sojusz oparty na demokracji, prawach człowieka i wielostronnej współpracy;</w:t>
            </w:r>
          </w:p>
        </w:tc>
        <w:tc>
          <w:tcPr>
            <w:tcW w:w="4876" w:type="dxa"/>
            <w:tcBorders>
              <w:top w:val="nil"/>
              <w:left w:val="nil"/>
              <w:bottom w:val="nil"/>
              <w:right w:val="nil"/>
            </w:tcBorders>
          </w:tcPr>
          <w:p>
            <w:pPr>
              <w:pStyle w:val="Normal6a"/>
            </w:pPr>
            <w:r>
              <w:t>A.</w:t>
            </w:r>
            <w:r>
              <w:tab/>
            </w:r>
            <w:r>
              <w:t xml:space="preserve">mając na uwadze, że Unię Europejską oraz narody Ameryki Łacińskiej i Karaibów od dawna łączą więzi historyczne, kulturowe i gospodarcze, </w:t>
            </w:r>
            <w:r>
              <w:rPr>
                <w:b/>
                <w:i/>
              </w:rPr>
              <w:t>a także głębokie więzi międzyludzkie,</w:t>
            </w:r>
            <w:r>
              <w:t xml:space="preserve"> dzięki czemu powstał naturalny sojusz oparty na demokracji, prawach człowieka i wielostronnej współpracy;</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mając na uwadze, że Unię Europejską oraz narody Ameryki Łacińskiej i Karaibów od dawna łączą więzi historyczne, kulturowe i gospodarcze, dzięki czemu powstał naturalny sojusz oparty na demokracji, prawach człowieka i wielostronnej współpracy;</w:t>
            </w:r>
          </w:p>
        </w:tc>
        <w:tc>
          <w:tcPr>
            <w:tcW w:w="4876" w:type="dxa"/>
            <w:tcBorders>
              <w:top w:val="nil"/>
              <w:left w:val="nil"/>
              <w:bottom w:val="nil"/>
              <w:right w:val="nil"/>
            </w:tcBorders>
          </w:tcPr>
          <w:p>
            <w:pPr>
              <w:pStyle w:val="Normal6a"/>
            </w:pPr>
            <w:r>
              <w:t>A.</w:t>
            </w:r>
            <w:r>
              <w:tab/>
            </w:r>
            <w:r>
              <w:t>mając na uwadze, że Unię Europejską oraz narody Ameryki Łacińskiej i Karaibów od dawna łączą więzi historyczne, kulturowe</w:t>
            </w:r>
            <w:r>
              <w:rPr>
                <w:b/>
                <w:i/>
              </w:rPr>
              <w:t>, religijne</w:t>
            </w:r>
            <w:r>
              <w:t xml:space="preserve"> i gospodarcze, dzięki czemu powstał naturalny sojusz oparty na demokracji, prawach człowieka i wielostronnej współpracy;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mając na uwadze, że Unię Europejską oraz narody Ameryki Łacińskiej i Karaibów od dawna łączą więzi historyczne, kulturowe i gospodarcze, dzięki czemu powstał naturalny sojusz oparty na demokracji, prawach człowieka i wielostronnej współpracy;</w:t>
            </w:r>
          </w:p>
        </w:tc>
        <w:tc>
          <w:tcPr>
            <w:tcW w:w="4876" w:type="dxa"/>
            <w:tcBorders>
              <w:top w:val="nil"/>
              <w:left w:val="nil"/>
              <w:bottom w:val="nil"/>
              <w:right w:val="nil"/>
            </w:tcBorders>
          </w:tcPr>
          <w:p>
            <w:pPr>
              <w:pStyle w:val="Normal6a"/>
            </w:pPr>
            <w:r>
              <w:t>A.</w:t>
            </w:r>
            <w:r>
              <w:tab/>
            </w:r>
            <w:r>
              <w:t>mając na uwadze, że Unię Europejską oraz narody Ameryki Łacińskiej i Karaibów od dawna łączą więzi historyczne, kulturowe</w:t>
            </w:r>
            <w:r>
              <w:rPr>
                <w:b/>
                <w:i/>
              </w:rPr>
              <w:t>, religijne</w:t>
            </w:r>
            <w:r>
              <w:t xml:space="preserve"> i gospodarcze, dzięki czemu powstał naturalny sojusz oparty na demokracji, prawach człowieka i wielostronnej współpracy;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mając na uwadze, że Unię Europejską oraz </w:t>
            </w:r>
            <w:r>
              <w:rPr>
                <w:b/>
                <w:i/>
              </w:rPr>
              <w:t>narody Ameryki Łacińskiej i Karaibów</w:t>
            </w:r>
            <w:r>
              <w:t xml:space="preserve"> od dawna łączą więzi historyczne, kulturowe i gospodarcze, dzięki czemu powstał naturalny sojusz oparty na demokracji, prawach człowieka i wielostronnej współpracy;</w:t>
            </w:r>
          </w:p>
        </w:tc>
        <w:tc>
          <w:tcPr>
            <w:tcW w:w="4876" w:type="dxa"/>
            <w:tcBorders>
              <w:top w:val="nil"/>
              <w:left w:val="nil"/>
              <w:bottom w:val="nil"/>
              <w:right w:val="nil"/>
            </w:tcBorders>
          </w:tcPr>
          <w:p>
            <w:pPr>
              <w:pStyle w:val="Normal6a"/>
            </w:pPr>
            <w:r>
              <w:t>A.</w:t>
            </w:r>
            <w:r>
              <w:tab/>
            </w:r>
            <w:r>
              <w:t xml:space="preserve">mając na uwadze, że Unię Europejską oraz </w:t>
            </w:r>
            <w:r>
              <w:rPr>
                <w:b/>
                <w:i/>
              </w:rPr>
              <w:t>Amerykę Łacińską i Karaiby</w:t>
            </w:r>
            <w:r>
              <w:t xml:space="preserve"> od dawna łączą więzi historyczne, kulturowe i gospodarcze, dzięki czemu powstał naturalny sojusz oparty na demokracji, prawach człowieka i wielostronnej współpracy;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mając na uwadze, że zasadnicze znaczenie ma również wzmocnienie i zacieśnienie europejskiej współpracy z partnerami z Ameryki Łacińskiej w celu sprostania wspólnym wyzwaniom, takim jak wyzwania dotyczące surowców, transformacji energetycznej, migracji, przestępczości zorganizowanej i handlu narkotykami, aby kształtować przyszłość wolności, bezpieczeństwa i dobrobytu;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Davor Ivo Stier,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mając na uwadze, że współpracę między obydwoma regionami dodatkowo wzmacniają silne stosunki dwustronne i głębsze relacje z podmiotami subregionalnymi, takimi jak Mercosur, Wspólnota Andyjska, Wspólnota Karaibska (CARICOM), Karaibskie Forum Państw AKP (CARIFORUM) i Sojusz Pacyfiku;</w:t>
            </w:r>
          </w:p>
        </w:tc>
        <w:tc>
          <w:tcPr>
            <w:tcW w:w="4876" w:type="dxa"/>
            <w:tcBorders>
              <w:top w:val="nil"/>
              <w:left w:val="nil"/>
              <w:bottom w:val="nil"/>
              <w:right w:val="nil"/>
            </w:tcBorders>
          </w:tcPr>
          <w:p>
            <w:pPr>
              <w:pStyle w:val="Normal6a"/>
            </w:pPr>
            <w:r>
              <w:t>B.</w:t>
            </w:r>
            <w:r>
              <w:tab/>
            </w:r>
            <w:r>
              <w:t xml:space="preserve">mając na uwadze, że współpracę między obydwoma regionami dodatkowo wzmacniają silne stosunki dwustronne i głębsze relacje z podmiotami </w:t>
            </w:r>
            <w:r>
              <w:rPr>
                <w:b/>
                <w:i/>
              </w:rPr>
              <w:t>międzyregionalnymi i</w:t>
            </w:r>
            <w:r>
              <w:t xml:space="preserve"> subregionalnymi, takimi jak </w:t>
            </w:r>
            <w:r>
              <w:rPr>
                <w:b/>
                <w:i/>
              </w:rPr>
              <w:t>Wspólnota Państw Ameryki Łacińskiej i Karaibów (CELAC), Organizacja Państw Amerykańskich (OPA),</w:t>
            </w:r>
            <w:r>
              <w:t xml:space="preserve"> Mercosur, Wspólnota Andyjska, Wspólnota Karaibska (CARICOM), Karaibskie Forum Państw AKP (CARIFORUM) i Sojusz Pacyfiku;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mając na uwadze, że współpracę między obydwoma regionami dodatkowo wzmacniają silne stosunki dwustronne i głębsze relacje z podmiotami subregionalnymi, takimi jak Mercosur, Wspólnota Andyjska, Wspólnota Karaibska (CARICOM), Karaibskie Forum Państw AKP (CARIFORUM) i Sojusz Pacyfiku;</w:t>
            </w:r>
          </w:p>
        </w:tc>
        <w:tc>
          <w:tcPr>
            <w:tcW w:w="4876" w:type="dxa"/>
            <w:tcBorders>
              <w:top w:val="nil"/>
              <w:left w:val="nil"/>
              <w:bottom w:val="nil"/>
              <w:right w:val="nil"/>
            </w:tcBorders>
          </w:tcPr>
          <w:p>
            <w:pPr>
              <w:pStyle w:val="Normal6a"/>
            </w:pPr>
            <w:r>
              <w:t>B.</w:t>
            </w:r>
            <w:r>
              <w:tab/>
            </w:r>
            <w:r>
              <w:t xml:space="preserve">mając na uwadze, że współpracę między obydwoma regionami dodatkowo wzmacniają silne stosunki dwustronne i głębsze relacje z podmiotami </w:t>
            </w:r>
            <w:r>
              <w:rPr>
                <w:b/>
                <w:i/>
              </w:rPr>
              <w:t>międzyregionalnymi i</w:t>
            </w:r>
            <w:r>
              <w:t xml:space="preserve"> subregionalnymi, takimi jak </w:t>
            </w:r>
            <w:r>
              <w:rPr>
                <w:b/>
                <w:i/>
              </w:rPr>
              <w:t>Wspólnota Państw Ameryki Łacińskiej i Karaibów (CELAC), Organizacja Państw Amerykańskich (OPA),</w:t>
            </w:r>
            <w:r>
              <w:t xml:space="preserve"> Mercosur, Wspólnota Andyjska, Wspólnota Karaibska (CARICOM), Karaibskie Forum Państw AKP (CARIFORUM) i Sojusz Pacyfiku;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współpracę między obydwoma regionami </w:t>
            </w:r>
            <w:r>
              <w:rPr>
                <w:b/>
                <w:i/>
              </w:rPr>
              <w:t>dodatkowo wzmacniają silne stosunki dwustronne i głębsze relacje z podmiotami subregionalnymi, takimi</w:t>
            </w:r>
            <w:r>
              <w:t xml:space="preserve"> jak Mercosur, Wspólnota Andyjska, Wspólnota Karaibska (CARICOM), Karaibskie Forum Państw AKP (CARIFORUM) i Sojusz Pacyfiku;</w:t>
            </w:r>
          </w:p>
        </w:tc>
        <w:tc>
          <w:tcPr>
            <w:tcW w:w="4876" w:type="dxa"/>
            <w:tcBorders>
              <w:top w:val="nil"/>
              <w:left w:val="nil"/>
              <w:bottom w:val="nil"/>
              <w:right w:val="nil"/>
            </w:tcBorders>
          </w:tcPr>
          <w:p>
            <w:pPr>
              <w:pStyle w:val="Normal6a"/>
            </w:pPr>
            <w:r>
              <w:t>B.</w:t>
            </w:r>
            <w:r>
              <w:tab/>
            </w:r>
            <w:r>
              <w:t xml:space="preserve">mając na uwadze, że współpracę między obydwoma regionami </w:t>
            </w:r>
            <w:r>
              <w:rPr>
                <w:b/>
                <w:i/>
              </w:rPr>
              <w:t>charakteryzują kontrowersyjne ramy handlowe, takie</w:t>
            </w:r>
            <w:r>
              <w:t xml:space="preserve"> jak Mercosur, Wspólnota Andyjska, Wspólnota Karaibska (CARICOM), Karaibskie Forum Państw AKP (CARIFORUM) i Sojusz Pacyfiku</w:t>
            </w:r>
            <w:r>
              <w:rPr>
                <w:b/>
                <w:i/>
              </w:rPr>
              <w:t>, co może zagrozić europejskim standardom rolnym, przemysłowym i środowiskowym oraz oferuje ograniczone korzyści strategiczne państwom członkowskim i obywatelom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współpracę między obydwoma regionami dodatkowo wzmacniają silne stosunki dwustronne i głębsze relacje z podmiotami subregionalnymi, takimi jak </w:t>
            </w:r>
            <w:r>
              <w:rPr>
                <w:b/>
                <w:i/>
              </w:rPr>
              <w:t>Mercosur,</w:t>
            </w:r>
            <w:r>
              <w:t xml:space="preserve"> Wspólnota Andyjska, Wspólnota Karaibska (CARICOM), Karaibskie Forum Państw AKP (CARIFORUM) i Sojusz Pacyfiku;</w:t>
            </w:r>
          </w:p>
        </w:tc>
        <w:tc>
          <w:tcPr>
            <w:tcW w:w="4876" w:type="dxa"/>
            <w:tcBorders>
              <w:top w:val="nil"/>
              <w:left w:val="nil"/>
              <w:bottom w:val="nil"/>
              <w:right w:val="nil"/>
            </w:tcBorders>
          </w:tcPr>
          <w:p>
            <w:pPr>
              <w:pStyle w:val="Normal6a"/>
            </w:pPr>
            <w:r>
              <w:t>B.</w:t>
            </w:r>
            <w:r>
              <w:tab/>
            </w:r>
            <w:r>
              <w:t>mając na uwadze, że współpracę między obydwoma regionami dodatkowo wzmacniają silne stosunki dwustronne i głębsze relacje z podmiotami subregionalnymi, takimi jak Wspólnota Andyjska, Wspólnota Karaibska (CARICOM), Karaibskie Forum Państw AKP (CARIFORUM) i Sojusz Pacyfiku;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mając na uwadze, że łączna liczba ludności w obu regionach wynosi ponad miliard osób;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mając na uwadze, że według danych z 2023 r. dwustronny handel towarami i usługami wynosi 395 mld EUR (wzrost o 54 % od 2013 r.), a łączne bezpośrednie inwestycje UE w Ameryce Łacińskiej do 2022 r. wyniosły ponad 741 mld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mając na uwadze, że Unia Europejska i kraje Ameryki Łacińskiej wspólnie zobowiązują się do osiągnięcia celów zrównoważonego rozwoju ONZ poprzez wspieranie sprawiedliwości społecznej, równości i zrównoważonego rozwoju;</w:t>
            </w:r>
            <w:r>
              <w:t xml:space="preserve"> </w:t>
            </w:r>
            <w:r>
              <w:rPr>
                <w:b/>
                <w:i/>
              </w:rPr>
              <w:t>mając na uwadze, że oba regiony stoją przed poważnymi wyzwaniami związanymi z przeciwdziałaniem nierównościom społecznym, nierównościom płci, bezrobociu i ubóstwu;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mając na uwadze, że dane z Programu Narodów Zjednoczonych ds. Rozwoju (UNDP) podkreślają potrzebę większych inwestycji na rzecz włączenia społecznego, zważywszy że Ameryka Łacińska jest jednym z regionów, w których występują największe nierówności na świecie; 58 % osób żyjących na obszarach wiejskich, a są to zwłaszcza ludy tubylcze, żyje poniżej granicy ubóstwa w porównaniu z 26 % na obszarach miejskich;</w:t>
            </w:r>
            <w:r>
              <w:t xml:space="preserve"> </w:t>
            </w:r>
            <w:r>
              <w:rPr>
                <w:b/>
                <w:i/>
              </w:rPr>
              <w:t>mając na uwadze, że w 2023 r. 41 mln osób w Ameryce Łacińskiej doświadczyło głodu, a 187,6 mln doświadczyło umiarkowanego lub poważnego braku bezpieczeństwa żywnościowego;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mając na uwadze, że rosnące nierówności społeczne i gospodarcze, zarówno w Europie, jak i w Ameryce Łacińskiej, przyczyniły się do rosnącego niezadowolenia opinii publicznej, fragmentacji społecznej i erozji zaufania do instytucji demokratycznych;</w:t>
            </w:r>
            <w:r>
              <w:t xml:space="preserve"> </w:t>
            </w:r>
            <w:r>
              <w:rPr>
                <w:b/>
                <w:i/>
              </w:rPr>
              <w:t>mając na uwadze, że takie nierówności często tworzą podatny grunt dla rozwoju ruchów populistycznych i autorytarnych, które wykorzystują niezadowolenie, polaryzują społeczeństwa i podważają praworządność, normy demokratyczne i pluralistyczną debatę;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w:t>
            </w:r>
            <w:r>
              <w:tab/>
            </w:r>
            <w:r>
              <w:rPr>
                <w:b/>
                <w:i/>
              </w:rPr>
              <w:t>mając na uwadze, że oba regiony łącznie posiadają jedną trzecią praw głosu w Organizacji Narodów Zjednoczonych;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mając na uwadze, że wielostronny porządek oparty na zasadach, który od 80 lat jest podstawą pokoju </w:t>
            </w:r>
            <w:r>
              <w:rPr>
                <w:b/>
                <w:i/>
              </w:rPr>
              <w:t>i</w:t>
            </w:r>
            <w:r>
              <w:t xml:space="preserve"> dobrobytu, jest coraz częściej kwestionowany przez autokracje na całym świecie;</w:t>
            </w:r>
          </w:p>
        </w:tc>
        <w:tc>
          <w:tcPr>
            <w:tcW w:w="4876" w:type="dxa"/>
            <w:tcBorders>
              <w:top w:val="nil"/>
              <w:left w:val="nil"/>
              <w:bottom w:val="nil"/>
              <w:right w:val="nil"/>
            </w:tcBorders>
          </w:tcPr>
          <w:p>
            <w:pPr>
              <w:pStyle w:val="Normal6a"/>
            </w:pPr>
            <w:r>
              <w:t>D.</w:t>
            </w:r>
            <w:r>
              <w:tab/>
            </w:r>
            <w:r>
              <w:t>mając na uwadze, że wielostronny porządek oparty na zasadach, który od 80 lat jest podstawą pokoju</w:t>
            </w:r>
            <w:r>
              <w:rPr>
                <w:b/>
                <w:i/>
              </w:rPr>
              <w:t>,</w:t>
            </w:r>
            <w:r>
              <w:t xml:space="preserve"> dobrobytu</w:t>
            </w:r>
            <w:r>
              <w:rPr>
                <w:b/>
                <w:i/>
              </w:rPr>
              <w:t>, poszanowania praworządności, prawa międzynarodowego i praw człowieka</w:t>
            </w:r>
            <w:r>
              <w:t>, jest coraz częściej kwestionowany przez autokracje na całym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mając na uwadze, że </w:t>
            </w:r>
            <w:r>
              <w:rPr>
                <w:b/>
                <w:i/>
              </w:rPr>
              <w:t>wielostronny porządek oparty</w:t>
            </w:r>
            <w:r>
              <w:t xml:space="preserve"> na zasadach</w:t>
            </w:r>
            <w:r>
              <w:rPr>
                <w:b/>
                <w:i/>
              </w:rPr>
              <w:t>, który od 80 lat jest podstawą pokoju i dobrobytu,</w:t>
            </w:r>
            <w:r>
              <w:t xml:space="preserve"> jest coraz częściej </w:t>
            </w:r>
            <w:r>
              <w:rPr>
                <w:b/>
                <w:i/>
              </w:rPr>
              <w:t>kwestionowany przez autokracje na całym świecie</w:t>
            </w:r>
            <w:r>
              <w:t>;</w:t>
            </w:r>
          </w:p>
        </w:tc>
        <w:tc>
          <w:tcPr>
            <w:tcW w:w="4876" w:type="dxa"/>
            <w:tcBorders>
              <w:top w:val="nil"/>
              <w:left w:val="nil"/>
              <w:bottom w:val="nil"/>
              <w:right w:val="nil"/>
            </w:tcBorders>
          </w:tcPr>
          <w:p>
            <w:pPr>
              <w:pStyle w:val="Normal6a"/>
            </w:pPr>
            <w:r>
              <w:t>D.</w:t>
            </w:r>
            <w:r>
              <w:tab/>
            </w:r>
            <w:r>
              <w:t xml:space="preserve">mając na uwadze, że </w:t>
            </w:r>
            <w:r>
              <w:rPr>
                <w:b/>
                <w:i/>
              </w:rPr>
              <w:t>koncepcja wielostronnego porządku opartego</w:t>
            </w:r>
            <w:r>
              <w:t xml:space="preserve"> na zasadach jest coraz częściej </w:t>
            </w:r>
            <w:r>
              <w:rPr>
                <w:b/>
                <w:i/>
              </w:rPr>
              <w:t>przywoływana jako uzasadnienie interwencji zewnętrznych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mając na uwadze, że wielostronny porządek oparty na zasadach, który od 80 lat jest podstawą pokoju i dobrobytu, jest coraz częściej kwestionowany przez </w:t>
            </w:r>
            <w:r>
              <w:rPr>
                <w:b/>
                <w:i/>
              </w:rPr>
              <w:t>autokracje</w:t>
            </w:r>
            <w:r>
              <w:t xml:space="preserve"> na całym świecie;</w:t>
            </w:r>
          </w:p>
        </w:tc>
        <w:tc>
          <w:tcPr>
            <w:tcW w:w="4876" w:type="dxa"/>
            <w:tcBorders>
              <w:top w:val="nil"/>
              <w:left w:val="nil"/>
              <w:bottom w:val="nil"/>
              <w:right w:val="nil"/>
            </w:tcBorders>
          </w:tcPr>
          <w:p>
            <w:pPr>
              <w:pStyle w:val="Normal6a"/>
            </w:pPr>
            <w:r>
              <w:t>D.</w:t>
            </w:r>
            <w:r>
              <w:tab/>
            </w:r>
            <w:r>
              <w:t xml:space="preserve">mając na uwadze, że wielostronny porządek oparty na zasadach, który od 80 lat jest podstawą pokoju i dobrobytu, jest coraz częściej kwestionowany przez </w:t>
            </w:r>
            <w:r>
              <w:rPr>
                <w:b/>
                <w:i/>
              </w:rPr>
              <w:t>tendencje autokratyczne</w:t>
            </w:r>
            <w:r>
              <w:t xml:space="preserve"> na całym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mając na uwadze, że agresja wojskowa Rosji na Ukrainę stanowi rażące naruszenie prawa międzynarodowego i zagraża bezpieczeństwu światowemu, co wymaga skoordynowanego stanowiska ze strony partnerów demokratycznych, w tym partnerów z Ameryki Łacińskiej i Karaibów;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mając na uwadze, że agresja wojskowa Rosji na Ukrainę stanowi rażące naruszenie prawa międzynarodowego i zagraża bezpieczeństwu światowemu, co wymaga skoordynowanego stanowiska ze strony partnerów demokratycznych, w tym partnerów z Ameryki Łacińskiej i Karaibów;</w:t>
            </w:r>
          </w:p>
        </w:tc>
        <w:tc>
          <w:tcPr>
            <w:tcW w:w="4876" w:type="dxa"/>
            <w:tcBorders>
              <w:top w:val="nil"/>
              <w:left w:val="nil"/>
              <w:bottom w:val="nil"/>
              <w:right w:val="nil"/>
            </w:tcBorders>
          </w:tcPr>
          <w:p>
            <w:pPr>
              <w:pStyle w:val="Normal6a"/>
            </w:pPr>
            <w:r>
              <w:t>E.</w:t>
            </w:r>
            <w:r>
              <w:tab/>
            </w:r>
            <w:r>
              <w:t xml:space="preserve">mając na uwadze, że agresja wojskowa Rosji na Ukrainę stanowi rażące naruszenie prawa międzynarodowego i zagraża bezpieczeństwu światowemu, co wymaga skoordynowanego stanowiska ze strony partnerów demokratycznych, w tym partnerów z Ameryki Łacińskiej i Karaibów; </w:t>
            </w:r>
            <w:r>
              <w:rPr>
                <w:b/>
                <w:i/>
              </w:rPr>
              <w:t>mając na uwadze, że większość krajów Ameryki Łacińskiej i Karaibów poparła rezolucje ONZ przeciwko rosyjskiej agresji na Ukrainę;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mając na uwadze, że agresja wojskowa Rosji na Ukrainę </w:t>
            </w:r>
            <w:r>
              <w:rPr>
                <w:b/>
                <w:i/>
              </w:rPr>
              <w:t>stanowi</w:t>
            </w:r>
            <w:r>
              <w:t xml:space="preserve"> rażące </w:t>
            </w:r>
            <w:r>
              <w:rPr>
                <w:b/>
                <w:i/>
              </w:rPr>
              <w:t>naruszenie</w:t>
            </w:r>
            <w:r>
              <w:t xml:space="preserve"> prawa międzynarodowego i </w:t>
            </w:r>
            <w:r>
              <w:rPr>
                <w:b/>
                <w:i/>
              </w:rPr>
              <w:t>zagraża</w:t>
            </w:r>
            <w:r>
              <w:t xml:space="preserve"> bezpieczeństwu światowemu, co wymaga skoordynowanego stanowiska ze strony partnerów demokratycznych, w tym partnerów z Ameryki Łacińskiej i Karaibów;</w:t>
            </w:r>
          </w:p>
        </w:tc>
        <w:tc>
          <w:tcPr>
            <w:tcW w:w="4876" w:type="dxa"/>
            <w:tcBorders>
              <w:top w:val="nil"/>
              <w:left w:val="nil"/>
              <w:bottom w:val="nil"/>
              <w:right w:val="nil"/>
            </w:tcBorders>
          </w:tcPr>
          <w:p>
            <w:pPr>
              <w:pStyle w:val="Normal6a"/>
            </w:pPr>
            <w:r>
              <w:t>E.</w:t>
            </w:r>
            <w:r>
              <w:tab/>
            </w:r>
            <w:r>
              <w:t xml:space="preserve">mając na uwadze, że agresja wojskowa Rosji na Ukrainę </w:t>
            </w:r>
            <w:r>
              <w:rPr>
                <w:b/>
                <w:i/>
              </w:rPr>
              <w:t>oraz ludobójstwo, jakiego Izrael dopuszcza się wobec ludności palestyńskiej, stanowią dwa</w:t>
            </w:r>
            <w:r>
              <w:t xml:space="preserve"> rażące </w:t>
            </w:r>
            <w:r>
              <w:rPr>
                <w:b/>
                <w:i/>
              </w:rPr>
              <w:t>przypadki naruszenia</w:t>
            </w:r>
            <w:r>
              <w:t xml:space="preserve"> prawa międzynarodowego i </w:t>
            </w:r>
            <w:r>
              <w:rPr>
                <w:b/>
                <w:i/>
              </w:rPr>
              <w:t>zagrażają</w:t>
            </w:r>
            <w:r>
              <w:t xml:space="preserve"> bezpieczeństwu światowemu, co wymaga skoordynowanego stanowiska ze strony partnerów demokratycznych, w tym partnerów z Ameryki Łacińskiej i Karaibów;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mając na uwadze, że </w:t>
            </w:r>
            <w:r>
              <w:rPr>
                <w:b/>
                <w:i/>
              </w:rPr>
              <w:t>agresja wojskowa</w:t>
            </w:r>
            <w:r>
              <w:t xml:space="preserve"> Rosji </w:t>
            </w:r>
            <w:r>
              <w:rPr>
                <w:b/>
                <w:i/>
              </w:rPr>
              <w:t>na Ukrainę</w:t>
            </w:r>
            <w:r>
              <w:t xml:space="preserve"> stanowi rażące naruszenie prawa międzynarodowego i zagraża bezpieczeństwu światowemu, co wymaga skoordynowanego stanowiska ze strony partnerów demokratycznych, w tym partnerów z Ameryki Łacińskiej i Karaibów;</w:t>
            </w:r>
          </w:p>
        </w:tc>
        <w:tc>
          <w:tcPr>
            <w:tcW w:w="4876" w:type="dxa"/>
            <w:tcBorders>
              <w:top w:val="nil"/>
              <w:left w:val="nil"/>
              <w:bottom w:val="nil"/>
              <w:right w:val="nil"/>
            </w:tcBorders>
          </w:tcPr>
          <w:p>
            <w:pPr>
              <w:pStyle w:val="Normal6a"/>
            </w:pPr>
            <w:r>
              <w:t>E.</w:t>
            </w:r>
            <w:r>
              <w:tab/>
            </w:r>
            <w:r>
              <w:t xml:space="preserve">mając na uwadze, że </w:t>
            </w:r>
            <w:r>
              <w:rPr>
                <w:b/>
                <w:i/>
              </w:rPr>
              <w:t>bezprawna, nieuzasadniona i niesprowokowana wojna napastnicza</w:t>
            </w:r>
            <w:r>
              <w:t xml:space="preserve"> Rosji </w:t>
            </w:r>
            <w:r>
              <w:rPr>
                <w:b/>
                <w:i/>
              </w:rPr>
              <w:t>przeciw Ukrainie</w:t>
            </w:r>
            <w:r>
              <w:t xml:space="preserve"> stanowi rażące naruszenie prawa międzynarodowego i zagraża bezpieczeństwu światowemu, co wymaga skoordynowanego stanowiska ze strony partnerów demokratycznych, w tym partnerów z Ameryki Łacińskiej i Karaibów;</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mając na uwadze, że </w:t>
            </w:r>
            <w:r>
              <w:rPr>
                <w:b/>
                <w:i/>
              </w:rPr>
              <w:t>agresja wojskowa Rosji</w:t>
            </w:r>
            <w:r>
              <w:t xml:space="preserve"> na Ukrainę </w:t>
            </w:r>
            <w:r>
              <w:rPr>
                <w:b/>
                <w:i/>
              </w:rPr>
              <w:t>stanowi rażące naruszenie prawa międzynarodowego i zagraża bezpieczeństwu światowemu, co wymaga skoordynowanego stanowiska ze strony partnerów demokratycznych</w:t>
            </w:r>
            <w:r>
              <w:t xml:space="preserve">, w tym </w:t>
            </w:r>
            <w:r>
              <w:rPr>
                <w:b/>
                <w:i/>
              </w:rPr>
              <w:t>partnerów</w:t>
            </w:r>
            <w:r>
              <w:t xml:space="preserve"> z Ameryki Łacińskiej i Karaibów;</w:t>
            </w:r>
          </w:p>
        </w:tc>
        <w:tc>
          <w:tcPr>
            <w:tcW w:w="4876" w:type="dxa"/>
            <w:tcBorders>
              <w:top w:val="nil"/>
              <w:left w:val="nil"/>
              <w:bottom w:val="nil"/>
              <w:right w:val="nil"/>
            </w:tcBorders>
          </w:tcPr>
          <w:p>
            <w:pPr>
              <w:pStyle w:val="Normal6a"/>
            </w:pPr>
            <w:r>
              <w:t>E.</w:t>
            </w:r>
            <w:r>
              <w:tab/>
            </w:r>
            <w:r>
              <w:t xml:space="preserve">mając na uwadze, że </w:t>
            </w:r>
            <w:r>
              <w:rPr>
                <w:b/>
                <w:i/>
              </w:rPr>
              <w:t>stanowisko UE w sprawie rosyjskiej agresji wojskowej</w:t>
            </w:r>
            <w:r>
              <w:t xml:space="preserve"> na Ukrainę </w:t>
            </w:r>
            <w:r>
              <w:rPr>
                <w:b/>
                <w:i/>
              </w:rPr>
              <w:t>nie powinno być wykorzystywane do narzucania państwom trzecim</w:t>
            </w:r>
            <w:r>
              <w:t>, w tym z Ameryki Łacińskiej i Karaibów</w:t>
            </w:r>
            <w:r>
              <w:rPr>
                <w:b/>
                <w:i/>
              </w:rPr>
              <w:t>, jednostronnych stanowisk w polityce zagranicznej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mając na uwadze, że agresja wojskowa Rosji na Ukrainę stanowi rażące naruszenie prawa międzynarodowego i zagraża bezpieczeństwu światowemu, co wymaga skoordynowanego stanowiska ze strony partnerów demokratycznych, w tym partnerów z Ameryki Łacińskiej i Karaibów;</w:t>
            </w:r>
          </w:p>
        </w:tc>
        <w:tc>
          <w:tcPr>
            <w:tcW w:w="4876" w:type="dxa"/>
            <w:tcBorders>
              <w:top w:val="nil"/>
              <w:left w:val="nil"/>
              <w:bottom w:val="nil"/>
              <w:right w:val="nil"/>
            </w:tcBorders>
          </w:tcPr>
          <w:p>
            <w:pPr>
              <w:pStyle w:val="Normal6a"/>
            </w:pPr>
            <w:r>
              <w:t>E.</w:t>
            </w:r>
            <w:r>
              <w:tab/>
            </w:r>
            <w:r>
              <w:t xml:space="preserve">mając na uwadze, że agresja wojskowa Rosji na Ukrainę stanowi rażące naruszenie prawa międzynarodowego i zagraża bezpieczeństwu światowemu, co wymaga </w:t>
            </w:r>
            <w:r>
              <w:rPr>
                <w:b/>
                <w:i/>
              </w:rPr>
              <w:t>zdecydowanego, stanowczego i</w:t>
            </w:r>
            <w:r>
              <w:t xml:space="preserve"> skoordynowanego stanowiska ze strony partnerów demokratycznych, w tym partnerów z Ameryki Łacińskiej i Karaibów;</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mając na uwadze, że podmioty zewnętrzne, w szczególności Chiny, Rosja i Iran, rozszerzają swoje wpływy w Ameryce Łacińskiej i na Karaibach, przy czym Pekin zwiększa inwestycje w infrastrukturę, Moskwa ugruntowuje swoją obecność dyplomatyczną i w zakresie bezpieczeństwa, a Teheran intensyfikuje działania wywiadowcze w regionie;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mając na uwadze, że podmioty zewnętrzne, w szczególności Chiny, Rosja i Iran, rozszerzają swoje wpływy w Ameryce Łacińskiej i na Karaibach, przy czym Pekin zwiększa inwestycje w infrastrukturę, Moskwa ugruntowuje swoją obecność dyplomatyczną i w zakresie bezpieczeństwa, a Teheran intensyfikuje działania wywiadowcze w regionie;</w:t>
            </w:r>
          </w:p>
        </w:tc>
        <w:tc>
          <w:tcPr>
            <w:tcW w:w="4876" w:type="dxa"/>
            <w:tcBorders>
              <w:top w:val="nil"/>
              <w:left w:val="nil"/>
              <w:bottom w:val="nil"/>
              <w:right w:val="nil"/>
            </w:tcBorders>
          </w:tcPr>
          <w:p>
            <w:pPr>
              <w:pStyle w:val="Normal6a"/>
            </w:pPr>
            <w:r>
              <w:t>F.</w:t>
            </w:r>
            <w:r>
              <w:tab/>
            </w:r>
            <w:r>
              <w:t xml:space="preserve">mając na uwadze, że podmioty zewnętrzne, w szczególności Chiny, Rosja i Iran, rozszerzają swoje wpływy w Ameryce Łacińskiej i na Karaibach, przy czym Pekin zwiększa inwestycje w infrastrukturę, Moskwa ugruntowuje swoją obecność dyplomatyczną i w zakresie bezpieczeństwa, a Teheran intensyfikuje działania wywiadowcze w regionie; </w:t>
            </w:r>
            <w:r>
              <w:rPr>
                <w:b/>
                <w:i/>
              </w:rPr>
              <w:t>mając na uwadze, że działania te spotykają się ze wsparciem lokalnych podmiotów antydemokratycznych, co często prowadzi do regresu demokracji w regionie;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mając na uwadze, że podmioty zewnętrzne, w szczególności Chiny, Rosja i Iran, rozszerzają swoje wpływy w Ameryce Łacińskiej i na Karaibach, przy czym Pekin zwiększa inwestycje w </w:t>
            </w:r>
            <w:r>
              <w:rPr>
                <w:b/>
                <w:i/>
              </w:rPr>
              <w:t>infrastrukturę</w:t>
            </w:r>
            <w:r>
              <w:t>, Moskwa ugruntowuje swoją obecność dyplomatyczną i w zakresie bezpieczeństwa, a Teheran intensyfikuje działania wywiadowcze w regionie;</w:t>
            </w:r>
          </w:p>
        </w:tc>
        <w:tc>
          <w:tcPr>
            <w:tcW w:w="4876" w:type="dxa"/>
            <w:tcBorders>
              <w:top w:val="nil"/>
              <w:left w:val="nil"/>
              <w:bottom w:val="nil"/>
              <w:right w:val="nil"/>
            </w:tcBorders>
          </w:tcPr>
          <w:p>
            <w:pPr>
              <w:pStyle w:val="Normal6a"/>
            </w:pPr>
            <w:r>
              <w:t>F.</w:t>
            </w:r>
            <w:r>
              <w:tab/>
            </w:r>
            <w:r>
              <w:t xml:space="preserve">mając na uwadze, że podmioty zewnętrzne, w szczególności Chiny, Rosja i Iran, rozszerzają swoje wpływy w Ameryce Łacińskiej i na Karaibach, przy czym Pekin zwiększa inwestycje w </w:t>
            </w:r>
            <w:r>
              <w:rPr>
                <w:b/>
                <w:i/>
              </w:rPr>
              <w:t>projekty dotyczące infrastruktury i surowców naturalnych</w:t>
            </w:r>
            <w:r>
              <w:t>, Moskwa ugruntowuje swoją obecność dyplomatyczną i w zakresie bezpieczeństwa, a Teheran intensyfikuje działania wywiadowcze w regionie;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mając na uwadze, że podmioty zewnętrzne, w szczególności Chiny, Rosja i Iran, rozszerzają swoje wpływy w Ameryce Łacińskiej i na Karaibach, przy czym Pekin zwiększa inwestycje w infrastrukturę, Moskwa ugruntowuje </w:t>
            </w:r>
            <w:r>
              <w:rPr>
                <w:b/>
                <w:i/>
              </w:rPr>
              <w:t>swoją obecność dyplomatyczną</w:t>
            </w:r>
            <w:r>
              <w:t xml:space="preserve"> i w zakresie bezpieczeństwa, a Teheran intensyfikuje działania wywiadowcze w regionie;</w:t>
            </w:r>
          </w:p>
        </w:tc>
        <w:tc>
          <w:tcPr>
            <w:tcW w:w="4876" w:type="dxa"/>
            <w:tcBorders>
              <w:top w:val="nil"/>
              <w:left w:val="nil"/>
              <w:bottom w:val="nil"/>
              <w:right w:val="nil"/>
            </w:tcBorders>
          </w:tcPr>
          <w:p>
            <w:pPr>
              <w:pStyle w:val="Normal6a"/>
            </w:pPr>
            <w:r>
              <w:t>F.</w:t>
            </w:r>
            <w:r>
              <w:tab/>
            </w:r>
            <w:r>
              <w:t xml:space="preserve">mając na uwadze, że podmioty zewnętrzne, w szczególności Chiny, Rosja i Iran, rozszerzają swoje wpływy w Ameryce Łacińskiej i na Karaibach, przy czym Pekin zwiększa inwestycje w infrastrukturę </w:t>
            </w:r>
            <w:r>
              <w:rPr>
                <w:b/>
                <w:i/>
              </w:rPr>
              <w:t>oraz buduje więzy wojskowe</w:t>
            </w:r>
            <w:r>
              <w:t xml:space="preserve">, Moskwa ugruntowuje </w:t>
            </w:r>
            <w:r>
              <w:rPr>
                <w:b/>
                <w:i/>
              </w:rPr>
              <w:t>swoje wpływy polityczne</w:t>
            </w:r>
            <w:r>
              <w:t xml:space="preserve"> i w zakresie bezpieczeństwa, a Teheran intensyfikuje działania wywiadowcze w regionie;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mając na uwadze, że podmioty zewnętrzne, w szczególności Chiny, Rosja i Iran, rozszerzają swoje wpływy w Ameryce Łacińskiej i na Karaibach, przy czym Pekin zwiększa inwestycje w infrastrukturę, Moskwa ugruntowuje swoją obecność dyplomatyczną i w zakresie bezpieczeństwa, a Teheran intensyfikuje działania wywiadowcze w regionie;</w:t>
            </w:r>
          </w:p>
        </w:tc>
        <w:tc>
          <w:tcPr>
            <w:tcW w:w="4876" w:type="dxa"/>
            <w:tcBorders>
              <w:top w:val="nil"/>
              <w:left w:val="nil"/>
              <w:bottom w:val="nil"/>
              <w:right w:val="nil"/>
            </w:tcBorders>
          </w:tcPr>
          <w:p>
            <w:pPr>
              <w:pStyle w:val="Normal6a"/>
            </w:pPr>
            <w:r>
              <w:t>F.</w:t>
            </w:r>
            <w:r>
              <w:tab/>
            </w:r>
            <w:r>
              <w:t>mając na uwadze, że podmioty zewnętrzne, w szczególności Chiny, Rosja i Iran, rozszerzają swoje wpływy w Ameryce Łacińskiej i na Karaibach, przy czym Pekin zwiększa inwestycje w infrastrukturę, Moskwa ugruntowuje swoją obecność dyplomatyczną</w:t>
            </w:r>
            <w:r>
              <w:rPr>
                <w:b/>
                <w:i/>
              </w:rPr>
              <w:t>, propagandową</w:t>
            </w:r>
            <w:r>
              <w:t xml:space="preserve"> i w zakresie bezpieczeństwa, a Teheran intensyfikuje działania wywiadowcze w regionie;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mając na uwadze, że podmioty zewnętrzne, w szczególności Chiny, Rosja i Iran, rozszerzają swoje wpływy w Ameryce Łacińskiej i na Karaibach, przy czym Pekin zwiększa inwestycje w infrastrukturę, Moskwa ugruntowuje swoją obecność dyplomatyczną i w zakresie bezpieczeństwa, a Teheran intensyfikuje działania wywiadowcze w regionie;</w:t>
            </w:r>
          </w:p>
        </w:tc>
        <w:tc>
          <w:tcPr>
            <w:tcW w:w="4876" w:type="dxa"/>
            <w:tcBorders>
              <w:top w:val="nil"/>
              <w:left w:val="nil"/>
              <w:bottom w:val="nil"/>
              <w:right w:val="nil"/>
            </w:tcBorders>
          </w:tcPr>
          <w:p>
            <w:pPr>
              <w:pStyle w:val="Normal6a"/>
            </w:pPr>
            <w:r>
              <w:t>F.</w:t>
            </w:r>
            <w:r>
              <w:tab/>
            </w:r>
            <w:r>
              <w:t>mając na uwadze, że podmioty zewnętrzne, w szczególności Chiny, Rosja i Iran, rozszerzają swoje wpływy w Ameryce Łacińskiej i na Karaibach, przy czym Pekin zwiększa inwestycje w infrastrukturę, Moskwa ugruntowuje swoją obecność dyplomatyczną</w:t>
            </w:r>
            <w:r>
              <w:rPr>
                <w:b/>
                <w:i/>
              </w:rPr>
              <w:t>, propagandową</w:t>
            </w:r>
            <w:r>
              <w:t xml:space="preserve"> i w zakresie bezpieczeństwa, a Teheran intensyfikuje działania wywiadowcze w regionie;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F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mając na uwadze, że od 2018 r. reżim Nikaragui planowo, bez przerwy i w sposób arbitralny prześladuje m.in. obrońców praw człowieka, opozycję i przedstawicieli wspólnot religijnych;</w:t>
            </w:r>
            <w:r>
              <w:t xml:space="preserve"> </w:t>
            </w:r>
            <w:r>
              <w:rPr>
                <w:b/>
                <w:i/>
              </w:rPr>
              <w:t>mając na uwadze, że rozwiązano ponad 5 600 organizacji pozarządowych, w tym również grupy religijne, głównie katolickie, a ich mienie skonfiskowano;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F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mając na uwadze, że Rosja wykorzystuje zależność krajów Ameryki Łacińskiej i Karaibów od rosyjskich nawozów i oleju napędowego, aby zwiększać swoje wpływy polityczne;</w:t>
            </w:r>
            <w:r>
              <w:t xml:space="preserve"> </w:t>
            </w:r>
            <w:r>
              <w:rPr>
                <w:b/>
                <w:i/>
              </w:rPr>
              <w:t>mając na uwadze, że obecność Rosji w krajach Ameryki Łacińskiej i Karaibów charakteryzuje się również kampaniami dezinformacyjnymi mającymi na celu destabilizację systemów demokratycznych;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F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mając na uwadze, że Unia Europejska traci swoje wpływy w Ameryce Łacińskiej i w innych regionach ze względu na podporządkowanie się polityce zagranicznej USA, co powoduje alarmującą utratę wiarygodności jako globalnego gracza na arenie międzynarodowej;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F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mając na uwadze, że obecność Chin w krajach Ameryki Łacińskiej i Karaibów tworzy zależności gospodarcze, które wpływają na kierunki polityki zagranicznej tych krajów;</w:t>
            </w:r>
            <w:r>
              <w:t xml:space="preserve"> </w:t>
            </w:r>
            <w:r>
              <w:rPr>
                <w:b/>
                <w:i/>
              </w:rPr>
              <w:t>podkreśla w związku z tym, że Chiny szczególnie aktywnie wpływają na kierunki polityczne krajów Ameryki Łacińskiej i Karaibów w odniesieniu do polityki „jednych Chin”;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mając na uwadze, że działania podejmowane przez administrację prezydenta Trumpa zmieniają globalną dynamikę geopolityczną, </w:t>
            </w:r>
            <w:r>
              <w:rPr>
                <w:b/>
                <w:i/>
              </w:rPr>
              <w:t>stwarzając</w:t>
            </w:r>
            <w:r>
              <w:t xml:space="preserve"> zarówno wyzwania dla strategicznego partnerstwa między UE a Ameryką Łacińską i Karaibami, jak i możliwości odnowy tego partnerstwa w 2025 r.;</w:t>
            </w:r>
          </w:p>
        </w:tc>
        <w:tc>
          <w:tcPr>
            <w:tcW w:w="4876" w:type="dxa"/>
            <w:tcBorders>
              <w:top w:val="nil"/>
              <w:left w:val="nil"/>
              <w:bottom w:val="nil"/>
              <w:right w:val="nil"/>
            </w:tcBorders>
          </w:tcPr>
          <w:p>
            <w:pPr>
              <w:pStyle w:val="Normal6a"/>
            </w:pPr>
            <w:r>
              <w:t>G.</w:t>
            </w:r>
            <w:r>
              <w:tab/>
            </w:r>
            <w:r>
              <w:t xml:space="preserve">mając na uwadze, że działania podejmowane przez administrację prezydenta Trumpa zmieniają globalną dynamikę geopolityczną, </w:t>
            </w:r>
            <w:r>
              <w:rPr>
                <w:b/>
                <w:i/>
              </w:rPr>
              <w:t>w szczególności poprzez nadanie priorytetu relacjom z państwami Ameryki Łacińskiej i Karaibów — zwłaszcza w obszarach zwalczania nielegalnej migracji, przemytu narkotyków, przestępczości zorganizowanej, a także w kwestiach ochrony praw człowieka oraz rozwoju i bezpieczeństwa strategicznej infrastruktury transportowej — również w kontekście powstrzymywania wpływów Chin, co stwarza dodatkowo</w:t>
            </w:r>
            <w:r>
              <w:t xml:space="preserve"> zarówno wyzwania dla strategicznego partnerstwa między UE a Ameryką Łacińską i Karaibami, jak i możliwości odnowy tego partnerstwa w 2025 r.;</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mając na uwadze, że działania </w:t>
            </w:r>
            <w:r>
              <w:rPr>
                <w:b/>
                <w:i/>
              </w:rPr>
              <w:t>podejmowane przez administrację prezydenta Trumpa zmieniają</w:t>
            </w:r>
            <w:r>
              <w:t xml:space="preserve"> globalną dynamikę </w:t>
            </w:r>
            <w:r>
              <w:rPr>
                <w:b/>
                <w:i/>
              </w:rPr>
              <w:t>geopolityczną, stwarzając</w:t>
            </w:r>
            <w:r>
              <w:t xml:space="preserve"> zarówno wyzwania </w:t>
            </w:r>
            <w:r>
              <w:rPr>
                <w:b/>
                <w:i/>
              </w:rPr>
              <w:t>dla strategicznego partnerstwa między UE a Ameryką Łacińską i Karaibami</w:t>
            </w:r>
            <w:r>
              <w:t xml:space="preserve">, jak i </w:t>
            </w:r>
            <w:r>
              <w:rPr>
                <w:b/>
                <w:i/>
              </w:rPr>
              <w:t>możliwości odnowy</w:t>
            </w:r>
            <w:r>
              <w:t xml:space="preserve"> tego partnerstwa w 2025 r.;</w:t>
            </w:r>
          </w:p>
        </w:tc>
        <w:tc>
          <w:tcPr>
            <w:tcW w:w="4876" w:type="dxa"/>
            <w:tcBorders>
              <w:top w:val="nil"/>
              <w:left w:val="nil"/>
              <w:bottom w:val="nil"/>
              <w:right w:val="nil"/>
            </w:tcBorders>
          </w:tcPr>
          <w:p>
            <w:pPr>
              <w:pStyle w:val="Normal6a"/>
            </w:pPr>
            <w:r>
              <w:t>G.</w:t>
            </w:r>
            <w:r>
              <w:tab/>
            </w:r>
            <w:r>
              <w:rPr>
                <w:b/>
                <w:i/>
              </w:rPr>
              <w:t>mając na uwadze, że ponowny wybór Donalda Trumpa na prezydenta Stanów Zjednoczonych wprowadza niepewność geopolityczną, która może podważyć multilateralizm, osłabić globalne standardy demokratyczne i utrudnić współpracę międzyregionalną, zwiększając tym samym potrzebę silnego i autonomicznego sojuszu UE–Ameryka Łacińska i Karaiby;</w:t>
            </w:r>
            <w:r>
              <w:t xml:space="preserve"> mając na uwadze, że działania </w:t>
            </w:r>
            <w:r>
              <w:rPr>
                <w:b/>
                <w:i/>
              </w:rPr>
              <w:t>jego administracji, w tym masowe deportacje, przekształcają</w:t>
            </w:r>
            <w:r>
              <w:t xml:space="preserve"> globalną dynamikę</w:t>
            </w:r>
            <w:r>
              <w:rPr>
                <w:b/>
                <w:i/>
              </w:rPr>
              <w:t>, co stwarza</w:t>
            </w:r>
            <w:r>
              <w:t xml:space="preserve"> zarówno wyzwania, jak i </w:t>
            </w:r>
            <w:r>
              <w:rPr>
                <w:b/>
                <w:i/>
              </w:rPr>
              <w:t>szanse dla</w:t>
            </w:r>
            <w:r>
              <w:t xml:space="preserve"> tego partnerstwa </w:t>
            </w:r>
            <w:r>
              <w:rPr>
                <w:b/>
                <w:i/>
              </w:rPr>
              <w:t>oraz umożliwia jego odnowę </w:t>
            </w:r>
            <w:r>
              <w:t>w 2025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mając na uwadze, że działania podejmowane przez administrację prezydenta Trumpa zmieniają globalną dynamikę geopolityczną, stwarzając zarówno wyzwania dla strategicznego partnerstwa między UE a Ameryką Łacińską i Karaibami, jak i możliwości odnowy tego partnerstwa </w:t>
            </w:r>
            <w:r>
              <w:rPr>
                <w:b/>
                <w:i/>
              </w:rPr>
              <w:t>w 2025 r.</w:t>
            </w:r>
            <w:r>
              <w:t>;</w:t>
            </w:r>
          </w:p>
        </w:tc>
        <w:tc>
          <w:tcPr>
            <w:tcW w:w="4876" w:type="dxa"/>
            <w:tcBorders>
              <w:top w:val="nil"/>
              <w:left w:val="nil"/>
              <w:bottom w:val="nil"/>
              <w:right w:val="nil"/>
            </w:tcBorders>
          </w:tcPr>
          <w:p>
            <w:pPr>
              <w:pStyle w:val="Normal6a"/>
            </w:pPr>
            <w:r>
              <w:t>G.</w:t>
            </w:r>
            <w:r>
              <w:tab/>
            </w:r>
            <w:r>
              <w:t xml:space="preserve">mając na uwadze, że działania podejmowane przez administrację prezydenta Trumpa </w:t>
            </w:r>
            <w:r>
              <w:rPr>
                <w:b/>
                <w:i/>
              </w:rPr>
              <w:t>zagrażają multilateralizmowi i</w:t>
            </w:r>
            <w:r>
              <w:t xml:space="preserve"> zmieniają globalną dynamikę geopolityczną, stwarzając zarówno wyzwania dla strategicznego partnerstwa między UE a Ameryką Łacińską i Karaibami, jak i możliwości odnowy tego partnerstwa;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mając na uwadze, że Unia Europejska i kraje Ameryki Łacińskiej mają wspólny interes strategiczny we wzmacnianiu swojej autonomii strategicznej i w dywersyfikacji łańcuchów dostaw;</w:t>
            </w:r>
            <w:r>
              <w:t xml:space="preserve"> </w:t>
            </w:r>
            <w:r>
              <w:rPr>
                <w:b/>
                <w:i/>
              </w:rPr>
              <w:t>mając na uwadze, że Ameryka Łacińska odpowiada za około 14 % światowej produkcji rolnej i 40 % światowej produkcji miedzi oraz posiada znaczne rezerwy litu i innych surowców krytycznych niezbędnych do rozwoju czystych technologii energetycznych i do globalnej transformacji ekologicznej;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majac na uwadze, że strategia Moskwy, Pekinu i Teherenu ma na celu rozbijanie wspólnych wartości półkuli zachodniej i zastępowanie ich toksyczną mieszanką antydemokratycznych idei, korupcji oraz populizmu opartego na modelach autorytarnych, co stanowi zagrożenie dla demokracji, pokoju i stabilności w regionie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mając na uwadze, że od czasu utworzenia CELAC w 2010 r. odbyły się trzy szczyty UE–CELAC: w 2013, 2015 i 2023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mając na uwadze, że Ameryka Łacińska jest światowym liderem w produkcji zrównoważonej energii, a około 69 % energii elektrycznej pochodzi z odnawialnych i czystych źródeł – znacznie powyżej światowej średniej wynoszącej 39 %, co świadczy o strategicznym znaczeniu i potencjale regionu w globalnej transformacji ekologicznej;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Urmas Paet, Lucia Yar,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mając na uwadze, że </w:t>
            </w:r>
            <w:r>
              <w:rPr>
                <w:b/>
                <w:i/>
              </w:rPr>
              <w:t>szczytu</w:t>
            </w:r>
            <w:r>
              <w:t xml:space="preserve"> UE i Wspólnoty Państw Ameryki Łacińskiej i Karaibów w Kolumbii w listopadzie 2025 r. będzie ważną okazją do potwierdzenia zaangażowania UE na rzecz Ameryki Łacińskiej i Karaibów oraz wykazania, że Europa jest wiarygodnym partnerem;</w:t>
            </w:r>
          </w:p>
        </w:tc>
        <w:tc>
          <w:tcPr>
            <w:tcW w:w="4876" w:type="dxa"/>
            <w:tcBorders>
              <w:top w:val="nil"/>
              <w:left w:val="nil"/>
              <w:bottom w:val="nil"/>
              <w:right w:val="nil"/>
            </w:tcBorders>
          </w:tcPr>
          <w:p>
            <w:pPr>
              <w:pStyle w:val="Normal6a"/>
            </w:pPr>
            <w:r>
              <w:t>H.</w:t>
            </w:r>
            <w:r>
              <w:tab/>
            </w:r>
            <w:r>
              <w:t xml:space="preserve">mając na uwadze, że </w:t>
            </w:r>
            <w:r>
              <w:rPr>
                <w:b/>
                <w:i/>
              </w:rPr>
              <w:t>UE i CELAC łączy wieloletnie partnerstwo strategiczne oraz sieć umów o stowarzyszeniu i umów handlowych;</w:t>
            </w:r>
            <w:r>
              <w:t xml:space="preserve"> </w:t>
            </w:r>
            <w:r>
              <w:rPr>
                <w:b/>
                <w:i/>
              </w:rPr>
              <w:t>mając na uwadze, że 7 czerwca 2023 r. Komisja przyjęła wspólny komunikat określający nowy program na rzecz stosunków między UE a Ameryką Łacińską i Karaibami;</w:t>
            </w:r>
            <w:r>
              <w:t xml:space="preserve"> </w:t>
            </w:r>
            <w:r>
              <w:rPr>
                <w:b/>
                <w:i/>
              </w:rPr>
              <w:t>mając na uwadze, że szczyt</w:t>
            </w:r>
            <w:r>
              <w:t xml:space="preserve"> UE i Wspólnoty Państw Ameryki Łacińskiej i Karaibów w Kolumbii w listopadzie 2025 r. będzie ważną okazją do potwierdzenia zaangażowania UE na rzecz Ameryki Łacińskiej i Karaibów oraz wykazania, że Europa jest wiarygodnym partnerem;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mając na uwadze, że </w:t>
            </w:r>
            <w:r>
              <w:rPr>
                <w:b/>
                <w:i/>
              </w:rPr>
              <w:t>szczytu</w:t>
            </w:r>
            <w:r>
              <w:t xml:space="preserve"> UE i Wspólnoty Państw Ameryki Łacińskiej i Karaibów w Kolumbii w listopadzie 2025 r. będzie ważną okazją do potwierdzenia zaangażowania UE na rzecz Ameryki Łacińskiej i Karaibów oraz wykazania, że Europa jest wiarygodnym partnerem;</w:t>
            </w:r>
          </w:p>
        </w:tc>
        <w:tc>
          <w:tcPr>
            <w:tcW w:w="4876" w:type="dxa"/>
            <w:tcBorders>
              <w:top w:val="nil"/>
              <w:left w:val="nil"/>
              <w:bottom w:val="nil"/>
              <w:right w:val="nil"/>
            </w:tcBorders>
          </w:tcPr>
          <w:p>
            <w:pPr>
              <w:pStyle w:val="Normal6a"/>
            </w:pPr>
            <w:r>
              <w:t>H.</w:t>
            </w:r>
            <w:r>
              <w:tab/>
            </w:r>
            <w:r>
              <w:t xml:space="preserve">mając na uwadze, że </w:t>
            </w:r>
            <w:r>
              <w:rPr>
                <w:b/>
                <w:i/>
              </w:rPr>
              <w:t>szczyt</w:t>
            </w:r>
            <w:r>
              <w:t xml:space="preserve"> UE i Wspólnoty Państw Ameryki Łacińskiej i Karaibów w Kolumbii w listopadzie 2025 r. będzie ważną okazją do potwierdzenia zaangażowania UE na rzecz Ameryki Łacińskiej i Karaibów oraz wykazania, że Europa jest wiarygodnym partnerem</w:t>
            </w:r>
            <w:r>
              <w:rPr>
                <w:b/>
                <w:i/>
              </w:rPr>
              <w:t>, a także że oba regiony są mocno zaangażowane na rzecz współpracy międzyregionalnej i międzynarodowego porządku opartego na zasadach</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mając na uwadze, że </w:t>
            </w:r>
            <w:r>
              <w:rPr>
                <w:b/>
                <w:i/>
              </w:rPr>
              <w:t>szczytu</w:t>
            </w:r>
            <w:r>
              <w:t xml:space="preserve"> UE i Wspólnoty Państw Ameryki Łacińskiej i Karaibów w Kolumbii w listopadzie 2025 r. będzie ważną okazją do potwierdzenia zaangażowania UE na rzecz Ameryki Łacińskiej i Karaibów </w:t>
            </w:r>
            <w:r>
              <w:rPr>
                <w:b/>
                <w:i/>
              </w:rPr>
              <w:t>oraz</w:t>
            </w:r>
            <w:r>
              <w:t xml:space="preserve"> wykazania, że Europa jest wiarygodnym partnerem;</w:t>
            </w:r>
          </w:p>
        </w:tc>
        <w:tc>
          <w:tcPr>
            <w:tcW w:w="4876" w:type="dxa"/>
            <w:tcBorders>
              <w:top w:val="nil"/>
              <w:left w:val="nil"/>
              <w:bottom w:val="nil"/>
              <w:right w:val="nil"/>
            </w:tcBorders>
          </w:tcPr>
          <w:p>
            <w:pPr>
              <w:pStyle w:val="Normal6a"/>
            </w:pPr>
            <w:r>
              <w:t>H.</w:t>
            </w:r>
            <w:r>
              <w:tab/>
            </w:r>
            <w:r>
              <w:t xml:space="preserve">mając na uwadze, że </w:t>
            </w:r>
            <w:r>
              <w:rPr>
                <w:b/>
                <w:i/>
              </w:rPr>
              <w:t>szczyt</w:t>
            </w:r>
            <w:r>
              <w:t xml:space="preserve"> UE i Wspólnoty Państw Ameryki Łacińskiej i Karaibów w Kolumbii w listopadzie 2025 r. będzie ważną okazją do potwierdzenia zaangażowania UE na rzecz Ameryki Łacińskiej i Karaibów</w:t>
            </w:r>
            <w:r>
              <w:rPr>
                <w:b/>
                <w:i/>
              </w:rPr>
              <w:t>,</w:t>
            </w:r>
            <w:r>
              <w:t xml:space="preserve"> wykazania, że Europa jest </w:t>
            </w:r>
            <w:r>
              <w:rPr>
                <w:b/>
                <w:i/>
              </w:rPr>
              <w:t>strategicznym i</w:t>
            </w:r>
            <w:r>
              <w:t xml:space="preserve"> wiarygodnym partnerem </w:t>
            </w:r>
            <w:r>
              <w:rPr>
                <w:b/>
                <w:i/>
              </w:rPr>
              <w:t>oraz zaoferowania wiarygodnej alternatywy opartej na demokratycznej współpracy i wspólnym dobrobycie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mając na uwadze, że </w:t>
            </w:r>
            <w:r>
              <w:rPr>
                <w:b/>
                <w:i/>
              </w:rPr>
              <w:t>szczytu</w:t>
            </w:r>
            <w:r>
              <w:t xml:space="preserve"> UE i Wspólnoty Państw Ameryki Łacińskiej i Karaibów w Kolumbii w listopadzie 2025 r. będzie ważną okazją do potwierdzenia zaangażowania UE na rzecz Ameryki Łacińskiej i Karaibów oraz wykazania, że Europa jest wiarygodnym partnerem;</w:t>
            </w:r>
          </w:p>
        </w:tc>
        <w:tc>
          <w:tcPr>
            <w:tcW w:w="4876" w:type="dxa"/>
            <w:tcBorders>
              <w:top w:val="nil"/>
              <w:left w:val="nil"/>
              <w:bottom w:val="nil"/>
              <w:right w:val="nil"/>
            </w:tcBorders>
          </w:tcPr>
          <w:p>
            <w:pPr>
              <w:pStyle w:val="Normal6a"/>
            </w:pPr>
            <w:r>
              <w:t>H.</w:t>
            </w:r>
            <w:r>
              <w:tab/>
            </w:r>
            <w:r>
              <w:t xml:space="preserve">mając na uwadze, że </w:t>
            </w:r>
            <w:r>
              <w:rPr>
                <w:b/>
                <w:i/>
              </w:rPr>
              <w:t>szczyt</w:t>
            </w:r>
            <w:r>
              <w:t xml:space="preserve"> UE i Wspólnoty Państw Ameryki Łacińskiej i Karaibów w Kolumbii w listopadzie 2025 r. będzie ważną okazją do potwierdzenia zaangażowania UE na rzecz Ameryki Łacińskiej i Karaibów oraz wykazania, że Europa jest wiarygodnym partnerem</w:t>
            </w:r>
            <w:r>
              <w:rPr>
                <w:b/>
                <w:i/>
              </w:rPr>
              <w:t>, który może stanowić alternatywę dla Chin i Rosji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mając na uwadze, że szczytu UE i Wspólnoty Państw Ameryki Łacińskiej i Karaibów w Kolumbii w listopadzie 2025 r. będzie ważną okazją do potwierdzenia zaangażowania UE na rzecz Ameryki Łacińskiej i Karaibów oraz wykazania, że Europa jest wiarygodnym partnerem;</w:t>
            </w:r>
          </w:p>
        </w:tc>
        <w:tc>
          <w:tcPr>
            <w:tcW w:w="4876" w:type="dxa"/>
            <w:tcBorders>
              <w:top w:val="nil"/>
              <w:left w:val="nil"/>
              <w:bottom w:val="nil"/>
              <w:right w:val="nil"/>
            </w:tcBorders>
          </w:tcPr>
          <w:p>
            <w:pPr>
              <w:pStyle w:val="Normal6a"/>
            </w:pPr>
            <w:r>
              <w:t>H.</w:t>
            </w:r>
            <w:r>
              <w:tab/>
            </w:r>
            <w:r>
              <w:t xml:space="preserve">mając na uwadze, że szczytu UE i Wspólnoty Państw Ameryki Łacińskiej i Karaibów w Kolumbii w listopadzie 2025 r. będzie ważną okazją do potwierdzenia zaangażowania UE na rzecz Ameryki Łacińskiej i Karaibów oraz wykazania, że Europa jest </w:t>
            </w:r>
            <w:r>
              <w:rPr>
                <w:b/>
                <w:i/>
              </w:rPr>
              <w:t>istotnym i</w:t>
            </w:r>
            <w:r>
              <w:t xml:space="preserve"> wiarygodnym partnerem;</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mając na uwadze, że Parlament Europejski ostatnio jednoznacznie wyraził swoje stanowisko w licznych rezolucjach w sprawie nieprzestrzegania umowy o dialogu politycznym i współpracy między UE a Kubą, uznania Edmunda Gonzáleza Urrutii za nowo wybranego prezydenta Wenezueli w następstwie wyborów z 28 lipca 2024 r., przyznania Nagrody im. Sacharowa za wolność myśli w 2024 r. Maríi Corinie Machado, przywódczyni opozycji demokratycznej w Wenezueli, oraz nowo wybranemu prezydentowi Edmundowi Gonzálezowi Urrutii, uzurpacji prezydencji w Wenezueli przez Nicolása Maduro w dniu 10 stycznia 2025 r. oraz wielokrotnego potępienia reżimu narzuconego w Nikaragui przez Daniela Ortegę i Rosario Murilla;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mając na uwadze, że miliony obywateli Ameryki Łacińskiej mieszkają, pracują lub studiują w Europie, a tysiące Europejczyków zadomowiło się w Ameryce Łacińskiej, dzięki czemu mamy teraz niezwykle cenną sieć więzi osobistych, językowych, akademickich i kulturowych oraz wyjątkowy kapitał relacyjny, który wzmacnia wzajemną empatię i umożliwia kształtowanie polityki opartej na zaufaniu;</w:t>
            </w:r>
            <w:r>
              <w:t xml:space="preserve"> </w:t>
            </w:r>
            <w:r>
              <w:rPr>
                <w:b/>
                <w:i/>
              </w:rPr>
              <w:t>mając na uwadze, że wielu obywateli Ameryki Łacińskiej posiada również obywatelstwo UE i odwrotnie;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mając na uwadze, że handel narkotykami stanowi poważne zagrożenie dla bezpieczeństwa Unii Europejskiej;</w:t>
            </w:r>
            <w:r>
              <w:t xml:space="preserve"> </w:t>
            </w:r>
            <w:r>
              <w:rPr>
                <w:b/>
                <w:i/>
              </w:rPr>
              <w:t>mając na uwadze, że od 2020 r. Unia Europejska jest największym na świecie rynkiem konsumpcji kokainy;</w:t>
            </w:r>
            <w:r>
              <w:t xml:space="preserve"> </w:t>
            </w:r>
            <w:r>
              <w:rPr>
                <w:b/>
                <w:i/>
              </w:rPr>
              <w:t>mając na uwadze, że w dużej mierze kokaina pochodzi z Ameryki Łacińskiej i trafia do UE przez europejskie porty na Atlantyku;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mając na uwadze, że przestrzeń społeczeństwa obywatelskiego kurczy się w wielu krajach Ameryki Łacińskiej, gdzie odnotowuje się bezprecedensowy wzrost liczby ataków na organizacje, działaczy i obrońców praw człowieka, co prowadzi do wysiedleń, przemocy i bezkarności;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mając na uwadze, że Wenezuela wielokrotnie nasilała napięcia, kwestionując zwierzchnictwo nad regionem Essequibo w Gujanie;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mając na uwadze, że Ameryka Łacińska i Karaiby posiadają znaczne niewykorzystane rezerwy minerałów krytycznych;</w:t>
            </w:r>
            <w:r>
              <w:t xml:space="preserve"> </w:t>
            </w:r>
            <w:r>
              <w:rPr>
                <w:b/>
                <w:i/>
              </w:rPr>
              <w:t>mając na uwadze, że Europa pozostaje w dużym stopniu zależna, zwłaszcza w odniesieniu do metali ciężkich ziem rzadkich, od ograniczonej liczby krajów będących dostawcami, w związku z czym pilnie potrzebuje dywersyfikacji dostaw;</w:t>
            </w:r>
            <w:r>
              <w:t xml:space="preserve"> </w:t>
            </w:r>
            <w:r>
              <w:rPr>
                <w:b/>
                <w:i/>
              </w:rPr>
              <w:t>mając na uwadze, że oczekuje się znacznego wzrostu popytu na lit i miedź w nadchodzących latach;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mając na uwadze, że strategiczny sojusz UE–Ameryka Łacińska i Karaiby ma kluczowe znaczenie dla wspierania wspólnych wartości i interesów, takich jak multilateralizm i demokracja;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mając na uwadze, że kilka państw członkowskich UE, w tym Francja, Polska, Austria i Niderlandy, wyraziło zdecydowany sprzeciw wobec umowy o partnerstwie między UE a Mercosurem;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mając na uwadze, że region Ameryki Łacińskiej i Karaibów jest nadal niedostatecznie reprezentowany w kluczowych organizacjach i na forach międzynarodowych, w tym w G-20 i w międzynarodowych organizacjach finansowych;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Hd.</w:t>
            </w:r>
            <w:r>
              <w:tab/>
            </w:r>
            <w:r>
              <w:rPr>
                <w:b/>
                <w:i/>
              </w:rPr>
              <w:t>mając na uwadze, że Meksyk i Brazylia zajmują szczególne miejsce w stosunkach między obydwoma regionami, ponieważ są to dwie największe gospodarki w Ameryce Łacińskiej; kraje te wywierają znaczny wpływ geopolityczny i są oficjalnie uznanymi partnerami strategicznymi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Hd.</w:t>
            </w:r>
            <w:r>
              <w:tab/>
            </w:r>
            <w:r>
              <w:rPr>
                <w:b/>
                <w:i/>
              </w:rPr>
              <w:t>mając na uwadze, że UE jest bezpośrednio obecna w Ameryce Łacińskiej i na Karaibach za pośrednictwem francuskich terytoriów zamorskich, w szczególności w Gujanie Francuskiej i na Karaibach;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He.</w:t>
            </w:r>
            <w:r>
              <w:tab/>
            </w:r>
            <w:r>
              <w:rPr>
                <w:b/>
                <w:i/>
              </w:rPr>
              <w:t>mając na uwadze, że Ameryka Łacińska i Karaiby mają kluczowe znaczenie strategiczne dla polityki kosmicznej UE, jako że w Kourou w Gujanie Francuskiej znajduje się jedyny w pełni operacyjny kosmodrom wspierający misje UE/ESA;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f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Hf.</w:t>
            </w:r>
            <w:r>
              <w:tab/>
            </w:r>
            <w:r>
              <w:rPr>
                <w:b/>
                <w:i/>
              </w:rPr>
              <w:t>mając na uwadze, że najbardziej oddalone regiony UE – Gwadelupa, Martynika, Gujana Francuska i Saint-Martin – są coraz częściej wykorzystywane jako węzły tranzytowe dla nielegalnej migracji, zwłaszcza z Haiti;</w:t>
            </w:r>
            <w:r>
              <w:t xml:space="preserve"> </w:t>
            </w:r>
            <w:r>
              <w:rPr>
                <w:b/>
                <w:i/>
              </w:rPr>
              <w:t>mając na uwadze, że UE musi zwiększyć wysiłki i zacieśnić współpracę z krajami Ameryki Łacińskiej i Karaibów, aby skutecznie rozwiązać ten problem;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g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Hg.</w:t>
            </w:r>
            <w:r>
              <w:tab/>
            </w:r>
            <w:r>
              <w:rPr>
                <w:b/>
                <w:i/>
              </w:rPr>
              <w:t>mając na uwadze, że prawie cała skonfiskowana w Europie kokaina pochodzi z Ameryki Łacińskiej i Karaibów, głównie z Kolumbii i Peru</w:t>
            </w:r>
            <w:r>
              <w:rPr>
                <w:b/>
                <w:i/>
                <w:vertAlign w:val="superscript"/>
              </w:rPr>
              <w:t>1a</w:t>
            </w:r>
            <w:r>
              <w:rPr>
                <w:b/>
                <w:i/>
              </w:rPr>
              <w:t>;</w:t>
            </w:r>
            <w:r>
              <w:t xml:space="preserve"> </w:t>
            </w:r>
            <w:r>
              <w:rPr>
                <w:b/>
                <w:i/>
              </w:rPr>
              <w:t>mając na uwadze, że od 2021 r. liczba konfiskat metamfetaminy stale rośnie, przy czym według doniesień znaczna część metamfetaminy pochodzi od meksykańskich karteli;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https://features.csis.org/tracking-transatlantic-drug-flows-cocaines-path-from-south-america-across-the-caribbean-to-europe/index.html?utm_source=chatgpt.com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zwraca uwagę na głębokie więzi historyczne, kulturowe i gospodarcze między UE a Ameryką Łacińską i Karaibami, stanowiące nie tylko podstawę naturalnego sojuszu, ale także silnego i trwałego partnerstwa z wyboru;</w:t>
            </w:r>
          </w:p>
        </w:tc>
        <w:tc>
          <w:tcPr>
            <w:tcW w:w="4876" w:type="dxa"/>
            <w:tcBorders>
              <w:top w:val="nil"/>
              <w:left w:val="nil"/>
              <w:bottom w:val="nil"/>
              <w:right w:val="nil"/>
            </w:tcBorders>
          </w:tcPr>
          <w:p>
            <w:pPr>
              <w:pStyle w:val="Normal6a"/>
            </w:pPr>
            <w:r>
              <w:t>1.</w:t>
            </w:r>
            <w:r>
              <w:tab/>
            </w:r>
            <w:r>
              <w:t xml:space="preserve">zwraca uwagę na głębokie więzi historyczne, kulturowe i gospodarcze między UE a Ameryką Łacińską i Karaibami, stanowiące nie tylko podstawę naturalnego sojuszu, ale także silnego i trwałego partnerstwa z wyboru; </w:t>
            </w:r>
            <w:r>
              <w:rPr>
                <w:b/>
                <w:i/>
              </w:rPr>
              <w:t>podkreśla w związku z tym znaczącą historyczną rolę Hiszpanii i Portugalii w zbliżaniu tych dwóch kontynentów;</w:t>
            </w:r>
            <w:r>
              <w:t xml:space="preserve"> </w:t>
            </w:r>
            <w:r>
              <w:rPr>
                <w:b/>
                <w:i/>
              </w:rPr>
              <w:t>twierdzi, że z tego powodu termin „Iberoameryka” jest szczególnie odpowiedni w odniesieniu do regionu głównie hiszpańskojęzycznego i portugalskojęzycznego;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zwraca uwagę na głębokie więzi historyczne, kulturowe i gospodarcze między UE a Ameryką Łacińską i Karaibami, stanowiące nie tylko podstawę naturalnego sojuszu, ale także silnego i trwałego partnerstwa z wyboru;</w:t>
            </w:r>
          </w:p>
        </w:tc>
        <w:tc>
          <w:tcPr>
            <w:tcW w:w="4876" w:type="dxa"/>
            <w:tcBorders>
              <w:top w:val="nil"/>
              <w:left w:val="nil"/>
              <w:bottom w:val="nil"/>
              <w:right w:val="nil"/>
            </w:tcBorders>
          </w:tcPr>
          <w:p>
            <w:pPr>
              <w:pStyle w:val="Normal6a"/>
            </w:pPr>
            <w:r>
              <w:t>1.</w:t>
            </w:r>
            <w:r>
              <w:tab/>
            </w:r>
            <w:r>
              <w:t>zwraca uwagę na głębokie więzi historyczne, kulturowe</w:t>
            </w:r>
            <w:r>
              <w:rPr>
                <w:b/>
                <w:i/>
              </w:rPr>
              <w:t>, religijne</w:t>
            </w:r>
            <w:r>
              <w:t xml:space="preserve"> i gospodarcze między UE a Ameryką Łacińską i Karaibami, stanowiące nie tylko podstawę naturalnego sojuszu, ale także silnego i trwałego partnerstwa z wyboru; </w:t>
            </w:r>
            <w:r>
              <w:rPr>
                <w:b/>
                <w:i/>
              </w:rPr>
              <w:t>przypomina, że stosunki z Ameryką Łacińską i Karaibami w ramach partnerstwa strategicznego sięgają 1999 r., kiedy to w Rio de Janeiro odbył się pierwszy międzyregionalny szczyt UE–Ameryka Łacińska i Karaiby;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zwraca uwagę na głębokie więzi historyczne, kulturowe </w:t>
            </w:r>
            <w:r>
              <w:rPr>
                <w:b/>
                <w:i/>
              </w:rPr>
              <w:t>i</w:t>
            </w:r>
            <w:r>
              <w:t xml:space="preserve"> gospodarcze między UE a Ameryką Łacińską i Karaibami, stanowiące nie tylko podstawę naturalnego sojuszu, ale także silnego i trwałego partnerstwa z wyboru;</w:t>
            </w:r>
          </w:p>
        </w:tc>
        <w:tc>
          <w:tcPr>
            <w:tcW w:w="4876" w:type="dxa"/>
            <w:tcBorders>
              <w:top w:val="nil"/>
              <w:left w:val="nil"/>
              <w:bottom w:val="nil"/>
              <w:right w:val="nil"/>
            </w:tcBorders>
          </w:tcPr>
          <w:p>
            <w:pPr>
              <w:pStyle w:val="Normal6a"/>
            </w:pPr>
            <w:r>
              <w:t>1.</w:t>
            </w:r>
            <w:r>
              <w:tab/>
            </w:r>
            <w:r>
              <w:t>zwraca uwagę na głębokie więzi historyczne, kulturowe</w:t>
            </w:r>
            <w:r>
              <w:rPr>
                <w:b/>
                <w:i/>
              </w:rPr>
              <w:t>,</w:t>
            </w:r>
            <w:r>
              <w:t xml:space="preserve"> gospodarcze </w:t>
            </w:r>
            <w:r>
              <w:rPr>
                <w:b/>
                <w:i/>
              </w:rPr>
              <w:t>i międzyludzkie</w:t>
            </w:r>
            <w:r>
              <w:t xml:space="preserve"> między UE a Ameryką Łacińską i Karaibami, stanowiące nie tylko podstawę naturalnego sojuszu, ale także silnego i trwałego partnerstwa z wyboru; </w:t>
            </w:r>
            <w:r>
              <w:rPr>
                <w:b/>
                <w:i/>
              </w:rPr>
              <w:t>w relacji tej należy również dostrzec wspólne interesy obu regionów;</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zwraca uwagę na głębokie więzi historyczne, kulturowe i gospodarcze między UE a Ameryką Łacińską i Karaibami</w:t>
            </w:r>
            <w:r>
              <w:rPr>
                <w:b/>
                <w:i/>
              </w:rPr>
              <w:t>, stanowiące nie tylko podstawę naturalnego sojuszu, ale także silnego i trwałego partnerstwa z wyboru</w:t>
            </w:r>
            <w:r>
              <w:t>;</w:t>
            </w:r>
          </w:p>
        </w:tc>
        <w:tc>
          <w:tcPr>
            <w:tcW w:w="4876" w:type="dxa"/>
            <w:tcBorders>
              <w:top w:val="nil"/>
              <w:left w:val="nil"/>
              <w:bottom w:val="nil"/>
              <w:right w:val="nil"/>
            </w:tcBorders>
          </w:tcPr>
          <w:p>
            <w:pPr>
              <w:pStyle w:val="Normal6a"/>
            </w:pPr>
            <w:r>
              <w:t>1.</w:t>
            </w:r>
            <w:r>
              <w:tab/>
            </w:r>
            <w:r>
              <w:t xml:space="preserve">zwraca uwagę na głębokie więzi historyczne, kulturowe i gospodarcze między </w:t>
            </w:r>
            <w:r>
              <w:rPr>
                <w:b/>
                <w:i/>
              </w:rPr>
              <w:t>państwami członkowskimi</w:t>
            </w:r>
            <w:r>
              <w:t xml:space="preserve"> UE a Ameryką Łacińską i Karaibami;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zwraca uwagę na głębokie więzi historyczne, kulturowe i gospodarcze między UE a Ameryką Łacińską i Karaibami, stanowiące nie tylko podstawę naturalnego sojuszu, ale także silnego i trwałego partnerstwa z wyboru;</w:t>
            </w:r>
          </w:p>
        </w:tc>
        <w:tc>
          <w:tcPr>
            <w:tcW w:w="4876" w:type="dxa"/>
            <w:tcBorders>
              <w:top w:val="nil"/>
              <w:left w:val="nil"/>
              <w:bottom w:val="nil"/>
              <w:right w:val="nil"/>
            </w:tcBorders>
          </w:tcPr>
          <w:p>
            <w:pPr>
              <w:pStyle w:val="Normal6a"/>
            </w:pPr>
            <w:r>
              <w:t>1.</w:t>
            </w:r>
            <w:r>
              <w:tab/>
            </w:r>
            <w:r>
              <w:t>zwraca uwagę na głębokie więzi historyczne, kulturowe</w:t>
            </w:r>
            <w:r>
              <w:rPr>
                <w:b/>
                <w:i/>
              </w:rPr>
              <w:t>, religijne</w:t>
            </w:r>
            <w:r>
              <w:t xml:space="preserve"> i gospodarcze między UE a Ameryką Łacińską i Karaibami, stanowiące nie tylko podstawę naturalnego sojuszu, ale także silnego i trwałego partnerstwa z wyboru;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zwraca uwagę na</w:t>
            </w:r>
            <w:r>
              <w:t xml:space="preserve"> głębokie więzi historyczne, kulturowe i gospodarcze między UE a Ameryką Łacińską i Karaibami, stanowiące nie tylko podstawę naturalnego sojuszu, ale także silnego i trwałego partnerstwa z wyboru;</w:t>
            </w:r>
          </w:p>
        </w:tc>
        <w:tc>
          <w:tcPr>
            <w:tcW w:w="4876" w:type="dxa"/>
            <w:tcBorders>
              <w:top w:val="nil"/>
              <w:left w:val="nil"/>
              <w:bottom w:val="nil"/>
              <w:right w:val="nil"/>
            </w:tcBorders>
          </w:tcPr>
          <w:p>
            <w:pPr>
              <w:pStyle w:val="Normal6a"/>
            </w:pPr>
            <w:r>
              <w:t>1.</w:t>
            </w:r>
            <w:r>
              <w:tab/>
            </w:r>
            <w:r>
              <w:rPr>
                <w:b/>
                <w:i/>
              </w:rPr>
              <w:t>podkreśla</w:t>
            </w:r>
            <w:r>
              <w:t xml:space="preserve"> głębokie więzi historyczne, kulturowe i gospodarcze między UE a Ameryką Łacińską i Karaibami, stanowiące nie tylko podstawę naturalnego sojuszu, ale także silnego i trwałego partnerstwa z wyboru;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zwraca uwagę na głębokie więzi historyczne, kulturowe i gospodarcze między UE a Ameryką Łacińską i Karaibami, stanowiące nie tylko podstawę naturalnego sojuszu, ale także silnego i trwałego partnerstwa </w:t>
            </w:r>
            <w:r>
              <w:rPr>
                <w:b/>
                <w:i/>
              </w:rPr>
              <w:t>z wyboru</w:t>
            </w:r>
            <w:r>
              <w:t>;</w:t>
            </w:r>
          </w:p>
        </w:tc>
        <w:tc>
          <w:tcPr>
            <w:tcW w:w="4876" w:type="dxa"/>
            <w:tcBorders>
              <w:top w:val="nil"/>
              <w:left w:val="nil"/>
              <w:bottom w:val="nil"/>
              <w:right w:val="nil"/>
            </w:tcBorders>
          </w:tcPr>
          <w:p>
            <w:pPr>
              <w:pStyle w:val="Normal6a"/>
            </w:pPr>
            <w:r>
              <w:t>1.</w:t>
            </w:r>
            <w:r>
              <w:tab/>
            </w:r>
            <w:r>
              <w:t>zwraca uwagę na głębokie więzi historyczne, kulturowe i gospodarcze między UE a Ameryką Łacińską i Karaibami, stanowiące nie tylko podstawę naturalnego sojuszu, ale także silnego i trwałego partnerstwa;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sprzyja polityce UE mającej na celu wspieranie współpracy regionalnej i integracji Ameryki Łacińskiej i Karaibów, a także przewiduje stopniowe tworzenie obszaru pokoju, demokracji i dobrobytu obejmującego Europę, Amerykę Łacińską i region transatlantycki;</w:t>
            </w:r>
            <w:r>
              <w:t xml:space="preserve"> </w:t>
            </w:r>
            <w:r>
              <w:rPr>
                <w:b/>
                <w:i/>
              </w:rPr>
              <w:t>podkreśla, że nowy globalny kontekst geopolityczny wymaga skoku jakościowego w partnerstwie UE–Ameryka Łacińska i Karaiby w celu dalszego rozwijania strategicznego sojuszu na rzecz obrony multilateralizmu i jego podstawowych zasad, w tym dialogu, włączenia społecznego, solidarności międzynarodowej oraz poszanowania Karty Narodów Zjednoczonych, praw człowieka, prawa humanitarnego, a także Agendy na rzecz zrównoważonego rozwoju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podkreśla, że Ameryka Łacińska i Karaiby stają się kluczowymi partnerami Unii Europejskiej, ponieważ są to regiony, które opowiadają się zdecydowanie za multilateralizmem, mają gospodarki o dużym stopniu komplementarności i wspólną historię, a także podzielają więcej niż wartości, interesy i poglądy na temat świata:</w:t>
            </w:r>
            <w:r>
              <w:t xml:space="preserve"> </w:t>
            </w:r>
            <w:r>
              <w:rPr>
                <w:b/>
                <w:i/>
              </w:rPr>
              <w:t>wierzą w demokrację, multilateralizm, zrównoważony rozwój i międzynarodowy porządek oparty na zasadach;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wyraża głębokie zaniepokojenie znacznym wpływem niedawnych cięć w finansowaniu zagranicznym, zwłaszcza ze strony USAID, na zdolność organizacji pozarządowych w Ameryce Łacińskiej do prowadzenia działalności, co osłabia zdolność społeczeństwa obywatelskiego do promowania praw człowieka, demokracji i rozwoju społecznego w regionie;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podkreśla, jak ważne jest inwestowanie w kapitał ludzki, a w szczególności w nowe pokolenia, a także zachowanie wspólnych więzi kulturowych i językowych, w tym wspieranie stowarzyszeń obywatelskich, które honorują dziedzictwo europejskich emigrantów w Ameryce Łacińskiej;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uważa, że UE i Ameryka Łacińska, jako naturalni partnerzy strategiczni, mają historyczną szansę wzmocnienia swojego sojuszu w obecnym kontekście geopolitycznym charakteryzującym się strategiczną konkurencją;</w:t>
            </w:r>
            <w:r>
              <w:t xml:space="preserve"> </w:t>
            </w:r>
            <w:r>
              <w:rPr>
                <w:b/>
                <w:i/>
              </w:rPr>
              <w:t>uważa, że stosunki te mogą stanowić ważne zabezpieczenie przed tymi napięciami oraz umożliwiać obronę pluralistycznej wizji ładu światowego, dalekiej od logiki dostosowywania się, oraz wspólne budowanie polityki zagranicznej opartej na strategicznej autonomii, współpracy i wzajemnym szacunku;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podkreśla, że stosunki między Europą a Ameryką Łacińską są również oparte na wątkach ludzkich;</w:t>
            </w:r>
            <w:r>
              <w:t xml:space="preserve"> </w:t>
            </w:r>
            <w:r>
              <w:rPr>
                <w:b/>
                <w:i/>
              </w:rPr>
              <w:t>przypomina, że w coraz bardziej chaotycznym świecie ta bliskość człowieka, która obejmuje wspólne języki i dziedzictwo, jest atutem strategicznym;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zauważa, że</w:t>
            </w:r>
            <w:r>
              <w:t xml:space="preserve"> zaangażowanie UE w regionie </w:t>
            </w:r>
            <w:r>
              <w:rPr>
                <w:b/>
                <w:i/>
              </w:rPr>
              <w:t>w ostatnich dziesięcioleciach było dość ograniczone, co umożliwiło rozszerzenie wpływów przez Chiny, Rosję i Iran</w:t>
            </w:r>
            <w:r>
              <w:t>;</w:t>
            </w:r>
          </w:p>
        </w:tc>
        <w:tc>
          <w:tcPr>
            <w:tcW w:w="4876" w:type="dxa"/>
            <w:tcBorders>
              <w:top w:val="nil"/>
              <w:left w:val="nil"/>
              <w:bottom w:val="nil"/>
              <w:right w:val="nil"/>
            </w:tcBorders>
          </w:tcPr>
          <w:p>
            <w:pPr>
              <w:pStyle w:val="Normal6a"/>
            </w:pPr>
            <w:r>
              <w:t>2.</w:t>
            </w:r>
            <w:r>
              <w:tab/>
            </w:r>
            <w:r>
              <w:rPr>
                <w:b/>
                <w:i/>
              </w:rPr>
              <w:t>podkreśla odnowione i rosnące</w:t>
            </w:r>
            <w:r>
              <w:t xml:space="preserve"> zaangażowanie UE w regionie</w:t>
            </w:r>
            <w:r>
              <w:rPr>
                <w:b/>
                <w:i/>
              </w:rPr>
              <w:t>, a jego przykładem jest kluczowy szczyt UE–CELAC w 2023 r. – wyraźny punkt zwrotny po latach ograniczonego zaangażowania;</w:t>
            </w:r>
            <w:r>
              <w:t xml:space="preserve"> </w:t>
            </w:r>
            <w:r>
              <w:rPr>
                <w:b/>
                <w:i/>
              </w:rPr>
              <w:t>podkreśla potrzebę trwałego zaangażowania na rzecz wspierania interesów i wartości UE przy jednoczesnym przeciwdziałaniu rosnącym wpływom Chin, Rosji i Iranu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zauważa, że zaangażowanie UE w regionie w ostatnich dziesięcioleciach było dość ograniczone, co umożliwiło rozszerzenie wpływów przez Chiny, Rosję i Iran;</w:t>
            </w:r>
          </w:p>
        </w:tc>
        <w:tc>
          <w:tcPr>
            <w:tcW w:w="4876" w:type="dxa"/>
            <w:tcBorders>
              <w:top w:val="nil"/>
              <w:left w:val="nil"/>
              <w:bottom w:val="nil"/>
              <w:right w:val="nil"/>
            </w:tcBorders>
          </w:tcPr>
          <w:p>
            <w:pPr>
              <w:pStyle w:val="Normal6a"/>
            </w:pPr>
            <w:r>
              <w:t>2.</w:t>
            </w:r>
            <w:r>
              <w:tab/>
            </w:r>
            <w:r>
              <w:t xml:space="preserve">zauważa, że zaangażowanie UE w regionie w ostatnich dziesięcioleciach było dość ograniczone, co umożliwiło rozszerzenie wpływów przez Chiny, Rosję i Iran; </w:t>
            </w:r>
            <w:r>
              <w:rPr>
                <w:b/>
                <w:i/>
              </w:rPr>
              <w:t>potępia fakt, że to zbliżenie do reżimów autorytarnych prowadzi do osłabienia demokracji w regionie;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zauważa, że zaangażowanie UE w regionie w ostatnich dziesięcioleciach było dość ograniczone</w:t>
            </w:r>
            <w:r>
              <w:rPr>
                <w:b/>
                <w:i/>
              </w:rPr>
              <w:t>, co umożliwiło rozszerzenie wpływów przez Chiny, Rosję i Iran</w:t>
            </w:r>
            <w:r>
              <w:t>;</w:t>
            </w:r>
          </w:p>
        </w:tc>
        <w:tc>
          <w:tcPr>
            <w:tcW w:w="4876" w:type="dxa"/>
            <w:tcBorders>
              <w:top w:val="nil"/>
              <w:left w:val="nil"/>
              <w:bottom w:val="nil"/>
              <w:right w:val="nil"/>
            </w:tcBorders>
          </w:tcPr>
          <w:p>
            <w:pPr>
              <w:pStyle w:val="Normal6a"/>
            </w:pPr>
            <w:r>
              <w:t>2.</w:t>
            </w:r>
            <w:r>
              <w:tab/>
            </w:r>
            <w:r>
              <w:t>zauważa, że zaangażowanie UE w regionie w ostatnich dziesięcioleciach było dość ograniczone;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zauważa, że zaangażowanie UE w regionie w ostatnich dziesięcioleciach </w:t>
            </w:r>
            <w:r>
              <w:rPr>
                <w:b/>
                <w:i/>
              </w:rPr>
              <w:t>było dość ograniczone, co umożliwiło rozszerzenie</w:t>
            </w:r>
            <w:r>
              <w:t xml:space="preserve"> wpływów </w:t>
            </w:r>
            <w:r>
              <w:rPr>
                <w:b/>
                <w:i/>
              </w:rPr>
              <w:t>przez Chiny, Rosję i Iran</w:t>
            </w:r>
            <w:r>
              <w:t>;</w:t>
            </w:r>
          </w:p>
        </w:tc>
        <w:tc>
          <w:tcPr>
            <w:tcW w:w="4876" w:type="dxa"/>
            <w:tcBorders>
              <w:top w:val="nil"/>
              <w:left w:val="nil"/>
              <w:bottom w:val="nil"/>
              <w:right w:val="nil"/>
            </w:tcBorders>
          </w:tcPr>
          <w:p>
            <w:pPr>
              <w:pStyle w:val="Normal6a"/>
            </w:pPr>
            <w:r>
              <w:t>2.</w:t>
            </w:r>
            <w:r>
              <w:tab/>
            </w:r>
            <w:r>
              <w:t xml:space="preserve">zauważa, że zaangażowanie UE w regionie </w:t>
            </w:r>
            <w:r>
              <w:rPr>
                <w:b/>
                <w:i/>
              </w:rPr>
              <w:t>zmniejszyło się</w:t>
            </w:r>
            <w:r>
              <w:t xml:space="preserve"> w ostatnich dziesięcioleciach</w:t>
            </w:r>
            <w:r>
              <w:rPr>
                <w:b/>
                <w:i/>
              </w:rPr>
              <w:t>, co stworzyło nieoptymalną przestrzeń dla rosnących</w:t>
            </w:r>
            <w:r>
              <w:t xml:space="preserve"> wpływów </w:t>
            </w:r>
            <w:r>
              <w:rPr>
                <w:b/>
                <w:i/>
              </w:rPr>
              <w:t>Chin, Rosji i Iranu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zauważa</w:t>
            </w:r>
            <w:r>
              <w:rPr>
                <w:b/>
                <w:i/>
              </w:rPr>
              <w:t>, że zaangażowanie UE</w:t>
            </w:r>
            <w:r>
              <w:t xml:space="preserve"> w regionie </w:t>
            </w:r>
            <w:r>
              <w:rPr>
                <w:b/>
                <w:i/>
              </w:rPr>
              <w:t>w ostatnich dziesięcioleciach było dość ograniczone, co umożliwiło rozszerzenie wpływów przez Chiny, Rosję i Iran</w:t>
            </w:r>
            <w:r>
              <w:t>;</w:t>
            </w:r>
          </w:p>
        </w:tc>
        <w:tc>
          <w:tcPr>
            <w:tcW w:w="4876" w:type="dxa"/>
            <w:tcBorders>
              <w:top w:val="nil"/>
              <w:left w:val="nil"/>
              <w:bottom w:val="nil"/>
              <w:right w:val="nil"/>
            </w:tcBorders>
          </w:tcPr>
          <w:p>
            <w:pPr>
              <w:pStyle w:val="Normal6a"/>
            </w:pPr>
            <w:r>
              <w:t>2.</w:t>
            </w:r>
            <w:r>
              <w:tab/>
            </w:r>
            <w:r>
              <w:rPr>
                <w:b/>
                <w:i/>
              </w:rPr>
              <w:t>z zaniepokojeniem</w:t>
            </w:r>
            <w:r>
              <w:t xml:space="preserve"> zauważa </w:t>
            </w:r>
            <w:r>
              <w:rPr>
                <w:b/>
                <w:i/>
              </w:rPr>
              <w:t>rosnące wpływy Chin, Rosji i Iranu</w:t>
            </w:r>
            <w:r>
              <w:t xml:space="preserve"> w regionie </w:t>
            </w:r>
            <w:r>
              <w:rPr>
                <w:b/>
                <w:i/>
              </w:rPr>
              <w:t>oraz wzywa UE i jej państwa członkowskie do odpowiedzi na to wyzwanie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zauważa, że zaangażowanie UE w regionie w ostatnich dziesięcioleciach było dość ograniczone, co umożliwiło rozszerzenie wpływów przez </w:t>
            </w:r>
            <w:r>
              <w:rPr>
                <w:b/>
                <w:i/>
              </w:rPr>
              <w:t>Chiny, Rosję i Iran</w:t>
            </w:r>
            <w:r>
              <w:t>;</w:t>
            </w:r>
          </w:p>
        </w:tc>
        <w:tc>
          <w:tcPr>
            <w:tcW w:w="4876" w:type="dxa"/>
            <w:tcBorders>
              <w:top w:val="nil"/>
              <w:left w:val="nil"/>
              <w:bottom w:val="nil"/>
              <w:right w:val="nil"/>
            </w:tcBorders>
          </w:tcPr>
          <w:p>
            <w:pPr>
              <w:pStyle w:val="Normal6a"/>
            </w:pPr>
            <w:r>
              <w:t>2.</w:t>
            </w:r>
            <w:r>
              <w:tab/>
            </w:r>
            <w:r>
              <w:t xml:space="preserve">zauważa, że zaangażowanie UE w regionie w ostatnich dziesięcioleciach było dość ograniczone, co umożliwiło rozszerzenie wpływów przez </w:t>
            </w:r>
            <w:r>
              <w:rPr>
                <w:b/>
                <w:i/>
              </w:rPr>
              <w:t>inne podmioty na arenie międzynarodowej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zauważa, że zaangażowanie UE w regionie w ostatnich </w:t>
            </w:r>
            <w:r>
              <w:rPr>
                <w:b/>
                <w:i/>
              </w:rPr>
              <w:t>dziesięcioleciach było dość</w:t>
            </w:r>
            <w:r>
              <w:t xml:space="preserve"> ograniczone, co umożliwiło rozszerzenie wpływów przez Chiny, Rosję i Iran;</w:t>
            </w:r>
          </w:p>
        </w:tc>
        <w:tc>
          <w:tcPr>
            <w:tcW w:w="4876" w:type="dxa"/>
            <w:tcBorders>
              <w:top w:val="nil"/>
              <w:left w:val="nil"/>
              <w:bottom w:val="nil"/>
              <w:right w:val="nil"/>
            </w:tcBorders>
          </w:tcPr>
          <w:p>
            <w:pPr>
              <w:pStyle w:val="Normal6a"/>
            </w:pPr>
            <w:r>
              <w:t>2.</w:t>
            </w:r>
            <w:r>
              <w:tab/>
            </w:r>
            <w:r>
              <w:t xml:space="preserve">zauważa, że zaangażowanie UE w regionie w ostatnich </w:t>
            </w:r>
            <w:r>
              <w:rPr>
                <w:b/>
                <w:i/>
              </w:rPr>
              <w:t>latach było</w:t>
            </w:r>
            <w:r>
              <w:t xml:space="preserve"> ograniczone, co umożliwiło rozszerzenie wpływów przez Chiny, Rosję i Iran;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stanowczo potępia funkcjonowanie reżimów odwołujących się do ideologii komunistycznej w Ameryce Łacińskiej, takich jak Kuba, Wenezuela czy Nikaragua, odpowiedzialnych za systematyczne łamanie praw człowieka, prześladowania opozycji, represje wobec Kościoła katolickiego oraz za niszczenie wolnych mediów i wszelkich przejawów niezależności od władzy;</w:t>
            </w:r>
            <w:r>
              <w:t xml:space="preserve"> </w:t>
            </w:r>
            <w:r>
              <w:rPr>
                <w:b/>
                <w:i/>
              </w:rPr>
              <w:t>apeluje o jednoznaczną politykę Unii Europejskiej wobec tych reżimów, opartą na wartościach wolności, godności człowieka i solidarności z prześladowanymi obywatelami;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dostrzega pilną potrzebę odnowienia i rozwoju stosunków między UE a Ameryką Łacińską i Karaibami w odpowiedzi na pojawiające się zmiany geopolityczne, zmianę klimatu, postęp technologiczny i nasilające się zjawisko nierówności;</w:t>
            </w:r>
          </w:p>
        </w:tc>
        <w:tc>
          <w:tcPr>
            <w:tcW w:w="4876" w:type="dxa"/>
            <w:tcBorders>
              <w:top w:val="nil"/>
              <w:left w:val="nil"/>
              <w:bottom w:val="nil"/>
              <w:right w:val="nil"/>
            </w:tcBorders>
          </w:tcPr>
          <w:p>
            <w:pPr>
              <w:pStyle w:val="Normal6a"/>
            </w:pPr>
            <w:r>
              <w:t>3.</w:t>
            </w:r>
            <w:r>
              <w:tab/>
            </w:r>
            <w:r>
              <w:t>dostrzega pilną potrzebę odnowienia i rozwoju stosunków między UE a Ameryką Łacińską i Karaibami w odpowiedzi na pojawiające się zmiany geopolityczne, zmianę klimatu, postęp technologiczny i nasilające się zjawisko nierówności</w:t>
            </w:r>
            <w:r>
              <w:rPr>
                <w:b/>
                <w:i/>
              </w:rPr>
              <w:t>, a także wyzwania dla bezpieczeństwa, przed którymi stoją obydwa regiony, zwłaszcza handel narkotykami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dostrzega </w:t>
            </w:r>
            <w:r>
              <w:rPr>
                <w:b/>
                <w:i/>
              </w:rPr>
              <w:t>pilną</w:t>
            </w:r>
            <w:r>
              <w:t xml:space="preserve"> potrzebę </w:t>
            </w:r>
            <w:r>
              <w:rPr>
                <w:b/>
                <w:i/>
              </w:rPr>
              <w:t>odnowienia i rozwoju</w:t>
            </w:r>
            <w:r>
              <w:t xml:space="preserve"> stosunków między UE a Ameryką Łacińską i Karaibami w odpowiedzi na pojawiające się zmiany geopolityczne, zmianę klimatu, postęp technologiczny i nasilające się zjawisko nierówności;</w:t>
            </w:r>
          </w:p>
        </w:tc>
        <w:tc>
          <w:tcPr>
            <w:tcW w:w="4876" w:type="dxa"/>
            <w:tcBorders>
              <w:top w:val="nil"/>
              <w:left w:val="nil"/>
              <w:bottom w:val="nil"/>
              <w:right w:val="nil"/>
            </w:tcBorders>
          </w:tcPr>
          <w:p>
            <w:pPr>
              <w:pStyle w:val="Normal6a"/>
            </w:pPr>
            <w:r>
              <w:t>3.</w:t>
            </w:r>
            <w:r>
              <w:tab/>
            </w:r>
            <w:r>
              <w:t xml:space="preserve">dostrzega potrzebę </w:t>
            </w:r>
            <w:r>
              <w:rPr>
                <w:b/>
                <w:i/>
              </w:rPr>
              <w:t>dalszego doskonalenia i rozwijania</w:t>
            </w:r>
            <w:r>
              <w:t xml:space="preserve"> stosunków między UE a Ameryką Łacińską i Karaibami w odpowiedzi na pojawiające się zmiany geopolityczne, zmianę klimatu, postęp technologiczny i nasilające się zjawisko nierówności</w:t>
            </w:r>
            <w:r>
              <w:rPr>
                <w:b/>
                <w:i/>
              </w:rPr>
              <w:t>, a także potrzebę zwiększenia strategicznej autonomii obu regionów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dostrzega pilną potrzebę odnowienia i rozwoju stosunków między UE a Ameryką Łacińską i Karaibami w odpowiedzi na pojawiające się zmiany geopolityczne, zmianę klimatu, postęp technologiczny i nasilające się zjawisko nierówności;</w:t>
            </w:r>
          </w:p>
        </w:tc>
        <w:tc>
          <w:tcPr>
            <w:tcW w:w="4876" w:type="dxa"/>
            <w:tcBorders>
              <w:top w:val="nil"/>
              <w:left w:val="nil"/>
              <w:bottom w:val="nil"/>
              <w:right w:val="nil"/>
            </w:tcBorders>
          </w:tcPr>
          <w:p>
            <w:pPr>
              <w:pStyle w:val="Normal6a"/>
            </w:pPr>
            <w:r>
              <w:t>3.</w:t>
            </w:r>
            <w:r>
              <w:tab/>
            </w:r>
            <w:r>
              <w:t>dostrzega pilną potrzebę odnowienia i rozwoju stosunków między UE a Ameryką Łacińską i Karaibami w odpowiedzi na pojawiające się zmiany geopolityczne, zmianę klimatu, postęp technologiczny i nasilające się zjawisko nierówności</w:t>
            </w:r>
            <w:r>
              <w:rPr>
                <w:b/>
                <w:i/>
              </w:rPr>
              <w:t>, a także potrzebę zwiększenia strategicznej autonomii obu regionów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dostrzega pilną potrzebę odnowienia i rozwoju stosunków między UE a Ameryką Łacińską i Karaibami w odpowiedzi na pojawiające się zmiany geopolityczne, zmianę klimatu, postęp technologiczny i nasilające się zjawisko nierówności;</w:t>
            </w:r>
          </w:p>
        </w:tc>
        <w:tc>
          <w:tcPr>
            <w:tcW w:w="4876" w:type="dxa"/>
            <w:tcBorders>
              <w:top w:val="nil"/>
              <w:left w:val="nil"/>
              <w:bottom w:val="nil"/>
              <w:right w:val="nil"/>
            </w:tcBorders>
          </w:tcPr>
          <w:p>
            <w:pPr>
              <w:pStyle w:val="Normal6a"/>
            </w:pPr>
            <w:r>
              <w:t>3.</w:t>
            </w:r>
            <w:r>
              <w:tab/>
            </w:r>
            <w:r>
              <w:t xml:space="preserve">dostrzega pilną potrzebę odnowienia i rozwoju stosunków między UE a Ameryką Łacińską i Karaibami w odpowiedzi na pojawiające się zmiany geopolityczne, </w:t>
            </w:r>
            <w:r>
              <w:rPr>
                <w:b/>
                <w:i/>
              </w:rPr>
              <w:t>wyzwania związane z bezpieczeństwem,</w:t>
            </w:r>
            <w:r>
              <w:t xml:space="preserve"> zmianę klimatu, postęp technologiczny i nasilające się zjawisko nierówności;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dostrzega</w:t>
            </w:r>
            <w:r>
              <w:t xml:space="preserve"> pilną potrzebę odnowienia i rozwoju stosunków między UE a Ameryką Łacińską i Karaibami w </w:t>
            </w:r>
            <w:r>
              <w:rPr>
                <w:b/>
                <w:i/>
              </w:rPr>
              <w:t>odpowiedzi na pojawiające się zmiany geopolityczne, zmianę klimatu, postęp technologiczny i nasilające się zjawisko nierówności</w:t>
            </w:r>
            <w:r>
              <w:t>;</w:t>
            </w:r>
          </w:p>
        </w:tc>
        <w:tc>
          <w:tcPr>
            <w:tcW w:w="4876" w:type="dxa"/>
            <w:tcBorders>
              <w:top w:val="nil"/>
              <w:left w:val="nil"/>
              <w:bottom w:val="nil"/>
              <w:right w:val="nil"/>
            </w:tcBorders>
          </w:tcPr>
          <w:p>
            <w:pPr>
              <w:pStyle w:val="Normal6a"/>
            </w:pPr>
            <w:r>
              <w:t>3.</w:t>
            </w:r>
            <w:r>
              <w:tab/>
            </w:r>
            <w:r>
              <w:rPr>
                <w:b/>
                <w:i/>
              </w:rPr>
              <w:t>kwestionuje</w:t>
            </w:r>
            <w:r>
              <w:t xml:space="preserve"> pilną potrzebę odnowienia i rozwoju stosunków między UE a Ameryką Łacińską i Karaibami w </w:t>
            </w:r>
            <w:r>
              <w:rPr>
                <w:b/>
                <w:i/>
              </w:rPr>
              <w:t>świetle wewnętrznych priorytetów UE oraz potrzeby zmniejszenia zależności od pomocy zewnętrznej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dostrzega coraz poważniejsze regionalne kryzysy migracyjne, zwłaszcza w Wenezueli, na Haiti i w Nikaragui, oraz ich skutki geopolityczne;</w:t>
            </w:r>
            <w:r>
              <w:t xml:space="preserve"> </w:t>
            </w:r>
            <w:r>
              <w:rPr>
                <w:b/>
                <w:i/>
              </w:rPr>
              <w:t>apeluje o głębszą współpracę z partnerami z Ameryki Łacińskiej i Karaibów w celu wyeliminowania pierwotnych przyczyn przymusowej migracji i wspierania krajów przyjmujących, zwłaszcza Kolumbii i Brazylii;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wzywa UE i jej państwa członkowskie do wzmożenia wysiłków dyplomatycznych w regionie w celu promowania większej konwergencji między UE a Ameryką Łacińską i Karaibami w kluczowych kwestiach polityki zagranicznej, w tym bardziej zdecydowanego stanowiska wobec rosyjskiej wojny napastniczej przeciwko Ukrainie;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wzywa UE i jej państwa członkowskie do wzmożenia wysiłków dyplomatycznych w regionie w celu promowania większej konwergencji między UE a Ameryką Łacińską i Karaibami w kluczowych kwestiach polityki zagranicznej, w tym bardziej zdecydowanego stanowiska wobec rosyjskiej wojny napastniczej przeciwko Ukrainie;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wzywa UE i jej państwa członkowskie do wzmożenia wysiłków dyplomatycznych w regionie w celu promowania większej konwergencji między UE a Ameryką Łacińską i Karaibami w kluczowych kwestiach polityki zagranicznej</w:t>
            </w:r>
            <w:r>
              <w:rPr>
                <w:b/>
                <w:i/>
              </w:rPr>
              <w:t>, w tym bardziej zdecydowanego stanowiska wobec rosyjskiej wojny napastniczej przeciwko Ukrainie</w:t>
            </w:r>
            <w:r>
              <w:t>;</w:t>
            </w:r>
          </w:p>
        </w:tc>
        <w:tc>
          <w:tcPr>
            <w:tcW w:w="4876" w:type="dxa"/>
            <w:tcBorders>
              <w:top w:val="nil"/>
              <w:left w:val="nil"/>
              <w:bottom w:val="nil"/>
              <w:right w:val="nil"/>
            </w:tcBorders>
          </w:tcPr>
          <w:p>
            <w:pPr>
              <w:pStyle w:val="Normal6a"/>
            </w:pPr>
            <w:r>
              <w:t>4.</w:t>
            </w:r>
            <w:r>
              <w:tab/>
            </w:r>
            <w:r>
              <w:t>wzywa UE i jej państwa członkowskie do wzmożenia wysiłków dyplomatycznych w regionie w celu promowania większej konwergencji między UE a Ameryką Łacińską i Karaibami w kluczowych kwestiach polityki zagranicznej</w:t>
            </w:r>
            <w:r>
              <w:rPr>
                <w:b/>
                <w:i/>
              </w:rPr>
              <w:t>;</w:t>
            </w:r>
            <w:r>
              <w:t xml:space="preserve"> </w:t>
            </w:r>
            <w:r>
              <w:rPr>
                <w:b/>
                <w:i/>
              </w:rPr>
              <w:t>podkreśla, że obecny kontekst międzynarodowy wymaga, aby partnerstwo UE–Ameryka Łacińska i Karaiby opierało się na logice wspólnej autonomii strategicznej, której zasadami przewodnimi są dywersyfikacja sojuszy, zmniejszenie zależności zewnętrznych oraz obrona wielostronnego porządku opartego na zasadach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wzywa UE i jej państwa członkowskie do wzmożenia wysiłków dyplomatycznych w regionie w celu promowania większej konwergencji między UE a Ameryką Łacińską i Karaibami w kluczowych kwestiach polityki zagranicznej, w tym bardziej zdecydowanego stanowiska wobec rosyjskiej wojny napastniczej przeciwko Ukrainie;</w:t>
            </w:r>
          </w:p>
        </w:tc>
        <w:tc>
          <w:tcPr>
            <w:tcW w:w="4876" w:type="dxa"/>
            <w:tcBorders>
              <w:top w:val="nil"/>
              <w:left w:val="nil"/>
              <w:bottom w:val="nil"/>
              <w:right w:val="nil"/>
            </w:tcBorders>
          </w:tcPr>
          <w:p>
            <w:pPr>
              <w:pStyle w:val="Normal6a"/>
            </w:pPr>
            <w:r>
              <w:t>4.</w:t>
            </w:r>
            <w:r>
              <w:tab/>
            </w:r>
            <w:r>
              <w:t xml:space="preserve">wzywa UE i jej państwa członkowskie do wzmożenia wysiłków dyplomatycznych w regionie w celu promowania większej konwergencji między UE a Ameryką Łacińską i Karaibami w kluczowych kwestiach polityki zagranicznej, w tym bardziej zdecydowanego stanowiska wobec rosyjskiej wojny napastniczej przeciwko Ukrainie </w:t>
            </w:r>
            <w:r>
              <w:rPr>
                <w:b/>
                <w:i/>
              </w:rPr>
              <w:t>i trwałego zawieszenia broni w Strefie Gazy, bezwarunkowego uwolnienia wszystkich zakładników i wycofania Sił Obronnych Izraela ze Strefy Gazy i wszystkich okupowanych terytoriów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wzywa UE i jej państwa członkowskie do wzmożenia wysiłków dyplomatycznych w regionie w celu promowania większej konwergencji między UE a Ameryką Łacińską i Karaibami w kluczowych kwestiach polityki zagranicznej, w tym bardziej zdecydowanego stanowiska wobec rosyjskiej wojny napastniczej przeciwko Ukrainie;</w:t>
            </w:r>
          </w:p>
        </w:tc>
        <w:tc>
          <w:tcPr>
            <w:tcW w:w="4876" w:type="dxa"/>
            <w:tcBorders>
              <w:top w:val="nil"/>
              <w:left w:val="nil"/>
              <w:bottom w:val="nil"/>
              <w:right w:val="nil"/>
            </w:tcBorders>
          </w:tcPr>
          <w:p>
            <w:pPr>
              <w:pStyle w:val="Normal6a"/>
            </w:pPr>
            <w:r>
              <w:t>4.</w:t>
            </w:r>
            <w:r>
              <w:tab/>
            </w:r>
            <w:r>
              <w:t xml:space="preserve">wzywa UE i jej państwa członkowskie do wzmożenia wysiłków dyplomatycznych w regionie w celu promowania większej konwergencji między UE a Ameryką Łacińską i Karaibami w kluczowych kwestiach polityki zagranicznej, w tym bardziej zdecydowanego stanowiska wobec rosyjskiej wojny napastniczej przeciwko Ukrainie; </w:t>
            </w:r>
            <w:r>
              <w:rPr>
                <w:b/>
                <w:i/>
              </w:rPr>
              <w:t>potępia również obojętność Kuby wobec prowadzonej przez Rosję rekrutacji Kubańczyków na wojnę w Ukrainie;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wzywa UE i jej państwa członkowskie do wzmożenia wysiłków dyplomatycznych w regionie w celu promowania większej konwergencji między UE a Ameryką Łacińską i Karaibami w kluczowych kwestiach polityki zagranicznej</w:t>
            </w:r>
            <w:r>
              <w:rPr>
                <w:b/>
                <w:i/>
              </w:rPr>
              <w:t>, w tym bardziej zdecydowanego stanowiska wobec rosyjskiej wojny napastniczej przeciwko Ukrainie</w:t>
            </w:r>
            <w:r>
              <w:t>;</w:t>
            </w:r>
          </w:p>
        </w:tc>
        <w:tc>
          <w:tcPr>
            <w:tcW w:w="4876" w:type="dxa"/>
            <w:tcBorders>
              <w:top w:val="nil"/>
              <w:left w:val="nil"/>
              <w:bottom w:val="nil"/>
              <w:right w:val="nil"/>
            </w:tcBorders>
          </w:tcPr>
          <w:p>
            <w:pPr>
              <w:pStyle w:val="Normal6a"/>
            </w:pPr>
            <w:r>
              <w:t>4.</w:t>
            </w:r>
            <w:r>
              <w:tab/>
            </w:r>
            <w:r>
              <w:t>wzywa UE i jej państwa członkowskie do wzmożenia wysiłków dyplomatycznych w regionie w celu promowania większej konwergencji między UE a Ameryką Łacińską i Karaibami w kluczowych kwestiach polityki zagranicznej;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wzywa </w:t>
            </w:r>
            <w:r>
              <w:rPr>
                <w:b/>
                <w:i/>
              </w:rPr>
              <w:t>UE i jej</w:t>
            </w:r>
            <w:r>
              <w:t xml:space="preserve"> państwa członkowskie do wzmożenia wysiłków dyplomatycznych w regionie w celu promowania większej konwergencji między UE a Ameryką Łacińską i Karaibami w kluczowych kwestiach polityki zagranicznej, w tym bardziej zdecydowanego stanowiska wobec rosyjskiej wojny napastniczej przeciwko Ukrainie;</w:t>
            </w:r>
          </w:p>
        </w:tc>
        <w:tc>
          <w:tcPr>
            <w:tcW w:w="4876" w:type="dxa"/>
            <w:tcBorders>
              <w:top w:val="nil"/>
              <w:left w:val="nil"/>
              <w:bottom w:val="nil"/>
              <w:right w:val="nil"/>
            </w:tcBorders>
          </w:tcPr>
          <w:p>
            <w:pPr>
              <w:pStyle w:val="Normal6a"/>
            </w:pPr>
            <w:r>
              <w:t>4.</w:t>
            </w:r>
            <w:r>
              <w:tab/>
            </w:r>
            <w:r>
              <w:t xml:space="preserve">wzywa </w:t>
            </w:r>
            <w:r>
              <w:rPr>
                <w:b/>
                <w:i/>
              </w:rPr>
              <w:t>wysoką przedstawicielkę / wiceprzewodniczącą Komisji i</w:t>
            </w:r>
            <w:r>
              <w:t xml:space="preserve"> państwa członkowskie do wzmożenia wysiłków dyplomatycznych w regionie w celu promowania większej konwergencji między UE a Ameryką Łacińską i Karaibami w kluczowych kwestiach polityki zagranicznej, w tym bardziej zdecydowanego stanowiska wobec rosyjskiej wojny napastniczej przeciwko Ukrainie;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wzywa UE i jej państwa członkowskie do wzmożenia wysiłków dyplomatycznych w regionie w celu promowania większej konwergencji między UE a Ameryką Łacińską i Karaibami w kluczowych kwestiach polityki zagranicznej, </w:t>
            </w:r>
            <w:r>
              <w:rPr>
                <w:b/>
                <w:i/>
              </w:rPr>
              <w:t>w tym</w:t>
            </w:r>
            <w:r>
              <w:t xml:space="preserve"> bardziej zdecydowanego stanowiska wobec rosyjskiej wojny napastniczej przeciwko Ukrainie;</w:t>
            </w:r>
          </w:p>
        </w:tc>
        <w:tc>
          <w:tcPr>
            <w:tcW w:w="4876" w:type="dxa"/>
            <w:tcBorders>
              <w:top w:val="nil"/>
              <w:left w:val="nil"/>
              <w:bottom w:val="nil"/>
              <w:right w:val="nil"/>
            </w:tcBorders>
          </w:tcPr>
          <w:p>
            <w:pPr>
              <w:pStyle w:val="Normal6a"/>
            </w:pPr>
            <w:r>
              <w:t>4.</w:t>
            </w:r>
            <w:r>
              <w:tab/>
            </w:r>
            <w:r>
              <w:t xml:space="preserve">wzywa UE i jej państwa członkowskie do wzmożenia wysiłków dyplomatycznych w regionie w celu promowania większej konwergencji między UE a Ameryką Łacińską i Karaibami w kluczowych kwestiach polityki zagranicznej, </w:t>
            </w:r>
            <w:r>
              <w:rPr>
                <w:b/>
                <w:i/>
              </w:rPr>
              <w:t>zwłaszcza</w:t>
            </w:r>
            <w:r>
              <w:t xml:space="preserve"> bardziej zdecydowanego stanowiska wobec rosyjskiej wojny napastniczej przeciwko Ukrainie;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zachęca do ściślejszej współpracy między UE a Ameryką Łacińską i Karaibami na forach międzynarodowych w celu promowania i obrony wielostronnego porządku światowego, prawa międzynarodowego oraz poszanowania demokracji i praw człowieka;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zachęca do ściślejszej współpracy między UE a Ameryką Łacińską i Karaibami na forach międzynarodowych w celu promowania i obrony wielostronnego porządku światowego, prawa międzynarodowego oraz poszanowania demokracji i praw człowieka;</w:t>
            </w:r>
          </w:p>
        </w:tc>
        <w:tc>
          <w:tcPr>
            <w:tcW w:w="4876" w:type="dxa"/>
            <w:tcBorders>
              <w:top w:val="nil"/>
              <w:left w:val="nil"/>
              <w:bottom w:val="nil"/>
              <w:right w:val="nil"/>
            </w:tcBorders>
          </w:tcPr>
          <w:p>
            <w:pPr>
              <w:pStyle w:val="Normal6a"/>
            </w:pPr>
            <w:r>
              <w:t>5.</w:t>
            </w:r>
            <w:r>
              <w:tab/>
            </w:r>
            <w:r>
              <w:t xml:space="preserve">zachęca do ściślejszej współpracy między UE a Ameryką Łacińską i Karaibami na forach międzynarodowych w celu promowania i obrony wielostronnego porządku światowego, prawa międzynarodowego oraz poszanowania demokracji i praw człowieka; </w:t>
            </w:r>
            <w:r>
              <w:rPr>
                <w:b/>
                <w:i/>
              </w:rPr>
              <w:t>uważa jednak, że słowne obietnice nie wystarczą do promowania modelu liberalno-demokratycznego;</w:t>
            </w:r>
            <w:r>
              <w:t xml:space="preserve"> </w:t>
            </w:r>
            <w:r>
              <w:rPr>
                <w:b/>
                <w:i/>
              </w:rPr>
              <w:t>podkreśla w związku z tym, że UE musi pokazać swoim partnerom w Ameryce Łacińskiej, że możemy zapewnić lepsze warunki partnerstwa niż Pekin – przejrzyste i zapewniające równe traktowanie;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zachęca do ściślejszej współpracy między UE a Ameryką Łacińską i Karaibami na forach międzynarodowych w celu promowania i obrony wielostronnego porządku światowego, prawa międzynarodowego </w:t>
            </w:r>
            <w:r>
              <w:rPr>
                <w:b/>
                <w:i/>
              </w:rPr>
              <w:t>oraz poszanowania</w:t>
            </w:r>
            <w:r>
              <w:t xml:space="preserve"> demokracji i praw człowieka;</w:t>
            </w:r>
          </w:p>
        </w:tc>
        <w:tc>
          <w:tcPr>
            <w:tcW w:w="4876" w:type="dxa"/>
            <w:tcBorders>
              <w:top w:val="nil"/>
              <w:left w:val="nil"/>
              <w:bottom w:val="nil"/>
              <w:right w:val="nil"/>
            </w:tcBorders>
          </w:tcPr>
          <w:p>
            <w:pPr>
              <w:pStyle w:val="Normal6a"/>
            </w:pPr>
            <w:r>
              <w:t>5.</w:t>
            </w:r>
            <w:r>
              <w:tab/>
            </w:r>
            <w:r>
              <w:t>zachęca do ściślejszej współpracy między UE a Ameryką Łacińską i Karaibami na forach międzynarodowych w celu promowania i obrony wielostronnego porządku światowego, prawa międzynarodowego</w:t>
            </w:r>
            <w:r>
              <w:rPr>
                <w:b/>
                <w:i/>
              </w:rPr>
              <w:t>,</w:t>
            </w:r>
            <w:r>
              <w:t xml:space="preserve"> demokracji i praw człowieka</w:t>
            </w:r>
            <w:r>
              <w:rPr>
                <w:b/>
                <w:i/>
              </w:rPr>
              <w:t>, sprawiedliwości społecznej i zrównoważonego rozwoju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wyraża głębokie zaniepokojenie rosnącą tendencją w kierunku autorytarnych i populistycznych systemów rządzenia w Ameryce Łacińskiej, zwłaszcza pod rządami Javiera Milei w Argentynie, Nayiba Bukele w Salwadorze i Diny Boluarte w Peru, a także kumulacyjną erozją instytucji demokratycznych, multilateralizmu, praworządności, podstawowych praw i wolności, przestrzeni społeczeństwa obywatelskiego i podstawowej ochrony socjalnej;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jest zaniepokojony regresem demokracji, który miał miejsce w Ameryce Łacińskiej i na Karaibach od 2019 r., i potępia reżimy w Nikaragui, na Kubie i w Wenezueli, które należą do najbardziej autorytarnych na świecie;</w:t>
            </w:r>
            <w:r>
              <w:t xml:space="preserve"> </w:t>
            </w:r>
            <w:r>
              <w:rPr>
                <w:b/>
                <w:i/>
              </w:rPr>
              <w:t>przypomina, że reżim w Nikaragui utrzymuje silne relacje z innymi autokracjami, takimi jak Iran, Wenezuela i Kuba;</w:t>
            </w:r>
            <w:r>
              <w:t xml:space="preserve"> </w:t>
            </w:r>
            <w:r>
              <w:rPr>
                <w:b/>
                <w:i/>
              </w:rPr>
              <w:t>potępia systematyczne łamanie i naruszanie praw człowieka przez reżim kubański;</w:t>
            </w:r>
            <w:r>
              <w:t xml:space="preserve"> </w:t>
            </w:r>
            <w:r>
              <w:rPr>
                <w:b/>
                <w:i/>
              </w:rPr>
              <w:t>zdecydowanie potępia i całkowicie odrzuca oszustwa wyborcze, jakich dopuścił się reżim w Wenezueli, oraz domaga się, aby rząd Maduro zaprzestał polityki represji i ataków na społeczeństwo obywatelskie i opozycję;</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c>
          <w:tcPr>
            <w:tcW w:w="4876" w:type="dxa"/>
            <w:tcBorders>
              <w:top w:val="nil"/>
              <w:left w:val="nil"/>
              <w:bottom w:val="nil"/>
              <w:right w:val="nil"/>
            </w:tcBorders>
          </w:tcPr>
          <w:p>
            <w:pPr>
              <w:pStyle w:val="Normal6a"/>
            </w:pPr>
            <w:r>
              <w:t>6.</w:t>
            </w:r>
            <w:r>
              <w:tab/>
            </w:r>
            <w:r>
              <w:t xml:space="preserve">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w:t>
            </w:r>
            <w:r>
              <w:rPr>
                <w:b/>
                <w:i/>
              </w:rPr>
              <w:t>ciągłe przypadki wywierania przymusu na wspólnotę religijną i więzienia jej przez reżim Ortegi-Murillo;</w:t>
            </w:r>
            <w:r>
              <w:t xml:space="preserve"> </w:t>
            </w:r>
            <w:r>
              <w:rPr>
                <w:b/>
                <w:i/>
              </w:rPr>
              <w:t>potępia</w:t>
            </w:r>
            <w:r>
              <w:t xml:space="preserve"> systematyczne łamanie i naruszanie praw człowieka przez reżim kubański</w:t>
            </w:r>
            <w:r>
              <w:rPr>
                <w:b/>
                <w:i/>
              </w:rPr>
              <w:t>;</w:t>
            </w:r>
            <w:r>
              <w:t xml:space="preserve"> </w:t>
            </w:r>
            <w:r>
              <w:rPr>
                <w:b/>
                <w:i/>
              </w:rPr>
              <w:t>wzywa do pilnego przeglądu umowy o dialogu politycznym i współpracy ze względu na nieprzestrzeganie jej przez reżim dyktatorski na Kubie;</w:t>
            </w:r>
            <w:r>
              <w:t xml:space="preserve"> </w:t>
            </w:r>
            <w:r>
              <w:rPr>
                <w:b/>
                <w:i/>
              </w:rPr>
              <w:t>ubolewa nad sytuacją, w której obecny reżim stawia ludność;</w:t>
            </w:r>
            <w:r>
              <w:t xml:space="preserve"> </w:t>
            </w:r>
            <w:r>
              <w:rPr>
                <w:b/>
                <w:i/>
              </w:rPr>
              <w:t>potępia udział kubańskich żołnierzy zmuszanych do walki w służbie Rosji na ukraińskim froncie</w:t>
            </w:r>
            <w:r>
              <w:t xml:space="preserve">; zdecydowanie potępia i całkowicie odrzuca oszustwa wyborcze, jakich dopuścił się reżim w Wenezueli, oraz domaga się, aby rząd Maduro zaprzestał polityki represji i ataków na społeczeństwo obywatelskie i opozycję </w:t>
            </w:r>
            <w:r>
              <w:rPr>
                <w:b/>
                <w:i/>
              </w:rPr>
              <w:t>pod przewodnictwem Edmunda Gonzáleza Urrutii jako prawowitego nowo wybranego prezydenta Wenezueli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c>
          <w:tcPr>
            <w:tcW w:w="4876" w:type="dxa"/>
            <w:tcBorders>
              <w:top w:val="nil"/>
              <w:left w:val="nil"/>
              <w:bottom w:val="nil"/>
              <w:right w:val="nil"/>
            </w:tcBorders>
          </w:tcPr>
          <w:p>
            <w:pPr>
              <w:pStyle w:val="Normal6a"/>
            </w:pPr>
            <w:r>
              <w:t>6.</w:t>
            </w:r>
            <w:r>
              <w:tab/>
            </w:r>
            <w:r>
              <w:t xml:space="preserve">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w:t>
            </w:r>
            <w:r>
              <w:rPr>
                <w:b/>
                <w:i/>
              </w:rPr>
              <w:t>Rosja,</w:t>
            </w:r>
            <w:r>
              <w:t xml:space="preserve">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 </w:t>
            </w:r>
            <w:r>
              <w:rPr>
                <w:b/>
                <w:i/>
              </w:rPr>
              <w:t>zdecydowanie potępia i całkowicie odrzuca oszustwa wyborcze, jakich dopuścił się reżim w Wenezueli, oraz domaga się, aby rząd Maduro zaprzestał polityki represji i ataków na społeczeństwo obywatelskie i opozycję;</w:t>
            </w:r>
            <w:r>
              <w:t xml:space="preserve"> </w:t>
            </w:r>
            <w:r>
              <w:rPr>
                <w:b/>
                <w:i/>
              </w:rPr>
              <w:t>potwierdza uznanie Edmunda Gonzáleza za prawowitego prezydenta Wenezueli;</w:t>
            </w:r>
            <w:r>
              <w:t xml:space="preserve"> </w:t>
            </w:r>
            <w:r>
              <w:rPr>
                <w:b/>
                <w:i/>
              </w:rPr>
              <w:t>potępia i odrzuca niedawne, zakrawające na farsę, wybory parlamentarne i lokalne w Wenezueli, które poprzedziła fala arbitralnych aresztowań członków opozycji demokratycznej, takich jak Juan Pablo Guanipa, bliski sojusznik przywódczyni opozycji Marii Coriny Machado;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w:t>
            </w:r>
            <w:r>
              <w:rPr>
                <w:b/>
                <w:i/>
              </w:rPr>
              <w:t>rząd</w:t>
            </w:r>
            <w:r>
              <w:t xml:space="preserve"> Maduro zaprzestał polityki represji i ataków na społeczeństwo obywatelskie i opozycję;</w:t>
            </w:r>
          </w:p>
        </w:tc>
        <w:tc>
          <w:tcPr>
            <w:tcW w:w="4876" w:type="dxa"/>
            <w:tcBorders>
              <w:top w:val="nil"/>
              <w:left w:val="nil"/>
              <w:bottom w:val="nil"/>
              <w:right w:val="nil"/>
            </w:tcBorders>
          </w:tcPr>
          <w:p>
            <w:pPr>
              <w:pStyle w:val="Normal6a"/>
            </w:pPr>
            <w:r>
              <w:t>6.</w:t>
            </w:r>
            <w:r>
              <w:tab/>
            </w:r>
            <w:r>
              <w:t xml:space="preserve">jest zaniepokojony regresem demokracji, który miał miejsce w Ameryce Łacińskiej i na Karaibach od 2019 r., i potępia reżimy w Nikaragui, na Kubie i w Wenezueli, które należą do najbardziej autorytarnych na świecie </w:t>
            </w:r>
            <w:r>
              <w:rPr>
                <w:b/>
                <w:i/>
              </w:rPr>
              <w:t>i są odpowiedzialne za ten regres w regionie, za pośrednictwem międzynarodowych sieci takich jak forum São Paulo i Grupa Puebla</w:t>
            </w:r>
            <w:r>
              <w:t xml:space="preserve">; przypomina, że reżim w Nikaragui utrzymuje silne relacje z innymi autokracjami, takimi jak Iran, Wenezuela i Kuba; potępia systematyczne łamanie i naruszanie praw człowieka przez reżim kubański </w:t>
            </w:r>
            <w:r>
              <w:rPr>
                <w:b/>
                <w:i/>
              </w:rPr>
              <w:t>i apeluje do UE o natychmiastowe zawieszenie umowy o dialogu politycznym i współpracy</w:t>
            </w:r>
            <w:r>
              <w:t xml:space="preserve">; zdecydowanie potępia i całkowicie odrzuca oszustwa wyborcze, jakich dopuścił się reżim w Wenezueli, oraz domaga się, aby </w:t>
            </w:r>
            <w:r>
              <w:rPr>
                <w:b/>
                <w:i/>
              </w:rPr>
              <w:t>samozwańczy prezydent Nicolás</w:t>
            </w:r>
            <w:r>
              <w:t xml:space="preserve"> Maduro zaprzestał </w:t>
            </w:r>
            <w:r>
              <w:rPr>
                <w:b/>
                <w:i/>
              </w:rPr>
              <w:t>swojej</w:t>
            </w:r>
            <w:r>
              <w:t xml:space="preserve"> polityki represji i ataków na społeczeństwo obywatelskie i opozycję</w:t>
            </w:r>
            <w:r>
              <w:rPr>
                <w:b/>
                <w:i/>
              </w:rPr>
              <w:t>, natychmiast zrezygnował z władzy i umożliwił utworzenie prawowitego rządu pod przewodnictwem zwycięzcy ostatnich wyborów Edmunda Gonzáleza Urrutii</w:t>
            </w:r>
            <w:r>
              <w:t xml:space="preserve">; </w:t>
            </w:r>
            <w:r>
              <w:rPr>
                <w:b/>
                <w:i/>
              </w:rPr>
              <w:t>wzywa UE i państwa członkowskie do niezwłocznego uznania Gonzáleza Urrutii za prawowitego prezydenta Wenezueli;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c>
          <w:tcPr>
            <w:tcW w:w="4876" w:type="dxa"/>
            <w:tcBorders>
              <w:top w:val="nil"/>
              <w:left w:val="nil"/>
              <w:bottom w:val="nil"/>
              <w:right w:val="nil"/>
            </w:tcBorders>
          </w:tcPr>
          <w:p>
            <w:pPr>
              <w:pStyle w:val="Normal6a"/>
            </w:pPr>
            <w:r>
              <w:t>6.</w:t>
            </w:r>
            <w:r>
              <w:tab/>
            </w:r>
            <w:r>
              <w:t>jest zaniepokojony regresem demokracji, który miał miejsce w Ameryce Łacińskiej i na Karaibach od 2019 r., i potępia reżimy w Nikaragui, na Kubie i w Wenezueli, które należą do najbardziej autorytarnych na świecie</w:t>
            </w:r>
            <w:r>
              <w:rPr>
                <w:b/>
                <w:i/>
              </w:rPr>
              <w:t>;</w:t>
            </w:r>
            <w:r>
              <w:t xml:space="preserve"> </w:t>
            </w:r>
            <w:r>
              <w:rPr>
                <w:b/>
                <w:i/>
              </w:rPr>
              <w:t>w najostrzejszych słowach potępia systemowe naruszenia praw człowieka popełniane przez reżim Ortegi i Murillo wobec ludności, opozycji demokratycznej, studentów i organizacji społeczeństwa obywatelskiego, a także prześladowanie Kościoła katolickiego, oraz domaga się zagwarantowania praworządności oraz przywrócenia wolności i praw wszystkich osób przebywających na wygnaniu, w tym ich bezpiecznego powrotu</w:t>
            </w:r>
            <w:r>
              <w:t>;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jest zaniepokojony regresem demokracji, który miał miejsce w Ameryce Łacińskiej i na Karaibach </w:t>
            </w:r>
            <w:r>
              <w:rPr>
                <w:b/>
                <w:i/>
              </w:rPr>
              <w:t>od 2019 r.</w:t>
            </w:r>
            <w:r>
              <w:t>, i potępia reżimy w Nikaragui, na Kubie i w Wenezueli</w:t>
            </w:r>
            <w:r>
              <w:rPr>
                <w:b/>
                <w:i/>
              </w:rPr>
              <w:t>, które należą do najbardziej autorytarnych na świecie</w:t>
            </w:r>
            <w:r>
              <w:t xml:space="preserve">; </w:t>
            </w:r>
            <w:r>
              <w:rPr>
                <w:b/>
                <w:i/>
              </w:rPr>
              <w:t>przypomina, że reżim w Nikaragui utrzymuje silne relacje z innymi autokracjami, takimi jak Iran, Wenezuela i Kuba;</w:t>
            </w:r>
            <w:r>
              <w:t xml:space="preserve"> </w:t>
            </w:r>
            <w:r>
              <w:rPr>
                <w:b/>
                <w:i/>
              </w:rPr>
              <w:t>potępia systematyczne łamanie i naruszanie praw człowieka przez reżim kubański;</w:t>
            </w:r>
            <w:r>
              <w:t xml:space="preserve"> </w:t>
            </w:r>
            <w:r>
              <w:rPr>
                <w:b/>
                <w:i/>
              </w:rPr>
              <w:t>zdecydowanie potępia i całkowicie odrzuca oszustwa wyborcze, jakich dopuścił się reżim w Wenezueli, oraz domaga się, aby rząd Maduro zaprzestał polityki represji i ataków na społeczeństwo obywatelskie i opozycję;</w:t>
            </w:r>
          </w:p>
        </w:tc>
        <w:tc>
          <w:tcPr>
            <w:tcW w:w="4876" w:type="dxa"/>
            <w:tcBorders>
              <w:top w:val="nil"/>
              <w:left w:val="nil"/>
              <w:bottom w:val="nil"/>
              <w:right w:val="nil"/>
            </w:tcBorders>
          </w:tcPr>
          <w:p>
            <w:pPr>
              <w:pStyle w:val="Normal6a"/>
            </w:pPr>
            <w:r>
              <w:t>6.</w:t>
            </w:r>
            <w:r>
              <w:tab/>
            </w:r>
            <w:r>
              <w:t xml:space="preserve">jest zaniepokojony regresem demokracji, który miał miejsce w Ameryce Łacińskiej i na Karaibach, i potępia </w:t>
            </w:r>
            <w:r>
              <w:rPr>
                <w:b/>
                <w:i/>
              </w:rPr>
              <w:t>łamanie praw człowieka w regionie, zwłaszcza przez</w:t>
            </w:r>
            <w:r>
              <w:t xml:space="preserve"> reżimy w Nikaragui, na Kubie i w Wenezueli;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c>
          <w:tcPr>
            <w:tcW w:w="4876" w:type="dxa"/>
            <w:tcBorders>
              <w:top w:val="nil"/>
              <w:left w:val="nil"/>
              <w:bottom w:val="nil"/>
              <w:right w:val="nil"/>
            </w:tcBorders>
          </w:tcPr>
          <w:p>
            <w:pPr>
              <w:pStyle w:val="Normal6a"/>
            </w:pPr>
            <w:r>
              <w:t>6.</w:t>
            </w:r>
            <w:r>
              <w:tab/>
            </w:r>
            <w:r>
              <w:t xml:space="preserve">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w:t>
            </w:r>
            <w:r>
              <w:rPr>
                <w:b/>
                <w:i/>
              </w:rPr>
              <w:t>jest głęboko zaniepokojony systematycznym prześladowaniem organizacji społeczeństwa obywatelskiego, obrońców praw człowieka i członków Kościoła katolickiego w Nikaragui;</w:t>
            </w:r>
            <w:r>
              <w:t xml:space="preserve"> </w:t>
            </w:r>
            <w:r>
              <w:rPr>
                <w:b/>
                <w:i/>
              </w:rPr>
              <w:t>wzywa UE do zaostrzenia sankcji wobec sprawców represji w Nikaragui;</w:t>
            </w:r>
            <w:r>
              <w:t xml:space="preserve">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c>
          <w:tcPr>
            <w:tcW w:w="4876" w:type="dxa"/>
            <w:tcBorders>
              <w:top w:val="nil"/>
              <w:left w:val="nil"/>
              <w:bottom w:val="nil"/>
              <w:right w:val="nil"/>
            </w:tcBorders>
          </w:tcPr>
          <w:p>
            <w:pPr>
              <w:pStyle w:val="Normal6a"/>
            </w:pPr>
            <w:r>
              <w:t>6.</w:t>
            </w:r>
            <w:r>
              <w:tab/>
            </w:r>
            <w:r>
              <w:t xml:space="preserve">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 </w:t>
            </w:r>
            <w:r>
              <w:rPr>
                <w:b/>
                <w:i/>
              </w:rPr>
              <w:t>potępia bliską współpracę komunistycznego reżimu w Hawanie z Rosją i Białorusią oraz wzywa władze w Hawanie do zablokowania rekrutacji Kubańczyków do walk w szeregach napastniczej armii rosyjskiej;</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c>
          <w:tcPr>
            <w:tcW w:w="4876" w:type="dxa"/>
            <w:tcBorders>
              <w:top w:val="nil"/>
              <w:left w:val="nil"/>
              <w:bottom w:val="nil"/>
              <w:right w:val="nil"/>
            </w:tcBorders>
          </w:tcPr>
          <w:p>
            <w:pPr>
              <w:pStyle w:val="Normal6a"/>
            </w:pPr>
            <w:r>
              <w:t>6.</w:t>
            </w:r>
            <w:r>
              <w:tab/>
            </w:r>
            <w:r>
              <w:t>jest zaniepokojony regresem demokracji, który miał miejsce w Ameryce Łacińskiej i na Karaibach od 2019 r., i potępia reżimy w Nikaragui, na Kubie i w Wenezueli, które należą do najbardziej autorytarnych na świecie</w:t>
            </w:r>
            <w:r>
              <w:rPr>
                <w:b/>
                <w:i/>
              </w:rPr>
              <w:t>;</w:t>
            </w:r>
            <w:r>
              <w:t xml:space="preserve"> </w:t>
            </w:r>
            <w:r>
              <w:rPr>
                <w:b/>
                <w:i/>
              </w:rPr>
              <w:t>jest również zaniepokojony erozją demokratyczną i niestabilnością instytucjonalną w takich krajach jak Salwador, Gwatemala i Boliwia, a także apeluje o poszanowanie niezależności sądów, wolności prasy i przejrzystości wyborów w całym regionie</w:t>
            </w:r>
            <w:r>
              <w:t>;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c>
          <w:tcPr>
            <w:tcW w:w="4876" w:type="dxa"/>
            <w:tcBorders>
              <w:top w:val="nil"/>
              <w:left w:val="nil"/>
              <w:bottom w:val="nil"/>
              <w:right w:val="nil"/>
            </w:tcBorders>
          </w:tcPr>
          <w:p>
            <w:pPr>
              <w:pStyle w:val="Normal6a"/>
            </w:pPr>
            <w:r>
              <w:t>6.</w:t>
            </w:r>
            <w:r>
              <w:tab/>
            </w:r>
            <w:r>
              <w:t xml:space="preserve">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 </w:t>
            </w:r>
            <w:r>
              <w:rPr>
                <w:b/>
                <w:i/>
              </w:rPr>
              <w:t>wzywa UE do zwiększenia wsparcia dla niezależnych mediów, organizacji pozarządowych i obrońców praw człowieka we wszystkich reżimach autorytarnych w Ameryce Łacińskiej i na Karaibach;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c>
          <w:tcPr>
            <w:tcW w:w="4876" w:type="dxa"/>
            <w:tcBorders>
              <w:top w:val="nil"/>
              <w:left w:val="nil"/>
              <w:bottom w:val="nil"/>
              <w:right w:val="nil"/>
            </w:tcBorders>
          </w:tcPr>
          <w:p>
            <w:pPr>
              <w:pStyle w:val="Normal6a"/>
            </w:pPr>
            <w:r>
              <w:t>6.</w:t>
            </w:r>
            <w:r>
              <w:tab/>
            </w:r>
            <w:r>
              <w:t xml:space="preserve">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 </w:t>
            </w:r>
            <w:r>
              <w:rPr>
                <w:b/>
                <w:i/>
              </w:rPr>
              <w:t>domaga się natychmiastowego uwolnienia wszystkich osób przebywających w więzieniach z powodów politycznych;</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c>
          <w:tcPr>
            <w:tcW w:w="4876" w:type="dxa"/>
            <w:tcBorders>
              <w:top w:val="nil"/>
              <w:left w:val="nil"/>
              <w:bottom w:val="nil"/>
              <w:right w:val="nil"/>
            </w:tcBorders>
          </w:tcPr>
          <w:p>
            <w:pPr>
              <w:pStyle w:val="Normal6a"/>
            </w:pPr>
            <w:r>
              <w:t>6.</w:t>
            </w:r>
            <w:r>
              <w:tab/>
            </w:r>
            <w:r>
              <w:t xml:space="preserve">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 </w:t>
            </w:r>
            <w:r>
              <w:rPr>
                <w:b/>
                <w:i/>
              </w:rPr>
              <w:t>przypomina niedawne próby bezprawnego unieważnienia wyników wyborów w regionie, w tym w Gwatemali w 2023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c>
          <w:tcPr>
            <w:tcW w:w="4876" w:type="dxa"/>
            <w:tcBorders>
              <w:top w:val="nil"/>
              <w:left w:val="nil"/>
              <w:bottom w:val="nil"/>
              <w:right w:val="nil"/>
            </w:tcBorders>
          </w:tcPr>
          <w:p>
            <w:pPr>
              <w:pStyle w:val="Normal6a"/>
            </w:pPr>
            <w:r>
              <w:t>6.</w:t>
            </w:r>
            <w:r>
              <w:tab/>
            </w:r>
            <w:r>
              <w:t xml:space="preserve">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w:t>
            </w:r>
            <w:r>
              <w:rPr>
                <w:b/>
                <w:i/>
              </w:rPr>
              <w:t>Rosja,</w:t>
            </w:r>
            <w:r>
              <w:t xml:space="preserve"> Iran, Wenezuela i Kuba; potępia systematyczne łamanie i naruszanie praw człowieka przez reżim kubański </w:t>
            </w:r>
            <w:r>
              <w:rPr>
                <w:b/>
                <w:i/>
              </w:rPr>
              <w:t>i apeluje o zawieszenie umowy o dialogu politycznym i współpracy między UE a Kubą</w:t>
            </w:r>
            <w:r>
              <w:t>; zdecydowanie potępia i całkowicie odrzuca oszustwa wyborcze, jakich dopuścił się reżim w Wenezueli, oraz domaga się, aby rząd Maduro zaprzestał polityki represji i ataków na społeczeństwo obywatelskie i opozycję;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c>
          <w:tcPr>
            <w:tcW w:w="4876" w:type="dxa"/>
            <w:tcBorders>
              <w:top w:val="nil"/>
              <w:left w:val="nil"/>
              <w:bottom w:val="nil"/>
              <w:right w:val="nil"/>
            </w:tcBorders>
          </w:tcPr>
          <w:p>
            <w:pPr>
              <w:pStyle w:val="Normal6a"/>
            </w:pPr>
            <w:r>
              <w:t>6.</w:t>
            </w:r>
            <w:r>
              <w:tab/>
            </w:r>
            <w:r>
              <w:t xml:space="preserve">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w:t>
            </w:r>
            <w:r>
              <w:rPr>
                <w:b/>
                <w:i/>
              </w:rPr>
              <w:t>zdecydowanie potępia ataki reżimu Nikaragui na opozycję, media i kościół;</w:t>
            </w:r>
            <w:r>
              <w:t xml:space="preserve"> </w:t>
            </w:r>
            <w:r>
              <w:rPr>
                <w:b/>
                <w:i/>
              </w:rPr>
              <w:t>zdecydowanie</w:t>
            </w:r>
            <w:r>
              <w:t xml:space="preserve">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jest zaniepokojony regresem</w:t>
            </w:r>
            <w:r>
              <w:t xml:space="preserve"> demokracji</w:t>
            </w:r>
            <w:r>
              <w:rPr>
                <w:b/>
                <w:i/>
              </w:rPr>
              <w:t>, który miał miejsce w Ameryce Łacińskiej i na Karaibach od 2019 r., i potępia reżimy w Nikaragui, na Kubie i w Wenezueli, które należą do najbardziej autorytarnych na świecie;</w:t>
            </w:r>
            <w:r>
              <w:t xml:space="preserve"> </w:t>
            </w:r>
            <w:r>
              <w:rPr>
                <w:b/>
                <w:i/>
              </w:rPr>
              <w:t>przypomina, że reżim w Nikaragui utrzymuje silne relacje z innymi autokracjami, takimi jak Iran, Wenezuela i Kuba</w:t>
            </w:r>
            <w:r>
              <w:t xml:space="preserve">; potępia systematyczne łamanie </w:t>
            </w:r>
            <w:r>
              <w:rPr>
                <w:b/>
                <w:i/>
              </w:rPr>
              <w:t>i naruszanie</w:t>
            </w:r>
            <w:r>
              <w:t xml:space="preserve"> praw człowieka </w:t>
            </w:r>
            <w:r>
              <w:rPr>
                <w:b/>
                <w:i/>
              </w:rPr>
              <w:t>przez reżim kubański;</w:t>
            </w:r>
            <w:r>
              <w:t xml:space="preserve"> </w:t>
            </w:r>
            <w:r>
              <w:rPr>
                <w:b/>
                <w:i/>
              </w:rPr>
              <w:t>zdecydowanie potępia i całkowicie odrzuca oszustwa wyborcze, jakich dopuścił się reżim</w:t>
            </w:r>
            <w:r>
              <w:t xml:space="preserve"> w Wenezueli, </w:t>
            </w:r>
            <w:r>
              <w:rPr>
                <w:b/>
                <w:i/>
              </w:rPr>
              <w:t>oraz domaga się, aby rząd Maduro zaprzestał polityki represji i ataków na społeczeństwo obywatelskie i opozycję</w:t>
            </w:r>
            <w:r>
              <w:t>;</w:t>
            </w:r>
          </w:p>
        </w:tc>
        <w:tc>
          <w:tcPr>
            <w:tcW w:w="4876" w:type="dxa"/>
            <w:tcBorders>
              <w:top w:val="nil"/>
              <w:left w:val="nil"/>
              <w:bottom w:val="nil"/>
              <w:right w:val="nil"/>
            </w:tcBorders>
          </w:tcPr>
          <w:p>
            <w:pPr>
              <w:pStyle w:val="Normal6a"/>
            </w:pPr>
            <w:r>
              <w:t>6.</w:t>
            </w:r>
            <w:r>
              <w:tab/>
            </w:r>
            <w:r>
              <w:rPr>
                <w:b/>
                <w:i/>
              </w:rPr>
              <w:t>podkreśla poważne pogorszenie stanu</w:t>
            </w:r>
            <w:r>
              <w:t xml:space="preserve"> demokracji </w:t>
            </w:r>
            <w:r>
              <w:rPr>
                <w:b/>
                <w:i/>
              </w:rPr>
              <w:t>zaobserwowane w niektórych krajach regionu i podkreśla potrzebę wzmocnienia wsparcia dla podmiotów demokratycznych i społeczeństwa obywatelskiego w tym kontekście</w:t>
            </w:r>
            <w:r>
              <w:t xml:space="preserve">; potępia systematyczne </w:t>
            </w:r>
            <w:r>
              <w:rPr>
                <w:b/>
                <w:i/>
              </w:rPr>
              <w:t>ograniczanie podstawowych wolności i</w:t>
            </w:r>
            <w:r>
              <w:t xml:space="preserve"> łamanie praw człowieka </w:t>
            </w:r>
            <w:r>
              <w:rPr>
                <w:b/>
                <w:i/>
              </w:rPr>
              <w:t>w Nikaragui;</w:t>
            </w:r>
            <w:r>
              <w:t xml:space="preserve"> </w:t>
            </w:r>
            <w:r>
              <w:rPr>
                <w:b/>
                <w:i/>
              </w:rPr>
              <w:t>potwierdza zaangażowanie Unii Europejskiej na rzecz strategii wobec Kuby, opartej na krytycznym dialogu, współpracy międzynarodowej i skoordynowanej presji wielostronnej jako środkach wspierania prawdziwych reform demokratycznych;</w:t>
            </w:r>
            <w:r>
              <w:t xml:space="preserve"> </w:t>
            </w:r>
            <w:r>
              <w:rPr>
                <w:b/>
                <w:i/>
              </w:rPr>
              <w:t>podkreśla, że trzeba zapewnić poszanowanie praworządności oraz przeprowadzenie wolnych i przejrzystych wyborów</w:t>
            </w:r>
            <w:r>
              <w:t xml:space="preserve"> w Wenezueli, </w:t>
            </w:r>
            <w:r>
              <w:rPr>
                <w:b/>
                <w:i/>
              </w:rPr>
              <w:t>a także potępia poważną sytuację, w jakiej znalazła się demokratyczna opozycja w tym kraju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c>
          <w:tcPr>
            <w:tcW w:w="4876" w:type="dxa"/>
            <w:tcBorders>
              <w:top w:val="nil"/>
              <w:left w:val="nil"/>
              <w:bottom w:val="nil"/>
              <w:right w:val="nil"/>
            </w:tcBorders>
          </w:tcPr>
          <w:p>
            <w:pPr>
              <w:pStyle w:val="Normal6a"/>
            </w:pPr>
            <w:r>
              <w:t>6.</w:t>
            </w:r>
            <w:r>
              <w:tab/>
            </w:r>
            <w:r>
              <w:t xml:space="preserve">jest zaniepokojony regresem demokracji, który miał miejsce w Ameryce Łacińskiej i na Karaibach od 2019 r., i potępia </w:t>
            </w:r>
            <w:r>
              <w:rPr>
                <w:b/>
                <w:i/>
              </w:rPr>
              <w:t>łamanie praw człowieka w regionie, zwłaszcza przez</w:t>
            </w:r>
            <w:r>
              <w:t xml:space="preserve">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jest zaniepokojony regresem demokracji, który miał miejsce w Ameryce Łacińskiej i na Karaibach od 2019 r., i potępia reżimy w Nikaragui, na Kubie i w Wenezueli, które należą do najbardziej autorytarnych na świecie; </w:t>
            </w:r>
            <w:r>
              <w:rPr>
                <w:b/>
                <w:i/>
              </w:rPr>
              <w:t>przypomina, że reżim w Nikaragui utrzymuje silne relacje z innymi autokracjami, takimi jak Iran, Wenezuela i Kuba;</w:t>
            </w:r>
            <w:r>
              <w:t xml:space="preserve"> </w:t>
            </w:r>
            <w:r>
              <w:rPr>
                <w:b/>
                <w:i/>
              </w:rPr>
              <w:t>potępia systematyczne łamanie i naruszanie praw</w:t>
            </w:r>
            <w:r>
              <w:t xml:space="preserve"> człowieka </w:t>
            </w:r>
            <w:r>
              <w:rPr>
                <w:b/>
                <w:i/>
              </w:rPr>
              <w:t>przez reżim kubański;</w:t>
            </w:r>
            <w:r>
              <w:t xml:space="preserve"> </w:t>
            </w:r>
            <w:r>
              <w:rPr>
                <w:b/>
                <w:i/>
              </w:rPr>
              <w:t>zdecydowanie potępia i całkowicie odrzuca oszustwa wyborcze, jakich dopuścił się reżim w Wenezueli, oraz domaga się, aby rząd Maduro zaprzestał polityki represji i ataków na społeczeństwo obywatelskie i opozycję</w:t>
            </w:r>
            <w:r>
              <w:t>;</w:t>
            </w:r>
          </w:p>
        </w:tc>
        <w:tc>
          <w:tcPr>
            <w:tcW w:w="4876" w:type="dxa"/>
            <w:tcBorders>
              <w:top w:val="nil"/>
              <w:left w:val="nil"/>
              <w:bottom w:val="nil"/>
              <w:right w:val="nil"/>
            </w:tcBorders>
          </w:tcPr>
          <w:p>
            <w:pPr>
              <w:pStyle w:val="Normal6a"/>
            </w:pPr>
            <w:r>
              <w:t>6.</w:t>
            </w:r>
            <w:r>
              <w:tab/>
            </w:r>
            <w:r>
              <w:t xml:space="preserve">jest zaniepokojony regresem demokracji, który miał miejsce w Ameryce Łacińskiej i na Karaibach od 2019 r., i potępia reżimy w Nikaragui, na Kubie i w Wenezueli, które należą do najbardziej autorytarnych na świecie; </w:t>
            </w:r>
            <w:r>
              <w:rPr>
                <w:b/>
                <w:i/>
              </w:rPr>
              <w:t>wzywa UE do tego, aby przyznając swoje fundusze, w tym za pośrednictwem instytucji wielostronnych i finansowych, żądała konkretnych gwarancji, że przestrzegane są prawa</w:t>
            </w:r>
            <w:r>
              <w:t xml:space="preserve"> człowieka</w:t>
            </w:r>
            <w:r>
              <w:rPr>
                <w:b/>
                <w:i/>
              </w:rPr>
              <w:t>, oraz do dopilnowania, aby fundusze te nie przyczyniały się do umacniania autorytarnej władzy tych reżimów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c>
          <w:tcPr>
            <w:tcW w:w="4876" w:type="dxa"/>
            <w:tcBorders>
              <w:top w:val="nil"/>
              <w:left w:val="nil"/>
              <w:bottom w:val="nil"/>
              <w:right w:val="nil"/>
            </w:tcBorders>
          </w:tcPr>
          <w:p>
            <w:pPr>
              <w:pStyle w:val="Normal6a"/>
            </w:pPr>
            <w:r>
              <w:t>6.</w:t>
            </w:r>
            <w:r>
              <w:tab/>
            </w:r>
            <w:r>
              <w:t>jest zaniepokojony regresem demokracji, który miał miejsce w Ameryce Łacińskiej i na Karaibach od 2019 r., i potępia reżimy w Nikaragui, na Kubie i w Wenezueli, które należą do najbardziej autorytarnych na świecie; przypomina, że reżim w Nikaragui utrzymuje silne relacje z innymi autokracjami, takimi jak Iran, Wenezuela</w:t>
            </w:r>
            <w:r>
              <w:rPr>
                <w:b/>
                <w:i/>
              </w:rPr>
              <w:t>, Salwador</w:t>
            </w:r>
            <w:r>
              <w:t xml:space="preserve"> i Kuba; potępia systematyczne łamanie i naruszanie praw człowieka przez reżim kubański; zdecydowanie potępia i całkowicie odrzuca oszustwa wyborcze, jakich dopuścił się reżim w Wenezueli, oraz domaga się, aby rząd Maduro zaprzestał polityki represji i ataków na społeczeństwo obywatelskie i opozycję;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 akapit 1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przypomina, że w styczniu 2025 r. reżim Daniela Ortegi i Rosario Murillo przyjął reformę konstytucyjną, w wyniku której zniesiono podział władzy i pluralizm polityczny oraz ustanowiono wspólną prezydenturę Ortegi i Murillo, którzy kontrolują wszystkie ośrodki rządowe, niezależne instytucje i media oraz ignorują międzynarodowe konwencje i traktaty dotyczące praw człowieka;</w:t>
            </w:r>
            <w:r>
              <w:t xml:space="preserve"> </w:t>
            </w:r>
            <w:r>
              <w:rPr>
                <w:b/>
                <w:i/>
              </w:rPr>
              <w:t>przypomina, że reżim ten utrzymuje silne relacje z innymi autokracjami, takimi jak Iran, Wenezuela i Kuba;</w:t>
            </w:r>
            <w:r>
              <w:t xml:space="preserve"> </w:t>
            </w:r>
            <w:r>
              <w:rPr>
                <w:b/>
                <w:i/>
              </w:rPr>
              <w:t>ponawia swój apel o uruchomienie klauzuli demokratycznej zawartej w układzie o stowarzyszeniu UE i odrzuca wszelkie perspektywy prowadzenia jakiegokolwiek dialogu parlamentarnego z członkami kontrolowanego przez reżim Zgromadzenia Narodowego Nikaragui;</w:t>
            </w:r>
            <w:r>
              <w:t xml:space="preserve"> </w:t>
            </w:r>
            <w:r>
              <w:rPr>
                <w:b/>
                <w:i/>
              </w:rPr>
              <w:t>ponadto ponawia apel o wpisanie na listę osób objętych sankcjami Daniela Ortegi, Rosario Murillo i ich najbliższych współpracowników;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 akapit 1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przypomina, że obecnie na Kubie przebywa 1155 więźniów politycznych;</w:t>
            </w:r>
            <w:r>
              <w:t xml:space="preserve"> </w:t>
            </w:r>
            <w:r>
              <w:rPr>
                <w:b/>
                <w:i/>
              </w:rPr>
              <w:t>stanowczo potępia systematyczne łamanie i naruszanie praw człowieka przez reżim kubański;</w:t>
            </w:r>
            <w:r>
              <w:t xml:space="preserve"> </w:t>
            </w:r>
            <w:r>
              <w:rPr>
                <w:b/>
                <w:i/>
              </w:rPr>
              <w:t>wzywa do uruchomienia klauzuli zawieszającej zawartej w umowie o dialogu politycznym i współpracy między UE a Kubą;</w:t>
            </w:r>
            <w:r>
              <w:t xml:space="preserve"> </w:t>
            </w:r>
            <w:r>
              <w:rPr>
                <w:b/>
                <w:i/>
              </w:rPr>
              <w:t>ponawia apel do Rady o nałożenie sankcji na osoby odpowiedzialne za ciągłe naruszanie praw człowieka na Kubie;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stanowczo potępia dziedzictwo komunizmu w Ameryce Łacińskiej w tym obecne reżimy odwołujące się do tej zbrodniczej ideologii, wskazuje na jej destrukcyjny wpływ na prawa człowieka, wolność słowa oraz rozwój społeczno-gospodarczy;</w:t>
            </w:r>
            <w:r>
              <w:t xml:space="preserve"> </w:t>
            </w:r>
            <w:r>
              <w:rPr>
                <w:b/>
                <w:i/>
              </w:rPr>
              <w:t>wzywa do zintensyfikowania współpracy Unii Europejskiej z młodymi liderami i środowiskami kultury w Ameryce Łacińskiej, którzy sprzeciwiają się autorytarnym reżimom;</w:t>
            </w:r>
            <w:r>
              <w:t xml:space="preserve"> </w:t>
            </w:r>
            <w:r>
              <w:rPr>
                <w:b/>
                <w:i/>
              </w:rPr>
              <w:t>podkreśla potrzebę promowania wspólnych projektów edukacyjnych, kulturalnych i obywatelskich z udziałem młodzieży z Ameryki Łacińskiej oraz młodych Białorusinów walczących o wolność i Ukraińców opierających się rosyjskiej agresji oraz przedstawicieli zwycięskiej antykomunistycznej opozycji z państw UE;</w:t>
            </w:r>
            <w:r>
              <w:t xml:space="preserve"> </w:t>
            </w:r>
            <w:r>
              <w:rPr>
                <w:b/>
                <w:i/>
              </w:rPr>
              <w:t>zachęca państwa członkowskie do wspierania instytucji zajmujących się dokumentowaniem zbrodni komunistycznych i promowaniem edukacji historycznej, takich jak Europejska Platforma Pamięci i Sumienia, oraz do rozwijania współpracy tych instytucji z partnerami z Ameryki Łacińskiej;</w:t>
            </w:r>
            <w:r>
              <w:t xml:space="preserve"> </w:t>
            </w:r>
            <w:r>
              <w:rPr>
                <w:b/>
                <w:i/>
              </w:rPr>
              <w:t>wzywa do aktywnego promowania bohaterów oporu antykomunistycznego w Europie, takich jak bł. ks. Jerzy Popiełuszko, których ofiara i dziedzictwo stanowią inspirację dla społeczeństw Ameryki Łacińskiej walczących o wolność i demokrację;</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potępia systematyczne łamanie i naruszanie praw człowieka, których reżim kubański dopuszcza się wobec demonstrantów, dysydentów politycznych, przywódców religijnych i działaczy na rzecz praw człowieka;</w:t>
            </w:r>
            <w:r>
              <w:t xml:space="preserve"> </w:t>
            </w:r>
            <w:r>
              <w:rPr>
                <w:b/>
                <w:i/>
              </w:rPr>
              <w:t>podkreśla, że liczba więźniów politycznych jest nieznana, ale według wiarygodnych źródeł reżim przetrzymuje ponad tysiąc więźniów, w tym nieletnich;</w:t>
            </w:r>
            <w:r>
              <w:t xml:space="preserve"> </w:t>
            </w:r>
            <w:r>
              <w:rPr>
                <w:b/>
                <w:i/>
              </w:rPr>
              <w:t>ponawia swój apel do państw członkowskich o zastosowanie globalnego systemu sankcji UE za naruszenia praw człowieka (europejska ustawa Magnickiego) i objęcie sankcjami osób odpowiedzialnych za ciągłe naruszanie praw człowieka na Kubie;</w:t>
            </w:r>
            <w:r>
              <w:t xml:space="preserve"> </w:t>
            </w:r>
            <w:r>
              <w:rPr>
                <w:b/>
                <w:i/>
              </w:rPr>
              <w:t>przypomina swoje wcześniejsze stanowiska dotyczące możliwości uruchomienia klauzuli zawieszającej PDCA ze względu na to, że reżim kubański stale narusza podstawowe klauzule dotyczące praw człowieka zawarte w tej umowie;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przypomina, że 19 września 2024 r. za prawowitego i demokratycznie wybranego prezydenta Wenezueli Parlament uznał Edmunda Gonzáleza Urrutię, a Maríę Corinę Machado – za przywódczynię sił demokratycznych w Wenezueli;</w:t>
            </w:r>
            <w:r>
              <w:t xml:space="preserve"> </w:t>
            </w:r>
            <w:r>
              <w:rPr>
                <w:b/>
                <w:i/>
              </w:rPr>
              <w:t>podkreśla, że E. Gonzáleza uznały za nowo wybranego prezydenta inne demokratyczne państwa w regionie i na świecie;</w:t>
            </w:r>
            <w:r>
              <w:t xml:space="preserve"> </w:t>
            </w:r>
            <w:r>
              <w:rPr>
                <w:b/>
                <w:i/>
              </w:rPr>
              <w:t>wyraża zadowolenie, że 17 grudnia 2024 r. Parlament przyznał Nagrodę im. Sacharowa za wolność myśli za 2024 r. przywódczyni wenezuelskich sił demokratycznych Maríi Corinie Machado oraz nowo wybranemu prezydentowi Edmundowi Gonzálezowi Urrutii, którzy reprezentują wszystkich Wenezuelczyków walczących w Wenezueli i poza nią o przywrócenie wolności i demokracji;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ubolewa, że deklaracja końcowa z 16. sesji plenarnej Zgromadzenia EuroLat w Limie nie zawierała wyraźnego potępienia reżimów autorytarnych w Wenezueli, na Kubie i w Nikaragui, a także zdecydowanego apelu o natychmiastowe i bezwarunkowe uwolnienie wszystkich więźniów politycznych przetrzymywanych przez reżimy Maduro, Díaz-Canel i Ortega-Murillo;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wzywa UE, aby zintensyfikowała walkę z rosyjską propagandą w regionie;</w:t>
            </w:r>
            <w:r>
              <w:t xml:space="preserve"> </w:t>
            </w:r>
            <w:r>
              <w:rPr>
                <w:b/>
                <w:i/>
              </w:rPr>
              <w:t>przypomina – zgodnie z rezolucją Parlamentu Europejskiego z 28 lutego 2024 r.</w:t>
            </w:r>
            <w:r>
              <w:rPr>
                <w:b/>
                <w:i/>
                <w:vertAlign w:val="superscript"/>
              </w:rPr>
              <w:t>1a</w:t>
            </w:r>
            <w:r>
              <w:t xml:space="preserve"> </w:t>
            </w:r>
            <w:r>
              <w:rPr>
                <w:b/>
                <w:i/>
              </w:rPr>
              <w:t>– że UE powinna zapewnić delegaturom UE środki niezbędne do przeciwdziałania dezinformacji;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apeluje o natychmiastowe zniesienie blokady gospodarczej, handlowej i finansowej nałożonej na Kubę przez Stany Zjednoczone;</w:t>
            </w:r>
            <w:r>
              <w:t xml:space="preserve"> </w:t>
            </w:r>
            <w:r>
              <w:rPr>
                <w:b/>
                <w:i/>
              </w:rPr>
              <w:t>ponadto wzywa władze USA, aby skreśliły Kubę z listy „państw sponsorujących terroryzm”;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podkreśla znaczenie dyspozycyjności Komisji Europejskiej do świadczenia dobrych usług w razie niezgody między państwami Ameryki Łacińskiej i Karaibów, z myślą o wspieraniu pokoju zgodnie z prawem międzynarodowym;</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popiera niepodległość, integralność terytorialną i suwerenność wszystkich krajów Ameryki Łacińskiej i Karaibów oraz odrzuca ambicje światowych mocarstw, aby wymusić stosunki zależności politycznej i gospodarczej;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zdecydowanie potępia prześladowanie prawne w Gwatemali prowadzone przez prokurator generalną Gwatemali Maríę Consuelo Porras Arguetę wobec prezydenta Bernarda Arévala od czasu jego wyboru w 2023 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wyraża uznanie dla zaangażowania, z jakim naród wenezuelski opowiada się za demokracją, oraz dla nieustępliwości demokratycznej opozycji mimo coraz bardziej represyjnej polityki reżimu Maduro;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potępia zakaz rządów Nikaragui dotyczący międzynarodowych obserwatorów praw człowieka;</w:t>
            </w:r>
            <w:r>
              <w:t xml:space="preserve"> </w:t>
            </w:r>
            <w:r>
              <w:rPr>
                <w:b/>
                <w:i/>
              </w:rPr>
              <w:t>jest zaniepokojony cofnięciem od 2018 r. przez rząd Nikaragui statusu prawnego ponad 3000 organizacji pozarządowych;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zdecydowanie potępia i całkowicie odrzuca oszustwa wyborcze, jakich dopuścił się reżim w Wenezueli, zarówno w wyborach prezydenckich w 2024 r., jak i w fikcyjnych wyborach parlamentarnych w maju 2025 r.;</w:t>
            </w:r>
            <w:r>
              <w:t xml:space="preserve"> </w:t>
            </w:r>
            <w:r>
              <w:rPr>
                <w:b/>
                <w:i/>
              </w:rPr>
              <w:t>domaga się, aby rząd Maduro zaprzestał polityki represji i ataków na społeczeństwo obywatelskie i opozycję;</w:t>
            </w:r>
            <w:r>
              <w:t xml:space="preserve"> </w:t>
            </w:r>
            <w:r>
              <w:rPr>
                <w:b/>
                <w:i/>
              </w:rPr>
              <w:t>przypomina, że 19 września 2024 r. Parlament za prawowitego i demokratycznie wybranego prezydenta Wenezueli uznał Edmundo Gonzáleza Urrutię, a Maríę Corinę Machado – za przywódczynię sił demokratycznych w Wenezueli;</w:t>
            </w:r>
            <w:r>
              <w:t xml:space="preserve"> </w:t>
            </w:r>
            <w:r>
              <w:rPr>
                <w:b/>
                <w:i/>
              </w:rPr>
              <w:t>podkreśla fakt, że E. Gonzáleza uznały za nowo wybranego prezydenta inne demokratyczne państwa w regionie i na świecie;</w:t>
            </w:r>
            <w:r>
              <w:t xml:space="preserve"> </w:t>
            </w:r>
            <w:r>
              <w:rPr>
                <w:b/>
                <w:i/>
              </w:rPr>
              <w:t>przypomina, że powinien był on zostać zaprzysiężony 10 stycznia 2025 r.;</w:t>
            </w:r>
            <w:r>
              <w:t xml:space="preserve"> </w:t>
            </w:r>
            <w:r>
              <w:rPr>
                <w:b/>
                <w:i/>
              </w:rPr>
              <w:t>wyraża zadowolenie z faktu, że 17 grudnia 2024 r. Parlament przyznał Nagrodę im. Sacharowa za wolność myśli za 2024 r. Maríi Corinie Machado jako przywódczyni wenezuelskich sił demokratycznych oraz nowo wybranemu prezydentowi Edmundo Gonzálezowi Urrutii, którzy reprezentują wszystkich Wenezuelczyków walczących w Wenezueli i poza nią o przywrócenie wolności i demokracji;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w:t>
            </w:r>
            <w:r>
              <w:tab/>
            </w:r>
            <w:r>
              <w:rPr>
                <w:b/>
                <w:i/>
              </w:rPr>
              <w:t>zdecydowanie potępia wykorzystywanie przez Federację Rosyjską hybrydowych taktyk, obejmujących operacje wojskowe, cybernetyczne, informacyjne oraz gospodarcze, w szczególności w sektorze energetycznym, w tym poprzez omijanie sankcji oraz nieprzejrzyste praktyki i korupcję, jako narzędzi ekspansji podważającej bezpieczeństwo regionalne, sprzyjającej destabilizacji wewnętrznej oraz prowadzącej do formowania bloku zagrażającego demokracji, pokojowi i prawu międzynarodowemu;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jest zbulwersowany próbą zabójstwa senatora i kandydata Miguela Uribego, do której doszło 7 czerwca br.;</w:t>
            </w:r>
            <w:r>
              <w:t xml:space="preserve"> </w:t>
            </w:r>
            <w:r>
              <w:rPr>
                <w:b/>
                <w:i/>
              </w:rPr>
              <w:t>przypomina, że pomimo procesu pokojowego przemoc utrzymuje się na wielu obszarach Kolumbii i że potrzeba kompleksowych rozwiązań ze strony rządu kolumbijskiego;</w:t>
            </w:r>
            <w:r>
              <w:t xml:space="preserve"> </w:t>
            </w:r>
            <w:r>
              <w:rPr>
                <w:b/>
                <w:i/>
              </w:rPr>
              <w:t>apeluje do UE, aby w dalszym ciągu wspierała proces pokojowy w tym kraju; apeluje do rządu Kolumbii, aby zagwarantował bezpieczeństwo i integralność cielesną wszystkich kandydatów, którzy wezmą udział w wyborach w 2026 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z całą stanowczością potępia próbę zabójstwa Miguela Uribe Turbaya, senatora i potencjalnego kandydata w kolumbijskich wyborach prezydenckich w 2026 r., który jest bliski śmierci po tym, jak postrzelono go podczas publicznego wiecu w Bogocie;</w:t>
            </w:r>
            <w:r>
              <w:t xml:space="preserve"> </w:t>
            </w:r>
            <w:r>
              <w:rPr>
                <w:b/>
                <w:i/>
              </w:rPr>
              <w:t>podkreśla, że ten poważny atak jest również atakiem na demokrację, i zachęca władze kolumbijskie do pełnego wyjaśnienia odpowiedzialności;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potępia systematyczne łamanie praw człowieka przez reżim kubański;</w:t>
            </w:r>
            <w:r>
              <w:t xml:space="preserve"> </w:t>
            </w:r>
            <w:r>
              <w:rPr>
                <w:b/>
                <w:i/>
              </w:rPr>
              <w:t>wzywa Unię Europejską i kraje Ameryki Łacińskiej do współpracy z reżimem kubańskim, aby wspierać reformy demokratyczne;</w:t>
            </w:r>
            <w:r>
              <w:t xml:space="preserve"> </w:t>
            </w:r>
            <w:r>
              <w:rPr>
                <w:b/>
                <w:i/>
              </w:rPr>
              <w:t>zdecydowanie wzywa Stany Zjednoczone do zniesienia embarga gospodarczego, handlowego i finansowego wobec Kuby, w pełnej zgodności z odpowiednimi rezolucjami ONZ;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popiera wdrożenie porozumienia z Escazú jako kluczowego instrumentu służącego zwiększeniu przejrzystości, udziału społeczeństwa i dostępu do wymiaru sprawiedliwości w sprawach dotyczących środowiska, a tym samym wzmocnieniu pozycji obrońców środowiska i działań zbiorowych;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składa hołd byłej prezydent Nikaragui Violecie Chamorro, kluczowej postaci w historii Nikaragui i symbolowi nadziei i zmian;</w:t>
            </w:r>
            <w:r>
              <w:t xml:space="preserve"> </w:t>
            </w:r>
            <w:r>
              <w:rPr>
                <w:b/>
                <w:i/>
              </w:rPr>
              <w:t>podkreśla, że prezydent Chamorro była pierwszą kobietą na czele demokratycznie wybranego kraju Ameryki Środkowej, która w latach 1990–1997 pełniła funkcję prezydenta Nikaragui;</w:t>
            </w:r>
            <w:r>
              <w:t xml:space="preserve"> </w:t>
            </w:r>
            <w:r>
              <w:rPr>
                <w:b/>
                <w:i/>
              </w:rPr>
              <w:t>w szczególności jej spuścizna przyniosła zakończenie wojny domowej, początek okresu pokoju i pojednania narodowego, stabilizację gospodarki i przywrócenie stosunków międzynarodowych;</w:t>
            </w:r>
            <w:r>
              <w:t xml:space="preserve"> </w:t>
            </w:r>
            <w:r>
              <w:rPr>
                <w:b/>
                <w:i/>
              </w:rPr>
              <w:t>zwraca uwagę, że zmarła na wygnaniu, ponieważ w ostatnich latach jej rodzinę wygnano do Kostaryki, podobnie jak setki tysięcy innych Nikaraguańczyków uciekających przed represjami Ortegi;</w:t>
            </w:r>
            <w:r>
              <w:t xml:space="preserve"> </w:t>
            </w:r>
            <w:r>
              <w:rPr>
                <w:b/>
                <w:i/>
              </w:rPr>
              <w:t>przypomina również, że jej fundacja, Fundacji Violety Barrios de Chamorro, która zapewniła szkolenia dziennikarzom i broniła wolności wypowiedzi, zakończyła działalność w Nikaragui w styczniu 2021 r. w wyniku represyjnej strategii reżimu Ortegi i Murillo mającej na celu uciszenie wszelkich krytycznych głosów;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zdecydowanie potępia i całkowicie odrzuca oszustwa wyborcze, jakich dopuścił się reżim w Wenezueli, oraz domaga się, aby rząd Maduro zaprzestał polityki represji i ataków na społeczeństwo obywatelskie i opozycję;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podkreśla, że we wszystkich działaniach i strategiach politycznych w ramach stosunków UE–CELAC należy przyjąć intersekcjonalne podejście feministyczne;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wyraża głębokie współczucie dla ponad 7 mln Wenezuelczyków, których zmuszono do opuszczenia swojego kraju od 2015 r., przy czym około 6 mln przesiedlonych zostało w Ameryce Łacińskiej i na Karaibach;</w:t>
            </w:r>
            <w:r>
              <w:t xml:space="preserve"> </w:t>
            </w:r>
            <w:r>
              <w:rPr>
                <w:b/>
                <w:i/>
              </w:rPr>
              <w:t>przyznaje, że te bezprecedensowe przesiedlenia znacznie obciążyły kraje sąsiadujące i społeczności przyjmujące;</w:t>
            </w:r>
            <w:r>
              <w:t xml:space="preserve"> </w:t>
            </w:r>
            <w:r>
              <w:rPr>
                <w:b/>
                <w:i/>
              </w:rPr>
              <w:t>wyraża uznanie dla solidarności i hojności tych krajów – w szczególności Kolumbii – za ich w dużej mierze pozytywne wysiłki na rzecz zapewnienia uchodźcom wenezuelskim dostępu do opieki zdrowotnej, edukacji i możliwości zatrudnienia, przyczyniając się do stabilności regionalnej i ochrony praw podstawowych;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wzywa do szybkiego przyjęcia i wdrożenia międzyregionalnego paktu na rzecz opieki między UE a Ameryką Łacińską i Karaibami, opartego na zasadach europejskiej strategii w dziedzinie opieki i zobowiązaniu z Buenos Aires dotyczącego społeczeństwa opiekuńczego, w celu promowania programu transformacji opieki, który zapewni powszechność, równość płci oraz uznawanie, ograniczanie i redystrybucję nieodpłatnej pracy opiekuńczej;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6e.</w:t>
            </w:r>
            <w:r>
              <w:tab/>
            </w:r>
            <w:r>
              <w:rPr>
                <w:b/>
                <w:i/>
              </w:rPr>
              <w:t>z głębokim zaniepokojeniem przypomina, że znaczna część Haiti pozostaje pod kontrolą zbrojnych grup przestępczych odpowiedzialnych za powszechną przemoc i poważne naruszenia praw człowieka;</w:t>
            </w:r>
            <w:r>
              <w:t xml:space="preserve"> </w:t>
            </w:r>
            <w:r>
              <w:rPr>
                <w:b/>
                <w:i/>
              </w:rPr>
              <w:t>wzywa Unię Europejską do pilnego wzmocnienia wsparcia politycznego, humanitarnego i gospodarczego dla Haiti w ramach partnerstwa między UE a Ameryką Łacińską i Karaibami, uznając, że obecne wysiłki pozostają niewystarczające, aby zaradzić skali kryzysu i wesprzeć ludność Haiti w przywracaniu stabilności, demokratycznych rządów i praworządności;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6e.</w:t>
            </w:r>
            <w:r>
              <w:tab/>
            </w:r>
            <w:r>
              <w:rPr>
                <w:b/>
                <w:i/>
              </w:rPr>
              <w:t>w pełni popiera integralność terytorialną Gujany i wzywa Wenezuelę do poszanowania uznanych na arenie międzynarodowej granic Gujany;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f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6f.</w:t>
            </w:r>
            <w:r>
              <w:tab/>
            </w:r>
            <w:r>
              <w:rPr>
                <w:b/>
                <w:i/>
              </w:rPr>
              <w:t>potępia bezprawne i grożące roszczenia prezydenta USA Trumpa dotyczące Kanału Panamskiego oraz wzywa wszystkie kraje do poszanowania integralności terytorialnej i suwerenności Panamy;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g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6g.</w:t>
            </w:r>
            <w:r>
              <w:tab/>
            </w:r>
            <w:r>
              <w:rPr>
                <w:b/>
                <w:i/>
              </w:rPr>
              <w:t>podkreśla, że Panama jest ważnym partnerem UE w ramach układu o stowarzyszeniu UE–Ameryka Środkowa;</w:t>
            </w:r>
            <w:r>
              <w:t xml:space="preserve"> </w:t>
            </w:r>
            <w:r>
              <w:rPr>
                <w:b/>
                <w:i/>
              </w:rPr>
              <w:t>podkreśla ponadto, że Panama jest w pełni zaangażowana w działania UE na rzecz wzmocnienia ram prawnych i regulacyjnych, by wypełnić zobowiązania zawarte w strategicznym planie działania dotyczącym niedociągnięć stwierdzonych przez Grupę Specjalną ds. Przeciwdziałania Praniu Pieniędzy (FATF);</w:t>
            </w:r>
            <w:r>
              <w:t xml:space="preserve"> </w:t>
            </w:r>
            <w:r>
              <w:rPr>
                <w:b/>
                <w:i/>
              </w:rPr>
              <w:t>w tym kontekście pilnie wzywa Komisję, aby usunęła Panamę z załącznika do dyrektywy 2018/843 w sprawie zapobiegania wykorzystywaniu systemu finansowego do prania pieniędzy lub finansowania terroryzmu oraz osiągnęła ten cel przez przegląd załączników w odniesieniu do poszczególnych krajów lub zastosowanie podejścia regionalnego;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h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6h.</w:t>
            </w:r>
            <w:r>
              <w:tab/>
            </w:r>
            <w:r>
              <w:rPr>
                <w:b/>
                <w:i/>
              </w:rPr>
              <w:t>wyraża głębokie zaniepokojenie erozją zasad demokratycznych i celowym obchodzeniem gwarancji konstytucyjnych w Salwadorze;</w:t>
            </w:r>
            <w:r>
              <w:t xml:space="preserve"> </w:t>
            </w:r>
            <w:r>
              <w:rPr>
                <w:b/>
                <w:i/>
              </w:rPr>
              <w:t>wyraża zaniepokojenie niezależnością sądownictwa, brakiem przejrzystości działań rządu, nadmiernym stosowaniem siły, nieuzasadnioną militaryzacją oraz coraz większymi ograniczeniami wolności zgromadzeń i prasy;</w:t>
            </w:r>
            <w:r>
              <w:t xml:space="preserve"> </w:t>
            </w:r>
            <w:r>
              <w:rPr>
                <w:b/>
                <w:i/>
              </w:rPr>
              <w:t>jest poważnie zaniepokojony doniesieniami o powszechnych arbitralnych zatrzymaniach bez dowodów, torturach, wymuszonych zaginięciach ludności cywilnej oraz alarmującym przeludnieniem w więzieniach;</w:t>
            </w:r>
            <w:r>
              <w:t xml:space="preserve"> </w:t>
            </w:r>
            <w:r>
              <w:rPr>
                <w:b/>
                <w:i/>
              </w:rPr>
              <w:t>potępia władze Salwadoru za brak pociągnięcia sił bezpieczeństwa do odpowiedzialności za ich działania oraz za stałe odrzucanie międzynarodowych wniosków o nadzór i dochodzenie;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i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6i.</w:t>
            </w:r>
            <w:r>
              <w:tab/>
            </w:r>
            <w:r>
              <w:rPr>
                <w:b/>
                <w:i/>
              </w:rPr>
              <w:t>zauważa, że Ekwador poczynił znaczne postępy i wprowadził zmiany legislacyjne w ramach przygotowań do umieszczenia go w wykazie państw trzecich, których obywatele są zwolnieni z obowiązku wizowego, m.in. wprowadził paszport biometryczny;</w:t>
            </w:r>
            <w:r>
              <w:t xml:space="preserve"> </w:t>
            </w:r>
            <w:r>
              <w:rPr>
                <w:b/>
                <w:i/>
              </w:rPr>
              <w:t>zauważa, że w ostatnich latach stosunki dwustronne między Ekwadorem a Unią zacieśniły się, m.in. dzięki corocznemu dialogowi politycznemu na wysokim szczeblu, że w Unii mieszka duża społeczność Ekwadorczyków oraz że Ekwador konsekwentnie wykazuje swoje zaangażowanie na rzecz poszanowania praw człowieka, chociaż nadal istnieją obawy w różnych dziedzinach;</w:t>
            </w:r>
            <w:r>
              <w:t xml:space="preserve"> </w:t>
            </w:r>
            <w:r>
              <w:rPr>
                <w:b/>
                <w:i/>
              </w:rPr>
              <w:t>zauważa, że w świetle powyższego i biorąc pod uwagę korzyści płynące z kontaktów międzyludzkich, obywatele Ekwadoru powinni być zwolnieni z obowiązku wizowego w przypadku pobytów nie dłuższych niż 90 dni w ciągu każdego 180-dniowego okresu, a odniesienia do tych państw należy przenieść do załącznika II do rozporządzenia (UE) 2018/1806;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j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6j.</w:t>
            </w:r>
            <w:r>
              <w:tab/>
            </w:r>
            <w:r>
              <w:rPr>
                <w:b/>
                <w:i/>
              </w:rPr>
              <w:t>zauważa, że Gujana aktywnie dąży do liberalizacji systemu wizowego z Unią Europejską oraz że dyskusje na ten temat odbyły się podczas szczytu UE–CELAC w 2023 r.;</w:t>
            </w:r>
            <w:r>
              <w:t xml:space="preserve"> </w:t>
            </w:r>
            <w:r>
              <w:rPr>
                <w:b/>
                <w:i/>
              </w:rPr>
              <w:t>popiera dyskusje w tym kierunku i wzywa, aby szybko poczynić postępy w tej kwestii;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k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6k.</w:t>
            </w:r>
            <w:r>
              <w:tab/>
            </w:r>
            <w:r>
              <w:rPr>
                <w:b/>
                <w:i/>
              </w:rPr>
              <w:t>przypomina, że Republika Dominikańska jest jednym z najbardziej stabilnych i najbezpieczniejszych krajów w Ameryce Łacińskiej i na Karaibach oraz charakteryzuje się jednym z najniższych wskaźników zabójstw w całym regionie i doskonałą współpracą dwustronną w zakresie bezpieczeństwa wewnętrznego z wieloma państwami członkowskimi UE;</w:t>
            </w:r>
            <w:r>
              <w:t xml:space="preserve"> </w:t>
            </w:r>
            <w:r>
              <w:rPr>
                <w:b/>
                <w:i/>
              </w:rPr>
              <w:t>ubolewa jednak, że Republika Dominikańska i Europol nie podpisały jeszcze umowy o współpracy pomimo zainteresowania tego kraju, ponieważ Komisja Europejska nie uznała jej za kraj będący przedmiotem zainteresowania;</w:t>
            </w:r>
            <w:r>
              <w:t xml:space="preserve"> </w:t>
            </w:r>
            <w:r>
              <w:rPr>
                <w:b/>
                <w:i/>
              </w:rPr>
              <w:t>wzywa Komisję Europejską, aby dodała Republikę Dominikańską do wykazu krajów będących przedmiotem zainteresowania Europolu;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l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6l.</w:t>
            </w:r>
            <w:r>
              <w:tab/>
            </w:r>
            <w:r>
              <w:rPr>
                <w:b/>
                <w:i/>
              </w:rPr>
              <w:t>podkreśla, że UE i PE bardzo wspierają proces pokojowy w Kolumbii, zakończony w 2016 r., i nadal monitorują jego wdrażanie;</w:t>
            </w:r>
            <w:r>
              <w:t xml:space="preserve"> </w:t>
            </w:r>
            <w:r>
              <w:rPr>
                <w:b/>
                <w:i/>
              </w:rPr>
              <w:t>przypomina, że takie porozumienie pokojowe zakończyło pięćdziesięcioletni konflikt zbrojny oraz że dzięki wysiłkom rządu Kolumbii i całego społeczeństwa kolumbijskiego osiągnięto znaczne postępy w ograniczaniu przemocy, naruszeń praw człowieka, reintegracji uczestników walk i w sprawiedliwej transformacji, chociaż nadal istnieje wiele wyzwań;</w:t>
            </w:r>
            <w:r>
              <w:t xml:space="preserve"> </w:t>
            </w:r>
            <w:r>
              <w:rPr>
                <w:b/>
                <w:i/>
              </w:rPr>
              <w:t>zdecydowanie podkreśla, że Unia powinna dalej wspierać pełne wdrożenie porozumienia pokojowego;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m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6m.</w:t>
            </w:r>
            <w:r>
              <w:tab/>
            </w:r>
            <w:r>
              <w:rPr>
                <w:b/>
                <w:i/>
              </w:rPr>
              <w:t>jest zaniepokojony skrajną niestabilnością peruwiańskiego systemu politycznego, wysokim poziomem korupcji i powszechnym brakiem zaufania obywateli do głównych instytucji tego kraju;</w:t>
            </w:r>
            <w:r>
              <w:t xml:space="preserve"> </w:t>
            </w:r>
            <w:r>
              <w:rPr>
                <w:b/>
                <w:i/>
              </w:rPr>
              <w:t>wzywa UE do konstruktywnej współpracy z tym krajem w celu wzmocnienia demokracji, ram instytucjonalnych, praworządności i odpowiedzialności politycznej;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n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6n.</w:t>
            </w:r>
            <w:r>
              <w:tab/>
            </w:r>
            <w:r>
              <w:rPr>
                <w:b/>
                <w:i/>
              </w:rPr>
              <w:t>z zadowoleniem przyjmuje pełną ratyfikację układu o stowarzyszeniu UE–Ameryka Środkowa oraz wejście w życie jego trzech filarów dialogu politycznego, współpracy i handlu w maju 2024 r.;</w:t>
            </w:r>
            <w:r>
              <w:t xml:space="preserve"> </w:t>
            </w:r>
            <w:r>
              <w:rPr>
                <w:b/>
                <w:i/>
              </w:rPr>
              <w:t>wzywa UE i państwa Ameryki Środkowej do zapewnienia aktywnej polityki i odpowiedniego finansowania, aby zoptymalizować jego pozytywny wpływ na realizację celów zrównoważonego rozwoju w obydwu regionach;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o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6o.</w:t>
            </w:r>
            <w:r>
              <w:tab/>
            </w:r>
            <w:r>
              <w:rPr>
                <w:b/>
                <w:i/>
              </w:rPr>
              <w:t>odnotowuje rolę Gwatemali jako kluczowego ośrodka migracji oraz jej wysiłki na rzecz wspierania legalnej i bezpiecznej migracji;</w:t>
            </w:r>
            <w:r>
              <w:t xml:space="preserve"> </w:t>
            </w:r>
            <w:r>
              <w:rPr>
                <w:b/>
                <w:i/>
              </w:rPr>
              <w:t>zauważa, że w 2023 r. do tego kraju przybyło ponad milion migrantów oraz wraz z poprzednią administracją USA uruchomiono i rozszerzono „biura bezpiecznej mobilności”, aby wesprzeć legalną migrację;</w:t>
            </w:r>
            <w:r>
              <w:t xml:space="preserve"> </w:t>
            </w:r>
            <w:r>
              <w:rPr>
                <w:b/>
                <w:i/>
              </w:rPr>
              <w:t>podkreśla, że kraj ten tymczasowo przyjął 135 nikaraguańskich więźniów politycznych w ramach umowy, w której pośredniczą Stany Zjednoczone;</w:t>
            </w:r>
            <w:r>
              <w:t xml:space="preserve"> </w:t>
            </w:r>
            <w:r>
              <w:rPr>
                <w:b/>
                <w:i/>
              </w:rPr>
              <w:t>odnotowuje wysiłki rządu na rzecz opracowania i wdrożenia reform demokratycznych w tym kraju;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p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6p.</w:t>
            </w:r>
            <w:r>
              <w:tab/>
            </w:r>
            <w:r>
              <w:rPr>
                <w:b/>
                <w:i/>
              </w:rPr>
              <w:t>wyraża głębokie zaniepokojenie całkowitym upadkiem struktur zarządzania Haiti, instytucji, systemu politycznego i społeczno-gospodarczego;</w:t>
            </w:r>
            <w:r>
              <w:t xml:space="preserve"> </w:t>
            </w:r>
            <w:r>
              <w:rPr>
                <w:b/>
                <w:i/>
              </w:rPr>
              <w:t>apeluje o skoordynowaną strategię partnerów z Ameryki Łacińskiej i Karaibów, państw członkowskich UE i Stanów Zjednoczonych, aby zaradzić tej skrajnej sytuacji, wspierać ludność i dotknięte tą sytuacją kraje w regionie, zwłaszcza sąsiadującą z nim Republikę Dominikańską;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Partnerzy strategiczni i struktura umów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q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6q.</w:t>
            </w:r>
            <w:r>
              <w:tab/>
            </w:r>
            <w:r>
              <w:rPr>
                <w:b/>
                <w:i/>
              </w:rPr>
              <w:t>przypomina o szczególnej roli, jaką Meksyk i Brazylia odgrywają w stosunkach międzyregionalnych, mając status partnerów strategicznych UE;</w:t>
            </w:r>
            <w:r>
              <w:t xml:space="preserve"> </w:t>
            </w:r>
            <w:r>
              <w:rPr>
                <w:b/>
                <w:i/>
              </w:rPr>
              <w:t>zdecydowanie zachęca obie strony do lepszego wykorzystania całego potencjału tych partnerstw strategicznych;</w:t>
            </w:r>
            <w:r>
              <w:t xml:space="preserve"> </w:t>
            </w:r>
            <w:r>
              <w:rPr>
                <w:b/>
                <w:i/>
              </w:rPr>
              <w:t>podkreśla potrzebę wypełnienia zobowiązania polegającego na organizowaniu co dwa lata dwustronnych szczytów z obydwoma krajami;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r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6r.</w:t>
            </w:r>
            <w:r>
              <w:tab/>
            </w:r>
            <w:r>
              <w:rPr>
                <w:b/>
                <w:i/>
              </w:rPr>
              <w:t>zwraca uwagę, że z obydwoma krajami podzielamy globalne interesy w takich dziedzinach jak transformacja energetyczna, walka ze zmianą klimatu, reforma międzynarodowego systemu finansowego oraz obrona demokracji przed ingerencją z zewnątrz;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s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6s.</w:t>
            </w:r>
            <w:r>
              <w:tab/>
            </w:r>
            <w:r>
              <w:rPr>
                <w:b/>
                <w:i/>
              </w:rPr>
              <w:t>podkreśla, że modernizacja umowy ogólnej z Meksykiem, która obecnie oczekuje na ratyfikację, wzmocni współpracę polityczną, otworzy nowe możliwości handlowe i wzmocni więzi w strategicznych sektorach, takich jak cyfryzacja, innowacje i bezpieczeństwo;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t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6t.</w:t>
            </w:r>
            <w:r>
              <w:tab/>
            </w:r>
            <w:r>
              <w:rPr>
                <w:b/>
                <w:i/>
              </w:rPr>
              <w:t>przypomina, że Brazylia odgrywa kluczową rolę w międzynarodowych debatach na temat zarządzania klimatem i bezpieczeństwa żywnościowego, oraz zwraca uwagę, że jej niedawne przewodnictwo w grupie G-20 uwypukliło jej przywództwo, zaangażowanie na rzecz multilateralizmu oraz gotowość do budowania mostów w coraz bardziej spolaryzowanym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u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6u.</w:t>
            </w:r>
            <w:r>
              <w:tab/>
            </w:r>
            <w:r>
              <w:rPr>
                <w:b/>
                <w:i/>
              </w:rPr>
              <w:t>wzywa do podpisania i ratyfikacji umowy między UE a Mercosurem, która byłaby prawdziwym przełomem w stosunkach między obydwoma regionami, ponieważ byłaby to największa umowa handlowa kiedykolwiek podpisana przez UE pod względem liczby ludności, obejmująca ponad 700 mln obywateli;</w:t>
            </w:r>
            <w:r>
              <w:t xml:space="preserve"> </w:t>
            </w:r>
            <w:r>
              <w:rPr>
                <w:b/>
                <w:i/>
              </w:rPr>
              <w:t>zauważa, że skutki gospodarcze tej umowy byłyby ogromne, ale jej wartość geopolityczna byłaby jeszcze większa, ponieważ pokazałaby, że możliwe jest zbudowanie otwartego i sprawiedliwego ładu światowego, nawet w czasach niepewności;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v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6v.</w:t>
            </w:r>
            <w:r>
              <w:tab/>
            </w:r>
            <w:r>
              <w:rPr>
                <w:b/>
                <w:i/>
              </w:rPr>
              <w:t>zauważa, że modernizacja kompleksowej umowy z Meksykiem i wejście w życie nowej umowy z Chile przyczyniają się do wzmocnienia ram politycznych i instytucjonalnych naszych stosunków gospodarczych i stanowią doskonałe przykłady tego, w jaki sposób Europa może być stabilizującą, reformatorską i ambitną siłą na półkuli zachodniej;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w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w:t>
            </w:r>
            <w:r>
              <w:tab/>
            </w:r>
            <w:r>
              <w:rPr>
                <w:b/>
                <w:i/>
              </w:rPr>
              <w:t>przypomina, że w przeciwieństwie do innych światowych mocarstw UE nie dąży do nawiązania stosunków wydobywczych lub niezrównoważonych, lecz raczej do partnerstw opartych na wzajemności, zrównoważonym rozwoju i tworzeniu wartości dodanej;</w:t>
            </w:r>
            <w:r>
              <w:t xml:space="preserve"> </w:t>
            </w:r>
            <w:r>
              <w:rPr>
                <w:b/>
                <w:i/>
              </w:rPr>
              <w:t>podkreśla, że właśnie ten model współpracy, w którym priorytetowo traktuje się poszanowanie suwerenności, przejrzystości i praworządności, sprawia, że UE jest preferowanym partnerem dla regionu;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1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Multilateralizm i stosunki z globalnym Południem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x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6x.</w:t>
            </w:r>
            <w:r>
              <w:tab/>
            </w:r>
            <w:r>
              <w:rPr>
                <w:b/>
                <w:i/>
              </w:rPr>
              <w:t>pochwala znaczący wkład krajów Ameryki Łacińskiej w organizacje wielostronne oraz ich aktywną rolę w stawianiu czoła globalnym wyzwaniom, m.in. zmianie klimatu, pokojowi i bezpieczeństwu oraz zrównoważonemu rozwojowi;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y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6y.</w:t>
            </w:r>
            <w:r>
              <w:tab/>
            </w:r>
            <w:r>
              <w:rPr>
                <w:b/>
                <w:i/>
              </w:rPr>
              <w:t>podkreśla zobowiązanie obydwu regionów do obrony Karty Narodów Zjednoczonych, praw człowieka, demokracji przedstawicielskiej i silnego wielostronnego zarządzania nie jako działania retorycznego i bez podwójnych standardów;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z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6z.</w:t>
            </w:r>
            <w:r>
              <w:tab/>
            </w:r>
            <w:r>
              <w:rPr>
                <w:b/>
                <w:i/>
              </w:rPr>
              <w:t>zdecydowanie wzywa obydwa regiony do dalszej obrony multilateralizmu, w szczególności przez wzmocnienie systemu Narodów Zjednoczonych w obliczu poważnych ataków, na jakie jest narażony;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6aa.</w:t>
            </w:r>
            <w:r>
              <w:tab/>
            </w:r>
            <w:r>
              <w:rPr>
                <w:b/>
                <w:i/>
              </w:rPr>
              <w:t>wzywa obydwa regiony do wspólnego przewodnictwa w reformie światowych instytucji zarządzających, która wzmocni bardziej inkluzywny i reprezentatywny multilateralizm,</w:t>
            </w:r>
            <w:r>
              <w:t xml:space="preserve"> </w:t>
            </w:r>
            <w:r>
              <w:rPr>
                <w:b/>
                <w:i/>
              </w:rPr>
              <w:t>ze szczególnym uwzględnieniem perspektyw i potrzeb globalnego Południa;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6ab.</w:t>
            </w:r>
            <w:r>
              <w:tab/>
            </w:r>
            <w:r>
              <w:rPr>
                <w:b/>
                <w:i/>
              </w:rPr>
              <w:t>przypomina, że sojusz europejsko-latynoamerykański stanowi pomost między Zachodem a globalnym Południem, nie tylko po to, by zapobiec niebezpiecznemu dryfowi w kierunku zamkniętych i zideologizowanych bloków, ale także po to, by otworzyć przestrzeń dla dialogu międzynarodowego, który zmniejszy napięcia i będzie sprzyjać wspólnym rozwiązaniom;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z zadowoleniem przyjmuje silne partnerstwo gospodarcze i handlowe między UE a Ameryką Łacińską i Karaibami, które opiera się na wspólnych interesach, takich jak promowanie zrównoważonego wzrostu, poprawa odporności gospodarczej i ograniczanie nadmiernej zależności dzięki zróżnicowanym stosunkom handlowym;</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z zadowoleniem przyjmuje silne partnerstwo gospodarcze i handlowe między UE a Ameryką Łacińską i Karaibami, które opiera się na wspólnych interesach, takich jak promowanie zrównoważonego wzrostu, poprawa odporności gospodarczej i ograniczanie nadmiernej zależności dzięki zróżnicowanym stosunkom handlowym;</w:t>
            </w:r>
          </w:p>
        </w:tc>
        <w:tc>
          <w:tcPr>
            <w:tcW w:w="4876" w:type="dxa"/>
            <w:tcBorders>
              <w:top w:val="nil"/>
              <w:left w:val="nil"/>
              <w:bottom w:val="nil"/>
              <w:right w:val="nil"/>
            </w:tcBorders>
          </w:tcPr>
          <w:p>
            <w:pPr>
              <w:pStyle w:val="Normal6a"/>
            </w:pPr>
            <w:r>
              <w:t>7.</w:t>
            </w:r>
            <w:r>
              <w:tab/>
            </w:r>
            <w:r>
              <w:t xml:space="preserve">z zadowoleniem przyjmuje silne partnerstwo gospodarcze i handlowe między UE a Ameryką Łacińską i Karaibami, które opiera się na wspólnych interesach, takich jak promowanie zrównoważonego wzrostu </w:t>
            </w:r>
            <w:r>
              <w:rPr>
                <w:b/>
                <w:i/>
              </w:rPr>
              <w:t>i rozwoju społecznego</w:t>
            </w:r>
            <w:r>
              <w:t>, poprawa odporności gospodarczej i ograniczanie nadmiernej zależności dzięki zróżnicowanym stosunkom handlowym;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z zadowoleniem przyjmuje</w:t>
            </w:r>
            <w:r>
              <w:t xml:space="preserve"> silne partnerstwo gospodarcze i handlowe między UE a Ameryką Łacińską i Karaibami, które opiera się na wspólnych interesach, takich jak promowanie zrównoważonego wzrostu, poprawa odporności gospodarczej i ograniczanie nadmiernej zależności dzięki zróżnicowanym stosunkom handlowym;</w:t>
            </w:r>
          </w:p>
        </w:tc>
        <w:tc>
          <w:tcPr>
            <w:tcW w:w="4876" w:type="dxa"/>
            <w:tcBorders>
              <w:top w:val="nil"/>
              <w:left w:val="nil"/>
              <w:bottom w:val="nil"/>
              <w:right w:val="nil"/>
            </w:tcBorders>
          </w:tcPr>
          <w:p>
            <w:pPr>
              <w:pStyle w:val="Normal6a"/>
            </w:pPr>
            <w:r>
              <w:t>7.</w:t>
            </w:r>
            <w:r>
              <w:tab/>
            </w:r>
            <w:r>
              <w:rPr>
                <w:b/>
                <w:i/>
              </w:rPr>
              <w:t>uznaje</w:t>
            </w:r>
            <w:r>
              <w:t xml:space="preserve"> silne partnerstwo gospodarcze i handlowe między UE a Ameryką Łacińską i Karaibami, które opiera się na wspólnych interesach, takich jak promowanie zrównoważonego wzrostu, poprawa odporności gospodarczej i ograniczanie nadmiernej zależności dzięki zróżnicowanym stosunkom handlowym;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podkreśla, jak ważna jest reorientacja ram, w których UE rozwija stosunki handlowe z krajami Ameryki Łacińskiej i Karaibów,</w:t>
            </w:r>
            <w:r>
              <w:t xml:space="preserve"> </w:t>
            </w:r>
            <w:r>
              <w:rPr>
                <w:b/>
                <w:i/>
              </w:rPr>
              <w:t>na bardziej sprawiedliwe w odniesieniu do środowiska i narodów po obu stronach Atlantyku</w:t>
            </w:r>
            <w:r>
              <w:t xml:space="preserve"> </w:t>
            </w:r>
            <w:r>
              <w:rPr>
                <w:b/>
                <w:i/>
              </w:rPr>
              <w:t>oraz w oparciu o potrzebę dekarbonizacji naszych gospodarek i przeciwdziałania globalnemu kryzysowi ekologicznemu;</w:t>
            </w:r>
            <w:r>
              <w:t xml:space="preserve"> </w:t>
            </w:r>
            <w:r>
              <w:rPr>
                <w:b/>
                <w:i/>
              </w:rPr>
              <w:t>eliminowanie rosnących nierówności; </w:t>
            </w:r>
            <w:r>
              <w:t xml:space="preserve"> </w:t>
            </w:r>
            <w:r>
              <w:rPr>
                <w:b/>
                <w:i/>
              </w:rPr>
              <w:t>promowanie pokoju i wzmacnianie procesów i instytucji demokratycznych w obydwu regionach;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podkreśla znaczenie współpracy gospodarczej promującej równość płci i wzmocnienie pozycji gospodarczej kobiet;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podkreśla, że UE jest największym inwestorem w regionie Ameryki Łacińskiej i Karaibów oraz trzecim co do wielkości partnerem handlowym;</w:t>
            </w:r>
          </w:p>
        </w:tc>
        <w:tc>
          <w:tcPr>
            <w:tcW w:w="4876" w:type="dxa"/>
            <w:tcBorders>
              <w:top w:val="nil"/>
              <w:left w:val="nil"/>
              <w:bottom w:val="nil"/>
              <w:right w:val="nil"/>
            </w:tcBorders>
          </w:tcPr>
          <w:p>
            <w:pPr>
              <w:pStyle w:val="Normal6a"/>
            </w:pPr>
            <w:r>
              <w:t>8.</w:t>
            </w:r>
            <w:r>
              <w:tab/>
            </w:r>
            <w:r>
              <w:t xml:space="preserve">podkreśla, że UE jest największym inwestorem w regionie Ameryki Łacińskiej i Karaibów oraz trzecim co do wielkości partnerem handlowym; </w:t>
            </w:r>
            <w:r>
              <w:rPr>
                <w:b/>
                <w:i/>
              </w:rPr>
              <w:t>zauważa, że Ameryka Łacińska jest piątym co do wielkości partnerem handlowym UE;</w:t>
            </w:r>
            <w:r>
              <w:t xml:space="preserve"> </w:t>
            </w:r>
            <w:r>
              <w:rPr>
                <w:b/>
                <w:i/>
              </w:rPr>
              <w:t>podkreśla, że ta ścisła współpraca gospodarcza nie powinna służyć wyłącznie interesom dużych podmiotów finansowych, ale powinna zapewniać korzyści wszystkim, zwłaszcza MŚP, pracownikom, osobom znajdującym się w trudnej sytuacji oraz ludności z obszarów wiejskich i oddalonych;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z niepokojem zauważa, że od 2005 roku Chiny udzieliły rządom państw Ameryki Łacińskiej i Karaibów pożyczek o łącznej wartości przekraczającej 120 miliardów dolarów, często w zamian za dostawy ropy naftowej oraz na finansowanie projektów energetycznych i infrastrukturalnych, co stanowi element tzw. „dyplomacji zadłużeniowej”, mającej na celu zwiększenie wpływów geopolitycznych poprzez uzależnianie państw od chińskiego kapitału, jednocześnie obniżając standardy środowiskowe i pracownicze przy kredytowanych inwestycjach;</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podkreśla ambicję UE, by przewodzić globalnej transformacji ekologicznej, oraz uznanie przez nią Ameryki Łacińskiej za kluczowego partnera w tych wysiłkach;</w:t>
            </w:r>
            <w:r>
              <w:t xml:space="preserve"> </w:t>
            </w:r>
            <w:r>
              <w:rPr>
                <w:b/>
                <w:i/>
              </w:rPr>
              <w:t>wzywa UE i jej państwa członkowskie do dopilnowania, aby wszystkie europejskie umowy inwestycyjne i handlowe w regionie podlegały przejrzystym ocenom skutków i solidnej należytej staranności, przy pełnym poszanowaniu praw człowieka i praw pracowniczych, norm środowiskowych oraz obowiązujących przepisów i umów międzynarodowych;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dostrzega gęstą sieć umów między obydwoma regionami i podkreśla, że fundamentalne znaczenie geopolityczne ma wcielenie w życie nowych i ambitniejszych umów i partnerstw;</w:t>
            </w:r>
          </w:p>
        </w:tc>
        <w:tc>
          <w:tcPr>
            <w:tcW w:w="4876" w:type="dxa"/>
            <w:tcBorders>
              <w:top w:val="nil"/>
              <w:left w:val="nil"/>
              <w:bottom w:val="nil"/>
              <w:right w:val="nil"/>
            </w:tcBorders>
          </w:tcPr>
          <w:p>
            <w:pPr>
              <w:pStyle w:val="Normal6a"/>
            </w:pPr>
            <w:r>
              <w:t>9.</w:t>
            </w:r>
            <w:r>
              <w:tab/>
            </w:r>
            <w:r>
              <w:t>dostrzega gęstą sieć umów między obydwoma regionami i podkreśla, że fundamentalne znaczenie geopolityczne ma wcielenie w życie nowych i ambitniejszych umów i partnerstw</w:t>
            </w:r>
            <w:r>
              <w:rPr>
                <w:b/>
                <w:i/>
              </w:rPr>
              <w:t>, które muszą przynosić korzyści obu stronom</w:t>
            </w:r>
            <w:r>
              <w:t xml:space="preserve">; </w:t>
            </w:r>
            <w:r>
              <w:rPr>
                <w:b/>
                <w:i/>
              </w:rPr>
              <w:t>jednocześnie wzywa do pilnej rewizji istniejących kontrowersyjnych umów takich jak PDCA z Kubą;</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dostrzega gęstą sieć umów między obydwoma regionami i podkreśla, że fundamentalne znaczenie geopolityczne ma wcielenie w życie nowych i ambitniejszych umów i partnerstw;</w:t>
            </w:r>
          </w:p>
        </w:tc>
        <w:tc>
          <w:tcPr>
            <w:tcW w:w="4876" w:type="dxa"/>
            <w:tcBorders>
              <w:top w:val="nil"/>
              <w:left w:val="nil"/>
              <w:bottom w:val="nil"/>
              <w:right w:val="nil"/>
            </w:tcBorders>
          </w:tcPr>
          <w:p>
            <w:pPr>
              <w:pStyle w:val="Normal6a"/>
            </w:pPr>
            <w:r>
              <w:t>9.</w:t>
            </w:r>
            <w:r>
              <w:tab/>
            </w:r>
            <w:r>
              <w:t xml:space="preserve">dostrzega gęstą sieć umów między obydwoma regionami i podkreśla, że fundamentalne znaczenie geopolityczne ma wcielenie w życie nowych i ambitniejszych umów i partnerstw; </w:t>
            </w:r>
            <w:r>
              <w:rPr>
                <w:b/>
                <w:i/>
              </w:rPr>
              <w:t>podkreśla również konieczność zawieszenia umowy o współpracy z komunistycznym reżimem na Kubie z powodu powszechnych represji wobec ludności kubańskiej;</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dostrzega gęstą sieć umów między obydwoma regionami i podkreśla, że fundamentalne znaczenie geopolityczne ma wcielenie w życie </w:t>
            </w:r>
            <w:r>
              <w:rPr>
                <w:b/>
                <w:i/>
              </w:rPr>
              <w:t>nowych</w:t>
            </w:r>
            <w:r>
              <w:t xml:space="preserve"> i ambitniejszych umów i partnerstw;</w:t>
            </w:r>
          </w:p>
        </w:tc>
        <w:tc>
          <w:tcPr>
            <w:tcW w:w="4876" w:type="dxa"/>
            <w:tcBorders>
              <w:top w:val="nil"/>
              <w:left w:val="nil"/>
              <w:bottom w:val="nil"/>
              <w:right w:val="nil"/>
            </w:tcBorders>
          </w:tcPr>
          <w:p>
            <w:pPr>
              <w:pStyle w:val="Normal6a"/>
            </w:pPr>
            <w:r>
              <w:t>9.</w:t>
            </w:r>
            <w:r>
              <w:tab/>
            </w:r>
            <w:r>
              <w:t xml:space="preserve">dostrzega gęstą sieć umów między obydwoma regionami i podkreśla, że </w:t>
            </w:r>
            <w:r>
              <w:rPr>
                <w:b/>
                <w:i/>
              </w:rPr>
              <w:t>w odniesieniu do zwalczania światowego kryzysu ekologicznego i łamania praw człowieka w obydwu regionach</w:t>
            </w:r>
            <w:r>
              <w:t xml:space="preserve"> fundamentalne znaczenie geopolityczne ma wcielenie w życie </w:t>
            </w:r>
            <w:r>
              <w:rPr>
                <w:b/>
                <w:i/>
              </w:rPr>
              <w:t>sprawiedliwszych</w:t>
            </w:r>
            <w:r>
              <w:t xml:space="preserve"> i ambitniejszych umów i partnerstw;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dostrzega gęstą sieć umów między obydwoma regionami i podkreśla, że fundamentalne znaczenie geopolityczne ma </w:t>
            </w:r>
            <w:r>
              <w:rPr>
                <w:b/>
                <w:i/>
              </w:rPr>
              <w:t>wcielenie w życie</w:t>
            </w:r>
            <w:r>
              <w:t xml:space="preserve"> nowych i ambitniejszych </w:t>
            </w:r>
            <w:r>
              <w:rPr>
                <w:b/>
                <w:i/>
              </w:rPr>
              <w:t>umów i</w:t>
            </w:r>
            <w:r>
              <w:t xml:space="preserve"> partnerstw;</w:t>
            </w:r>
          </w:p>
        </w:tc>
        <w:tc>
          <w:tcPr>
            <w:tcW w:w="4876" w:type="dxa"/>
            <w:tcBorders>
              <w:top w:val="nil"/>
              <w:left w:val="nil"/>
              <w:bottom w:val="nil"/>
              <w:right w:val="nil"/>
            </w:tcBorders>
          </w:tcPr>
          <w:p>
            <w:pPr>
              <w:pStyle w:val="Normal6a"/>
            </w:pPr>
            <w:r>
              <w:t>9.</w:t>
            </w:r>
            <w:r>
              <w:tab/>
            </w:r>
            <w:r>
              <w:t>dostrzega gęstą sieć umów między obydwoma regionami i podkreśla, że fundamentalne znaczenie geopolityczne ma </w:t>
            </w:r>
            <w:r>
              <w:rPr>
                <w:b/>
                <w:i/>
              </w:rPr>
              <w:t>rozwijanie</w:t>
            </w:r>
            <w:r>
              <w:t xml:space="preserve"> nowych i ambitniejszych partnerstw</w:t>
            </w:r>
            <w:r>
              <w:rPr>
                <w:b/>
                <w:i/>
              </w:rPr>
              <w:t>, które sprzyjają włączeniu społecznemu, przynoszą obopólne korzyści, opierają się na wspólnych wartościach i są mocno zakorzenione w poszanowaniu praw człowieka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dostrzega gęstą sieć umów między obydwoma regionami i podkreśla</w:t>
            </w:r>
            <w:r>
              <w:rPr>
                <w:b/>
                <w:i/>
              </w:rPr>
              <w:t>, że fundamentalne</w:t>
            </w:r>
            <w:r>
              <w:t xml:space="preserve"> znaczenie </w:t>
            </w:r>
            <w:r>
              <w:rPr>
                <w:b/>
                <w:i/>
              </w:rPr>
              <w:t>geopolityczne ma wcielenie w życie nowych i ambitniejszych umów i partnerstw</w:t>
            </w:r>
            <w:r>
              <w:t>;</w:t>
            </w:r>
          </w:p>
        </w:tc>
        <w:tc>
          <w:tcPr>
            <w:tcW w:w="4876" w:type="dxa"/>
            <w:tcBorders>
              <w:top w:val="nil"/>
              <w:left w:val="nil"/>
              <w:bottom w:val="nil"/>
              <w:right w:val="nil"/>
            </w:tcBorders>
          </w:tcPr>
          <w:p>
            <w:pPr>
              <w:pStyle w:val="Normal6a"/>
            </w:pPr>
            <w:r>
              <w:t>9.</w:t>
            </w:r>
            <w:r>
              <w:tab/>
            </w:r>
            <w:r>
              <w:t xml:space="preserve">dostrzega gęstą sieć umów między obydwoma regionami i podkreśla znaczenie </w:t>
            </w:r>
            <w:r>
              <w:rPr>
                <w:b/>
                <w:i/>
              </w:rPr>
              <w:t>skutecznej ochrony krajowej produkcji, przemysłu i gospodarki przed negatywnymi efektami zewnętrznymi globalizacji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dostrzega gęstą sieć umów między obydwoma regionami i </w:t>
            </w:r>
            <w:r>
              <w:rPr>
                <w:b/>
                <w:i/>
              </w:rPr>
              <w:t>podkreśla, że fundamentalne znaczenie geopolityczne ma wcielenie w życie</w:t>
            </w:r>
            <w:r>
              <w:t xml:space="preserve"> nowych i ambitniejszych umów i partnerstw;</w:t>
            </w:r>
          </w:p>
        </w:tc>
        <w:tc>
          <w:tcPr>
            <w:tcW w:w="4876" w:type="dxa"/>
            <w:tcBorders>
              <w:top w:val="nil"/>
              <w:left w:val="nil"/>
              <w:bottom w:val="nil"/>
              <w:right w:val="nil"/>
            </w:tcBorders>
          </w:tcPr>
          <w:p>
            <w:pPr>
              <w:pStyle w:val="Normal6a"/>
            </w:pPr>
            <w:r>
              <w:t>9.</w:t>
            </w:r>
            <w:r>
              <w:tab/>
            </w:r>
            <w:r>
              <w:t xml:space="preserve">dostrzega gęstą sieć umów między obydwoma regionami i </w:t>
            </w:r>
            <w:r>
              <w:rPr>
                <w:b/>
                <w:i/>
              </w:rPr>
              <w:t>apeluje, aby nie wprowadzać</w:t>
            </w:r>
            <w:r>
              <w:t xml:space="preserve"> nowych i ambitniejszych umów i partnerstw</w:t>
            </w:r>
            <w:r>
              <w:rPr>
                <w:b/>
                <w:i/>
              </w:rPr>
              <w:t>, które mogłyby nakładać dodatkowe obciążenia na państwa członkowskie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z zadowoleniem przyjmuje podpisanie zaawansowanej umowy ramowej między UE a Chile oraz wzywa do szybkiej i pełnej ratyfikacji tej umowy;</w:t>
            </w:r>
            <w:r>
              <w:t xml:space="preserve"> </w:t>
            </w:r>
            <w:r>
              <w:rPr>
                <w:b/>
                <w:i/>
              </w:rPr>
              <w:t>z zadowoleniem przyjmuje zakończenie negocjacji w sprawie umowy o partnerstwie między UE a Mercosurem i umowy ogólnej między UE a Meksykiem oraz wzywa do szybkiego podpisania i ratyfikacji tych umów;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 zadowoleniem przyjmuje podpisanie zaawansowanej umowy ramowej między UE a Chile oraz wzywa do szybkiej i pełnej ratyfikacji tej umowy; z zadowoleniem przyjmuje zakończenie negocjacji w sprawie umowy o partnerstwie między UE a Mercosurem i umowy ogólnej między UE a Meksykiem oraz wzywa do szybkiego podpisania i ratyfikacji tych umów;</w:t>
            </w:r>
          </w:p>
        </w:tc>
        <w:tc>
          <w:tcPr>
            <w:tcW w:w="4876" w:type="dxa"/>
            <w:tcBorders>
              <w:top w:val="nil"/>
              <w:left w:val="nil"/>
              <w:bottom w:val="nil"/>
              <w:right w:val="nil"/>
            </w:tcBorders>
          </w:tcPr>
          <w:p>
            <w:pPr>
              <w:pStyle w:val="Normal6a"/>
            </w:pPr>
            <w:r>
              <w:t>10.</w:t>
            </w:r>
            <w:r>
              <w:tab/>
            </w:r>
            <w:r>
              <w:t xml:space="preserve">z zadowoleniem przyjmuje podpisanie zaawansowanej umowy ramowej między UE a Chile oraz wzywa do szybkiej i pełnej ratyfikacji tej umowy; z zadowoleniem przyjmuje zakończenie negocjacji w sprawie umowy o partnerstwie między UE a Mercosurem i umowy ogólnej między UE a Meksykiem oraz wzywa do szybkiego podpisania i ratyfikacji tych umów; </w:t>
            </w:r>
            <w:r>
              <w:rPr>
                <w:b/>
                <w:i/>
              </w:rPr>
              <w:t>podkreśla, że umowa o partnerstwie między UE a Mercosurem byłaby częścią strategii UE dotyczącej zawierania nowych umów z partnerami o podobnych poglądach i przyczyniłaby się do zrównoważenia wpływu konkurentów UE w regionie;</w:t>
            </w:r>
            <w:r>
              <w:t xml:space="preserve"> </w:t>
            </w:r>
            <w:r>
              <w:rPr>
                <w:b/>
                <w:i/>
              </w:rPr>
              <w:t>podkreśla, że umowa o partnerstwie między UE a Mercosurem byłaby również korzystna w świetle strategii UE na rzecz dywersyfikacji dostaw surowców krytycznych;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 zadowoleniem przyjmuje podpisanie zaawansowanej umowy ramowej między UE a Chile oraz wzywa do szybkiej i pełnej ratyfikacji tej umowy; z zadowoleniem przyjmuje zakończenie negocjacji w sprawie umowy </w:t>
            </w:r>
            <w:r>
              <w:rPr>
                <w:b/>
                <w:i/>
              </w:rPr>
              <w:t>o partnerstwie między UE a Mercosurem i umowy</w:t>
            </w:r>
            <w:r>
              <w:t xml:space="preserve"> ogólnej między UE a Meksykiem oraz wzywa do szybkiego podpisania i ratyfikacji </w:t>
            </w:r>
            <w:r>
              <w:rPr>
                <w:b/>
                <w:i/>
              </w:rPr>
              <w:t>tych umów</w:t>
            </w:r>
            <w:r>
              <w:t>;</w:t>
            </w:r>
          </w:p>
        </w:tc>
        <w:tc>
          <w:tcPr>
            <w:tcW w:w="4876" w:type="dxa"/>
            <w:tcBorders>
              <w:top w:val="nil"/>
              <w:left w:val="nil"/>
              <w:bottom w:val="nil"/>
              <w:right w:val="nil"/>
            </w:tcBorders>
          </w:tcPr>
          <w:p>
            <w:pPr>
              <w:pStyle w:val="Normal6a"/>
            </w:pPr>
            <w:r>
              <w:t>10.</w:t>
            </w:r>
            <w:r>
              <w:tab/>
            </w:r>
            <w:r>
              <w:t xml:space="preserve">z zadowoleniem przyjmuje podpisanie zaawansowanej umowy ramowej między UE a Chile oraz wzywa do szybkiej i pełnej ratyfikacji tej umowy; z zadowoleniem przyjmuje zakończenie negocjacji w sprawie umowy ogólnej między UE a Meksykiem oraz wzywa do szybkiego podpisania i ratyfikacji </w:t>
            </w:r>
            <w:r>
              <w:rPr>
                <w:b/>
                <w:i/>
              </w:rPr>
              <w:t>tej umowy</w:t>
            </w:r>
            <w:r>
              <w:t xml:space="preserve">; </w:t>
            </w:r>
            <w:r>
              <w:rPr>
                <w:b/>
                <w:i/>
              </w:rPr>
              <w:t>odnotowuje zakończenie negocjacji w sprawie umowy o partnerstwie między UE a Mercosurem i wzywa Komisję do szerokich konsultacji skutków ewentualnego wejścia w życie Umowy, ze szczególnym uwzględnieniem sektora rolnego;</w:t>
            </w:r>
            <w:r>
              <w:t xml:space="preserve"> </w:t>
            </w:r>
            <w:r>
              <w:rPr>
                <w:b/>
                <w:i/>
              </w:rPr>
              <w:t>domaga się aby zatwierdzenie Umowy nastąpiło z zachowaniem wymogu jednomyślności Rady UE oraz jej ratyfikacji przez parlamenty narodowe;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 zadowoleniem przyjmuje podpisanie zaawansowanej umowy ramowej między UE a Chile oraz wzywa do szybkiej i pełnej ratyfikacji tej umowy; </w:t>
            </w:r>
            <w:r>
              <w:rPr>
                <w:b/>
                <w:i/>
              </w:rPr>
              <w:t>z zadowoleniem przyjmuje</w:t>
            </w:r>
            <w:r>
              <w:t xml:space="preserve"> zakończenie negocjacji w sprawie umowy o partnerstwie między UE a Mercosurem i umowy ogólnej między UE a Meksykiem oraz wzywa do szybkiego podpisania i ratyfikacji </w:t>
            </w:r>
            <w:r>
              <w:rPr>
                <w:b/>
                <w:i/>
              </w:rPr>
              <w:t>tych umów</w:t>
            </w:r>
            <w:r>
              <w:t>;</w:t>
            </w:r>
          </w:p>
        </w:tc>
        <w:tc>
          <w:tcPr>
            <w:tcW w:w="4876" w:type="dxa"/>
            <w:tcBorders>
              <w:top w:val="nil"/>
              <w:left w:val="nil"/>
              <w:bottom w:val="nil"/>
              <w:right w:val="nil"/>
            </w:tcBorders>
          </w:tcPr>
          <w:p>
            <w:pPr>
              <w:pStyle w:val="Normal6a"/>
            </w:pPr>
            <w:r>
              <w:t>10.</w:t>
            </w:r>
            <w:r>
              <w:tab/>
            </w:r>
            <w:r>
              <w:t xml:space="preserve">z zadowoleniem przyjmuje podpisanie zaawansowanej umowy ramowej między UE a Chile oraz wzywa do szybkiej i pełnej ratyfikacji tej umowy; </w:t>
            </w:r>
            <w:r>
              <w:rPr>
                <w:b/>
                <w:i/>
              </w:rPr>
              <w:t>odnotowuje</w:t>
            </w:r>
            <w:r>
              <w:t xml:space="preserve"> zakończenie negocjacji w sprawie umowy o partnerstwie między UE a Mercosurem i </w:t>
            </w:r>
            <w:r>
              <w:rPr>
                <w:b/>
                <w:i/>
              </w:rPr>
              <w:t>wzywa, aby przeprowadzić szeroko zakrojony przegląd w odniesieniu do części dotyczącej rolnictwa w celu ochrony europejskiego rolnictwa i europejskich rolników;</w:t>
            </w:r>
            <w:r>
              <w:t xml:space="preserve"> </w:t>
            </w:r>
            <w:r>
              <w:rPr>
                <w:b/>
                <w:i/>
              </w:rPr>
              <w:t>z zadowoleniem przyjmuje zakończenie negocjacji w sprawie</w:t>
            </w:r>
            <w:r>
              <w:t xml:space="preserve"> umowy ogólnej między UE a Meksykiem oraz wzywa do szybkiego podpisania i ratyfikacji </w:t>
            </w:r>
            <w:r>
              <w:rPr>
                <w:b/>
                <w:i/>
              </w:rPr>
              <w:t>tej umowy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 zadowoleniem przyjmuje podpisanie zaawansowanej umowy ramowej między UE a Chile oraz wzywa do szybkiej i pełnej ratyfikacji tej umowy; z zadowoleniem przyjmuje zakończenie negocjacji w sprawie umowy o partnerstwie między UE a Mercosurem i umowy ogólnej między UE a Meksykiem </w:t>
            </w:r>
            <w:r>
              <w:rPr>
                <w:b/>
                <w:i/>
              </w:rPr>
              <w:t>oraz wzywa do szybkiego podpisania i ratyfikacji tych umów</w:t>
            </w:r>
            <w:r>
              <w:t>;</w:t>
            </w:r>
          </w:p>
        </w:tc>
        <w:tc>
          <w:tcPr>
            <w:tcW w:w="4876" w:type="dxa"/>
            <w:tcBorders>
              <w:top w:val="nil"/>
              <w:left w:val="nil"/>
              <w:bottom w:val="nil"/>
              <w:right w:val="nil"/>
            </w:tcBorders>
          </w:tcPr>
          <w:p>
            <w:pPr>
              <w:pStyle w:val="Normal6a"/>
            </w:pPr>
            <w:r>
              <w:t>10.</w:t>
            </w:r>
            <w:r>
              <w:tab/>
            </w:r>
            <w:r>
              <w:t>z zadowoleniem przyjmuje podpisanie zaawansowanej umowy ramowej między UE a Chile oraz wzywa do szybkiej i pełnej ratyfikacji tej umowy; z zadowoleniem przyjmuje zakończenie negocjacji w sprawie umowy o partnerstwie między UE a Mercosurem i umowy ogólnej między UE a Meksykiem</w:t>
            </w:r>
            <w:r>
              <w:rPr>
                <w:b/>
                <w:i/>
              </w:rPr>
              <w:t>, którą Komisja zapowiedziała 17 stycznia 2025 r. i na którą Parlament musi jeszcze wyrazić zgodę;</w:t>
            </w:r>
            <w:r>
              <w:t xml:space="preserve"> </w:t>
            </w:r>
            <w:r>
              <w:rPr>
                <w:b/>
                <w:i/>
              </w:rPr>
              <w:t>podkreśla, że umowa wzmocniłaby strategiczne partnerstwo UE z Meksykiem, uznając kluczową rolę tego kraju w Ameryce Łacińskiej oraz jego ambicje dywersyfikacji handlu i partnerstw politycznych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 zadowoleniem przyjmuje podpisanie zaawansowanej umowy ramowej między UE a Chile oraz wzywa do szybkiej i pełnej ratyfikacji tej umowy; z zadowoleniem przyjmuje zakończenie negocjacji w sprawie umowy o partnerstwie między UE a Mercosurem i umowy ogólnej między UE a Meksykiem oraz wzywa do szybkiego podpisania i ratyfikacji tych umów;</w:t>
            </w:r>
          </w:p>
        </w:tc>
        <w:tc>
          <w:tcPr>
            <w:tcW w:w="4876" w:type="dxa"/>
            <w:tcBorders>
              <w:top w:val="nil"/>
              <w:left w:val="nil"/>
              <w:bottom w:val="nil"/>
              <w:right w:val="nil"/>
            </w:tcBorders>
          </w:tcPr>
          <w:p>
            <w:pPr>
              <w:pStyle w:val="Normal6a"/>
            </w:pPr>
            <w:r>
              <w:t>10.</w:t>
            </w:r>
            <w:r>
              <w:tab/>
            </w:r>
            <w:r>
              <w:t xml:space="preserve">z zadowoleniem przyjmuje podpisanie zaawansowanej umowy ramowej między UE a Chile oraz wzywa do szybkiej i pełnej ratyfikacji tej umowy; z zadowoleniem przyjmuje zakończenie negocjacji w sprawie umowy o partnerstwie między UE a Mercosurem i umowy ogólnej między UE a Meksykiem oraz wzywa do szybkiego podpisania i ratyfikacji tych umów; </w:t>
            </w:r>
            <w:r>
              <w:rPr>
                <w:b/>
                <w:i/>
              </w:rPr>
              <w:t>uznaje obecną dynamikę polityczną i zachęca wszystkie strony, aby wykorzystały tę okazję do znacznego zacieśnienia stosunków między UE a Mercosurem, między innymi przez pełne wdrożenie umowy o partnerstwie między UE a Mercosurem po jej podpisaniu i ratyfikacji;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z zadowoleniem przyjmuje podpisanie zaawansowanej umowy ramowej między UE a Chile oraz</w:t>
            </w:r>
            <w:r>
              <w:t xml:space="preserve"> wzywa </w:t>
            </w:r>
            <w:r>
              <w:rPr>
                <w:b/>
                <w:i/>
              </w:rPr>
              <w:t>do szybkiej i pełnej ratyfikacji tej umowy;</w:t>
            </w:r>
            <w:r>
              <w:t xml:space="preserve"> </w:t>
            </w:r>
            <w:r>
              <w:rPr>
                <w:b/>
                <w:i/>
              </w:rPr>
              <w:t>z zadowoleniem przyjmuje zakończenie negocjacji w sprawie</w:t>
            </w:r>
            <w:r>
              <w:t xml:space="preserve"> umowy o partnerstwie między UE a Mercosurem </w:t>
            </w:r>
            <w:r>
              <w:rPr>
                <w:b/>
                <w:i/>
              </w:rPr>
              <w:t>i umowy ogólnej między UE a Meksykiem oraz wzywa do szybkiego podpisania i ratyfikacji tych umów</w:t>
            </w:r>
            <w:r>
              <w:t>;</w:t>
            </w:r>
          </w:p>
        </w:tc>
        <w:tc>
          <w:tcPr>
            <w:tcW w:w="4876" w:type="dxa"/>
            <w:tcBorders>
              <w:top w:val="nil"/>
              <w:left w:val="nil"/>
              <w:bottom w:val="nil"/>
              <w:right w:val="nil"/>
            </w:tcBorders>
          </w:tcPr>
          <w:p>
            <w:pPr>
              <w:pStyle w:val="Normal6a"/>
            </w:pPr>
            <w:r>
              <w:t>10.</w:t>
            </w:r>
            <w:r>
              <w:tab/>
            </w:r>
            <w:r>
              <w:t>wzywa</w:t>
            </w:r>
            <w:r>
              <w:rPr>
                <w:b/>
                <w:i/>
              </w:rPr>
              <w:t>, aby nie ratyfikować</w:t>
            </w:r>
            <w:r>
              <w:t xml:space="preserve"> umowy o partnerstwie między UE a Mercosurem </w:t>
            </w:r>
            <w:r>
              <w:rPr>
                <w:b/>
                <w:i/>
              </w:rPr>
              <w:t>oraz natychmiast zawiesić negocjacje w sprawie jej rozdziału dotyczącego rolnictwa;</w:t>
            </w:r>
            <w:r>
              <w:t xml:space="preserve"> </w:t>
            </w:r>
            <w:r>
              <w:rPr>
                <w:b/>
                <w:i/>
              </w:rPr>
              <w:t>podkreśla, że nie można zawrzeć żadnego porozumienia, dopóki krajowe przepisy dotyczące rolnictwa w krajach Mercosuru pozostaną znacznie mniej rygorystyczne niż w UE, co zwiększa presję na europejskich rolników i naraża ich na nieuczciwą konkurencję</w:t>
            </w:r>
            <w:r>
              <w:t xml:space="preserve">; </w:t>
            </w:r>
            <w:r>
              <w:rPr>
                <w:b/>
                <w:i/>
              </w:rPr>
              <w:t>podkreśla, że w obecnym kontekście bezpieczeństwa szczególnie nieodpowiedzialne byłoby dalsze osłabianie suwerenności żywnościowej Europy;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 zadowoleniem przyjmuje podpisanie zaawansowanej umowy ramowej między UE a Chile oraz wzywa do szybkiej i pełnej ratyfikacji tej umowy; </w:t>
            </w:r>
            <w:r>
              <w:rPr>
                <w:b/>
                <w:i/>
              </w:rPr>
              <w:t>z zadowoleniem przyjmuje zakończenie negocjacji w sprawie umowy o partnerstwie między UE a Mercosurem i umowy ogólnej między UE a Meksykiem oraz wzywa do szybkiego podpisania i ratyfikacji tych umów;</w:t>
            </w:r>
          </w:p>
        </w:tc>
        <w:tc>
          <w:tcPr>
            <w:tcW w:w="4876" w:type="dxa"/>
            <w:tcBorders>
              <w:top w:val="nil"/>
              <w:left w:val="nil"/>
              <w:bottom w:val="nil"/>
              <w:right w:val="nil"/>
            </w:tcBorders>
          </w:tcPr>
          <w:p>
            <w:pPr>
              <w:pStyle w:val="Normal6a"/>
            </w:pPr>
            <w:r>
              <w:t>10.</w:t>
            </w:r>
            <w:r>
              <w:tab/>
            </w:r>
            <w:r>
              <w:t>z zadowoleniem przyjmuje podpisanie zaawansowanej umowy ramowej między UE a Chile oraz wzywa do szybkiej i pełnej ratyfikacji tej umowy;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z zadowoleniem przyjmuje podpisanie</w:t>
            </w:r>
            <w:r>
              <w:t xml:space="preserve"> zaawansowanej umowy ramowej między UE a Chile </w:t>
            </w:r>
            <w:r>
              <w:rPr>
                <w:b/>
                <w:i/>
              </w:rPr>
              <w:t>oraz wzywa do szybkiej i pełnej ratyfikacji tej umowy;</w:t>
            </w:r>
            <w:r>
              <w:t xml:space="preserve"> </w:t>
            </w:r>
            <w:r>
              <w:rPr>
                <w:b/>
                <w:i/>
              </w:rPr>
              <w:t>z zadowoleniem przyjmuje zakończenie negocjacji w sprawie</w:t>
            </w:r>
            <w:r>
              <w:t xml:space="preserve"> umowy o partnerstwie między UE a Mercosurem </w:t>
            </w:r>
            <w:r>
              <w:rPr>
                <w:b/>
                <w:i/>
              </w:rPr>
              <w:t>i</w:t>
            </w:r>
            <w:r>
              <w:t xml:space="preserve"> umowy ogólnej między UE a Meksykiem </w:t>
            </w:r>
            <w:r>
              <w:rPr>
                <w:b/>
                <w:i/>
              </w:rPr>
              <w:t>oraz wzywa do szybkiego podpisania i ratyfikacji tych umów</w:t>
            </w:r>
            <w:r>
              <w:t>;</w:t>
            </w:r>
          </w:p>
        </w:tc>
        <w:tc>
          <w:tcPr>
            <w:tcW w:w="4876" w:type="dxa"/>
            <w:tcBorders>
              <w:top w:val="nil"/>
              <w:left w:val="nil"/>
              <w:bottom w:val="nil"/>
              <w:right w:val="nil"/>
            </w:tcBorders>
          </w:tcPr>
          <w:p>
            <w:pPr>
              <w:pStyle w:val="Normal6a"/>
            </w:pPr>
            <w:r>
              <w:t>10.</w:t>
            </w:r>
            <w:r>
              <w:tab/>
            </w:r>
            <w:r>
              <w:rPr>
                <w:b/>
                <w:i/>
              </w:rPr>
              <w:t>wzywa do przeglądu</w:t>
            </w:r>
            <w:r>
              <w:t xml:space="preserve"> zaawansowanej umowy ramowej między UE a Chile</w:t>
            </w:r>
            <w:r>
              <w:rPr>
                <w:b/>
                <w:i/>
              </w:rPr>
              <w:t>,</w:t>
            </w:r>
            <w:r>
              <w:t xml:space="preserve"> umowy o partnerstwie między UE a Mercosurem </w:t>
            </w:r>
            <w:r>
              <w:rPr>
                <w:b/>
                <w:i/>
              </w:rPr>
              <w:t>oraz</w:t>
            </w:r>
            <w:r>
              <w:t xml:space="preserve"> umowy ogólnej między UE a Meksykiem</w:t>
            </w:r>
            <w:r>
              <w:rPr>
                <w:b/>
                <w:i/>
              </w:rPr>
              <w:t>, aby promować bardziej symetryczne partnerstwa handlowe z zaangażowanymi krajami Ameryki Łacińskiej i Karaibów,</w:t>
            </w:r>
            <w:r>
              <w:t xml:space="preserve"> </w:t>
            </w:r>
            <w:r>
              <w:rPr>
                <w:b/>
                <w:i/>
              </w:rPr>
              <w:t>co uniemożliwi przedsiębiorstwom pozywanie krajów za ochronę ich środowiska i praw obywateli</w:t>
            </w:r>
            <w:r>
              <w:t xml:space="preserve"> </w:t>
            </w:r>
            <w:r>
              <w:rPr>
                <w:b/>
                <w:i/>
              </w:rPr>
              <w:t>oraz zapewni gwarancje przestrzegania zobowiązań w zakresie praw człowieka i norm środowiskowych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z zadowoleniem przyjmuje</w:t>
            </w:r>
            <w:r>
              <w:t xml:space="preserve"> podpisanie zaawansowanej umowy ramowej między UE a Chile </w:t>
            </w:r>
            <w:r>
              <w:rPr>
                <w:b/>
                <w:i/>
              </w:rPr>
              <w:t>oraz wzywa do szybkiej i pełnej ratyfikacji tej umowy</w:t>
            </w:r>
            <w:r>
              <w:t xml:space="preserve">; </w:t>
            </w:r>
            <w:r>
              <w:rPr>
                <w:b/>
                <w:i/>
              </w:rPr>
              <w:t>z zadowoleniem</w:t>
            </w:r>
            <w:r>
              <w:t xml:space="preserve"> przyjmuje zakończenie negocjacji w sprawie umowy o partnerstwie między UE a Mercosurem </w:t>
            </w:r>
            <w:r>
              <w:rPr>
                <w:b/>
                <w:i/>
              </w:rPr>
              <w:t>i</w:t>
            </w:r>
            <w:r>
              <w:t xml:space="preserve"> umowy ogólnej między UE a Meksykiem </w:t>
            </w:r>
            <w:r>
              <w:rPr>
                <w:b/>
                <w:i/>
              </w:rPr>
              <w:t>oraz wzywa do szybkiego podpisania i ratyfikacji</w:t>
            </w:r>
            <w:r>
              <w:t xml:space="preserve"> tych umów;</w:t>
            </w:r>
          </w:p>
        </w:tc>
        <w:tc>
          <w:tcPr>
            <w:tcW w:w="4876" w:type="dxa"/>
            <w:tcBorders>
              <w:top w:val="nil"/>
              <w:left w:val="nil"/>
              <w:bottom w:val="nil"/>
              <w:right w:val="nil"/>
            </w:tcBorders>
          </w:tcPr>
          <w:p>
            <w:pPr>
              <w:pStyle w:val="Normal6a"/>
            </w:pPr>
            <w:r>
              <w:t>10.</w:t>
            </w:r>
            <w:r>
              <w:tab/>
            </w:r>
            <w:r>
              <w:rPr>
                <w:b/>
                <w:i/>
              </w:rPr>
              <w:t>odnotowuje</w:t>
            </w:r>
            <w:r>
              <w:t xml:space="preserve"> podpisanie zaawansowanej umowy ramowej między UE a Chile; przyjmuje </w:t>
            </w:r>
            <w:r>
              <w:rPr>
                <w:b/>
                <w:i/>
              </w:rPr>
              <w:t>do wiadomości</w:t>
            </w:r>
            <w:r>
              <w:t xml:space="preserve"> zakończenie negocjacji w sprawie umowy o partnerstwie między UE a Mercosurem </w:t>
            </w:r>
            <w:r>
              <w:rPr>
                <w:b/>
                <w:i/>
              </w:rPr>
              <w:t>oraz</w:t>
            </w:r>
            <w:r>
              <w:t xml:space="preserve"> umowy ogólnej między UE a Meksykiem</w:t>
            </w:r>
            <w:r>
              <w:rPr>
                <w:b/>
                <w:i/>
              </w:rPr>
              <w:t>;</w:t>
            </w:r>
            <w:r>
              <w:t xml:space="preserve"> </w:t>
            </w:r>
            <w:r>
              <w:rPr>
                <w:b/>
                <w:i/>
              </w:rPr>
              <w:t>podkreśla, że należy wzmocnić i szybko poprawić wymiar zrównoważonego rozwoju</w:t>
            </w:r>
            <w:r>
              <w:t xml:space="preserve"> tych umów;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 zadowoleniem przyjmuje podpisanie zaawansowanej umowy ramowej między UE a Chile oraz wzywa do szybkiej i pełnej ratyfikacji tej umowy; z zadowoleniem przyjmuje zakończenie negocjacji w sprawie umowy </w:t>
            </w:r>
            <w:r>
              <w:rPr>
                <w:b/>
                <w:i/>
              </w:rPr>
              <w:t>o partnerstwie między UE a Mercosurem i umowy</w:t>
            </w:r>
            <w:r>
              <w:t xml:space="preserve"> ogólnej między UE a Meksykiem oraz wzywa do szybkiego podpisania i ratyfikacji </w:t>
            </w:r>
            <w:r>
              <w:rPr>
                <w:b/>
                <w:i/>
              </w:rPr>
              <w:t>tych umów</w:t>
            </w:r>
            <w:r>
              <w:t>;</w:t>
            </w:r>
          </w:p>
        </w:tc>
        <w:tc>
          <w:tcPr>
            <w:tcW w:w="4876" w:type="dxa"/>
            <w:tcBorders>
              <w:top w:val="nil"/>
              <w:left w:val="nil"/>
              <w:bottom w:val="nil"/>
              <w:right w:val="nil"/>
            </w:tcBorders>
          </w:tcPr>
          <w:p>
            <w:pPr>
              <w:pStyle w:val="Normal6a"/>
            </w:pPr>
            <w:r>
              <w:t>10.</w:t>
            </w:r>
            <w:r>
              <w:tab/>
            </w:r>
            <w:r>
              <w:t xml:space="preserve">z zadowoleniem przyjmuje podpisanie zaawansowanej umowy ramowej między UE a Chile oraz wzywa do szybkiej i pełnej ratyfikacji tej umowy; z zadowoleniem przyjmuje zakończenie negocjacji w sprawie umowy ogólnej między UE a Meksykiem oraz wzywa do </w:t>
            </w:r>
            <w:r>
              <w:rPr>
                <w:b/>
                <w:i/>
              </w:rPr>
              <w:t>jej</w:t>
            </w:r>
            <w:r>
              <w:t xml:space="preserve"> szybkiego podpisania i ratyfikacji</w:t>
            </w:r>
            <w:r>
              <w:rPr>
                <w:b/>
                <w:i/>
              </w:rPr>
              <w:t>;</w:t>
            </w:r>
            <w:r>
              <w:t xml:space="preserve"> </w:t>
            </w:r>
            <w:r>
              <w:rPr>
                <w:b/>
                <w:i/>
              </w:rPr>
              <w:t>przyjmuje do wiadomości umowę o partnerstwie między UE a Mercosurem</w:t>
            </w:r>
            <w:r>
              <w:t xml:space="preserve">; </w:t>
            </w:r>
            <w:r>
              <w:rPr>
                <w:b/>
                <w:i/>
              </w:rPr>
              <w:t>przypomina, że z umową wiążą się poważne obawy z punktu widzenia europejskich rolników;</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 zadowoleniem przyjmuje podpisanie zaawansowanej umowy ramowej między UE a Chile oraz wzywa do szybkiej i pełnej ratyfikacji tej umowy; z zadowoleniem przyjmuje zakończenie negocjacji w sprawie umowy o partnerstwie między UE a Mercosurem i umowy ogólnej między UE a Meksykiem oraz wzywa do szybkiego podpisania i ratyfikacji tych umów;</w:t>
            </w:r>
          </w:p>
        </w:tc>
        <w:tc>
          <w:tcPr>
            <w:tcW w:w="4876" w:type="dxa"/>
            <w:tcBorders>
              <w:top w:val="nil"/>
              <w:left w:val="nil"/>
              <w:bottom w:val="nil"/>
              <w:right w:val="nil"/>
            </w:tcBorders>
          </w:tcPr>
          <w:p>
            <w:pPr>
              <w:pStyle w:val="Normal6a"/>
            </w:pPr>
            <w:r>
              <w:t>10.</w:t>
            </w:r>
            <w:r>
              <w:tab/>
            </w:r>
            <w:r>
              <w:t xml:space="preserve">z zadowoleniem przyjmuje podpisanie zaawansowanej umowy ramowej między UE a Chile oraz wzywa do szybkiej i pełnej ratyfikacji tej umowy; z zadowoleniem przyjmuje zakończenie negocjacji w sprawie umowy o partnerstwie między UE a Mercosurem i umowy ogólnej między UE a Meksykiem oraz wzywa do szybkiego podpisania i ratyfikacji tych umów </w:t>
            </w:r>
            <w:r>
              <w:rPr>
                <w:b/>
                <w:i/>
              </w:rPr>
              <w:t>z myślą o dalszej integracji gospodarczej, która doprowadzi do stworzenia obszaru wspólnego dobrobytu i większego bezpieczeństwa gospodarczego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 zadowoleniem przyjmuje podpisanie zaawansowanej umowy ramowej między UE a Chile oraz wzywa do szybkiej i pełnej ratyfikacji tej umowy; z zadowoleniem przyjmuje zakończenie negocjacji w sprawie umowy o partnerstwie między UE a Mercosurem i umowy ogólnej między UE a Meksykiem oraz wzywa do szybkiego podpisania i ratyfikacji tych umów;</w:t>
            </w:r>
          </w:p>
        </w:tc>
        <w:tc>
          <w:tcPr>
            <w:tcW w:w="4876" w:type="dxa"/>
            <w:tcBorders>
              <w:top w:val="nil"/>
              <w:left w:val="nil"/>
              <w:bottom w:val="nil"/>
              <w:right w:val="nil"/>
            </w:tcBorders>
          </w:tcPr>
          <w:p>
            <w:pPr>
              <w:pStyle w:val="Normal6a"/>
            </w:pPr>
            <w:r>
              <w:t>10.</w:t>
            </w:r>
            <w:r>
              <w:tab/>
            </w:r>
            <w:r>
              <w:t xml:space="preserve">z zadowoleniem przyjmuje podpisanie zaawansowanej umowy ramowej między UE a Chile oraz wzywa do szybkiej i pełnej ratyfikacji tej umowy; z zadowoleniem przyjmuje zakończenie negocjacji w sprawie umowy o partnerstwie między UE a Mercosurem i umowy ogólnej między UE a Meksykiem oraz wzywa do szybkiego podpisania i ratyfikacji tych umów </w:t>
            </w:r>
            <w:r>
              <w:rPr>
                <w:b/>
                <w:i/>
              </w:rPr>
              <w:t>z myślą o dalszej integracji gospodarczej, która doprowadzi do stworzenia obszaru wspólnego dobrobytu i większego bezpieczeństwa gospodarczego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z zadowoleniem przyjmuje podpisanie zaawansowanej umowy ramowej między UE a Chile oraz wzywa do szybkiej i pełnej ratyfikacji tej umowy;</w:t>
            </w:r>
            <w:r>
              <w:t xml:space="preserve"> </w:t>
            </w:r>
            <w:r>
              <w:rPr>
                <w:b/>
                <w:i/>
              </w:rPr>
              <w:t>z zadowoleniem przyjmuje zakończenie</w:t>
            </w:r>
            <w:r>
              <w:t xml:space="preserve"> negocjacji w sprawie umowy o partnerstwie między UE a Mercosurem </w:t>
            </w:r>
            <w:r>
              <w:rPr>
                <w:b/>
                <w:i/>
              </w:rPr>
              <w:t>i umowy ogólnej między UE a Meksykiem oraz wzywa do szybkiego podpisania i ratyfikacji tych umów</w:t>
            </w:r>
            <w:r>
              <w:t>;</w:t>
            </w:r>
          </w:p>
        </w:tc>
        <w:tc>
          <w:tcPr>
            <w:tcW w:w="4876" w:type="dxa"/>
            <w:tcBorders>
              <w:top w:val="nil"/>
              <w:left w:val="nil"/>
              <w:bottom w:val="nil"/>
              <w:right w:val="nil"/>
            </w:tcBorders>
          </w:tcPr>
          <w:p>
            <w:pPr>
              <w:pStyle w:val="Normal6a"/>
            </w:pPr>
            <w:r>
              <w:t>10.</w:t>
            </w:r>
            <w:r>
              <w:tab/>
            </w:r>
            <w:r>
              <w:rPr>
                <w:b/>
                <w:i/>
              </w:rPr>
              <w:t>ubolewa nad zakończeniem</w:t>
            </w:r>
            <w:r>
              <w:t xml:space="preserve"> negocjacji w sprawie umowy o partnerstwie między UE a Mercosurem</w:t>
            </w:r>
            <w:r>
              <w:rPr>
                <w:b/>
                <w:i/>
              </w:rPr>
              <w:t>, która nie chroni w wystarczającym stopniu interesów państw członkowskich UE i jej obywateli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 zadowoleniem przyjmuje podpisanie zaawansowanej umowy ramowej między UE a Chile oraz wzywa do szybkiej i pełnej ratyfikacji tej umowy; z zadowoleniem przyjmuje zakończenie negocjacji w sprawie umowy </w:t>
            </w:r>
            <w:r>
              <w:rPr>
                <w:b/>
                <w:i/>
              </w:rPr>
              <w:t>o partnerstwie między UE a Mercosurem i umowy</w:t>
            </w:r>
            <w:r>
              <w:t xml:space="preserve"> ogólnej między UE a Meksykiem oraz wzywa do szybkiego podpisania i ratyfikacji </w:t>
            </w:r>
            <w:r>
              <w:rPr>
                <w:b/>
                <w:i/>
              </w:rPr>
              <w:t>tych umów</w:t>
            </w:r>
            <w:r>
              <w:t>;</w:t>
            </w:r>
          </w:p>
        </w:tc>
        <w:tc>
          <w:tcPr>
            <w:tcW w:w="4876" w:type="dxa"/>
            <w:tcBorders>
              <w:top w:val="nil"/>
              <w:left w:val="nil"/>
              <w:bottom w:val="nil"/>
              <w:right w:val="nil"/>
            </w:tcBorders>
          </w:tcPr>
          <w:p>
            <w:pPr>
              <w:pStyle w:val="Normal6a"/>
            </w:pPr>
            <w:r>
              <w:t>10.</w:t>
            </w:r>
            <w:r>
              <w:tab/>
            </w:r>
            <w:r>
              <w:t xml:space="preserve">z zadowoleniem przyjmuje podpisanie zaawansowanej umowy ramowej między UE a Chile oraz wzywa do szybkiej i pełnej ratyfikacji tej umowy; z zadowoleniem przyjmuje zakończenie negocjacji w sprawie umowy ogólnej między UE a Meksykiem oraz wzywa do szybkiego podpisania i ratyfikacji </w:t>
            </w:r>
            <w:r>
              <w:rPr>
                <w:b/>
                <w:i/>
              </w:rPr>
              <w:t>tej umowy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 zadowoleniem przyjmuje podpisanie zaawansowanej umowy ramowej między UE a Chile oraz wzywa do szybkiej i pełnej ratyfikacji tej umowy; z zadowoleniem przyjmuje zakończenie negocjacji w sprawie umowy o partnerstwie między UE a Mercosurem i umowy ogólnej między UE a Meksykiem oraz wzywa do szybkiego podpisania i ratyfikacji tych umów;</w:t>
            </w:r>
          </w:p>
        </w:tc>
        <w:tc>
          <w:tcPr>
            <w:tcW w:w="4876" w:type="dxa"/>
            <w:tcBorders>
              <w:top w:val="nil"/>
              <w:left w:val="nil"/>
              <w:bottom w:val="nil"/>
              <w:right w:val="nil"/>
            </w:tcBorders>
          </w:tcPr>
          <w:p>
            <w:pPr>
              <w:pStyle w:val="Normal6a"/>
            </w:pPr>
            <w:r>
              <w:rPr>
                <w:i/>
              </w:rPr>
              <w:t>(Nie dotyczy polskiej wersji językowej)</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podkreśla, że umowa o partnerstwie między UE a Mercosurem jest najważniejszą umową, którą Unia Europejska wynegocjowała w swojej historii – pod względem zakresu, wpływu gospodarczego i znaczenia geopolitycznego;</w:t>
            </w:r>
            <w:r>
              <w:t xml:space="preserve"> </w:t>
            </w:r>
            <w:r>
              <w:rPr>
                <w:b/>
                <w:i/>
              </w:rPr>
              <w:t>podkreśla, że pozwoli ona wzmocnić ona nasze więzi polityczne oraz zacieśnić współpracę międzyregionalną w celu wspólnego sprostania wyzwaniom, a jednocześnie przeciwdziałania rosnącemu wpływowi innych podmiotów w regionie;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wyraża zaniepokojenie potencjalnie negatywnym wpływem umowy o partnerstwie między UE a Mercosurem na unijne normy zrównoważonego rozwoju i bezpieczeństwa oraz na konkurencyjność unijnego sektora rolno-spożywczego, a także podkreśla, że zanim będzie można rozważyć ratyfikację, Parlament musi zbadać, czy umowa spełnia unijne normy zrównoważonego rozwoju i czy jest zgodna z zasadą wzajemności;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zauważa dobry rozwój gospodarczy Argentyny wynikający z ambitnej deregulacji i cięć wydatków rządowych;</w:t>
            </w:r>
            <w:r>
              <w:t xml:space="preserve"> </w:t>
            </w:r>
            <w:r>
              <w:rPr>
                <w:b/>
                <w:i/>
              </w:rPr>
              <w:t>wzywa UE do czerpania inspiracji z wysiłków reformatorskich Argentyny w celu zintensyfikowania własnych działań reformatorskich poprzez zniesienie zbędnych przeszkód administracyjnych dla przedsiębiorstw;</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zdecydowanie przypomina o znaczeniu celów określonych w porozumieniu klimatycznym z Paryża;</w:t>
            </w:r>
            <w:r>
              <w:t xml:space="preserve"> </w:t>
            </w:r>
            <w:r>
              <w:rPr>
                <w:b/>
                <w:i/>
              </w:rPr>
              <w:t>z zadowoleniem przyjmuje włączenie do umowy między UE a Mercosurem wiążącej klauzuli, która podtrzymuje zobowiązania wynikające z porozumienia klimatycznego z Paryża;</w:t>
            </w:r>
            <w:r>
              <w:t xml:space="preserve"> </w:t>
            </w:r>
            <w:r>
              <w:rPr>
                <w:b/>
                <w:i/>
              </w:rPr>
              <w:t>wyraża poparcie dla Ameryki Łacińskiej i Karaibów w jej wysiłkach na rzecz ochrony klimatu i różnorodności biologicznej, a także w inicjatywach na rzecz odbudowy;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wzywa, aby wycofać się z umowy z Mercosurem w jej obecnej formie ze względu na brak wiążących klauzul „lustrzanych”, zwłaszcza w sektorze rolno-spożywczym, co grozi zakłóceniem konkurencji, osłabieniem norm produkcji UE i szkodzeniem interesom europejskich rolników;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 ogromnym zadowoleniem przyjmuje „cud gospodarczy” osiągnięty przez rząd Javiera Milei w Argentynie, który według UNICEF-u tylko w ubiegłym roku zmniejszył zadłużenie i inflację oraz wyciągnął 1,7 mln dzieci z ubóstwa;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apeluje, aby zapewnić solidne i inkluzywne mechanizmy udziału społeczeństwa obywatelskiego we wdrażaniu i monitorowaniu układu o stowarzyszeniu UE–Ameryka Środkowa, z poszanowaniem zasad demokratycznych, przejrzystości i spójności społecznej;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przypomina, że przedsiębiorstwa UE mają obowiązki dotyczące należytej staranności i poszanowania środowiska przy jednoczesnym rozwijaniu swojej działalności, a zarazem zobowiązują się do pogłębienia tych ram prawnych;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wzywa Komisję, aby zintensyfikowała dialog z krajami Ameryki Łacińskiej i Karaibów na temat wpływu prawodawstwa UE na ich lokalne gospodarki;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podkreśla potencjał Ameryki Łacińskiej i Karaibów jako kluczowego partnera w dywersyfikacji łańcuchów dostaw minerałów krytycznych i węglowodorów;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podkreśla, że zarówno w sprawozdaniu Letty w sprawie przyszłości jednolitego rynku, jak i w sprawozdaniu Draghiego w sprawie przyszłości europejskiej konkurencyjności podkreślono, że należy zintensyfikować wysiłki na rzecz zabezpieczenia dostaw surowców krytycznych do UE;</w:t>
            </w:r>
            <w:r>
              <w:t xml:space="preserve"> </w:t>
            </w:r>
            <w:r>
              <w:rPr>
                <w:b/>
                <w:i/>
              </w:rPr>
              <w:t>w związku z tym z zadowoleniem przyjmuje podpisanie protokołów ustaleń z Argentyną i Chile w sprawie surowców krytycznych;</w:t>
            </w:r>
            <w:r>
              <w:t xml:space="preserve"> </w:t>
            </w:r>
            <w:r>
              <w:rPr>
                <w:b/>
                <w:i/>
              </w:rPr>
              <w:t>podkreśla, że mają one kluczowe znaczenie dla osiągnięcia większej dywersyfikacji w łańcuchach dostaw UE;</w:t>
            </w:r>
            <w:r>
              <w:t xml:space="preserve"> </w:t>
            </w:r>
            <w:r>
              <w:rPr>
                <w:b/>
                <w:i/>
              </w:rPr>
              <w:t>uważa, że protokoły te wraz z pogłębieniem współpracy gospodarczej i politycznej dzięki umowom dwustronnym doprowadzą do zwiększenia inwestycji w tym sektorze, a to przyniesie korzyści obydwu regionom;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jest zaniepokojony szybkim wylesianiem w regionie Amazonii, które często związane jest z nielegalną działalnością;</w:t>
            </w:r>
            <w:r>
              <w:t xml:space="preserve"> </w:t>
            </w:r>
            <w:r>
              <w:rPr>
                <w:b/>
                <w:i/>
              </w:rPr>
              <w:t>wzywa Unię Europejską i Mercosur, aby zwiększyły wsparcie finansowe Funduszu na rzecz Amazonii;</w:t>
            </w:r>
            <w:r>
              <w:t xml:space="preserve"> </w:t>
            </w:r>
            <w:r>
              <w:rPr>
                <w:b/>
                <w:i/>
              </w:rPr>
              <w:t>popiera Amerykę Łacińską i Karaiby w zwalczaniu nielegalnego wylesiania i tworzeniu projektów ponownego zalesiania, ze szczególnym uwzględnieniem obszarów charakteryzujących się bogatą różnorodnością biologiczną;</w:t>
            </w:r>
            <w:r>
              <w:t xml:space="preserve"> </w:t>
            </w:r>
            <w:r>
              <w:rPr>
                <w:b/>
                <w:i/>
              </w:rPr>
              <w:t>zachęca do wzmocnienia praw ludności rdzennej i ochrony jej ziemi;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wyraża głębokie zaniepokojenie wywłaszczeniem części sektora energetycznego i górniczego w Meksyku, w tym aktywów należących do przedsiębiorstw europejskich, a także podobnymi środkami, które propaguje się w Chile;</w:t>
            </w:r>
            <w:r>
              <w:t xml:space="preserve"> </w:t>
            </w:r>
            <w:r>
              <w:rPr>
                <w:b/>
                <w:i/>
              </w:rPr>
              <w:t>podkreśla, że takie działania przynoszą efekty odwrotne do zamierzonych dla inwestycji zagranicznych, długoterminowego wzrostu gospodarczego w Ameryce Łacińskiej i na Karaibach oraz dla solidnej i sprawiedliwej współpracy gospodarczej z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zachęca do wzmocnienia przepisów i zwiększenia przejrzystości w kluczowych obszarach gospodarki, takich jak sektor górniczy w Boliwii, ponieważ słabe przepisy prowadzą obecnie do konfliktów i starć między pracownikami konkurujących przedsiębiorstw;</w:t>
            </w:r>
            <w:r>
              <w:t xml:space="preserve"> </w:t>
            </w:r>
            <w:r>
              <w:rPr>
                <w:b/>
                <w:i/>
              </w:rPr>
              <w:t>wyraża zaniepokojenie coraz większą podatnością pracowników na zagrożenia w regionach wewnętrznych Gujany, gdzie niespójne egzekwowanie przepisów – zwłaszcza w nieformalnych i wydobywczych sektorach przemysłu – prowadzi do wyzysku;</w:t>
            </w:r>
            <w:r>
              <w:t xml:space="preserve"> </w:t>
            </w:r>
            <w:r>
              <w:rPr>
                <w:b/>
                <w:i/>
              </w:rPr>
              <w:t>wzywa Amerykę Łacińską i Karaiby, aby wzmocniły prawa pracownicze, i zachęca do promowania spółdzielni i innych inicjatyw sprzyjających uczestnictwu i wzmocnieniu pozycji pracowników w gospodarce;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z zadowoleniem przyjmuje wysiłki Argentyny na rzecz zwiększenia jej atrakcyjności dla inwestorów zagranicznych, w szczególności przez niedawno przyjęty system zachęt dla wielkich inwestycji (RIGI) i bardziej stabilne perspektywy gospodarcze;</w:t>
            </w:r>
            <w:r>
              <w:t xml:space="preserve"> </w:t>
            </w:r>
            <w:r>
              <w:rPr>
                <w:b/>
                <w:i/>
              </w:rPr>
              <w:t>podkreśla, że Argentyna może być kluczowym partnerem w zmniejszaniu nadmiernej zależności od państw trzecich w zakresie surowców krytycznych;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wyraża pogląd, że polityka konsolidacji monetarnej i fiskalnej, która ma pomóc zmniejszyć nadmierne zadłużenie, nie powinna osłabiać długoterminowej konkurencyjności gospodarki, pogłębiać ubóstwa, nierówności ani ograniczać dostępu do podstawowych usług publicznych, zwłaszcza dla słabszych grup społecznych, takich jak osoby starsze, osoby samotnie wychowujące dzieci, osoby młode i bezrobotne;</w:t>
            </w:r>
            <w:r>
              <w:t xml:space="preserve"> </w:t>
            </w:r>
            <w:r>
              <w:rPr>
                <w:b/>
                <w:i/>
              </w:rPr>
              <w:t>popiera wniosek Ameryki Łacińskiej i Karaibów o reformę struktury międzynarodowych instytucji finansowych i restrukturyzację zadłużenia;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Współpraca nad wspólnym programem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podkreśla znaczenie wzmocnienia pozycji kobiet zarówno w polityce, jak i w gospodarce;</w:t>
            </w:r>
            <w:r>
              <w:t xml:space="preserve"> </w:t>
            </w:r>
            <w:r>
              <w:rPr>
                <w:b/>
                <w:i/>
              </w:rPr>
              <w:t>wzywa, aby wdrożyć skuteczne strategie polityczne i przepisy, które pozwolą zniwelować zróżnicowanie wynagrodzenia ze względu na płeć;</w:t>
            </w:r>
            <w:r>
              <w:t xml:space="preserve"> </w:t>
            </w:r>
            <w:r>
              <w:rPr>
                <w:b/>
                <w:i/>
              </w:rPr>
              <w:t>potępia wysokie ryzyko regresu praw kobiet, w szczególności w następstwie ataków na ich prawa seksualne i reprodukcyjne w obydwu regionach;</w:t>
            </w:r>
            <w:r>
              <w:t xml:space="preserve"> </w:t>
            </w:r>
            <w:r>
              <w:rPr>
                <w:b/>
                <w:i/>
              </w:rPr>
              <w:t>wzywa kraje Ameryki Łacińskiej, aby zwiększyły włączenie społeczne kobiet i ich dostęp do edukacji;</w:t>
            </w:r>
            <w:r>
              <w:t xml:space="preserve"> </w:t>
            </w:r>
            <w:r>
              <w:rPr>
                <w:b/>
                <w:i/>
              </w:rPr>
              <w:t>zdecydowanie potępia nasilającą się przemoc polityczną wobec kobiet, która poważnie utrudnia ich uczestnictwo i integrację w instytucjach odpowiedzialnych za kształtowanie polityki, oraz popiera dalsze działania na rzecz zwiększenia udziału kobiet na stanowiskach kierowniczych w polityce i większej reprezentacji w organach ustawodawczych;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f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jest zaniepokojony rosnącą liczbą osób w UE i państwach Ameryki Łacińskiej i Karaibów, które są mierzą się z brakiem bezpieczeństwa żywnościowego i doświadczają trudności z zaspokojeniem podstawowych potrzeb żywnościowych ze względu na wysokie koszty utrzymania;</w:t>
            </w:r>
            <w:r>
              <w:t xml:space="preserve"> </w:t>
            </w:r>
            <w:r>
              <w:rPr>
                <w:b/>
                <w:i/>
              </w:rPr>
              <w:t>podkreśla poważny wpływ wojny napastniczej Federacji Rosyjskiej przeciwko Ukrainie na globalny brak bezpieczeństwa żywnościowego i zwraca uwagę na znaczenie handlu międzyregionalnego między UE a Ameryką Łacińską dla wzmocnienia i dywersyfikacji systemów żywnościowych;</w:t>
            </w:r>
            <w:r>
              <w:t xml:space="preserve"> </w:t>
            </w:r>
            <w:r>
              <w:rPr>
                <w:b/>
                <w:i/>
              </w:rPr>
              <w:t>potwierdza potrzebę wielostronnych rozwiązań na forach takich jak WTO w celu zapewnienia sprawiedliwego, przejrzystego i sprawiedliwego handlu żywnością;</w:t>
            </w:r>
            <w:r>
              <w:t xml:space="preserve"> </w:t>
            </w:r>
            <w:r>
              <w:rPr>
                <w:b/>
                <w:i/>
              </w:rPr>
              <w:t>wzywa UE, aby zwiększyła pomoc rozwojową dla krajów Ameryki Łacińskiej znajdujących się w trudnej sytuacji oraz w większym stopniu wykorzystywała instrument „Globalny wymiar Europy” (ISWMR), co pozwoli zaradzić kryzysowi żywnościowemu;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g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10g.</w:t>
            </w:r>
            <w:r>
              <w:tab/>
            </w:r>
            <w:r>
              <w:rPr>
                <w:b/>
                <w:i/>
              </w:rPr>
              <w:t>potępia przemoc ze względu na płeć i dyskryminację osób LGBTIQ+ w obydwu regionach;</w:t>
            </w:r>
            <w:r>
              <w:t xml:space="preserve"> </w:t>
            </w:r>
            <w:r>
              <w:rPr>
                <w:b/>
                <w:i/>
              </w:rPr>
              <w:t>wzywa państwa Ameryki Łacińskiej i Karaibów oraz rządy UE, aby wzmocniły strategie polityczne w zakresie zwalczania przemocy ze względu na płeć i wzmacniały równouprawnienie płci we współpracy z odpowiednimi organizacjami lokalnymi i regionalnymi;</w:t>
            </w:r>
            <w:r>
              <w:t xml:space="preserve"> </w:t>
            </w:r>
            <w:r>
              <w:rPr>
                <w:b/>
                <w:i/>
              </w:rPr>
              <w:t>wspierały wysiłki i strategie polityczne wzmacniające prawa osób LGBTIQ+ w obydwu regionach;</w:t>
            </w:r>
            <w:r>
              <w:t xml:space="preserve"> </w:t>
            </w:r>
            <w:r>
              <w:rPr>
                <w:b/>
                <w:i/>
              </w:rPr>
              <w:t>potępia ograniczenia w dostępie do praw reprodukcyjnych i popiera wysiłki na rzecz wzmocnienia tych praw;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h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10h.</w:t>
            </w:r>
            <w:r>
              <w:tab/>
            </w:r>
            <w:r>
              <w:rPr>
                <w:b/>
                <w:i/>
              </w:rPr>
              <w:t>podkreśla, że migranci z regionu wnoszą pozytywny wkład w społeczeństwo i gospodarkę, ponieważ odgrywają istotną rolę w wielu dziedzinach gospodarki i wzbogacają naszą kulturę;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i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10i.</w:t>
            </w:r>
            <w:r>
              <w:tab/>
            </w:r>
            <w:r>
              <w:rPr>
                <w:b/>
                <w:i/>
              </w:rPr>
              <w:t>potępia praktykę niektórych krajów tranzytu polegającą na nakładaniu opłat transportowych na migrantów podróżujących przez Amerykę Środkową w kierunku granicy USA–Meksyk, co dodatkowo naraża ich na wykorzystywanie, handel ludźmi i przemoc ze strony siatek przestępczych i dotyka w szczególności kobiety, dzieci i ludność rdzenną;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j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10j.</w:t>
            </w:r>
            <w:r>
              <w:tab/>
            </w:r>
            <w:r>
              <w:rPr>
                <w:b/>
                <w:i/>
              </w:rPr>
              <w:t>wyraża zaniepokojenie, że prawa ludności rdzennej tubylczych i mniejszości, w tym prawo do ziemi, są naruszane i systematycznie dyskryminowane w całym regionie, co stanowi naruszenie Deklaracji Organizacji Narodów Zjednoczonych o prawach ludności rdzennej;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k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10k.</w:t>
            </w:r>
            <w:r>
              <w:tab/>
            </w:r>
            <w:r>
              <w:rPr>
                <w:b/>
                <w:i/>
              </w:rPr>
              <w:t>wzywa, aby zacieśnić dwustronną i wielostronną współpracę między UE a Ameryką Łacińską i Karaibami, co pozwoli dostosować ramy regulacyjne w dziedzinie cyfrowej, w szczególności przez dialog na temat ochrony danych, regulacji platform, etyki sztucznej inteligencji i cyberbezpieczeństwa;</w:t>
            </w:r>
            <w:r>
              <w:t xml:space="preserve"> </w:t>
            </w:r>
            <w:r>
              <w:rPr>
                <w:b/>
                <w:i/>
              </w:rPr>
              <w:t>zachęca, aby ustanowić wspólne normy, które będą chronić wolności obywatelskie, promować prawa cyfrowe i zapewnią sprawiedliwy dostęp do rynków cyfrowych dla MŚP i przedsiębiorstw typu start-up;</w:t>
            </w:r>
            <w:r>
              <w:t xml:space="preserve"> </w:t>
            </w:r>
            <w:r>
              <w:rPr>
                <w:b/>
                <w:i/>
              </w:rPr>
              <w:t>podkreśla potrzebę wspólnych wysiłków na forach międzynarodowych, aby utrzymać demokratyczne e-rządzenie i zapobiegać praktykom monopolistycznym, które mogą pogłębić przepaść cyfrową;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l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10l.</w:t>
            </w:r>
            <w:r>
              <w:tab/>
            </w:r>
            <w:r>
              <w:rPr>
                <w:b/>
                <w:i/>
              </w:rPr>
              <w:t>podkreśla, że obydwa regiony muszą nadal chronić demokrację przez poprawę współpracy w zakresie przeciwdziałania zagrożeniom hybrydowym, pojawiającemu się autorytaryzmowi i zewnętrznej ingerencji w procesy wyborcze;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m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10m.</w:t>
            </w:r>
            <w:r>
              <w:tab/>
            </w:r>
            <w:r>
              <w:rPr>
                <w:b/>
                <w:i/>
              </w:rPr>
              <w:t>przypomina, jak ważny jest sprawiedliwy i zrównoważony handel, oraz że należy osiągnąć zrównoważone umowy handlowe, jasne zasady, zielone inwestycje i odporne łańcuchy wartości;</w:t>
            </w:r>
            <w:r>
              <w:t xml:space="preserve"> </w:t>
            </w:r>
            <w:r>
              <w:rPr>
                <w:b/>
                <w:i/>
              </w:rPr>
              <w:t>zwraca uwagę, że handel o wysokich standardach jest instrumentem wspólnego rozwoju i wzajemnego dobrobytu, w przeciwieństwie do podmiotów, które wykorzystują go jako narzędzie nacisku w grze o sumie zerowej;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Współpraca między UE a Ameryką Łacińską i Karaibami w kontekście inicjatywy Global Gateway</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podkreśla, że UE wnosi największy wkład we współpracę na rzecz rozwoju w Ameryce Łacińskiej i na Karaibach, oraz wzywa UE i jej państwa członkowskie do wykorzystania najważniejszych inicjatyw, takich jak Global Gateway, w celu zwiększenia inwestycji w Ameryce Łacińskiej i na Karaibach, tak aby UE pozostała silnym i konkurencyjnym partnerem dla krajów Ameryki Łacińskiej i Karaibów ze względu na rosnącą obecność Chin w regionie;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podkreśla, że UE wnosi największy wkład we współpracę na rzecz rozwoju w Ameryce Łacińskiej i na Karaibach, oraz wzywa UE i jej państwa członkowskie do wykorzystania najważniejszych inicjatyw, takich jak Global Gateway, w celu zwiększenia inwestycji w Ameryce Łacińskiej i na Karaibach, tak aby UE pozostała silnym i konkurencyjnym partnerem dla krajów Ameryki Łacińskiej i Karaibów ze względu na rosnącą obecność Chin w regionie;</w:t>
            </w:r>
          </w:p>
        </w:tc>
        <w:tc>
          <w:tcPr>
            <w:tcW w:w="4876" w:type="dxa"/>
            <w:tcBorders>
              <w:top w:val="nil"/>
              <w:left w:val="nil"/>
              <w:bottom w:val="nil"/>
              <w:right w:val="nil"/>
            </w:tcBorders>
          </w:tcPr>
          <w:p>
            <w:pPr>
              <w:pStyle w:val="Normal6a"/>
            </w:pPr>
            <w:r>
              <w:t>11.</w:t>
            </w:r>
            <w:r>
              <w:tab/>
            </w:r>
            <w:r>
              <w:t>podkreśla, że UE wnosi największy wkład we współpracę na rzecz rozwoju w Ameryce Łacińskiej i na Karaibach, oraz wzywa UE i jej państwa członkowskie do wykorzystania najważniejszych inicjatyw, takich jak Global Gateway, w celu zwiększenia inwestycji w Ameryce Łacińskiej i na Karaibach, tak aby UE pozostała silnym i konkurencyjnym partnerem dla krajów Ameryki Łacińskiej i Karaibów ze względu na rosnącą obecność Chin w regionie</w:t>
            </w:r>
            <w:r>
              <w:rPr>
                <w:b/>
                <w:i/>
              </w:rPr>
              <w:t>, które wykorzystują swoje zaangażowanie w regionie do realizacji celów geopolitycznych, takich jak dalsza izolacja Tajwanu, oraz do wspierania reżimów autorytarnych, m.in. na Kubie i w Wenezueli, podważanie demokracji w innych państwach oraz przejmowania kontroli nad strategiczną infrastrukturą, w szczególności portami, a także zapewnienie i kontrolę dostępu do kluczowych surowców naturalnych, w tym ziem rzadkich</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podkreśla, że UE wnosi największy wkład we współpracę na rzecz rozwoju w Ameryce Łacińskiej i na Karaibach, oraz wzywa UE i jej państwa członkowskie do wykorzystania najważniejszych inicjatyw, takich jak Global Gateway, w celu zwiększenia inwestycji w Ameryce Łacińskiej i na Karaibach, tak aby UE pozostała silnym i konkurencyjnym partnerem dla krajów Ameryki Łacińskiej i Karaibów ze względu na rosnącą obecność Chin w regionie;</w:t>
            </w:r>
          </w:p>
        </w:tc>
        <w:tc>
          <w:tcPr>
            <w:tcW w:w="4876" w:type="dxa"/>
            <w:tcBorders>
              <w:top w:val="nil"/>
              <w:left w:val="nil"/>
              <w:bottom w:val="nil"/>
              <w:right w:val="nil"/>
            </w:tcBorders>
          </w:tcPr>
          <w:p>
            <w:pPr>
              <w:pStyle w:val="Normal6a"/>
            </w:pPr>
            <w:r>
              <w:t>11.</w:t>
            </w:r>
            <w:r>
              <w:tab/>
            </w:r>
            <w:r>
              <w:t xml:space="preserve">podkreśla, że UE wnosi największy wkład we współpracę na rzecz rozwoju w Ameryce Łacińskiej i na Karaibach, oraz wzywa UE i jej państwa członkowskie do wykorzystania najważniejszych inicjatyw, takich jak Global Gateway, w celu zwiększenia inwestycji w Ameryce Łacińskiej i na Karaibach, tak aby UE pozostała silnym i konkurencyjnym partnerem dla krajów Ameryki Łacińskiej i Karaibów ze względu na rosnącą obecność Chin w regionie; </w:t>
            </w:r>
            <w:r>
              <w:rPr>
                <w:b/>
                <w:i/>
              </w:rPr>
              <w:t>podkreśla znaczenie stosowania rygorystycznych standardów kwalifikowalności finansowej w ramach strategii Global Gateway i podkreśla, że inicjatywy na rzecz rozwoju powinny opierać się na wyraźnych oczekiwaniach państw otrzymujących pomoc co do stabilności politycznej i finansowej;</w:t>
            </w:r>
            <w:r>
              <w:t xml:space="preserve"> </w:t>
            </w:r>
            <w:r>
              <w:rPr>
                <w:b/>
                <w:i/>
              </w:rPr>
              <w:t>podkreśla, że takie warunki mają zasadnicze znaczenie dla uniknięcia sytuacji, w której Ameryka Łacińska i Karaiby znalazłyby się w pułapce zadłużenia, oraz dla wspierania długoterminowego wzrostu gospodarczego;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podkreśla, że UE wnosi największy wkład we współpracę na rzecz rozwoju w Ameryce Łacińskiej i na Karaibach, oraz wzywa UE i jej państwa członkowskie do wykorzystania najważniejszych inicjatyw, takich jak Global Gateway, w celu zwiększenia inwestycji w Ameryce Łacińskiej i na Karaibach, tak aby UE pozostała silnym i konkurencyjnym partnerem dla krajów Ameryki Łacińskiej i Karaibów ze względu na rosnącą obecność Chin w regionie;</w:t>
            </w:r>
          </w:p>
        </w:tc>
        <w:tc>
          <w:tcPr>
            <w:tcW w:w="4876" w:type="dxa"/>
            <w:tcBorders>
              <w:top w:val="nil"/>
              <w:left w:val="nil"/>
              <w:bottom w:val="nil"/>
              <w:right w:val="nil"/>
            </w:tcBorders>
          </w:tcPr>
          <w:p>
            <w:pPr>
              <w:pStyle w:val="Normal6a"/>
            </w:pPr>
            <w:r>
              <w:t>11.</w:t>
            </w:r>
            <w:r>
              <w:tab/>
            </w:r>
            <w:r>
              <w:t>podkreśla, że UE wnosi największy wkład we współpracę na rzecz rozwoju w Ameryce Łacińskiej i na Karaibach, oraz wzywa UE i jej państwa członkowskie do wykorzystania najważniejszych inicjatyw, takich jak Global Gateway, w celu zwiększenia inwestycji w Ameryce Łacińskiej i na Karaibach, tak aby UE pozostała silnym i konkurencyjnym partnerem dla krajów Ameryki Łacińskiej i Karaibów ze względu na rosnącą obecność Chin w regionie</w:t>
            </w:r>
            <w:r>
              <w:rPr>
                <w:b/>
                <w:i/>
              </w:rPr>
              <w:t>, o czym świadczą w szczególności zobowiązania Chin podjęte podczas forum Chiny–CELAC, które odbyło się 13 maja 2025 r.</w:t>
            </w:r>
            <w:r>
              <w:t xml:space="preserve">; </w:t>
            </w:r>
            <w:r>
              <w:rPr>
                <w:b/>
                <w:i/>
              </w:rPr>
              <w:t>podkreśla, że zwiększenie inwestycji UE w Ameryce Łacińskiej jest tym ważniejsze ze względu na intensyfikację inicjatywy Pasa i Szlaku w Ameryce Łacińskiej, przy czym Kolumbia przystąpiła do tej inicjatywy na forum Chiny–CELAC 13 maja 2025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podkreśla, że UE wnosi największy wkład we współpracę na rzecz rozwoju w Ameryce Łacińskiej i na Karaibach, oraz wzywa UE i jej państwa członkowskie do wykorzystania najważniejszych inicjatyw, takich jak Global Gateway, w celu zwiększenia inwestycji w Ameryce Łacińskiej i na Karaibach, tak aby UE pozostała silnym i konkurencyjnym partnerem dla krajów Ameryki Łacińskiej i Karaibów ze względu na rosnącą obecność Chin w regionie;</w:t>
            </w:r>
          </w:p>
        </w:tc>
        <w:tc>
          <w:tcPr>
            <w:tcW w:w="4876" w:type="dxa"/>
            <w:tcBorders>
              <w:top w:val="nil"/>
              <w:left w:val="nil"/>
              <w:bottom w:val="nil"/>
              <w:right w:val="nil"/>
            </w:tcBorders>
          </w:tcPr>
          <w:p>
            <w:pPr>
              <w:pStyle w:val="Normal6a"/>
            </w:pPr>
            <w:r>
              <w:t>11.</w:t>
            </w:r>
            <w:r>
              <w:tab/>
            </w:r>
            <w:r>
              <w:t xml:space="preserve">podkreśla, że UE wnosi największy wkład we współpracę na rzecz rozwoju w Ameryce Łacińskiej i na Karaibach, oraz wzywa UE i jej państwa członkowskie do wykorzystania najważniejszych inicjatyw, takich jak Global Gateway, w celu zwiększenia inwestycji w Ameryce Łacińskiej i na Karaibach, tak aby UE pozostała silnym i konkurencyjnym partnerem dla krajów Ameryki Łacińskiej i Karaibów ze względu na rosnącą obecność Chin w regionie; </w:t>
            </w:r>
            <w:r>
              <w:rPr>
                <w:b/>
                <w:i/>
              </w:rPr>
              <w:t>przypomina, że europejska współpraca i inwestycje nie tylko wspierają rozwój gospodarczy w regionie, ale także przyczyniają się do pokoju przez tworzenie alternatyw gospodarczych dla młodych ludzi na kontynencie;</w:t>
            </w:r>
            <w:r>
              <w:t xml:space="preserve"> </w:t>
            </w:r>
            <w:r>
              <w:rPr>
                <w:b/>
                <w:i/>
              </w:rPr>
              <w:t>ten ostatni aspekt ma zasadnicze znaczenie w walce z przestępczością zorganizowaną;</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podkreśla, że UE wnosi największy wkład we współpracę na rzecz rozwoju w Ameryce Łacińskiej i na Karaibach, oraz wzywa UE i jej państwa członkowskie do wykorzystania najważniejszych inicjatyw, takich jak Global Gateway, w celu zwiększenia inwestycji w Ameryce Łacińskiej i na Karaibach, tak aby UE pozostała silnym i konkurencyjnym partnerem dla krajów Ameryki Łacińskiej i Karaibów </w:t>
            </w:r>
            <w:r>
              <w:rPr>
                <w:b/>
                <w:i/>
              </w:rPr>
              <w:t>ze względu na rosnącą obecność Chin w regionie</w:t>
            </w:r>
            <w:r>
              <w:t>;</w:t>
            </w:r>
          </w:p>
        </w:tc>
        <w:tc>
          <w:tcPr>
            <w:tcW w:w="4876" w:type="dxa"/>
            <w:tcBorders>
              <w:top w:val="nil"/>
              <w:left w:val="nil"/>
              <w:bottom w:val="nil"/>
              <w:right w:val="nil"/>
            </w:tcBorders>
          </w:tcPr>
          <w:p>
            <w:pPr>
              <w:pStyle w:val="Normal6a"/>
            </w:pPr>
            <w:r>
              <w:t>11.</w:t>
            </w:r>
            <w:r>
              <w:tab/>
            </w:r>
            <w:r>
              <w:t>podkreśla, że UE wnosi największy wkład we współpracę na rzecz rozwoju w Ameryce Łacińskiej i na Karaibach, oraz wzywa UE i jej państwa członkowskie do wykorzystania najważniejszych inicjatyw, takich jak Global Gateway, w celu zwiększenia inwestycji w Ameryce Łacińskiej i na Karaibach, tak aby UE pozostała silnym i konkurencyjnym partnerem dla krajów Ameryki Łacińskiej i Karaibów</w:t>
            </w:r>
            <w:r>
              <w:rPr>
                <w:b/>
                <w:i/>
              </w:rPr>
              <w:t>;</w:t>
            </w:r>
            <w:r>
              <w:t xml:space="preserve"> </w:t>
            </w:r>
            <w:r>
              <w:rPr>
                <w:b/>
                <w:i/>
              </w:rPr>
              <w:t>podkreśla, że strategię Global Gateway należy wdrażać w sposób przejrzysty i partycypacyjny, traktując priorytetowo projekty promujące zrównoważony rozwój, sprzyjającą włączeniu społecznemu transformację cyfrową i sprawiedliwą transformację energetyczną, z zastosowaniem podejścia terytorialnego i uwzględniającego aspekt płci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podkreśla, że UE wnosi największy wkład we współpracę na rzecz rozwoju w Ameryce Łacińskiej i na Karaibach, oraz wzywa UE i jej państwa członkowskie </w:t>
            </w:r>
            <w:r>
              <w:rPr>
                <w:b/>
                <w:i/>
              </w:rPr>
              <w:t>do wykorzystania</w:t>
            </w:r>
            <w:r>
              <w:t xml:space="preserve"> najważniejszych </w:t>
            </w:r>
            <w:r>
              <w:rPr>
                <w:b/>
                <w:i/>
              </w:rPr>
              <w:t>inicjatyw, takich</w:t>
            </w:r>
            <w:r>
              <w:t xml:space="preserve"> jak Global Gateway, w celu zwiększenia inwestycji w Ameryce Łacińskiej i na Karaibach, tak aby UE pozostała silnym i konkurencyjnym partnerem dla krajów Ameryki Łacińskiej i Karaibów ze względu na rosnącą obecność Chin w regionie;</w:t>
            </w:r>
          </w:p>
        </w:tc>
        <w:tc>
          <w:tcPr>
            <w:tcW w:w="4876" w:type="dxa"/>
            <w:tcBorders>
              <w:top w:val="nil"/>
              <w:left w:val="nil"/>
              <w:bottom w:val="nil"/>
              <w:right w:val="nil"/>
            </w:tcBorders>
          </w:tcPr>
          <w:p>
            <w:pPr>
              <w:pStyle w:val="Normal6a"/>
            </w:pPr>
            <w:r>
              <w:t>11.</w:t>
            </w:r>
            <w:r>
              <w:tab/>
            </w:r>
            <w:r>
              <w:rPr>
                <w:b/>
                <w:i/>
              </w:rPr>
              <w:t>przypomina, że podstawowym celem polityki UE w dziedzinie współpracy na rzecz rozwoju jest ograniczenie i eliminacja ubóstwa;</w:t>
            </w:r>
            <w:r>
              <w:t xml:space="preserve"> podkreśla, że UE wnosi największy wkład we współpracę na rzecz rozwoju w Ameryce Łacińskiej i na Karaibach, oraz wzywa UE i jej państwa członkowskie</w:t>
            </w:r>
            <w:r>
              <w:rPr>
                <w:b/>
                <w:i/>
              </w:rPr>
              <w:t>, by uznały za jedno z</w:t>
            </w:r>
            <w:r>
              <w:t xml:space="preserve"> najważniejszych </w:t>
            </w:r>
            <w:r>
              <w:rPr>
                <w:b/>
                <w:i/>
              </w:rPr>
              <w:t>działań zmniejszenie nierówności i realizację celów zrównoważonego rozwoju oraz wykorzystały najważniejsze inicjatywy, takie</w:t>
            </w:r>
            <w:r>
              <w:t xml:space="preserve"> jak Global Gateway, w celu zwiększenia inwestycji w Ameryce Łacińskiej i na Karaibach, tak aby UE pozostała silnym i konkurencyjnym partnerem dla krajów Ameryki Łacińskiej i Karaibów ze względu na rosnącą obecność Chin w regionie;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podkreśla, że UE wnosi największy wkład we współpracę na rzecz rozwoju w Ameryce Łacińskiej i na Karaibach, oraz wzywa UE i jej państwa członkowskie do wykorzystania najważniejszych inicjatyw, takich jak Global Gateway, w celu zwiększenia inwestycji w Ameryce Łacińskiej i na Karaibach, tak aby UE pozostała silnym i konkurencyjnym partnerem dla krajów Ameryki Łacińskiej i Karaibów ze względu na rosnącą obecność Chin w regionie;</w:t>
            </w:r>
          </w:p>
        </w:tc>
        <w:tc>
          <w:tcPr>
            <w:tcW w:w="4876" w:type="dxa"/>
            <w:tcBorders>
              <w:top w:val="nil"/>
              <w:left w:val="nil"/>
              <w:bottom w:val="nil"/>
              <w:right w:val="nil"/>
            </w:tcBorders>
          </w:tcPr>
          <w:p>
            <w:pPr>
              <w:pStyle w:val="Normal6a"/>
            </w:pPr>
            <w:r>
              <w:t>11.</w:t>
            </w:r>
            <w:r>
              <w:tab/>
            </w:r>
            <w:r>
              <w:t xml:space="preserve">podkreśla, że UE wnosi największy wkład we współpracę na rzecz rozwoju w Ameryce Łacińskiej i na Karaibach, oraz wzywa UE i jej państwa członkowskie do wykorzystania najważniejszych inicjatyw, takich jak Global Gateway, w celu zwiększenia inwestycji w Ameryce Łacińskiej i na Karaibach, tak aby UE pozostała silnym i konkurencyjnym partnerem dla krajów Ameryki Łacińskiej i Karaibów ze względu na rosnącą obecność Chin w regionie; </w:t>
            </w:r>
            <w:r>
              <w:rPr>
                <w:b/>
                <w:i/>
              </w:rPr>
              <w:t>podkreśla, że najważniejszym priorytetem jest skuteczne wykorzystanie zasobów, które należy skoncentrować na ograniczonej liczbie inicjatyw strategicznych, w szczególności na wzmocnieniu infrastruktury;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podkreśla, że UE wnosi największy wkład we współpracę na rzecz rozwoju w Ameryce Łacińskiej i na Karaibach, oraz wzywa UE i jej państwa członkowskie do wykorzystania najważniejszych inicjatyw, </w:t>
            </w:r>
            <w:r>
              <w:rPr>
                <w:b/>
                <w:i/>
              </w:rPr>
              <w:t>takich jak Global Gateway, w celu zwiększenia inwestycji w Ameryce Łacińskiej i na Karaibach, tak</w:t>
            </w:r>
            <w:r>
              <w:t xml:space="preserve"> aby </w:t>
            </w:r>
            <w:r>
              <w:rPr>
                <w:b/>
                <w:i/>
              </w:rPr>
              <w:t>UE pozostała</w:t>
            </w:r>
            <w:r>
              <w:t xml:space="preserve"> silnym i konkurencyjnym partnerem dla krajów Ameryki Łacińskiej i Karaibów </w:t>
            </w:r>
            <w:r>
              <w:rPr>
                <w:b/>
                <w:i/>
              </w:rPr>
              <w:t>ze względu na rosnącą obecność Chin w regionie</w:t>
            </w:r>
            <w:r>
              <w:t>;</w:t>
            </w:r>
          </w:p>
        </w:tc>
        <w:tc>
          <w:tcPr>
            <w:tcW w:w="4876" w:type="dxa"/>
            <w:tcBorders>
              <w:top w:val="nil"/>
              <w:left w:val="nil"/>
              <w:bottom w:val="nil"/>
              <w:right w:val="nil"/>
            </w:tcBorders>
          </w:tcPr>
          <w:p>
            <w:pPr>
              <w:pStyle w:val="Normal6a"/>
            </w:pPr>
            <w:r>
              <w:t>11.</w:t>
            </w:r>
            <w:r>
              <w:tab/>
            </w:r>
            <w:r>
              <w:t xml:space="preserve">podkreśla, że UE wnosi największy wkład we współpracę na rzecz rozwoju w Ameryce Łacińskiej i na Karaibach, oraz wzywa UE i jej państwa członkowskie do wykorzystania najważniejszych inicjatyw, aby </w:t>
            </w:r>
            <w:r>
              <w:rPr>
                <w:b/>
                <w:i/>
              </w:rPr>
              <w:t>zagwarantować, że UE pozostanie</w:t>
            </w:r>
            <w:r>
              <w:t xml:space="preserve"> silnym i konkurencyjnym partnerem dla krajów Ameryki Łacińskiej i Karaibów;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podkreśla, że UE wnosi największy wkład we współpracę na rzecz rozwoju w Ameryce Łacińskiej i na Karaibach</w:t>
            </w:r>
            <w:r>
              <w:rPr>
                <w:b/>
                <w:i/>
              </w:rPr>
              <w:t>, oraz wzywa UE i jej państwa członkowskie do wykorzystania najważniejszych inicjatyw, takich jak</w:t>
            </w:r>
            <w:r>
              <w:t xml:space="preserve"> Global Gateway</w:t>
            </w:r>
            <w:r>
              <w:rPr>
                <w:b/>
                <w:i/>
              </w:rPr>
              <w:t>, w celu zwiększenia inwestycji w Ameryce Łacińskiej i na Karaibach, tak aby UE pozostała silnym i konkurencyjnym partnerem dla krajów Ameryki Łacińskiej i Karaibów ze względu na rosnącą obecność Chin w regionie</w:t>
            </w:r>
            <w:r>
              <w:t>;</w:t>
            </w:r>
          </w:p>
        </w:tc>
        <w:tc>
          <w:tcPr>
            <w:tcW w:w="4876" w:type="dxa"/>
            <w:tcBorders>
              <w:top w:val="nil"/>
              <w:left w:val="nil"/>
              <w:bottom w:val="nil"/>
              <w:right w:val="nil"/>
            </w:tcBorders>
          </w:tcPr>
          <w:p>
            <w:pPr>
              <w:pStyle w:val="Normal6a"/>
            </w:pPr>
            <w:r>
              <w:t>11.</w:t>
            </w:r>
            <w:r>
              <w:tab/>
            </w:r>
            <w:r>
              <w:t>podkreśla, że UE wnosi największy wkład we współpracę na rzecz rozwoju w Ameryce Łacińskiej i na Karaibach</w:t>
            </w:r>
            <w:r>
              <w:rPr>
                <w:b/>
                <w:i/>
              </w:rPr>
              <w:t>;</w:t>
            </w:r>
            <w:r>
              <w:t xml:space="preserve"> </w:t>
            </w:r>
            <w:r>
              <w:rPr>
                <w:b/>
                <w:i/>
              </w:rPr>
              <w:t>kwestionuje wykorzystanie strategii</w:t>
            </w:r>
            <w:r>
              <w:t xml:space="preserve"> Global Gateway </w:t>
            </w:r>
            <w:r>
              <w:rPr>
                <w:b/>
                <w:i/>
              </w:rPr>
              <w:t>jako instrumentu finansowego i ideologicznego oraz wzywa, aby zawiesić inne niż niezbędne programy pomocy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podkreśla, że UE wnosi największy wkład we współpracę na rzecz rozwoju w Ameryce Łacińskiej i na Karaibach, oraz wzywa UE i jej państwa członkowskie do wykorzystania najważniejszych inicjatyw, takich jak Global Gateway, w celu zwiększenia inwestycji w Ameryce Łacińskiej i na Karaibach, tak aby UE pozostała silnym i konkurencyjnym partnerem dla krajów Ameryki Łacińskiej i Karaibów </w:t>
            </w:r>
            <w:r>
              <w:rPr>
                <w:b/>
                <w:i/>
              </w:rPr>
              <w:t>ze względu na rosnącą obecność Chin w regionie</w:t>
            </w:r>
            <w:r>
              <w:t>;</w:t>
            </w:r>
          </w:p>
        </w:tc>
        <w:tc>
          <w:tcPr>
            <w:tcW w:w="4876" w:type="dxa"/>
            <w:tcBorders>
              <w:top w:val="nil"/>
              <w:left w:val="nil"/>
              <w:bottom w:val="nil"/>
              <w:right w:val="nil"/>
            </w:tcBorders>
          </w:tcPr>
          <w:p>
            <w:pPr>
              <w:pStyle w:val="Normal6a"/>
            </w:pPr>
            <w:r>
              <w:t>11.</w:t>
            </w:r>
            <w:r>
              <w:tab/>
            </w:r>
            <w:r>
              <w:t>podkreśla, że UE wnosi największy wkład we współpracę na rzecz rozwoju w Ameryce Łacińskiej i na Karaibach, oraz wzywa UE i jej państwa członkowskie do wykorzystania najważniejszych inicjatyw, takich jak Global Gateway, w celu zwiększenia inwestycji w Ameryce Łacińskiej i na Karaibach, tak aby UE pozostała silnym i konkurencyjnym partnerem dla krajów Ameryki Łacińskiej i Karaibów;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podkreśla, że UE wnosi największy wkład we współpracę na rzecz rozwoju w Ameryce Łacińskiej i na Karaibach, oraz wzywa UE i jej państwa członkowskie do wykorzystania najważniejszych inicjatyw, takich jak Global Gateway, w celu zwiększenia inwestycji w Ameryce Łacińskiej i na Karaibach, tak aby UE pozostała silnym i konkurencyjnym partnerem dla krajów Ameryki Łacińskiej i Karaibów ze względu na rosnącą obecność Chin w regionie;</w:t>
            </w:r>
          </w:p>
        </w:tc>
        <w:tc>
          <w:tcPr>
            <w:tcW w:w="4876" w:type="dxa"/>
            <w:tcBorders>
              <w:top w:val="nil"/>
              <w:left w:val="nil"/>
              <w:bottom w:val="nil"/>
              <w:right w:val="nil"/>
            </w:tcBorders>
          </w:tcPr>
          <w:p>
            <w:pPr>
              <w:pStyle w:val="Normal6a"/>
            </w:pPr>
            <w:r>
              <w:t>11.</w:t>
            </w:r>
            <w:r>
              <w:tab/>
            </w:r>
            <w:r>
              <w:t xml:space="preserve">podkreśla, że UE wnosi największy wkład we współpracę na rzecz rozwoju w Ameryce Łacińskiej i na Karaibach, oraz wzywa UE i jej państwa członkowskie do wykorzystania najważniejszych inicjatyw, takich jak Global Gateway, w celu zwiększenia inwestycji w Ameryce Łacińskiej i na Karaibach, tak aby UE pozostała silnym i konkurencyjnym partnerem dla krajów Ameryki Łacińskiej i Karaibów ze względu na rosnącą obecność Chin </w:t>
            </w:r>
            <w:r>
              <w:rPr>
                <w:b/>
                <w:i/>
              </w:rPr>
              <w:t>i Rosji</w:t>
            </w:r>
            <w:r>
              <w:t xml:space="preserve"> w regionie;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podkreśla</w:t>
            </w:r>
            <w:r>
              <w:t>, że UE wnosi największy wkład we współpracę na rzecz rozwoju w Ameryce Łacińskiej i na Karaibach</w:t>
            </w:r>
            <w:r>
              <w:rPr>
                <w:b/>
                <w:i/>
              </w:rPr>
              <w:t>, oraz</w:t>
            </w:r>
            <w:r>
              <w:t xml:space="preserve"> wzywa UE i jej państwa członkowskie do </w:t>
            </w:r>
            <w:r>
              <w:rPr>
                <w:b/>
                <w:i/>
              </w:rPr>
              <w:t>wykorzystania najważniejszych inicjatyw, takich jak Global Gateway, w celu zwiększenia inwestycji w Ameryce Łacińskiej i na Karaibach, tak aby UE pozostała</w:t>
            </w:r>
            <w:r>
              <w:t xml:space="preserve"> silnym i konkurencyjnym partnerem </w:t>
            </w:r>
            <w:r>
              <w:rPr>
                <w:b/>
                <w:i/>
              </w:rPr>
              <w:t>dla</w:t>
            </w:r>
            <w:r>
              <w:t xml:space="preserve"> krajów Ameryki Łacińskiej i Karaibów </w:t>
            </w:r>
            <w:r>
              <w:rPr>
                <w:b/>
                <w:i/>
              </w:rPr>
              <w:t>ze względu na rosnącą obecność Chin w regionie</w:t>
            </w:r>
            <w:r>
              <w:t>;</w:t>
            </w:r>
          </w:p>
        </w:tc>
        <w:tc>
          <w:tcPr>
            <w:tcW w:w="4876" w:type="dxa"/>
            <w:tcBorders>
              <w:top w:val="nil"/>
              <w:left w:val="nil"/>
              <w:bottom w:val="nil"/>
              <w:right w:val="nil"/>
            </w:tcBorders>
          </w:tcPr>
          <w:p>
            <w:pPr>
              <w:pStyle w:val="Normal6a"/>
            </w:pPr>
            <w:r>
              <w:t>11.</w:t>
            </w:r>
            <w:r>
              <w:tab/>
            </w:r>
            <w:r>
              <w:rPr>
                <w:b/>
                <w:i/>
              </w:rPr>
              <w:t>zauważa</w:t>
            </w:r>
            <w:r>
              <w:t>, że UE wnosi największy wkład we współpracę na rzecz rozwoju w Ameryce Łacińskiej i na Karaibach</w:t>
            </w:r>
            <w:r>
              <w:rPr>
                <w:b/>
                <w:i/>
              </w:rPr>
              <w:t>;</w:t>
            </w:r>
            <w:r>
              <w:t xml:space="preserve"> </w:t>
            </w:r>
            <w:r>
              <w:rPr>
                <w:b/>
                <w:i/>
              </w:rPr>
              <w:t>jest zdania, że współpraca na rzecz rozwoju nie może być w żadnym razie darmowa, lecz musi mieć możliwą do wykazania wartość dodaną dla UE i jej państw członkowskich;</w:t>
            </w:r>
            <w:r>
              <w:t xml:space="preserve"> wzywa UE i jej państwa członkowskie do </w:t>
            </w:r>
            <w:r>
              <w:rPr>
                <w:b/>
                <w:i/>
              </w:rPr>
              <w:t>odpowiedzi na rosnącą obecność Chin w regionie i pokazania, że UE pozostaje</w:t>
            </w:r>
            <w:r>
              <w:t xml:space="preserve"> silnym i konkurencyjnym partnerem krajów Ameryki Łacińskiej i Karaibów;</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podkreśla, że głównym celem strategii Global Gateway, będącej częścią zestawu narzędzi działań zewnętrznych UE, powinno być promowanie wielostronnego systemu opartego na zasadach, zrównoważonego rozwoju, demokracji, praw człowieka, równości płci i praworządności;</w:t>
            </w:r>
            <w:r>
              <w:t xml:space="preserve"> </w:t>
            </w:r>
            <w:r>
              <w:rPr>
                <w:b/>
                <w:i/>
              </w:rPr>
              <w:t>podkreśla, że należy systematycznie angażować społeczeństwo obywatelskie i społeczności lokalne na wszystkich etapach opracowywania, wdrażania i oceny projektów, aby projekty w ramach strategii Global Gateway odpowiadały lokalnym potrzebom, uwzględniały aspekt płci i przynosiły znaczące rezultaty rozwojowe;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wzywa do wzmocnienia roli Parlamentu Europejskiego w nadzorze i strategicznym kierowaniu inicjatywą Global Gateway, w szczególności w odniesieniu do jej wdrażania w Ameryce Łacińskiej i na Karaibach, aby zapewnić przejrzystość, demokratyczną rozliczalność, zgodność z wartościami UE i skuteczne wykorzystanie zasobów;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przypomina o znaczeniu włączenia społecznego i równości płci we współpracy UE z regionem na rzecz osiągnięcia celów zrównoważonego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jest zaniepokojony niedawną decyzją Kolumbii o przystąpieniu do chińskiej inicjatywy Pasa i Szlaku;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3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przypomina o poważnych ograniczeniach wzrostu i rozwoju wynikających z wysokiego poziomu długu publicznego oraz o jego wpływie na przestrzeń fiskalną dostępną dla krajów Ameryki Łacińskiej;</w:t>
            </w:r>
            <w:r>
              <w:t xml:space="preserve"> </w:t>
            </w:r>
            <w:r>
              <w:rPr>
                <w:b/>
                <w:i/>
              </w:rPr>
              <w:t>przypomina, że kryzys zadłużeniowy generuje poważne koszty gospodarcze i społeczne, co ma długotrwały wpływ na ubóstwo i nierówności;</w:t>
            </w:r>
            <w:r>
              <w:t xml:space="preserve"> </w:t>
            </w:r>
            <w:r>
              <w:rPr>
                <w:b/>
                <w:i/>
              </w:rPr>
              <w:t>w tym kontekście zauważa z zaniepokojeniem, że strategia Global Gateway może pogłębić kryzys zadłużeniowy w krajach Ameryki Łacińskiej i Karaibów; podkreśla, że konieczna jest stała ocena strategii Global Gateway, aby ocenić jej skuteczność i kierunek strategiczny;</w:t>
            </w:r>
            <w:r>
              <w:t xml:space="preserve"> </w:t>
            </w:r>
            <w:r>
              <w:rPr>
                <w:b/>
                <w:i/>
              </w:rPr>
              <w:t>w związku z tym ponownie przypomina o potrzebie egzekwowania prerogatyw parlamentarnych w zakresie demokratycznego nadzoru i kontroli inicjatyw Global Gateway;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Podkreśla znaczenie wzmocnienia partnerstw między UE a Ameryką Łacińską i Karaibami w sektorze cyfrowym przez rozszerzenie bezpiecznej i zrównoważonej infrastruktury cyfrowej, m.in. za pośrednictwem strategii Global Gateway;</w:t>
            </w:r>
            <w:r>
              <w:t xml:space="preserve"> </w:t>
            </w:r>
            <w:r>
              <w:rPr>
                <w:b/>
                <w:i/>
              </w:rPr>
              <w:t>podkreśla, że takie inwestycje powinny móc pozwolić zapewnić powszechny i przystępny cenowo dostęp cyfrowy, w szczególności dla najsłabszych grup społecznych i obszarów oddalonych;</w:t>
            </w:r>
            <w:r>
              <w:t xml:space="preserve"> </w:t>
            </w:r>
            <w:r>
              <w:rPr>
                <w:b/>
                <w:i/>
              </w:rPr>
              <w:t>apeluje, aby transformacja cyfrowa opierała się na zasadach inkluzywności, dostępności i zrównoważenia środowiskowego, tak aby przyczyniała się do zmniejszania – a nie pogłębiania – nierówności społecznych i gospodarczych;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przypomina o znaczeniu włączenia społecznego i równości płci we współpracy UE z regionem na rzecz osiągnięcia celów zrównoważonego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z zadowoleniem przyjmuje protokół ustaleń w sprawie zacieśnienia współpracy w zakresie zintegrowanego zarządzania ryzykiem związanym z klęskami żywiołowymi, podpisany na Barbadosie w maju 2024 r. przez Unię Europejską oraz różne podmioty regionalne i krajowe, i zdecydowanie zachęca do zakończenia trwających procedur podpisywania;</w:t>
            </w:r>
            <w:r>
              <w:t xml:space="preserve"> </w:t>
            </w:r>
            <w:r>
              <w:rPr>
                <w:b/>
                <w:i/>
              </w:rPr>
              <w:t>uznaje nieustające działania solidarnościowe krajów Ameryki Łacińskiej i Karaibów oraz Unii Europejskiej w obliczu skutków zmiany klimatu i wstrząsów zewnętrznych, które w nieproporcjonalny sposób dotknęły najbardziej narażone kraje Karaibów i Ameryki Środkowej;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3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podkreśla, że oprócz inicjatywy Global Gateway należy zachować tradycyjne kanały współpracy w krajach Ameryki Łacińskiej i Karaibów;</w:t>
            </w:r>
            <w:r>
              <w:t xml:space="preserve"> </w:t>
            </w:r>
            <w:r>
              <w:rPr>
                <w:b/>
                <w:i/>
              </w:rPr>
              <w:t>wzywa UE do zwiększenia finansowania programów na rzecz praw człowieka, demokracji i społeczeństwa obywatelskiego w regionie oraz do zapewnienia, aby środki przeznaczone na obie Ameryki i Karaiby – obecnie najniższe spośród wszystkich regionów – były co najmniej utrzymane;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Współpraca w zakresie bezpieczeństwa</w:t>
            </w:r>
          </w:p>
        </w:tc>
        <w:tc>
          <w:tcPr>
            <w:tcW w:w="4876" w:type="dxa"/>
            <w:tcBorders>
              <w:top w:val="nil"/>
              <w:left w:val="nil"/>
              <w:bottom w:val="nil"/>
              <w:right w:val="nil"/>
            </w:tcBorders>
          </w:tcPr>
          <w:p>
            <w:pPr>
              <w:pStyle w:val="Normal6a"/>
            </w:pPr>
            <w:r>
              <w:t xml:space="preserve">Współpraca w zakresie bezpieczeństwa </w:t>
            </w:r>
            <w:r>
              <w:rPr>
                <w:b/>
                <w:i/>
              </w:rPr>
              <w:t>i zwalczania handlu narkotykami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jest zaniepokojony wzrostem przestępczości zorganizowanej i handlu narkotykami w Ameryce Łacińskiej i na Karaibach oraz bezprecedensową ilością nielegalnych narkotyków przemycanych do UE z tego regionu; podkreśla potrzebę zacieśnienia wielostronnej współpracy w zwalczaniu tych zagrożeń w ramach inicjatyw takich jak partnerstwo między UE a Ameryką Łacińska i Karaibami na rzecz sprawiedliwości i bezpieczeństwa oraz EL PAcCTO 2.0;</w:t>
            </w:r>
          </w:p>
        </w:tc>
        <w:tc>
          <w:tcPr>
            <w:tcW w:w="4876" w:type="dxa"/>
            <w:tcBorders>
              <w:top w:val="nil"/>
              <w:left w:val="nil"/>
              <w:bottom w:val="nil"/>
              <w:right w:val="nil"/>
            </w:tcBorders>
          </w:tcPr>
          <w:p>
            <w:pPr>
              <w:pStyle w:val="Normal6a"/>
            </w:pPr>
            <w:r>
              <w:t>12.</w:t>
            </w:r>
            <w:r>
              <w:tab/>
            </w:r>
            <w:r>
              <w:t>jest zaniepokojony wzrostem przestępczości zorganizowanej i handlu narkotykami w Ameryce Łacińskiej i na Karaibach oraz bezprecedensową ilością nielegalnych narkotyków przemycanych do UE z tego regionu</w:t>
            </w:r>
            <w:r>
              <w:rPr>
                <w:b/>
                <w:i/>
              </w:rPr>
              <w:t>;</w:t>
            </w:r>
            <w:r>
              <w:t xml:space="preserve"> </w:t>
            </w:r>
            <w:r>
              <w:rPr>
                <w:b/>
                <w:i/>
              </w:rPr>
              <w:t>podkreśla odpowiedzialność tzw. socjalizmu XXI wieku za rozwój narkopaństw, w szczególności Wenezueli pod rządami Nicolása Maduro, szefa organizacji Cartel de los Soles (Kartelu Słońc);</w:t>
            </w:r>
            <w:r>
              <w:t xml:space="preserve"> </w:t>
            </w:r>
            <w:r>
              <w:rPr>
                <w:b/>
                <w:i/>
              </w:rPr>
              <w:t>podkreśla, że Hiszpania staje się punktem dostępu do Europy dla tych politycznie sponsorowanych siatek przestępczych;</w:t>
            </w:r>
            <w:r>
              <w:t xml:space="preserve"> </w:t>
            </w:r>
            <w:r>
              <w:rPr>
                <w:b/>
                <w:i/>
              </w:rPr>
              <w:t>w związku z tym kwestionuje rozwiązanie przez rząd hiszpański we wrześniu 2022 r. jednostki ds. koordynacji operacji antynarkotykowych (OCON-Sur)</w:t>
            </w:r>
            <w:r>
              <w:t>; podkreśla potrzebę zacieśnienia wielostronnej współpracy w zwalczaniu tych zagrożeń w ramach inicjatyw takich jak partnerstwo między UE a Ameryką Łacińska i Karaibami na rzecz sprawiedliwości i bezpieczeństwa oraz EL PAcCTO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jest zaniepokojony wzrostem przestępczości zorganizowanej i handlu narkotykami w Ameryce Łacińskiej i na Karaibach oraz bezprecedensową ilością nielegalnych narkotyków przemycanych do UE z tego regionu; podkreśla potrzebę zacieśnienia wielostronnej współpracy w zwalczaniu tych zagrożeń w ramach inicjatyw takich jak partnerstwo między UE a Ameryką Łacińska i Karaibami na rzecz sprawiedliwości i bezpieczeństwa oraz EL PAcCTO 2.0;</w:t>
            </w:r>
          </w:p>
        </w:tc>
        <w:tc>
          <w:tcPr>
            <w:tcW w:w="4876" w:type="dxa"/>
            <w:tcBorders>
              <w:top w:val="nil"/>
              <w:left w:val="nil"/>
              <w:bottom w:val="nil"/>
              <w:right w:val="nil"/>
            </w:tcBorders>
          </w:tcPr>
          <w:p>
            <w:pPr>
              <w:pStyle w:val="Normal6a"/>
            </w:pPr>
            <w:r>
              <w:t>12.</w:t>
            </w:r>
            <w:r>
              <w:tab/>
            </w:r>
            <w:r>
              <w:t xml:space="preserve">jest zaniepokojony wzrostem przestępczości zorganizowanej i handlu narkotykami w Ameryce Łacińskiej i na Karaibach oraz bezprecedensową ilością nielegalnych narkotyków przemycanych do UE z tego regionu; podkreśla potrzebę zacieśnienia wielostronnej współpracy w zwalczaniu tych zagrożeń w ramach inicjatyw takich jak partnerstwo między UE a Ameryką Łacińska i Karaibami na rzecz sprawiedliwości i bezpieczeństwa oraz EL PAcCTO 2.0; </w:t>
            </w:r>
            <w:r>
              <w:rPr>
                <w:b/>
                <w:i/>
              </w:rPr>
              <w:t>zwraca uwagę na alarmującą skalę współpracy meksykańskich karteli narkotykowych z podmiotami w Chińskiej Republice Ludowej w zakresie produkcji i przemytu fentanylu oraz jego pochodnych do Stanów Zjednoczonych;</w:t>
            </w:r>
            <w:r>
              <w:t xml:space="preserve"> </w:t>
            </w:r>
            <w:r>
              <w:rPr>
                <w:b/>
                <w:i/>
              </w:rPr>
              <w:t>wzywa instytucje UE, państwa członkowskie oraz partnerów z Ameryki Łacińskiej i Karaibów do zdecydowanego i skoordynowanego przeciwdziałania tym śmiercionośnym praktykom;</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jest zaniepokojony wzrostem przestępczości zorganizowanej i handlu narkotykami w Ameryce Łacińskiej i na Karaibach oraz bezprecedensową ilością nielegalnych narkotyków przemycanych do UE z tego regionu; podkreśla potrzebę zacieśnienia wielostronnej współpracy w zwalczaniu tych zagrożeń w ramach inicjatyw takich jak partnerstwo między UE a Ameryką Łacińska i Karaibami na rzecz sprawiedliwości i bezpieczeństwa oraz EL PAcCTO 2.0;</w:t>
            </w:r>
          </w:p>
        </w:tc>
        <w:tc>
          <w:tcPr>
            <w:tcW w:w="4876" w:type="dxa"/>
            <w:tcBorders>
              <w:top w:val="nil"/>
              <w:left w:val="nil"/>
              <w:bottom w:val="nil"/>
              <w:right w:val="nil"/>
            </w:tcBorders>
          </w:tcPr>
          <w:p>
            <w:pPr>
              <w:pStyle w:val="Normal6a"/>
            </w:pPr>
            <w:r>
              <w:t>12.</w:t>
            </w:r>
            <w:r>
              <w:tab/>
            </w:r>
            <w:r>
              <w:t>jest zaniepokojony wzrostem przestępczości zorganizowanej i handlu narkotykami w Ameryce Łacińskiej i na Karaibach oraz bezprecedensową ilością nielegalnych narkotyków przemycanych do UE z tego regionu</w:t>
            </w:r>
            <w:r>
              <w:rPr>
                <w:b/>
                <w:i/>
              </w:rPr>
              <w:t>;</w:t>
            </w:r>
            <w:r>
              <w:t xml:space="preserve"> </w:t>
            </w:r>
            <w:r>
              <w:rPr>
                <w:b/>
                <w:i/>
              </w:rPr>
              <w:t>podkreśla, że koordynacja między organizacjami przestępczymi z Ameryki Łacińskiej i z UE zagraża bezpieczeństwu Unii</w:t>
            </w:r>
            <w:r>
              <w:t>; podkreśla potrzebę zacieśnienia wielostronnej współpracy w zwalczaniu tych zagrożeń w ramach inicjatyw takich jak partnerstwo między UE a Ameryką Łacińska i Karaibami na rzecz sprawiedliwości i bezpieczeństwa oraz EL PAcCTO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jest zaniepokojony wzrostem przestępczości zorganizowanej i handlu narkotykami w Ameryce Łacińskiej i na Karaibach oraz bezprecedensową ilością nielegalnych narkotyków przemycanych do UE z tego regionu; podkreśla potrzebę zacieśnienia wielostronnej współpracy w zwalczaniu tych zagrożeń w ramach inicjatyw takich jak partnerstwo między UE a Ameryką Łacińska i Karaibami na rzecz sprawiedliwości i bezpieczeństwa oraz EL PAcCTO 2.0;</w:t>
            </w:r>
          </w:p>
        </w:tc>
        <w:tc>
          <w:tcPr>
            <w:tcW w:w="4876" w:type="dxa"/>
            <w:tcBorders>
              <w:top w:val="nil"/>
              <w:left w:val="nil"/>
              <w:bottom w:val="nil"/>
              <w:right w:val="nil"/>
            </w:tcBorders>
          </w:tcPr>
          <w:p>
            <w:pPr>
              <w:pStyle w:val="Normal6a"/>
            </w:pPr>
            <w:r>
              <w:t>12.</w:t>
            </w:r>
            <w:r>
              <w:tab/>
            </w:r>
            <w:r>
              <w:t xml:space="preserve">jest zaniepokojony wzrostem przestępczości zorganizowanej i handlu narkotykami w Ameryce Łacińskiej i na Karaibach oraz bezprecedensową ilością nielegalnych narkotyków przemycanych do UE z tego regionu; podkreśla potrzebę zacieśnienia wielostronnej współpracy w zwalczaniu tych zagrożeń w ramach inicjatyw takich jak partnerstwo między UE a Ameryką Łacińska i Karaibami na rzecz sprawiedliwości i bezpieczeństwa oraz EL PAcCTO 2.0; </w:t>
            </w:r>
            <w:r>
              <w:rPr>
                <w:b/>
                <w:i/>
              </w:rPr>
              <w:t>wyraża zaniepokojenie rozwojem zorganizowanych grup przestępczych na Haiti;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jest zaniepokojony wzrostem przestępczości zorganizowanej i handlu narkotykami w Ameryce Łacińskiej i na Karaibach oraz bezprecedensową ilością nielegalnych narkotyków przemycanych do UE z tego regionu; podkreśla potrzebę zacieśnienia wielostronnej współpracy w zwalczaniu tych zagrożeń </w:t>
            </w:r>
            <w:r>
              <w:rPr>
                <w:b/>
                <w:i/>
              </w:rPr>
              <w:t>w ramach inicjatyw takich jak</w:t>
            </w:r>
            <w:r>
              <w:t xml:space="preserve"> partnerstwo między UE a Ameryką Łacińska i Karaibami na rzecz sprawiedliwości i bezpieczeństwa oraz EL PAcCTO 2.0;</w:t>
            </w:r>
          </w:p>
        </w:tc>
        <w:tc>
          <w:tcPr>
            <w:tcW w:w="4876" w:type="dxa"/>
            <w:tcBorders>
              <w:top w:val="nil"/>
              <w:left w:val="nil"/>
              <w:bottom w:val="nil"/>
              <w:right w:val="nil"/>
            </w:tcBorders>
          </w:tcPr>
          <w:p>
            <w:pPr>
              <w:pStyle w:val="Normal6a"/>
            </w:pPr>
            <w:r>
              <w:t>12.</w:t>
            </w:r>
            <w:r>
              <w:tab/>
            </w:r>
            <w:r>
              <w:t xml:space="preserve">jest zaniepokojony wzrostem przestępczości zorganizowanej i handlu narkotykami w Ameryce Łacińskiej i na Karaibach oraz bezprecedensową ilością nielegalnych narkotyków przemycanych do UE z tego regionu; podkreśla potrzebę zacieśnienia wielostronnej współpracy w zwalczaniu tych zagrożeń </w:t>
            </w:r>
            <w:r>
              <w:rPr>
                <w:b/>
                <w:i/>
              </w:rPr>
              <w:t>poprzez wzmocnione</w:t>
            </w:r>
            <w:r>
              <w:t xml:space="preserve"> partnerstwo między UE a Ameryką Łacińska i Karaibami na rzecz sprawiedliwości i bezpieczeństwa oraz </w:t>
            </w:r>
            <w:r>
              <w:rPr>
                <w:b/>
                <w:i/>
              </w:rPr>
              <w:t>w oparciu o takie programy jak</w:t>
            </w:r>
            <w:r>
              <w:t xml:space="preserve"> EL PAcCTO 2.0</w:t>
            </w:r>
            <w:r>
              <w:rPr>
                <w:b/>
                <w:i/>
              </w:rPr>
              <w:t>, COPOLAD, EUROFRONT i program zwalczania nielegalnych przepływów na świecie (GFIP)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jest zaniepokojony </w:t>
            </w:r>
            <w:r>
              <w:rPr>
                <w:b/>
                <w:i/>
              </w:rPr>
              <w:t>wzrostem przestępczości zorganizowanej i</w:t>
            </w:r>
            <w:r>
              <w:t xml:space="preserve"> handlu narkotykami </w:t>
            </w:r>
            <w:r>
              <w:rPr>
                <w:b/>
                <w:i/>
              </w:rPr>
              <w:t>w Ameryce Łacińskiej i na Karaibach oraz bezprecedensową ilością</w:t>
            </w:r>
            <w:r>
              <w:t xml:space="preserve"> nielegalnych </w:t>
            </w:r>
            <w:r>
              <w:rPr>
                <w:b/>
                <w:i/>
              </w:rPr>
              <w:t>narkotyków przemycanych do UE z tego regionu</w:t>
            </w:r>
            <w:r>
              <w:t xml:space="preserve">; podkreśla potrzebę zacieśnienia wielostronnej współpracy w zwalczaniu tych zagrożeń </w:t>
            </w:r>
            <w:r>
              <w:rPr>
                <w:b/>
                <w:i/>
              </w:rPr>
              <w:t>w ramach inicjatyw takich jak</w:t>
            </w:r>
            <w:r>
              <w:t xml:space="preserve"> partnerstwo między UE a Ameryką Łacińska i Karaibami na rzecz sprawiedliwości i bezpieczeństwa oraz EL PAcCTO 2.0;</w:t>
            </w:r>
          </w:p>
        </w:tc>
        <w:tc>
          <w:tcPr>
            <w:tcW w:w="4876" w:type="dxa"/>
            <w:tcBorders>
              <w:top w:val="nil"/>
              <w:left w:val="nil"/>
              <w:bottom w:val="nil"/>
              <w:right w:val="nil"/>
            </w:tcBorders>
          </w:tcPr>
          <w:p>
            <w:pPr>
              <w:pStyle w:val="Normal6a"/>
            </w:pPr>
            <w:r>
              <w:t>12.</w:t>
            </w:r>
            <w:r>
              <w:tab/>
            </w:r>
            <w:r>
              <w:t xml:space="preserve">jest zaniepokojony </w:t>
            </w:r>
            <w:r>
              <w:rPr>
                <w:b/>
                <w:i/>
              </w:rPr>
              <w:t>rosnącym wyzwaniem, jakim są międzynarodowe siatki przestępcze czerpiące korzyści z</w:t>
            </w:r>
            <w:r>
              <w:t xml:space="preserve"> handlu narkotykami </w:t>
            </w:r>
            <w:r>
              <w:rPr>
                <w:b/>
                <w:i/>
              </w:rPr>
              <w:t>oraz z innych przestępczych i</w:t>
            </w:r>
            <w:r>
              <w:t xml:space="preserve"> nielegalnych </w:t>
            </w:r>
            <w:r>
              <w:rPr>
                <w:b/>
                <w:i/>
              </w:rPr>
              <w:t>rynków</w:t>
            </w:r>
            <w:r>
              <w:t xml:space="preserve">; podkreśla potrzebę zacieśnienia wielostronnej współpracy w zwalczaniu tych zagrożeń </w:t>
            </w:r>
            <w:r>
              <w:rPr>
                <w:b/>
                <w:i/>
              </w:rPr>
              <w:t>poprzez wzmocnione</w:t>
            </w:r>
            <w:r>
              <w:t xml:space="preserve"> partnerstwo między UE a Ameryką Łacińska i Karaibami na rzecz sprawiedliwości i bezpieczeństwa oraz </w:t>
            </w:r>
            <w:r>
              <w:rPr>
                <w:b/>
                <w:i/>
              </w:rPr>
              <w:t>w oparciu o takie programy jak</w:t>
            </w:r>
            <w:r>
              <w:t xml:space="preserve"> EL PAcCTO 2.0</w:t>
            </w:r>
            <w:r>
              <w:rPr>
                <w:b/>
                <w:i/>
              </w:rPr>
              <w:t>, COPOLAD, EUROFRONT i program zwalczania nielegalnych przepływów na świecie (GFIP)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jest zaniepokojony wzrostem przestępczości zorganizowanej i handlu narkotykami w Ameryce Łacińskiej i na Karaibach oraz bezprecedensową ilością nielegalnych narkotyków przemycanych do UE z tego regionu; podkreśla potrzebę zacieśnienia wielostronnej współpracy w zwalczaniu tych zagrożeń w ramach inicjatyw takich jak partnerstwo między UE a Ameryką Łacińska i Karaibami na rzecz sprawiedliwości i bezpieczeństwa oraz EL </w:t>
            </w:r>
            <w:r>
              <w:rPr>
                <w:b/>
                <w:i/>
              </w:rPr>
              <w:t>PAcCTO</w:t>
            </w:r>
            <w:r>
              <w:t xml:space="preserve"> 2.0;</w:t>
            </w:r>
          </w:p>
        </w:tc>
        <w:tc>
          <w:tcPr>
            <w:tcW w:w="4876" w:type="dxa"/>
            <w:tcBorders>
              <w:top w:val="nil"/>
              <w:left w:val="nil"/>
              <w:bottom w:val="nil"/>
              <w:right w:val="nil"/>
            </w:tcBorders>
          </w:tcPr>
          <w:p>
            <w:pPr>
              <w:pStyle w:val="Normal6a"/>
            </w:pPr>
            <w:r>
              <w:t>12.</w:t>
            </w:r>
            <w:r>
              <w:tab/>
            </w:r>
            <w:r>
              <w:t>jest zaniepokojony wzrostem przestępczości zorganizowanej i handlu narkotykami w Ameryce Łacińskiej i na Karaibach oraz bezprecedensową ilością nielegalnych narkotyków przemycanych do UE z tego regionu</w:t>
            </w:r>
            <w:r>
              <w:rPr>
                <w:b/>
                <w:i/>
              </w:rPr>
              <w:t>;</w:t>
            </w:r>
            <w:r>
              <w:t xml:space="preserve"> </w:t>
            </w:r>
            <w:r>
              <w:rPr>
                <w:b/>
                <w:i/>
              </w:rPr>
              <w:t>a także ewentualną rolą przedsiębiorstw z UE w tym wzroście</w:t>
            </w:r>
            <w:r>
              <w:t xml:space="preserve">; podkreśla potrzebę zacieśnienia wielostronnej współpracy w zwalczaniu tych zagrożeń w ramach inicjatyw takich jak partnerstwo między UE a Ameryką Łacińska i Karaibami na rzecz sprawiedliwości i bezpieczeństwa oraz EL </w:t>
            </w:r>
            <w:r>
              <w:rPr>
                <w:b/>
                <w:i/>
              </w:rPr>
              <w:t>PACTO</w:t>
            </w:r>
            <w:r>
              <w:t xml:space="preserve">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jest zaniepokojony wzrostem przestępczości zorganizowanej i handlu narkotykami w Ameryce Łacińskiej i na Karaibach oraz bezprecedensową ilością nielegalnych narkotyków przemycanych do UE z tego regionu; podkreśla potrzebę zacieśnienia wielostronnej współpracy w zwalczaniu tych zagrożeń w ramach inicjatyw takich jak partnerstwo między UE a Ameryką Łacińska i Karaibami na rzecz sprawiedliwości i bezpieczeństwa oraz EL PAcCTO 2.0;</w:t>
            </w:r>
          </w:p>
        </w:tc>
        <w:tc>
          <w:tcPr>
            <w:tcW w:w="4876" w:type="dxa"/>
            <w:tcBorders>
              <w:top w:val="nil"/>
              <w:left w:val="nil"/>
              <w:bottom w:val="nil"/>
              <w:right w:val="nil"/>
            </w:tcBorders>
          </w:tcPr>
          <w:p>
            <w:pPr>
              <w:pStyle w:val="Normal6a"/>
            </w:pPr>
            <w:r>
              <w:t>12.</w:t>
            </w:r>
            <w:r>
              <w:tab/>
            </w:r>
            <w:r>
              <w:t>jest zaniepokojony wzrostem przestępczości zorganizowanej i handlu narkotykami w Ameryce Łacińskiej i na Karaibach oraz bezprecedensową ilością nielegalnych narkotyków przemycanych do UE z tego regionu</w:t>
            </w:r>
            <w:r>
              <w:rPr>
                <w:b/>
                <w:i/>
              </w:rPr>
              <w:t>, które w większości trafiają do Europy drogą morską</w:t>
            </w:r>
            <w:r>
              <w:t>; podkreśla potrzebę zacieśnienia wielostronnej współpracy w zwalczaniu tych zagrożeń w ramach inicjatyw takich jak partnerstwo między UE a Ameryką Łacińska i Karaibami na rzecz sprawiedliwości i bezpieczeństwa oraz EL PAcCTO 2.0;</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jest zaniepokojony wzrostem przestępczości zorganizowanej i handlu narkotykami w Ameryce Łacińskiej i na Karaibach oraz bezprecedensową ilością nielegalnych narkotyków przemycanych do UE z tego regionu; podkreśla potrzebę zacieśnienia wielostronnej współpracy w zwalczaniu tych zagrożeń w ramach inicjatyw takich jak partnerstwo między UE a Ameryką Łacińska i Karaibami na rzecz sprawiedliwości i bezpieczeństwa </w:t>
            </w:r>
            <w:r>
              <w:rPr>
                <w:b/>
                <w:i/>
              </w:rPr>
              <w:t>oraz</w:t>
            </w:r>
            <w:r>
              <w:t xml:space="preserve"> EL PAcCTO 2.0;</w:t>
            </w:r>
          </w:p>
        </w:tc>
        <w:tc>
          <w:tcPr>
            <w:tcW w:w="4876" w:type="dxa"/>
            <w:tcBorders>
              <w:top w:val="nil"/>
              <w:left w:val="nil"/>
              <w:bottom w:val="nil"/>
              <w:right w:val="nil"/>
            </w:tcBorders>
          </w:tcPr>
          <w:p>
            <w:pPr>
              <w:pStyle w:val="Normal6a"/>
            </w:pPr>
            <w:r>
              <w:t>12.</w:t>
            </w:r>
            <w:r>
              <w:tab/>
            </w:r>
            <w:r>
              <w:t>jest zaniepokojony wzrostem przestępczości zorganizowanej i handlu narkotykami w Ameryce Łacińskiej i na Karaibach oraz bezprecedensową ilością nielegalnych narkotyków przemycanych do UE z tego regionu</w:t>
            </w:r>
            <w:r>
              <w:rPr>
                <w:b/>
                <w:i/>
              </w:rPr>
              <w:t>, głównie przez tamtejsze porty</w:t>
            </w:r>
            <w:r>
              <w:t>; podkreśla potrzebę zacieśnienia wielostronnej współpracy w zwalczaniu tych zagrożeń w ramach inicjatyw takich jak partnerstwo między UE a Ameryką Łacińska i Karaibami na rzecz sprawiedliwości i bezpieczeństwa</w:t>
            </w:r>
            <w:r>
              <w:rPr>
                <w:b/>
                <w:i/>
              </w:rPr>
              <w:t>,</w:t>
            </w:r>
            <w:r>
              <w:t xml:space="preserve"> EL PAcCTO 2.0 </w:t>
            </w:r>
            <w:r>
              <w:rPr>
                <w:b/>
                <w:i/>
              </w:rPr>
              <w:t>oraz sojusz portów europejskich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jest zaniepokojony wzrostem przestępczości zorganizowanej i handlu narkotykami w </w:t>
            </w:r>
            <w:r>
              <w:rPr>
                <w:b/>
                <w:i/>
              </w:rPr>
              <w:t>Ameryce</w:t>
            </w:r>
            <w:r>
              <w:t xml:space="preserve"> Łacińskiej i </w:t>
            </w:r>
            <w:r>
              <w:rPr>
                <w:b/>
                <w:i/>
              </w:rPr>
              <w:t>na Karaibach</w:t>
            </w:r>
            <w:r>
              <w:t xml:space="preserve"> oraz bezprecedensową ilością nielegalnych narkotyków przemycanych do UE z tego regionu; podkreśla potrzebę zacieśnienia wielostronnej współpracy w zwalczaniu tych zagrożeń w ramach inicjatyw takich jak partnerstwo między UE a Ameryką Łacińska i Karaibami na rzecz sprawiedliwości i bezpieczeństwa oraz EL PAcCTO 2.0;</w:t>
            </w:r>
          </w:p>
        </w:tc>
        <w:tc>
          <w:tcPr>
            <w:tcW w:w="4876" w:type="dxa"/>
            <w:tcBorders>
              <w:top w:val="nil"/>
              <w:left w:val="nil"/>
              <w:bottom w:val="nil"/>
              <w:right w:val="nil"/>
            </w:tcBorders>
          </w:tcPr>
          <w:p>
            <w:pPr>
              <w:pStyle w:val="Normal6a"/>
            </w:pPr>
            <w:r>
              <w:t>12.</w:t>
            </w:r>
            <w:r>
              <w:tab/>
            </w:r>
            <w:r>
              <w:t xml:space="preserve">jest zaniepokojony wzrostem przestępczości zorganizowanej i handlu narkotykami w </w:t>
            </w:r>
            <w:r>
              <w:rPr>
                <w:b/>
                <w:i/>
              </w:rPr>
              <w:t>UE oraz w krajach Ameryki</w:t>
            </w:r>
            <w:r>
              <w:t xml:space="preserve"> Łacińskiej i </w:t>
            </w:r>
            <w:r>
              <w:rPr>
                <w:b/>
                <w:i/>
              </w:rPr>
              <w:t>Karaibów</w:t>
            </w:r>
            <w:r>
              <w:t xml:space="preserve"> oraz bezprecedensową ilością nielegalnych narkotyków przemycanych do UE z tego regionu; podkreśla potrzebę zacieśnienia wielostronnej współpracy w zwalczaniu tych zagrożeń w ramach inicjatyw takich jak partnerstwo między UE a Ameryką Łacińska i Karaibami na rzecz sprawiedliwości i bezpieczeństwa oraz EL PAcCTO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wzywa władze Republiki Dominikańskiej, aby przyczyniły się do wyjaśnienia rzeczywistego zakresu korupcyjnej „sieci Ábalos”, która dotyka rząd Hiszpanii i hiszpańską Socjalistyczną Partię Pracowników (PSOE);</w:t>
            </w:r>
            <w:r>
              <w:t xml:space="preserve"> </w:t>
            </w:r>
            <w:r>
              <w:rPr>
                <w:b/>
                <w:i/>
              </w:rPr>
              <w:t>przypomina, że sieć ta miała utworzyć aż 14 przedsiębiorstw w krajach karaibskich;</w:t>
            </w:r>
            <w:r>
              <w:t xml:space="preserve"> </w:t>
            </w:r>
            <w:r>
              <w:rPr>
                <w:b/>
                <w:i/>
              </w:rPr>
              <w:t>wyraża zdziwienie liczbą przystanków (118 lądowań w latach 2021–2024) wykonanych przez oficjalne statki powietrzne Falcon i Airbus hiszpańskiego rządu w Republice Dominikańskiej pomimo braku porozumienia między tymi dwoma krajami w sprawie tankowania paliwa;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wyraża zaniepokojenie nielegalnym obiegiem złota w Gujanie Francuskiej, która jest najbardziej oddalonym regionem UE;</w:t>
            </w:r>
            <w:r>
              <w:t xml:space="preserve"> </w:t>
            </w:r>
            <w:r>
              <w:rPr>
                <w:b/>
                <w:i/>
              </w:rPr>
              <w:t>wzywa rządy Brazylii i Surinamu do zacieśnienia współpracy z władzami francuskimi w celu zaradzenia tej kwestii, która ma katastrofalne skutki dla środowiska, w tym zanieczyszczeniu rtęcią i cyjankiem oraz nielegalnemu wylesianiu;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wyraża zaniepokojenie wiarygodnymi doniesieniami wskazującymi, że Federacja Rosyjska rekrutuje osoby z Ameryki Łacińskiej i Karaibów do udziału w wojnie w Ukrainie, często nie informując ich w pełni o prawdziwym charakterze tych zadań i związanych z nimi zagrożeniach;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Carlo Fidanza, Adam Bielan,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podkreśla znaczenie strategicznej współpracy ministrów spraw wewnętrznych lub ministrów bezpieczeństwa państw członkowskich UE oraz ministrów odpowiedzialnych za kwestie bezpieczeństwa w państwach członkowskich Komitetu Ameryki Łacińskiej ds. Bezpieczeństwa Wewnętrznego oraz wzmocnienia współpracy operacyjnej w zakresie egzekwowania prawa między UE a Ameryką Łacińską i Karaibami;</w:t>
            </w:r>
          </w:p>
        </w:tc>
        <w:tc>
          <w:tcPr>
            <w:tcW w:w="4876" w:type="dxa"/>
            <w:tcBorders>
              <w:top w:val="nil"/>
              <w:left w:val="nil"/>
              <w:bottom w:val="nil"/>
              <w:right w:val="nil"/>
            </w:tcBorders>
          </w:tcPr>
          <w:p>
            <w:pPr>
              <w:pStyle w:val="Normal6a"/>
            </w:pPr>
            <w:r>
              <w:t>13.</w:t>
            </w:r>
            <w:r>
              <w:tab/>
            </w:r>
            <w:r>
              <w:t>podkreśla znaczenie strategicznej współpracy ministrów spraw wewnętrznych lub ministrów bezpieczeństwa państw członkowskich UE oraz ministrów odpowiedzialnych za kwestie bezpieczeństwa w państwach członkowskich Komitetu Ameryki Łacińskiej ds. Bezpieczeństwa Wewnętrznego oraz wzmocnienia współpracy operacyjnej w zakresie egzekwowania prawa między UE a Ameryką Łacińską i Karaibami</w:t>
            </w:r>
            <w:r>
              <w:rPr>
                <w:b/>
                <w:i/>
              </w:rPr>
              <w:t>, w tym wspólnych inicjatyw w zakresie egzekwowania prawa i wymiany informacji wywiadowczych</w:t>
            </w:r>
            <w:r>
              <w:t xml:space="preserve">; </w:t>
            </w:r>
            <w:r>
              <w:rPr>
                <w:b/>
                <w:i/>
              </w:rPr>
              <w:t>z zadowoleniem przyjmuje konkretny wkład państw członkowskich w tym zakresie, np. włoską inicjatywę „Falcone-Borsellino”, która ma pomóc krajom Ameryki Łacińskiej i Karaibów w zwalczaniu międzynarodowej przestępczości zorganizowanej, zapewniając wsparcie i pomoc techniczną, szkolenia i dobre praktyki w dziedzinie sprawiedliwości i bezpieczeństwa;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podkreśla znaczenie strategicznej współpracy ministrów spraw wewnętrznych lub ministrów bezpieczeństwa państw członkowskich UE oraz ministrów odpowiedzialnych za kwestie bezpieczeństwa w państwach członkowskich Komitetu Ameryki Łacińskiej ds. Bezpieczeństwa Wewnętrznego oraz wzmocnienia współpracy operacyjnej w zakresie egzekwowania prawa między UE a Ameryką Łacińską i Karaibami;</w:t>
            </w:r>
          </w:p>
        </w:tc>
        <w:tc>
          <w:tcPr>
            <w:tcW w:w="4876" w:type="dxa"/>
            <w:tcBorders>
              <w:top w:val="nil"/>
              <w:left w:val="nil"/>
              <w:bottom w:val="nil"/>
              <w:right w:val="nil"/>
            </w:tcBorders>
          </w:tcPr>
          <w:p>
            <w:pPr>
              <w:pStyle w:val="Normal6a"/>
            </w:pPr>
            <w:r>
              <w:t>13.</w:t>
            </w:r>
            <w:r>
              <w:tab/>
            </w:r>
            <w:r>
              <w:t xml:space="preserve">podkreśla znaczenie strategicznej współpracy ministrów spraw wewnętrznych lub ministrów bezpieczeństwa państw członkowskich UE oraz ministrów odpowiedzialnych za kwestie bezpieczeństwa w państwach członkowskich Komitetu Ameryki Łacińskiej ds. Bezpieczeństwa Wewnętrznego oraz wzmocnienia współpracy operacyjnej w zakresie egzekwowania prawa między UE a Ameryką Łacińską i Karaibami; </w:t>
            </w:r>
            <w:r>
              <w:rPr>
                <w:b/>
                <w:i/>
              </w:rPr>
              <w:t>wyraża zaniepokojenie mianowaniem Armanda Benedettiego nowym ministrem spraw wewnętrznych Kolumbii w świetle zarzutów dotyczących przemocy domowej, do której doszło 30 czerwca 2024 r. w hotelu w Madrycie (Hiszpania);</w:t>
            </w:r>
            <w:r>
              <w:t xml:space="preserve"> </w:t>
            </w:r>
            <w:r>
              <w:rPr>
                <w:b/>
                <w:i/>
              </w:rPr>
              <w:t>wzywa władze hiszpańskie do wyjaśnienia, co się wydarzyło w tym dniu;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podkreśla znaczenie strategicznej współpracy ministrów spraw wewnętrznych lub ministrów bezpieczeństwa państw członkowskich UE oraz ministrów odpowiedzialnych za kwestie bezpieczeństwa w państwach członkowskich Komitetu Ameryki Łacińskiej ds. Bezpieczeństwa Wewnętrznego oraz wzmocnienia współpracy operacyjnej w zakresie egzekwowania prawa między UE a Ameryką Łacińską i Karaibami;</w:t>
            </w:r>
          </w:p>
        </w:tc>
        <w:tc>
          <w:tcPr>
            <w:tcW w:w="4876" w:type="dxa"/>
            <w:tcBorders>
              <w:top w:val="nil"/>
              <w:left w:val="nil"/>
              <w:bottom w:val="nil"/>
              <w:right w:val="nil"/>
            </w:tcBorders>
          </w:tcPr>
          <w:p>
            <w:pPr>
              <w:pStyle w:val="Normal6a"/>
            </w:pPr>
            <w:r>
              <w:t>13.</w:t>
            </w:r>
            <w:r>
              <w:tab/>
            </w:r>
            <w:r>
              <w:t>podkreśla znaczenie strategicznej współpracy ministrów spraw wewnętrznych lub ministrów bezpieczeństwa państw członkowskich UE oraz ministrów odpowiedzialnych za kwestie bezpieczeństwa w państwach członkowskich Komitetu Ameryki Łacińskiej ds. Bezpieczeństwa Wewnętrznego oraz wzmocnienia współpracy operacyjnej w zakresie egzekwowania prawa między UE a Ameryką Łacińską i Karaibami</w:t>
            </w:r>
            <w:r>
              <w:rPr>
                <w:b/>
                <w:i/>
              </w:rPr>
              <w:t>, apelując o podobne mechanizmy we współpracy z zakresie wymiaru sprawiedliwości i koordynacji zarządzania granicami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podkreśla znaczenie strategicznej współpracy ministrów spraw wewnętrznych lub ministrów bezpieczeństwa państw członkowskich UE oraz ministrów odpowiedzialnych za kwestie bezpieczeństwa w państwach członkowskich Komitetu Ameryki Łacińskiej ds. Bezpieczeństwa Wewnętrznego oraz wzmocnienia współpracy operacyjnej w zakresie egzekwowania prawa między UE a Ameryką Łacińską i Karaibami;</w:t>
            </w:r>
          </w:p>
        </w:tc>
        <w:tc>
          <w:tcPr>
            <w:tcW w:w="4876" w:type="dxa"/>
            <w:tcBorders>
              <w:top w:val="nil"/>
              <w:left w:val="nil"/>
              <w:bottom w:val="nil"/>
              <w:right w:val="nil"/>
            </w:tcBorders>
          </w:tcPr>
          <w:p>
            <w:pPr>
              <w:pStyle w:val="Normal6a"/>
            </w:pPr>
            <w:r>
              <w:t>13.</w:t>
            </w:r>
            <w:r>
              <w:tab/>
            </w:r>
            <w:r>
              <w:t>podkreśla znaczenie strategicznej współpracy ministrów spraw wewnętrznych lub ministrów bezpieczeństwa państw członkowskich UE oraz ministrów odpowiedzialnych za kwestie bezpieczeństwa w państwach członkowskich Komitetu Ameryki Łacińskiej ds. Bezpieczeństwa Wewnętrznego oraz wzmocnienia współpracy operacyjnej w zakresie egzekwowania prawa między UE a Ameryką Łacińską i Karaibami</w:t>
            </w:r>
            <w:r>
              <w:rPr>
                <w:b/>
                <w:i/>
              </w:rPr>
              <w:t>, apelując o podobne mechanizmy we współpracy z zakresie wymiaru sprawiedliwości i koordynacji zarządzania granicami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 zadowoleniem przyjmuje przyjęcie wspólnego oświadczenia i planu działania dotyczącego priorytetów współpracy operacyjnej na lata 2025–2026 w ramach trzeciego posiedzenia ministerialnego UE i Komitetu Ameryki Łacińskiej ds. Bezpieczeństwa Wewnętrznego, które odbyło się 6 marca br.;</w:t>
            </w:r>
            <w:r>
              <w:t xml:space="preserve"> </w:t>
            </w:r>
            <w:r>
              <w:rPr>
                <w:b/>
                <w:i/>
              </w:rPr>
              <w:t>z zadowoleniem przyjmuje pomysł ustanowienia partnerstwa między portami Ameryki Łacińskiej a sojuszem portów europejskich;</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wyraża głębokie zaniepokojenie umowami o współpracy w zakresie gromadzenia danych wywiadowczych, kontrwywiadu i energii podpisanymi w listopadzie 2024 r. między Federacją Rosyjską a Wenezuelą ze względu na ich skutki geopolityczne i potencjalne zagrożenia dla bezpieczeństwa regionalnego i międzynarodowego</w:t>
            </w:r>
            <w:r>
              <w:rPr>
                <w:b/>
                <w:i/>
                <w:vertAlign w:val="superscript"/>
              </w:rPr>
              <w:t>2a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https://www.themoscowtimes.com/2024/11/08/russia-signs-security-energy-deals-with-venezuela-a86944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wyraża głębokie zaniepokojenie umową o partnerstwie strategicznym podpisaną w maju 2025 r. między Federacją Rosyjską a Wenezuelą, w szczególności ze względu na jej potencjał w zakresie podważania bezpieczeństwa regionalnego, zwiększania wpływów geopolitycznych Rosji w Ameryce Łacińskiej i zachwiania istniejącą strukturą bezpieczeństwa międzynarodowego</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https://www.reuters.com/business/energy/putin-maduro-sign-strategic-partnership-agreement-2025-05-07/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z głębokim zaniepokojeniem podkreśla, że Federacja Rosyjska wykorzystuje antyimperialistyczną retorykę do dalszej destabilizacji sytuacji na Haiti i podsycania nastrojów antyamerykańskich, pogłębiając tym samym napięcia w regionie i podważając wysiłki na rzecz stabilności demokratycznej i współpracy międzynarodowej</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https://www.express.co.uk/news/world/1884027/haiti-russian-flag-putin-gangs-port-au-prince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 zadowoleniem przyjmuje wysiłki na rzecz wzmocnienia regionalnej współpracy w zakresie bezpieczeństwa poprzez rozszerzenie Komitetu Ameryki Łacińskiej ds. Bezpieczeństwa Wewnętrznego oraz ustanowienie Ameripolu jako sformalizowanego organu ścigania ułatwiającego koordynację transgraniczną;</w:t>
            </w:r>
          </w:p>
        </w:tc>
        <w:tc>
          <w:tcPr>
            <w:tcW w:w="4876" w:type="dxa"/>
            <w:tcBorders>
              <w:top w:val="nil"/>
              <w:left w:val="nil"/>
              <w:bottom w:val="nil"/>
              <w:right w:val="nil"/>
            </w:tcBorders>
          </w:tcPr>
          <w:p>
            <w:pPr>
              <w:pStyle w:val="Normal6a"/>
            </w:pPr>
            <w:r>
              <w:t>14.</w:t>
            </w:r>
            <w:r>
              <w:tab/>
            </w:r>
            <w:r>
              <w:t xml:space="preserve">z zadowoleniem przyjmuje wysiłki na rzecz wzmocnienia regionalnej współpracy w zakresie bezpieczeństwa poprzez rozszerzenie Komitetu Ameryki Łacińskiej ds. Bezpieczeństwa Wewnętrznego oraz ustanowienie Ameripolu jako sformalizowanego organu ścigania ułatwiającego koordynację transgraniczną; </w:t>
            </w:r>
            <w:r>
              <w:rPr>
                <w:b/>
                <w:i/>
              </w:rPr>
              <w:t>podkreśla potrzebę ratyfikacji traktatu ustanawiającego Ameripol, aby był on w pełni skuteczny, i wzywa państwa-sygnatariuszy do rozpoczęcia konstytucyjnych procedur ratyfikacji;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z zadowoleniem przyjmuje wysiłki na rzecz wzmocnienia regionalnej współpracy w zakresie </w:t>
            </w:r>
            <w:r>
              <w:rPr>
                <w:b/>
                <w:i/>
              </w:rPr>
              <w:t>bezpieczeństwa poprzez rozszerzenie Komitetu Ameryki Łacińskiej ds. Bezpieczeństwa Wewnętrznego oraz ustanowienie Ameripolu jako sformalizowanego organu ścigania ułatwiającego koordynację transgraniczną</w:t>
            </w:r>
            <w:r>
              <w:t>;</w:t>
            </w:r>
          </w:p>
        </w:tc>
        <w:tc>
          <w:tcPr>
            <w:tcW w:w="4876" w:type="dxa"/>
            <w:tcBorders>
              <w:top w:val="nil"/>
              <w:left w:val="nil"/>
              <w:bottom w:val="nil"/>
              <w:right w:val="nil"/>
            </w:tcBorders>
          </w:tcPr>
          <w:p>
            <w:pPr>
              <w:pStyle w:val="Normal6a"/>
            </w:pPr>
            <w:r>
              <w:t>14.</w:t>
            </w:r>
            <w:r>
              <w:tab/>
            </w:r>
            <w:r>
              <w:t xml:space="preserve">z zadowoleniem przyjmuje wysiłki na rzecz wzmocnienia regionalnej współpracy w zakresie </w:t>
            </w:r>
            <w:r>
              <w:rPr>
                <w:b/>
                <w:i/>
              </w:rPr>
              <w:t>budowania pokoju oraz propagowania i ochrony praw człowieka, zwłaszcza w odniesieniu do migrantów, uchodźców, kobiet, osób LGTBIQ+, ludów tubylczych i obrońców praw człowieka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podkreśla potrzebę zacieśnienia przez UE współpracy w zakresie zwalczania handlu narkotykami nie tylko z krajami produkującymi narkotyki, lecz także z krajami tranzytu w Ameryce Łacińskiej, takimi jak Argentyna, Urugwaj i Brazylia, aby wspólnie zapobiegać przemytowi narkotyków do Europy;</w:t>
            </w:r>
            <w:r>
              <w:t xml:space="preserve"> </w:t>
            </w:r>
            <w:r>
              <w:rPr>
                <w:b/>
                <w:i/>
              </w:rPr>
              <w:t>zachęca do rozwijania partnerstw operacyjnych i wymiany danych wywiadowczych z tymi krajami w ramach skoordynowanej strategii likwidacji siatek handlu narkotykami;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odrzuca politykę prezydenta USA Donalda Trumpa dotyczącą deportacji obywateli Ameryki Łacińskiej i Karaibów z USA, bez elementarnego poszanowania życia i godności ludzkiej, i zobowiązuje się do współpracy z krajami Ameryki Łacińskiej i Karaibów w celu zaradzenia skutkom tej nieludzkiej polityki;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zachęca Komisję do wzmocnienia wsparcia i rozszerzenia współpracy, a także do udoskonalenia ustaleń roboczych krajów partnerskich Ameryki Łacińskiej i Karaibów z odpowiednimi agencjami UE, w tym Europolem, Eurojustem i EUDA;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zachęca Komisję Europejską do wspierania i rozszerzania współpracy, a także do udoskonalenia ustaleń roboczych krajów partnerskich Ameryki Łacińskiej i Karaibów z odpowiednimi agencjami UE, w tym Europolem, Eurojustem i EUDA;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uznaje znaczenie CLASI – Komitetu Ameryki Łacińskiej ds. Bezpieczeństwa Wewnętrznego – w tworzeniu wspólnej i wspólnej struktury bezpieczeństwa w Ameryce Łacińskiej i na Karaibach;</w:t>
            </w:r>
            <w:r>
              <w:t xml:space="preserve"> </w:t>
            </w:r>
            <w:r>
              <w:rPr>
                <w:b/>
                <w:i/>
              </w:rPr>
              <w:t>podkreśla, że CLASI jest kluczowym instrumentem służącym poprawie integracji i skuteczności w walce z przestępczością w regionie i że ma ogromny potencjał rozwoju;</w:t>
            </w:r>
            <w:r>
              <w:t xml:space="preserve"> </w:t>
            </w:r>
            <w:r>
              <w:rPr>
                <w:b/>
                <w:i/>
              </w:rPr>
              <w:t>z zadowoleniem przyjmuje dalszą współpracę między UE a CLASI na szczeblu technicznym i ministerialnym, taką jak na posiedzeniu 6 marca 2025 r., ponieważ jest to optymalny sposób zapewnienia najlepszych synergii w kwestiach bezpieczeństwa między naszymi regionami;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podkreśla konieczność zajęcia się podstawowymi przyczynami przestępczości zorganizowanej, w tym korupcją, słabymi rządami i zjawiskiem nierówności społecznej, oraz opowiada się za podejściem łączącym egzekwowanie prawa z długoterminową polityką społeczną;</w:t>
            </w:r>
          </w:p>
        </w:tc>
        <w:tc>
          <w:tcPr>
            <w:tcW w:w="4876" w:type="dxa"/>
            <w:tcBorders>
              <w:top w:val="nil"/>
              <w:left w:val="nil"/>
              <w:bottom w:val="nil"/>
              <w:right w:val="nil"/>
            </w:tcBorders>
          </w:tcPr>
          <w:p>
            <w:pPr>
              <w:pStyle w:val="Normal6a"/>
            </w:pPr>
            <w:r>
              <w:t>15.</w:t>
            </w:r>
            <w:r>
              <w:tab/>
            </w:r>
            <w:r>
              <w:t xml:space="preserve">podkreśla konieczność zajęcia się podstawowymi przyczynami przestępczości zorganizowanej, w tym korupcją, słabymi rządami i zjawiskiem nierówności społecznej, oraz opowiada się za podejściem łączącym egzekwowanie prawa z długoterminową polityką społeczną </w:t>
            </w:r>
            <w:r>
              <w:rPr>
                <w:b/>
                <w:i/>
              </w:rPr>
              <w:t>i innymi strategiami międzysektorowymi, mając na celu podejście do bezpieczeństwa obywateli obejmujące całą administrację rządową i całe społeczeństwo</w:t>
            </w:r>
            <w:r>
              <w:t xml:space="preserve">; </w:t>
            </w:r>
            <w:r>
              <w:rPr>
                <w:b/>
                <w:i/>
              </w:rPr>
              <w:t>wskazuje na korzyści płynące z układów o stowarzyszeniu i innych umów dwustronnych między UE a krajami Ameryki Łacińskiej jako podstawowych narzędzi współpracy z krajami partnerskimi w zakresie eliminowania podstawowych przyczyn przestępczości zorganizowanej i zwalczania handlu narkotykami;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podkreśla konieczność zajęcia się podstawowymi przyczynami przestępczości zorganizowanej, w tym korupcją, słabymi rządami i zjawiskiem nierówności społecznej, oraz opowiada się za podejściem łączącym egzekwowanie prawa z długoterminową polityką społeczną;</w:t>
            </w:r>
          </w:p>
        </w:tc>
        <w:tc>
          <w:tcPr>
            <w:tcW w:w="4876" w:type="dxa"/>
            <w:tcBorders>
              <w:top w:val="nil"/>
              <w:left w:val="nil"/>
              <w:bottom w:val="nil"/>
              <w:right w:val="nil"/>
            </w:tcBorders>
          </w:tcPr>
          <w:p>
            <w:pPr>
              <w:pStyle w:val="Normal6a"/>
            </w:pPr>
            <w:r>
              <w:t>15.</w:t>
            </w:r>
            <w:r>
              <w:tab/>
            </w:r>
            <w:r>
              <w:t xml:space="preserve">podkreśla konieczność zajęcia się podstawowymi przyczynami przestępczości zorganizowanej, w tym korupcją, słabymi rządami i zjawiskiem nierówności społecznej, oraz opowiada się za podejściem łączącym egzekwowanie prawa z długoterminową polityką społeczną </w:t>
            </w:r>
            <w:r>
              <w:rPr>
                <w:b/>
                <w:i/>
              </w:rPr>
              <w:t>i innymi strategiami międzysektorowymi, mając na celu podejście do bezpieczeństwa obywateli obejmujące całą administrację rządową i całe społeczeństwo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podkreśla konieczność zajęcia się podstawowymi przyczynami przestępczości zorganizowanej, w tym korupcją, słabymi rządami i zjawiskiem nierówności społecznej, oraz opowiada się za podejściem </w:t>
            </w:r>
            <w:r>
              <w:rPr>
                <w:b/>
                <w:i/>
              </w:rPr>
              <w:t>łączącym egzekwowanie prawa z</w:t>
            </w:r>
            <w:r>
              <w:t xml:space="preserve"> długoterminową polityką społeczną;</w:t>
            </w:r>
          </w:p>
        </w:tc>
        <w:tc>
          <w:tcPr>
            <w:tcW w:w="4876" w:type="dxa"/>
            <w:tcBorders>
              <w:top w:val="nil"/>
              <w:left w:val="nil"/>
              <w:bottom w:val="nil"/>
              <w:right w:val="nil"/>
            </w:tcBorders>
          </w:tcPr>
          <w:p>
            <w:pPr>
              <w:pStyle w:val="Normal6a"/>
            </w:pPr>
            <w:r>
              <w:t>15.</w:t>
            </w:r>
            <w:r>
              <w:tab/>
            </w:r>
            <w:r>
              <w:t xml:space="preserve">podkreśla konieczność zajęcia się podstawowymi przyczynami przestępczości zorganizowanej, w tym korupcją, słabymi rządami i zjawiskiem nierówności społecznej, oraz opowiada się za podejściem </w:t>
            </w:r>
            <w:r>
              <w:rPr>
                <w:b/>
                <w:i/>
              </w:rPr>
              <w:t>opartym na prawach człowieka oraz natychmiastową i</w:t>
            </w:r>
            <w:r>
              <w:t xml:space="preserve"> długoterminową polityką społeczną </w:t>
            </w:r>
            <w:r>
              <w:rPr>
                <w:b/>
                <w:i/>
              </w:rPr>
              <w:t>w celu zmniejszenia ubóstwa, nierówności i gospodarki nieformalnej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zauważa istotne podobieństwa między wyzwaniami stojącymi przed Unią Europejską a sytuacją w Ameryce Łacińskiej i na Karaibach, w tym m.in. instrumentalizacją migracji przez reżimy autorytarne, destabilizacją regionów przygranicznych, wzrostem wpływów zewnętrznych aktorów autokratycznych oraz represyjną polityką władz na Kubie, w Wenezueli i Nikaragui;</w:t>
            </w:r>
            <w:r>
              <w:t xml:space="preserve"> </w:t>
            </w:r>
            <w:r>
              <w:rPr>
                <w:b/>
                <w:i/>
              </w:rPr>
              <w:t>podkreśla, że reżimy te wykorzystywały masową migrację jako narzędzie nacisku geopolitycznego, w szczególności wobec Stanów Zjednoczonych, co stanowi przykład stosowania presji hybrydowej znanej również w kontekście działań wobec UE;</w:t>
            </w:r>
            <w:r>
              <w:t xml:space="preserve"> </w:t>
            </w:r>
            <w:r>
              <w:rPr>
                <w:b/>
                <w:i/>
              </w:rPr>
              <w:t>apeluje o przyjęcie spójnej strategii unijnej wobec regionu, opartej na przeciwdziałaniu autorytaryzmowi, wspieraniu społeczeństw obywatelskich oraz współpracy z państwami Ameryki Łacińskiej i Karaibów, które podzielają wartości demokracji, wolności i rządów prawa;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podkreśla znaczenie Comisión Mixta Bilateral Dominico-Haitiana jako kluczowego mechanizmu współpracy międzynarodowej, solidarności i dialogu międzykulturowego między obydwoma krajami i ubolewa nad jego obecną bezczynnością;</w:t>
            </w:r>
            <w:r>
              <w:t xml:space="preserve"> </w:t>
            </w:r>
            <w:r>
              <w:rPr>
                <w:b/>
                <w:i/>
              </w:rPr>
              <w:t>apeluje o ponowne uruchomienie i wzmocnienie Comisión;</w:t>
            </w:r>
            <w:r>
              <w:t xml:space="preserve"> </w:t>
            </w:r>
            <w:r>
              <w:rPr>
                <w:b/>
                <w:i/>
              </w:rPr>
              <w:t>podkreśla potrzebę zapewnienia skutecznego, ustrukturyzowanego i przejrzystego udziału wszystkich zainteresowanych stron, ze szczególnym uwzględnieniem organizacji pozarządowych, oraz podkreśla, że w skład Comisión powinna wchodzić stała grupa robocza ds. dialogu międzykulturowego i praw człowieka w celu wspierania zrozumienia i współpracy między obydwoma krajami;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uznaje, że stosowana przez organy ścigania „metoda Bukele” położyła kres terrorowi gangów w Salwadorze i przekształciła ten kraj Ameryki Środkowej w jeden z najbezpieczniejszych na świecie, ze wskaźnikiem zabójstw wynoszącym 1,9 na 100 000 mieszkańców;</w:t>
            </w:r>
            <w:r>
              <w:t xml:space="preserve"> </w:t>
            </w:r>
            <w:r>
              <w:rPr>
                <w:b/>
                <w:i/>
              </w:rPr>
              <w:t>z zadowoleniem przyjmuje porozumienie w sprawie migracji między rządami Salwadoru i Stanów Zjednoczonych, które powinno służyć UE za przykład w obecnym kontekście poważnego kryzysu migracyjnego;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apeluje o zacieśnienie współpracy między UE a Ameryką Łacińską i Karaibami w celu przeciwdziałania kampaniom dezinformacyjnym i zagrożeniom hybrydowym, zwłaszcza tym pochodzącym z państw autorytarnych, takich jak Rosja i Chiny, które mają na celu podważenie instytucji demokratycznych, integralności wyborów i zaufania publicznego do obu regionów;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apeluje o wzmocnienie partnerstwa między UE a Ameryką Łacińską i Karaibami w oparciu o wzajemny szacunek, zrównoważony rozwój i wspólne wartości, aby uniknąć nowych form zależności lub wyzysku oraz zminimalizować wpływy zewnętrzne, które mogłyby prowadzić do asymetrycznych stosunków;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popiera współpracę między UE a Ameryką Łacińską i Karaibami w celu wzmocnienia stabilności politycznej i demokracji w całym regionie i na świecie;</w:t>
            </w:r>
            <w:r>
              <w:t xml:space="preserve"> </w:t>
            </w:r>
            <w:r>
              <w:rPr>
                <w:b/>
                <w:i/>
              </w:rPr>
              <w:t>podkreśla znaczenie zwalczania powiązań politycznych z korupcją i przestępczością zorganizowaną;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wyraża zaniepokojenie coraz bardziej agresywną retoryką rządu Wenezueli dotyczącą Gujany;</w:t>
            </w:r>
            <w:r>
              <w:t xml:space="preserve"> </w:t>
            </w:r>
            <w:r>
              <w:rPr>
                <w:b/>
                <w:i/>
              </w:rPr>
              <w:t>wzywa Wenezuelę do poszanowania uznanej na szczeblu międzynarodowym integralności terytorialnej Gujany;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podkreśla, że nasilające się represje, pogarszające się warunki w reżimach autokratycznych, a także pogłębiająca się niestabilność gospodarcza w niektórych częściach Ameryki Łacińskiej zmuszają wiele osób do ucieczki w poszukiwaniu ochrony, możliwości gospodarczych i podstawowych praw;</w:t>
            </w:r>
            <w:r>
              <w:t xml:space="preserve"> </w:t>
            </w:r>
            <w:r>
              <w:rPr>
                <w:b/>
                <w:i/>
              </w:rPr>
              <w:t>z zaniepokojeniem odnotowuje wynikające z tego masowe przesiedlenia i migrację transgraniczną w regionie;</w:t>
            </w:r>
            <w:r>
              <w:t xml:space="preserve"> </w:t>
            </w:r>
            <w:r>
              <w:rPr>
                <w:b/>
                <w:i/>
              </w:rPr>
              <w:t>podkreśla rosnącą presję humanitarną, społeczną i instytucjonalną, jaką wywiera to na demokratyczne kraje przyjmujące znaczną liczbę migrantów i osób ubiegających się o azyl;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z zadowoleniem przyjmuje niedawne wysiłki Meksyku mające na celu zintensyfikowanie walki z przestępczością zorganizowaną w związku z niepowodzeniem polityki poprzedniej administracji, a także odnotowuje pozytywne wyniki osiągnięte od czasu zmiany podejścia;</w:t>
            </w:r>
            <w:r>
              <w:t xml:space="preserve"> </w:t>
            </w:r>
            <w:r>
              <w:rPr>
                <w:b/>
                <w:i/>
              </w:rPr>
              <w:t>podkreśla, że walka z przestępczością zorganizowaną musi pozostać osadzona w ramach prawnych, i zaznacza, że eksterytorialna interwencja państw trzecich nie byłaby ani pożądana, ani produktywna;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w:t>
            </w:r>
            <w:r>
              <w:tab/>
            </w:r>
            <w:r>
              <w:rPr>
                <w:b/>
                <w:i/>
              </w:rPr>
              <w:t>zdecydowanie potępia pogłębiającą się współpracę między reżimami autorytarnymi w Hawanie oraz Moskwie i Mińsku, obejmującą zarówno bliską współpracę polityczną, wsparcie wojskowe, jak i zacieśnianie więzi gospodarczych, w tym udział Kuby jako obserwatora w strukturach Eurazjatyckiej Unii Gospodarczej (EUG), co dodatkowo oddala Kubę od międzynarodowych standardów demokracji i praw człowieka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popiera wspólne wysiłki UE i Ameryki Łacińskiej i Karaibów na rzecz zwalczania handlu narkotykami;</w:t>
            </w:r>
            <w:r>
              <w:t xml:space="preserve"> </w:t>
            </w:r>
            <w:r>
              <w:rPr>
                <w:b/>
                <w:i/>
              </w:rPr>
              <w:t>podkreśla znaczenie rozwoju technologii AI oraz ściślejszej współpracy portowej i administracyjnej w zwalczaniu handlu narkotykami;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podkreśla, że demokracja, praworządność oraz uczciwość i przejrzystość procesów wyborczych są podstawowymi filarami partnerstwa między UE a Ameryką Łacińską i Karaibami;</w:t>
            </w:r>
            <w:r>
              <w:t xml:space="preserve"> </w:t>
            </w:r>
            <w:r>
              <w:rPr>
                <w:b/>
                <w:i/>
              </w:rPr>
              <w:t>w obliczu rosnących zagrożeń hybrydowych i informacji wprowadzających w błąd podkreśla znaczenie ulepszenia programów w zakresie umiejętności cyfrowych, aby wzmocnić pozycję obywateli i wyposażyć ich w umiejętności krytycznego oceniania informacji online;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dostrzega alarmujące nasilenie kobietobójstwa w Ameryce Łacińskiej, które odzwierciedla utrzymujący się wzorzec przemocy ze względu na płeć spotęgowany nierównościami strukturalnymi, bezkarnością oraz brakiem skutecznej ochrony prawnej kobiet i dziewcząt;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z zadowoleniem przyjmuje stałą współpracę między UE a Ameryką Łacińską i Karaibami na rzecz demokracji, praw człowieka i dobrych rządów, </w:t>
            </w:r>
            <w:r>
              <w:rPr>
                <w:b/>
                <w:i/>
              </w:rPr>
              <w:t>przy czym unijne misje</w:t>
            </w:r>
            <w:r>
              <w:t xml:space="preserve"> obserwacji wyborów odgrywają kluczową rolę we wspieraniu uczciwych wyborów i zapewnianiu przejrzystości;</w:t>
            </w:r>
          </w:p>
        </w:tc>
        <w:tc>
          <w:tcPr>
            <w:tcW w:w="4876" w:type="dxa"/>
            <w:tcBorders>
              <w:top w:val="nil"/>
              <w:left w:val="nil"/>
              <w:bottom w:val="nil"/>
              <w:right w:val="nil"/>
            </w:tcBorders>
          </w:tcPr>
          <w:p>
            <w:pPr>
              <w:pStyle w:val="Normal6a"/>
            </w:pPr>
            <w:r>
              <w:t>16.</w:t>
            </w:r>
            <w:r>
              <w:tab/>
            </w:r>
            <w:r>
              <w:t xml:space="preserve">z zadowoleniem przyjmuje stałą współpracę między UE a Ameryką Łacińską i Karaibami na rzecz </w:t>
            </w:r>
            <w:r>
              <w:rPr>
                <w:b/>
                <w:i/>
              </w:rPr>
              <w:t>utrzymania i promowania</w:t>
            </w:r>
            <w:r>
              <w:t xml:space="preserve"> demokracji, praw człowieka i dobrych rządów, </w:t>
            </w:r>
            <w:r>
              <w:rPr>
                <w:b/>
                <w:i/>
              </w:rPr>
              <w:t>w tym za pośrednictwem unijnych misji</w:t>
            </w:r>
            <w:r>
              <w:t xml:space="preserve"> obserwacji wyborów</w:t>
            </w:r>
            <w:r>
              <w:rPr>
                <w:b/>
                <w:i/>
              </w:rPr>
              <w:t>, które</w:t>
            </w:r>
            <w:r>
              <w:t xml:space="preserve"> odgrywają kluczową rolę we wspieraniu uczciwych wyborów i zapewnianiu przejrzystości</w:t>
            </w:r>
            <w:r>
              <w:rPr>
                <w:b/>
                <w:i/>
              </w:rPr>
              <w:t>, o czym świadczą niedawne misje w Gwatemali, Paragwaju i Ekwadorze oraz zaplanowane misje w Boliwii, Gujanie i Hondurasie w 2025 r. oraz Peru i Kolumbii w 2026 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 zadowoleniem przyjmuje stałą współpracę między UE a Ameryką Łacińską i Karaibami na rzecz demokracji, praw człowieka i dobrych rządów, przy czym unijne misje obserwacji wyborów odgrywają kluczową rolę we wspieraniu uczciwych wyborów i zapewnianiu przejrzystości;</w:t>
            </w:r>
          </w:p>
        </w:tc>
        <w:tc>
          <w:tcPr>
            <w:tcW w:w="4876" w:type="dxa"/>
            <w:tcBorders>
              <w:top w:val="nil"/>
              <w:left w:val="nil"/>
              <w:bottom w:val="nil"/>
              <w:right w:val="nil"/>
            </w:tcBorders>
          </w:tcPr>
          <w:p>
            <w:pPr>
              <w:pStyle w:val="Normal6a"/>
            </w:pPr>
            <w:r>
              <w:t>16.</w:t>
            </w:r>
            <w:r>
              <w:tab/>
            </w:r>
            <w:r>
              <w:t xml:space="preserve">z zadowoleniem przyjmuje stałą współpracę między UE a Ameryką Łacińską i Karaibami na rzecz demokracji, praw człowieka i dobrych rządów, przy czym unijne misje obserwacji wyborów odgrywają kluczową rolę we wspieraniu uczciwych wyborów i zapewnianiu przejrzystości; </w:t>
            </w:r>
            <w:r>
              <w:rPr>
                <w:b/>
                <w:i/>
              </w:rPr>
              <w:t>wzywa Komisję do stosowania klauzul dotyczących praw człowieka w układach o stowarzyszeniu, jeśli stwierdzi rażące naruszenia praw człowieka;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 zadowoleniem przyjmuje stałą współpracę między UE a Ameryką Łacińską i Karaibami na rzecz demokracji, praw człowieka i dobrych rządów, przy czym unijne misje obserwacji wyborów odgrywają kluczową rolę we wspieraniu uczciwych wyborów i zapewnianiu przejrzystości;</w:t>
            </w:r>
          </w:p>
        </w:tc>
        <w:tc>
          <w:tcPr>
            <w:tcW w:w="4876" w:type="dxa"/>
            <w:tcBorders>
              <w:top w:val="nil"/>
              <w:left w:val="nil"/>
              <w:bottom w:val="nil"/>
              <w:right w:val="nil"/>
            </w:tcBorders>
          </w:tcPr>
          <w:p>
            <w:pPr>
              <w:pStyle w:val="Normal6a"/>
            </w:pPr>
            <w:r>
              <w:t>16.</w:t>
            </w:r>
            <w:r>
              <w:tab/>
            </w:r>
            <w:r>
              <w:t xml:space="preserve">z zadowoleniem przyjmuje stałą współpracę między UE a Ameryką Łacińską i Karaibami na rzecz demokracji, praw człowieka i dobrych rządów, przy czym unijne misje obserwacji wyborów odgrywają kluczową rolę we wspieraniu uczciwych wyborów i zapewnianiu przejrzystości; </w:t>
            </w:r>
            <w:r>
              <w:rPr>
                <w:b/>
                <w:i/>
              </w:rPr>
              <w:t>podkreśla, że współpraca w zakresie praw człowieka musi obejmować również wzmocnienie instytucji, niezależność sądów i powszechny dostęp do wymiaru sprawiedliwości, w tym ochronę obrońców praw człowieka i dziennikarzy;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z zadowoleniem przyjmuje stałą współpracę między UE a Ameryką Łacińską i Karaibami na rzecz demokracji, praw człowieka i dobrych rządów, </w:t>
            </w:r>
            <w:r>
              <w:rPr>
                <w:b/>
                <w:i/>
              </w:rPr>
              <w:t>przy czym</w:t>
            </w:r>
            <w:r>
              <w:t xml:space="preserve"> unijne misje obserwacji wyborów odgrywają kluczową rolę we wspieraniu uczciwych wyborów i zapewnianiu przejrzystości;</w:t>
            </w:r>
          </w:p>
        </w:tc>
        <w:tc>
          <w:tcPr>
            <w:tcW w:w="4876" w:type="dxa"/>
            <w:tcBorders>
              <w:top w:val="nil"/>
              <w:left w:val="nil"/>
              <w:bottom w:val="nil"/>
              <w:right w:val="nil"/>
            </w:tcBorders>
          </w:tcPr>
          <w:p>
            <w:pPr>
              <w:pStyle w:val="Normal6a"/>
            </w:pPr>
            <w:r>
              <w:t>16.</w:t>
            </w:r>
            <w:r>
              <w:tab/>
            </w:r>
            <w:r>
              <w:t xml:space="preserve">z zadowoleniem przyjmuje stałą współpracę między UE a Ameryką Łacińską i Karaibami na rzecz </w:t>
            </w:r>
            <w:r>
              <w:rPr>
                <w:b/>
                <w:i/>
              </w:rPr>
              <w:t>utrzymania i propagowania</w:t>
            </w:r>
            <w:r>
              <w:t xml:space="preserve"> demokracji, praw człowieka i dobrych rządów, </w:t>
            </w:r>
            <w:r>
              <w:rPr>
                <w:b/>
                <w:i/>
              </w:rPr>
              <w:t>w tym przez</w:t>
            </w:r>
            <w:r>
              <w:t xml:space="preserve"> unijne misje obserwacji wyborów</w:t>
            </w:r>
            <w:r>
              <w:rPr>
                <w:b/>
                <w:i/>
              </w:rPr>
              <w:t>, które</w:t>
            </w:r>
            <w:r>
              <w:t xml:space="preserve"> odgrywają kluczową rolę we wspieraniu uczciwych wyborów i zapewnianiu przejrzystości;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z zadowoleniem przyjmuje stałą współpracę między UE a Ameryką Łacińską i Karaibami na rzecz demokracji, praw człowieka i dobrych rządów, przy czym unijne misje</w:t>
            </w:r>
            <w:r>
              <w:t xml:space="preserve"> obserwacji wyborów </w:t>
            </w:r>
            <w:r>
              <w:rPr>
                <w:b/>
                <w:i/>
              </w:rPr>
              <w:t>odgrywają kluczową rolę we wspieraniu uczciwych wyborów i zapewnianiu przejrzystości</w:t>
            </w:r>
            <w:r>
              <w:t>;</w:t>
            </w:r>
          </w:p>
        </w:tc>
        <w:tc>
          <w:tcPr>
            <w:tcW w:w="4876" w:type="dxa"/>
            <w:tcBorders>
              <w:top w:val="nil"/>
              <w:left w:val="nil"/>
              <w:bottom w:val="nil"/>
              <w:right w:val="nil"/>
            </w:tcBorders>
          </w:tcPr>
          <w:p>
            <w:pPr>
              <w:pStyle w:val="Normal6a"/>
            </w:pPr>
            <w:r>
              <w:t>16.</w:t>
            </w:r>
            <w:r>
              <w:tab/>
            </w:r>
            <w:r>
              <w:rPr>
                <w:b/>
                <w:i/>
              </w:rPr>
              <w:t>sprzeciwia się wysyłaniu unijnych misji</w:t>
            </w:r>
            <w:r>
              <w:t xml:space="preserve"> obserwacji wyborów </w:t>
            </w:r>
            <w:r>
              <w:rPr>
                <w:b/>
                <w:i/>
              </w:rPr>
              <w:t>poza terytorium UE, postrzegając je jako sprzeniewierzenie funduszy i ingerencję w suwerenne sprawy państw trzecich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z całą mocą potępia próbę zabójstwa byłego kandydata na prezydenta Kolumbii Miguela Uribe Turbaya podczas spotkania politycznego w Bogocie w czerwcu 2025 r.;</w:t>
            </w:r>
            <w:r>
              <w:t xml:space="preserve"> </w:t>
            </w:r>
            <w:r>
              <w:rPr>
                <w:b/>
                <w:i/>
              </w:rPr>
              <w:t>w związku z tym z niepokojem przypomina zabójstwo kandydata na prezydenta Ekwadoru Fernanda Villavicencio w 2023 r. i ubolewa, że nie zidentyfikowano jeszcze zleceniodawców tego przestępstwa;</w:t>
            </w:r>
            <w:r>
              <w:t xml:space="preserve"> </w:t>
            </w:r>
            <w:r>
              <w:rPr>
                <w:b/>
                <w:i/>
              </w:rPr>
              <w:t>przypomina również o ataku nożownika na ówczesnego kandydata na prezydenta Brazylii Jaira Bolsonaro w 2018 r.;</w:t>
            </w:r>
            <w:r>
              <w:t xml:space="preserve"> </w:t>
            </w:r>
            <w:r>
              <w:rPr>
                <w:b/>
                <w:i/>
              </w:rPr>
              <w:t>potępia normalizowanie i romantyzowanie brutalnej retoryki wobec prawicowych polityków po obu stronach Atlantyku, które podsyca, a następnie uzasadnia takie ataki;</w:t>
            </w:r>
            <w:r>
              <w:t xml:space="preserve"> </w:t>
            </w:r>
            <w:r>
              <w:rPr>
                <w:b/>
                <w:i/>
              </w:rPr>
              <w:t>jako najbardziej widoczny przykład przywołuje próbę zabójstwa ówczesnego kandydata na prezydenta USA Donalda Trumpa podczas wiecu w Pensylwanii w lipcu 2024 r.;</w:t>
            </w:r>
            <w:r>
              <w:t xml:space="preserve"> </w:t>
            </w:r>
            <w:r>
              <w:rPr>
                <w:b/>
                <w:i/>
              </w:rPr>
              <w:t>przypomina, że niestety do podobnych napaści dochodziło również w UE, np. do próby zabójstwa premiera Słowacji Roberta Fico w maju 2024 r. lub powtarzających się ataków na polityków Alternatywy dla Niemiec, ostatnio do ataku nożownika na kandydata w wyborach lokalnych w Mannheim w czerwcu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zauważa, że Unia Europejska pozostaje nieskuteczna w kontekście wdrażania zapisów umowy o dialogu politycznym i współpracy (PDCA) z Kubą zarówno co do zasad i celów, jak i całego tytułu II odnoszącego się do demokracji, praw czlowieka i dobrych rządów;</w:t>
            </w:r>
            <w:r>
              <w:t xml:space="preserve"> </w:t>
            </w:r>
            <w:r>
              <w:rPr>
                <w:b/>
                <w:i/>
              </w:rPr>
              <w:t>wzywa do jej zawieszenia, w związku z permanentnym łamaniem przez kubański reżim podstawowych praw człowieka i brakiem jakichkolwiek postępów demokratycznych;</w:t>
            </w:r>
            <w:r>
              <w:t xml:space="preserve"> </w:t>
            </w:r>
            <w:r>
              <w:rPr>
                <w:b/>
                <w:i/>
              </w:rPr>
              <w:t>apeluje do Europejskiego Trybunału Obrachunkowego o przeprowadzenie szczegółowego audytu wdrażania umowy, ze szczególnym uwzględnieniem kwestii, czy środki finansowe pochodzące z budżetu UE nie trafiają – bezpośrednio lub pośrednio – do komunistycznego reżimu na Kubie, ani czy zapisy umowy PDCA nie prowadzą do jego politycznego lub gospodarczego wsparcia;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mając na uwadze, że wolność wypowiedzi i zgromadzeń to kluczowe elementy i czynniki sprzyjające demokratycznym, wolnym i uczestniczącym społeczeństwom;</w:t>
            </w:r>
            <w:r>
              <w:t xml:space="preserve"> </w:t>
            </w:r>
            <w:r>
              <w:rPr>
                <w:b/>
                <w:i/>
              </w:rPr>
              <w:t>podkreśla, że osłabienie niezależności sądów i praworządności, ataki na głosy opozycyjne i wolne media oraz ogólny regres demokracji w reżimach autokratycznych i nieliberalnych umożliwiają tym reżimom strategie legitymizacji, w tym przez zniesienie skutecznych kontroli egzekwowania represyjnych przepisów;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podkreśla kluczową rolę społeczeństwa obywatelskiego, obrońców praw człowieka i środowiska, ludów tubylczych i dziennikarzy w stosunkach między UE a Ameryką Łacińską i Karaibami;</w:t>
            </w:r>
            <w:r>
              <w:t xml:space="preserve"> </w:t>
            </w:r>
            <w:r>
              <w:rPr>
                <w:b/>
                <w:i/>
              </w:rPr>
              <w:t>wyraża głębokie zaniepokojenie ukierunkowanymi prześladowaniami, kryminalizacją, arbitralnymi zatrzymaniami i systematycznymi represjami wobec członków opozycji, ludów tubylczych, studentów, organizacji pozarządowych i przywódców religijnych w kilku krajach;</w:t>
            </w:r>
            <w:r>
              <w:t xml:space="preserve"> </w:t>
            </w:r>
            <w:r>
              <w:rPr>
                <w:b/>
                <w:i/>
              </w:rPr>
              <w:t>potępia nadużywanie prawa karnego do uciszania sprzeciwu i tłumienia uzasadnionej krytyki;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apeluje o skuteczne wdrożenie polityki równości płci umożliwiającej włączenie kobiet we wszystkie sfery życia politycznego, gospodarczego i społecznego;</w:t>
            </w:r>
            <w:r>
              <w:t xml:space="preserve"> </w:t>
            </w:r>
            <w:r>
              <w:rPr>
                <w:b/>
                <w:i/>
              </w:rPr>
              <w:t>podkreśla pilną potrzebę zwalczania kobietobójstwa, zagwarantowania kobietom bezpieczeństwa fizycznego i psychicznego, ułatwienia własności gruntów i zatrudnienia, zagwarantowania dostępu do edukacji oraz zapewnienia im zdrowia seksualnego i reprodukcyjnego oraz praw w tym zakresie;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z całą mocą potępia zabójstwa obrońców praw człowieka i systematyczne naruszanie wolności prasy, wolności wypowiedzi, wolności organizacji i organizacji pracy;</w:t>
            </w:r>
            <w:r>
              <w:t xml:space="preserve"> </w:t>
            </w:r>
            <w:r>
              <w:rPr>
                <w:b/>
                <w:i/>
              </w:rPr>
              <w:t>wzywa oba regiony do współpracy na rzecz ochrony obrońców praw człowieka i ich pracy w obu regionach;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podkreśla, jak ważne jest, aby reformy sądownictwa w krajach Ameryki Łacińskiej były prowadzone z poszanowaniem niezależności sądów i międzynarodowych standardów praworządności;</w:t>
            </w:r>
            <w:r>
              <w:t xml:space="preserve"> </w:t>
            </w:r>
            <w:r>
              <w:rPr>
                <w:b/>
                <w:i/>
              </w:rPr>
              <w:t>zachęca, aby takie reformy przyczyniały się do wzmocnienia demokratycznych rządów i utrzymania uczciwości w sądownictwie;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podkreśla powagę sytuacji na Kubie, gdzie państwo utrzymuje monopol na reprezentację społeczną i polityczną, systematycznie utrudniając tworzenie niezależnych organizacji społeczeństwa obywatelskiego;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uważa, że UE ma do odegrania ważną rolę we wspieraniu ruchów demokratycznych w represyjnych państwach komunistycznych i socjalistycznych, takich jak Kuba, Wenezuela i Nikaragua;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podkreśla potrzebę dalszej współpracy w celu zagwarantowania kobietom i osobom LGTBIQ+ prawa do życia wolnego od przemocy powodowanej seksizmem i nienawiścią wobec osób LGBT;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wzywa Komisję Europejską do objęcia obywateli Republiki Ekwadoru zniesieniem wiz krótkoterminowych Schengen;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zdecydowanie potępia niedawne działania ustawodawcze, które ograniczają działalność, finansowanie i niezależność organizacji pozarządowych, w tym przyjęcie w Salwadorze ustawy o regulacji zagranicznych agentów (Ley de Agentes Extranjeros), która nakłada nadmierne obciążenia regulacyjne, arbitralne sankcje gospodarcze oraz karne opodatkowanie na organizacje otrzymujące finansowanie międzynarodowe; zatwierdzenie w Wenezueli ustawy o nadzorze, regulacji, wykonywaniu i finansowaniu organizacji pozarządowych i powiązanych (Ley de Fiscalización, Regularización, Actuación y Financiamiento de las Organizaciones No Gubernamentales y Afines), która poważnie ogranicza autonomię społeczeństwa obywatelskiego poprzez szeroko zakrojone obowiązki rejestracyjne i sprawozdawcze; zmianę ustawy nr 27692 w Peru, rozszerzenie uprawnień peruwiańskiej Agencji Współpracy Międzynarodowej (APCI) w zakresie uznaniowego monitorowania i cenzurowania organizacji pozarządowych oraz arbitralne sankcjonowanie organizacji pozarządowych, które zapewniają doradztwo lub wspierają bądź finansują działania administracyjne lub sądowe przeciwko państwu peruwiańskiemu, oraz wprowadzenie w Paragwaju tzw. Ley Garrote, która wprowadza nieproporcjonalne ograniczenia prawa do pokojowych protestów i wolności zgromadzeń, co stanowi kolejny krok wstecz w zakresie swobód obywatelskich i demokratycznych w regionie;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potępia sądowe prześladowanie byłego prezydenta Brazylii Jaira Bolsonaro, jego zwolenników i członków opozycji wobec rządu Luli da Silvy przez sędziego Alexandre de Moraesa z Najwyższego Sądu Federalnego Brazylii;</w:t>
            </w:r>
            <w:r>
              <w:t xml:space="preserve"> </w:t>
            </w:r>
            <w:r>
              <w:rPr>
                <w:b/>
                <w:i/>
              </w:rPr>
              <w:t>potępia instrumentalizację wymiaru sprawiedliwości lub stosowanie wojny prawnej wobec kandydatów z sił patriotycznych i suwerennych po obu stronach Atlantyku;</w:t>
            </w:r>
            <w:r>
              <w:t xml:space="preserve"> </w:t>
            </w:r>
            <w:r>
              <w:rPr>
                <w:b/>
                <w:i/>
              </w:rPr>
              <w:t>w związku z tym potępia skazanie Marine Le Pen na pozbawienie mandatu i areszt domowy w ramach strategii mającej na celu uniemożliwienie jej kandydowania w wyborach prezydenckich we Francji w 2027 r. lub prowadzenia kampanii na rzecz Frontu Narodowego;</w:t>
            </w:r>
            <w:r>
              <w:t xml:space="preserve"> </w:t>
            </w:r>
            <w:r>
              <w:rPr>
                <w:b/>
                <w:i/>
              </w:rPr>
              <w:t>potępia również dyskwalifikację zwycięzcy wyborów prezydenckich w Rumunii w 2024 r. Calina Georgescu oraz bezprecedensowe unieważnienie tych wyborów;</w:t>
            </w:r>
            <w:r>
              <w:t xml:space="preserve"> </w:t>
            </w:r>
            <w:r>
              <w:rPr>
                <w:b/>
                <w:i/>
              </w:rPr>
              <w:t>z niepokojem odnosi się do oświadczeń byłego komisarza ds. rynku wewnętrznego Thierry’ego Bretona, który stwierdził, że UE zawiesiła wybory w Rumunii i może to zrobić ponownie w Niemczech w odpowiedzi na wzrost poparcia dla Alternatywy dla Niemiec;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w:t>
            </w:r>
            <w:r>
              <w:tab/>
            </w:r>
            <w:r>
              <w:rPr>
                <w:b/>
                <w:i/>
              </w:rPr>
              <w:t>domaga się od władz w Hawanie natychmiastowego i bezwarunkowego uwolnienia wszystkich ponad tysiąca więźniów politycznych, w tym José Daniela Ferrera, a także wszystkich obywateli uwięzionych wyłącznie za pokojowe wyrażanie swoich poglądów oraz sprzeciw wobec represyjnych działań reżimu;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krytykuje wprowadzenie surowych przepisów wymierzonych w organizacje pozarządowe przez kraje w regionie, zwłaszcza w Paragwaju i Nikaragui, które surowo regulują organizacje pozarządowe, a w niektórych przypadkach mogą doprowadzić do ich całkowitego zamknięcia;</w:t>
            </w:r>
            <w:r>
              <w:t xml:space="preserve"> </w:t>
            </w:r>
            <w:r>
              <w:rPr>
                <w:b/>
                <w:i/>
              </w:rPr>
              <w:t>popiera ważną pracę i działalność organizacji pozarządowych w AŁiK oraz apeluje o ich ochronę;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wzywa UE do wykorzystania globalnego systemu sankcji UE za naruszenia praw człowieka wobec osób odpowiedzialnych za naruszenia praw człowieka oraz do dalszego wykorzystywania unijnych środków ograniczających do nakładania sankcji na osoby, które stopniowo i w zakamuflowany sposób podważają demokrację i praworządność;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wzywa Komisję do oficjalnego i instytucjonalnego włączenia niezależnych przedstawicieli społeczeństwa obywatelskiego w dialog dotyczący praw człowieka między UE a Kubą;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podkreśla konieczność opracowania strategii gwarantujących prawa potomków Afrykańczyków i ludów tubylczych w Ameryce Łacińskiej;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ponownie potępia wykorzystywanie bezpaństwowości i wygnania jako broni przeciwko głosom sprzeciwu w Nikaragui;</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c.</w:t>
            </w:r>
            <w:r>
              <w:tab/>
            </w:r>
            <w:r>
              <w:rPr>
                <w:b/>
                <w:i/>
              </w:rPr>
              <w:t>zdecydowanie potępia ostatnie akty przemocy wymierzone w przeciwników politycznych w Kolumbii, w tym zamach na senatora Miguela Uribe Turbaya z centroprawicowej partii Centro Democrático (Centrum Demokratyczne), będącej największą partią opozycyjną w kraju, który niedawno ogłosił zamiar kandydowania w przyszłorocznych wyborach;</w:t>
            </w:r>
            <w:r>
              <w:t xml:space="preserve"> </w:t>
            </w:r>
            <w:r>
              <w:rPr>
                <w:b/>
                <w:i/>
              </w:rPr>
              <w:t>uważa, iż tego rodzaju ataki stanowią bezpośrednie zagrożenie dla fundamentów demokracji;</w:t>
            </w:r>
            <w:r>
              <w:t xml:space="preserve"> </w:t>
            </w:r>
            <w:r>
              <w:rPr>
                <w:b/>
                <w:i/>
              </w:rPr>
              <w:t>wzywa władze Kolumbii do powstrzymania się od używania podżegającej retoryki wobec przeciwników politycznych, ponieważ tego rodzaju narracja sprzyja dalszej polaryzacji i eskalacji napięć społecznych;</w:t>
            </w:r>
            <w:r>
              <w:t xml:space="preserve"> </w:t>
            </w:r>
            <w:r>
              <w:rPr>
                <w:b/>
                <w:i/>
              </w:rPr>
              <w:t>apeluje o przeprowadzenie niezależnego i przejrzystego śledztwa w celu ustalenia zarówno bezpośrednich sprawców, jak i zleceniodawców tego zamachu oraz innych ostatnich zabójstw motywowanych politycznie;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domaga się natychmiastowego uwolnienia byłej prezydent Boliwii i finalistki Nagrody im. Sacharowa Jeanine Áñez, która jest niesprawiedliwie uwięziona od 2021 r., a także uwolnienia gubernatora departamentu Santa Cruz Luisa Fernanda Camacho, tymczasowo aresztowanego od 2022 r., działacza na rzecz praw człowieka Fernanda Hamdana, aresztowanego w 2024 r. i około 300 więźniów politycznych w tym kraju;</w:t>
            </w:r>
            <w:r>
              <w:t xml:space="preserve"> </w:t>
            </w:r>
            <w:r>
              <w:rPr>
                <w:b/>
                <w:i/>
              </w:rPr>
              <w:t>domaga się, aby reżim Luisa Arce zaprzestał represji politycznych i sądowych;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potępia i zdecydowanie odrzuca powszechne prześladowania i represje reżimu Ortegi, skierowane w szczególności przeciwko grupom chrześcijańskim w tym kraju;</w:t>
            </w:r>
            <w:r>
              <w:t xml:space="preserve"> </w:t>
            </w:r>
            <w:r>
              <w:rPr>
                <w:b/>
                <w:i/>
              </w:rPr>
              <w:t>podkreśla potrzebę poszanowania wolności wyznania i wzywa Nikaraguę do zaprzestania represji wobec chrześcijan w tym kraju;</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wzywa władze do utrzymania praworządności i prawa do pokojowego zgromadzania się, do poszanowania sprawiedliwości proceduralnej oraz do zagwarantowania bezpieczeństwa i uczciwości sędziów i osób zatrzymanych w Gwatemali;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podkreśla konieczność opracowania strategii na rzecz lepszej ochrony życia i praw obrońców praw człowieka i działaczy na rzecz ochrony środowiska w całym regionie;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zwraca uwagę na niezwykle negatywny wpływ korupcji politycznej i podkreśla znaczenie niezawisłości sądownictwa;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potępia kampanię prześladowania zainicjowaną przez prezydenta Hondurasu Xiomarę Castro przeciwko opozycji i niezależnym instytucjom, w szczególności Krajowej Radzie Wyborczej (CNE);</w:t>
            </w:r>
            <w:r>
              <w:t xml:space="preserve"> </w:t>
            </w:r>
            <w:r>
              <w:rPr>
                <w:b/>
                <w:i/>
              </w:rPr>
              <w:t>zdecydowanie potępia groźby śmierci pod adresem dwóch z trzech członkiń CNE, Cossette López i Any Paoli Hall;</w:t>
            </w:r>
            <w:r>
              <w:t xml:space="preserve"> </w:t>
            </w:r>
            <w:r>
              <w:rPr>
                <w:b/>
                <w:i/>
              </w:rPr>
              <w:t>potępia w szczególności presję wywieraną na López przez członka CNE Marlona Ochoę i szefa wspólnych szefów sztabów sił zbrojnych Roosevelta Hernándeza;</w:t>
            </w:r>
            <w:r>
              <w:t xml:space="preserve"> </w:t>
            </w:r>
            <w:r>
              <w:rPr>
                <w:b/>
                <w:i/>
              </w:rPr>
              <w:t>obawia się, że ta kampania nacisków na organ wyborczy i wymierzonych w niego ingerencji ma na celu stworzenie podstaw dla oszustw w wyborach powszechnych zaplanowanych na 30 listopada 2025 r. na korzyść Rixi Moncady, obecnej sekretarz obrony i kandydatki wspieranej przez rząd;</w:t>
            </w:r>
            <w:r>
              <w:t xml:space="preserve"> </w:t>
            </w:r>
            <w:r>
              <w:rPr>
                <w:b/>
                <w:i/>
              </w:rPr>
              <w:t>przypomina, że UE jest kluczowym partnerem w udzielaniu pomocy finansowej Hondurasowi oraz że tylko na lata 2021–2024 UE przeznaczyła 128 mln EUR w ramach wieloletniego programu indykatywnego dla Hondurasu;</w:t>
            </w:r>
            <w:r>
              <w:t xml:space="preserve"> </w:t>
            </w:r>
            <w:r>
              <w:rPr>
                <w:b/>
                <w:i/>
              </w:rPr>
              <w:t>wzywa Komisję do zawieszenia pomocy dla Hondurasu, jeżeli rząd Castro nie zaprzestanie ataków na opozycję demokratyczną i ogólnie na praworządność, a w szczególności na CNE;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apeluje o bardziej zdecydowane zobowiązania na rzecz przestrzegania praw ludów tubylczych we wszystkich wymiarach współpracy UE i CELAC;</w:t>
            </w:r>
            <w:r>
              <w:t xml:space="preserve"> </w:t>
            </w:r>
            <w:r>
              <w:rPr>
                <w:b/>
                <w:i/>
              </w:rPr>
              <w:t>podkreśla pilną potrzebę zapewnienia dobrowolnej, uprzedniej i świadomej zgody zgodnie ze standardami międzynarodowymi oraz podkreśla, że wszystkie projekty i inicjatywy – publiczne lub prywatne, które bezpośrednio lub pośrednio wpływają na terytoria i społeczności tubylcze, prawa lub styl życia – muszą gwarantować konstruktywne, przejrzyste i pluralistyczne konsultacje;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podkreśla konieczność działania na rzecz bardziej demokratycznego i sprawiedliwego podziału gruntów w krajach Ameryki Łacińskiej i Karaibów oraz wzmocnienia ruchów ludności wiejskiej;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wyraża głębokie zaniepokojenie przyszłością Hondurasu w świetle niedawnych oświadczeń kandydatki na prezydenta Rixi Moncady, która zadeklarowała podziw „nie tylko dla Kuby, ale również dla Fidela Castro, emblematycznego lidera świata”, a także dla „walki” i „rządów” narodu kubańskiego;</w:t>
            </w:r>
            <w:r>
              <w:t xml:space="preserve"> </w:t>
            </w:r>
            <w:r>
              <w:rPr>
                <w:b/>
                <w:i/>
              </w:rPr>
              <w:t>przypomina Rixi Moncadzie, że Fidel Castro ustanowił dyktaturę, która – całkowicie lekceważąc prawa człowieka – od ponad sześćdziesięciu lat tyranizuje wyspę Kuby, oraz że naród kubańskiego kubański walczy jedynie o uwolnienie się spod tego jarzma;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zobowiązuje się do wspierania wysiłków państw Ameryki Łacińskiej i Karaibów na rzecz budowania pokoju, wzmacniania instytucji wymiaru sprawiedliwości i podejmowania procesów dotyczących prawdy, sprawiedliwości i zadośćuczynienia;</w:t>
            </w:r>
            <w:r>
              <w:t xml:space="preserve"> </w:t>
            </w:r>
            <w:r>
              <w:rPr>
                <w:b/>
                <w:i/>
              </w:rPr>
              <w:t>zwraca uwagę na potrzebę dalszego wspierania wdrażania porozumień pokojowych z FARC i działania rządu Kolumbii na rzecz położenia kresu przemocy i osiągnięcia sprawiedliwego i długotrwałego pokoju po konflikcie;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f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zobowiązuje się do podjęcia większych wysiłków politycznych i dyplomatycznych na rzecz zniesienia niesprawiedliwego embarga gospodarczego USA na Kubę, o czym wielokrotnie wspominało Zgromadzenie Ogólne ONZ;</w:t>
            </w:r>
            <w:r>
              <w:t xml:space="preserve"> </w:t>
            </w:r>
            <w:r>
              <w:rPr>
                <w:b/>
                <w:i/>
              </w:rPr>
              <w:t>oraz usunięcie nazwy wyspy z amerykańskiego wykazu państw sponsorujących terroryzm;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Współpraca parlamentarna</w:t>
            </w:r>
          </w:p>
        </w:tc>
        <w:tc>
          <w:tcPr>
            <w:tcW w:w="4876" w:type="dxa"/>
            <w:tcBorders>
              <w:top w:val="nil"/>
              <w:left w:val="nil"/>
              <w:bottom w:val="nil"/>
              <w:right w:val="nil"/>
            </w:tcBorders>
          </w:tcPr>
          <w:p>
            <w:pPr>
              <w:pStyle w:val="Normal6a"/>
            </w:pPr>
            <w:r>
              <w:t xml:space="preserve">Współpraca parlamentarna </w:t>
            </w:r>
            <w:r>
              <w:rPr>
                <w:b/>
                <w:i/>
              </w:rPr>
              <w:t>i stosunki międzyludzkie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Współpraca parlamentarna</w:t>
            </w:r>
          </w:p>
        </w:tc>
        <w:tc>
          <w:tcPr>
            <w:tcW w:w="4876" w:type="dxa"/>
            <w:tcBorders>
              <w:top w:val="nil"/>
              <w:left w:val="nil"/>
              <w:bottom w:val="nil"/>
              <w:right w:val="nil"/>
            </w:tcBorders>
          </w:tcPr>
          <w:p>
            <w:pPr>
              <w:pStyle w:val="Normal6a"/>
            </w:pPr>
            <w:r>
              <w:t xml:space="preserve">Współpraca parlamentarna </w:t>
            </w:r>
            <w:r>
              <w:rPr>
                <w:b/>
                <w:i/>
              </w:rPr>
              <w:t>i stosunki międzyludzkie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 zadowoleniem przyjmuje zbliżające się utworzenie Wspólnego Zgromadzenia Parlamentarnego Ameryki Środkowej i Unii Europejskiej, które będzie cenną platformą zacieśniania więzi i pogłębiania współpracy między tymi dwoma regionami;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Gabriel Mato,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z zadowoleniem przyjmuje pogłębienie współpracy parlamentarnej między UE a Ameryką Łacińską i Karaibami, w szczególności za pośrednictwem Europejsko-Latynoamerykańskiego Zgromadzenia Parlamentarnego, które prowadzi dialog na temat kluczowych kwestii, takich jak handel, bezpieczeństwo i zrównoważony rozwój;</w:t>
            </w:r>
          </w:p>
        </w:tc>
        <w:tc>
          <w:tcPr>
            <w:tcW w:w="4876" w:type="dxa"/>
            <w:tcBorders>
              <w:top w:val="nil"/>
              <w:left w:val="nil"/>
              <w:bottom w:val="nil"/>
              <w:right w:val="nil"/>
            </w:tcBorders>
          </w:tcPr>
          <w:p>
            <w:pPr>
              <w:pStyle w:val="Normal6a"/>
            </w:pPr>
            <w:r>
              <w:t>17.</w:t>
            </w:r>
            <w:r>
              <w:tab/>
            </w:r>
            <w:r>
              <w:t xml:space="preserve">z zadowoleniem przyjmuje pogłębienie współpracy parlamentarnej między UE a Ameryką Łacińską i Karaibami, w szczególności za pośrednictwem Europejsko-Latynoamerykańskiego Zgromadzenia Parlamentarnego, które prowadzi dialog na temat kluczowych kwestii, takich jak handel, bezpieczeństwo i zrównoważony rozwój; </w:t>
            </w:r>
            <w:r>
              <w:rPr>
                <w:b/>
                <w:i/>
              </w:rPr>
              <w:t>z zadowoleniem przyjmuje 16. sesję plenarną Eurolat w Limie w dniach 1–3 czerwca 2025 r. i jej wyniki;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z zadowoleniem przyjmuje pogłębienie współpracy parlamentarnej między UE a Ameryką Łacińską i Karaibami, w szczególności za pośrednictwem Europejsko-Latynoamerykańskiego Zgromadzenia Parlamentarnego, które </w:t>
            </w:r>
            <w:r>
              <w:rPr>
                <w:b/>
                <w:i/>
              </w:rPr>
              <w:t>prowadzi</w:t>
            </w:r>
            <w:r>
              <w:t xml:space="preserve"> dialog na temat kluczowych kwestii, takich jak handel, bezpieczeństwo i zrównoważony rozwój;</w:t>
            </w:r>
          </w:p>
        </w:tc>
        <w:tc>
          <w:tcPr>
            <w:tcW w:w="4876" w:type="dxa"/>
            <w:tcBorders>
              <w:top w:val="nil"/>
              <w:left w:val="nil"/>
              <w:bottom w:val="nil"/>
              <w:right w:val="nil"/>
            </w:tcBorders>
          </w:tcPr>
          <w:p>
            <w:pPr>
              <w:pStyle w:val="Normal6a"/>
            </w:pPr>
            <w:r>
              <w:t>17.</w:t>
            </w:r>
            <w:r>
              <w:tab/>
            </w:r>
            <w:r>
              <w:t xml:space="preserve">z zadowoleniem przyjmuje pogłębienie współpracy parlamentarnej między UE a Ameryką Łacińską i Karaibami, w szczególności za pośrednictwem Europejsko-Latynoamerykańskiego Zgromadzenia Parlamentarnego </w:t>
            </w:r>
            <w:r>
              <w:rPr>
                <w:b/>
                <w:i/>
              </w:rPr>
              <w:t>i Komisji Parlamentarnej Stowarzyszenia UE-Ameryka Środkowa oraz wspólnych komisji parlamentarnych z Chile i Meksykiem</w:t>
            </w:r>
            <w:r>
              <w:t xml:space="preserve">, które </w:t>
            </w:r>
            <w:r>
              <w:rPr>
                <w:b/>
                <w:i/>
              </w:rPr>
              <w:t>prowadzą</w:t>
            </w:r>
            <w:r>
              <w:t xml:space="preserve"> dialog na temat kluczowych kwestii, takich jak handel, bezpieczeństwo i zrównoważony rozwój;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z zadowoleniem przyjmuje pogłębienie współpracy parlamentarnej między UE a Ameryką Łacińską i Karaibami, w szczególności za pośrednictwem Europejsko-Latynoamerykańskiego Zgromadzenia Parlamentarnego, które prowadzi dialog na temat kluczowych kwestii, takich jak handel, bezpieczeństwo i zrównoważony rozwój;</w:t>
            </w:r>
          </w:p>
        </w:tc>
        <w:tc>
          <w:tcPr>
            <w:tcW w:w="4876" w:type="dxa"/>
            <w:tcBorders>
              <w:top w:val="nil"/>
              <w:left w:val="nil"/>
              <w:bottom w:val="nil"/>
              <w:right w:val="nil"/>
            </w:tcBorders>
          </w:tcPr>
          <w:p>
            <w:pPr>
              <w:pStyle w:val="Normal6a"/>
            </w:pPr>
            <w:r>
              <w:t>17.</w:t>
            </w:r>
            <w:r>
              <w:tab/>
            </w:r>
            <w:r>
              <w:t xml:space="preserve">z zadowoleniem przyjmuje pogłębienie współpracy parlamentarnej między UE a Ameryką Łacińską i Karaibami, w szczególności za pośrednictwem Europejsko-Latynoamerykańskiego Zgromadzenia Parlamentarnego, które prowadzi dialog na temat kluczowych kwestii, takich jak handel, bezpieczeństwo i zrównoważony rozwój; </w:t>
            </w:r>
            <w:r>
              <w:rPr>
                <w:b/>
                <w:i/>
              </w:rPr>
              <w:t>z zadowoleniem przyjmuje obchody 16. sesji plenarnej Zgromadzenia EuroLat w Limie (Peru) w dniach 1–3 czerwca 2025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z zadowoleniem przyjmuje pogłębienie</w:t>
            </w:r>
            <w:r>
              <w:t xml:space="preserve"> współpracy parlamentarnej </w:t>
            </w:r>
            <w:r>
              <w:rPr>
                <w:b/>
                <w:i/>
              </w:rPr>
              <w:t>między UE a Ameryką Łacińską i Karaibami, w szczególności za pośrednictwem Europejsko-Latynoamerykańskiego Zgromadzenia Parlamentarnego, które prowadzi dialog na temat kluczowych kwestii</w:t>
            </w:r>
            <w:r>
              <w:t xml:space="preserve">, takich jak </w:t>
            </w:r>
            <w:r>
              <w:rPr>
                <w:b/>
                <w:i/>
              </w:rPr>
              <w:t>handel, bezpieczeństwo i zrównoważony rozwój</w:t>
            </w:r>
            <w:r>
              <w:t>;</w:t>
            </w:r>
          </w:p>
        </w:tc>
        <w:tc>
          <w:tcPr>
            <w:tcW w:w="4876" w:type="dxa"/>
            <w:tcBorders>
              <w:top w:val="nil"/>
              <w:left w:val="nil"/>
              <w:bottom w:val="nil"/>
              <w:right w:val="nil"/>
            </w:tcBorders>
          </w:tcPr>
          <w:p>
            <w:pPr>
              <w:pStyle w:val="Normal6a"/>
            </w:pPr>
            <w:r>
              <w:t>17.</w:t>
            </w:r>
            <w:r>
              <w:tab/>
            </w:r>
            <w:r>
              <w:rPr>
                <w:b/>
                <w:i/>
              </w:rPr>
              <w:t>kwestionuje znaczenie platform</w:t>
            </w:r>
            <w:r>
              <w:t xml:space="preserve"> współpracy parlamentarnej, takich jak </w:t>
            </w:r>
            <w:r>
              <w:rPr>
                <w:b/>
                <w:i/>
              </w:rPr>
              <w:t>Europejsko-Latynoamerykańskie Zgromadzenie Parlamentarne, którego wartość dodana i wymierne wyniki pozostają ograniczone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podkreśla kluczową rolę, jaką Europejsko-Latynoamerykańskie Zgromadzenie Parlamentarne (EuroLat) odgrywa w zapewnianiu znacznego tempa i zacieśnianiu naszych stosunków, dostosowywaniu ich do nowych wyzwań geopolitycznych i ugruntowaniu ich z myślą o określeniu konkretnych celów i wymiernych rezultatów;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ponownie wyraża pełne poparcie dla tego Zgromadzenia i jego prac jako podstawowego i strategicznego elementu stosunków europejsko-latynoamerykańskich;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zwraca uwagę na kluczową rolę dyplomacji parlamentarnej we wzmacnianiu stosunków między obydwoma regionami poprzez ułatwianie bezpośredniego dialogu z parlamentami narodowymi i regionalnymi;</w:t>
            </w:r>
          </w:p>
        </w:tc>
        <w:tc>
          <w:tcPr>
            <w:tcW w:w="4876" w:type="dxa"/>
            <w:tcBorders>
              <w:top w:val="nil"/>
              <w:left w:val="nil"/>
              <w:bottom w:val="nil"/>
              <w:right w:val="nil"/>
            </w:tcBorders>
          </w:tcPr>
          <w:p>
            <w:pPr>
              <w:pStyle w:val="Normal6a"/>
            </w:pPr>
            <w:r>
              <w:t>18.</w:t>
            </w:r>
            <w:r>
              <w:tab/>
            </w:r>
            <w:r>
              <w:t xml:space="preserve">zwraca uwagę na kluczową rolę dyplomacji parlamentarnej we wzmacnianiu stosunków między obydwoma regionami poprzez ułatwianie bezpośredniego dialogu z parlamentami narodowymi i regionalnymi; </w:t>
            </w:r>
            <w:r>
              <w:rPr>
                <w:b/>
                <w:i/>
              </w:rPr>
              <w:t>proponuje zintensyfikowanie dyplomacji parlamentarnej w celu wspierania procesów przemian demokratycznych i wzmocnienia zdolności ustawodawczych w parlamentach Ameryki Łacińskiej, zwłaszcza w takich obszarach jak ochrona środowiska, równouprawnienie płci i cyfryzacja;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zwraca uwagę na kluczową rolę dyplomacji parlamentarnej we wzmacnianiu stosunków między obydwoma regionami poprzez ułatwianie bezpośredniego dialogu z parlamentami narodowymi i regionalnymi;</w:t>
            </w:r>
          </w:p>
        </w:tc>
        <w:tc>
          <w:tcPr>
            <w:tcW w:w="4876" w:type="dxa"/>
            <w:tcBorders>
              <w:top w:val="nil"/>
              <w:left w:val="nil"/>
              <w:bottom w:val="nil"/>
              <w:right w:val="nil"/>
            </w:tcBorders>
          </w:tcPr>
          <w:p>
            <w:pPr>
              <w:pStyle w:val="Normal6a"/>
            </w:pPr>
            <w:r>
              <w:t>18.</w:t>
            </w:r>
            <w:r>
              <w:tab/>
            </w:r>
            <w:r>
              <w:t xml:space="preserve">zwraca uwagę na kluczową rolę </w:t>
            </w:r>
            <w:r>
              <w:rPr>
                <w:b/>
                <w:i/>
              </w:rPr>
              <w:t>niewykluczającej</w:t>
            </w:r>
            <w:r>
              <w:t xml:space="preserve"> dyplomacji parlamentarnej we wzmacnianiu stosunków między obydwoma regionami poprzez ułatwianie bezpośredniego dialogu z parlamentami narodowymi i regionalnymi;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z zadowoleniem przyjmuje zbliżające się otwarcie biura Parlamentu Europejskiego w Panamie, które ma służyć organom i posłom do Parlamentu w ich współpracy z regionem i które symbolizuje naszą gotowość do ściślejszego towarzyszenia procesom regionalnym, ułatwiania dialogu politycznego oraz bycia obecnym, aktywnym i wiarygodnym partnerem;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apeluje o zwiększenie wsparcia i inwestycji w kluczową rolę sieci społeczeństwa obywatelskiego, inicjatyw międzyludzkich, mobilności młodzieży oraz Fundacji UE-Ameryka Łacińska i Karaiby w zacieśnianiu stosunków międzyregionalnych;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apeluje o zwiększenie wsparcia i inwestycji w kluczową rolę sieci społeczeństwa obywatelskiego, inicjatyw międzyludzkich, mobilności młodzieży oraz Fundacji UE-Ameryka Łacińska i Karaiby w zacieśnianiu stosunków międzyregionalnych;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Hermann Tertsch, Jorge Martín Frías,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wyraża zadowolenie w związku z posiedzeniem</w:t>
            </w:r>
            <w:r>
              <w:t xml:space="preserve"> UE oraz Wspólnoty Państw Ameryki Łacińskiej i Karaibów w 2023 r. </w:t>
            </w:r>
            <w:r>
              <w:rPr>
                <w:b/>
                <w:i/>
              </w:rPr>
              <w:t>oraz realizacją</w:t>
            </w:r>
            <w:r>
              <w:t xml:space="preserve"> inicjatyw w ramach planu działania UE i Wspólnoty na lata 2023–2025; podkreśla w związku z tym potrzebę </w:t>
            </w:r>
            <w:r>
              <w:rPr>
                <w:b/>
                <w:i/>
              </w:rPr>
              <w:t>przyjęcia nowego i ambitnego planu działania na szczycie</w:t>
            </w:r>
            <w:r>
              <w:t xml:space="preserve"> w 2025 r., </w:t>
            </w:r>
            <w:r>
              <w:rPr>
                <w:b/>
                <w:i/>
              </w:rPr>
              <w:t>który to plan jeszcze bardziej wzmocni partnerstwo i uwzględni najlepsze praktyki</w:t>
            </w:r>
            <w:r>
              <w:t>;</w:t>
            </w:r>
          </w:p>
        </w:tc>
        <w:tc>
          <w:tcPr>
            <w:tcW w:w="4876" w:type="dxa"/>
            <w:tcBorders>
              <w:top w:val="nil"/>
              <w:left w:val="nil"/>
              <w:bottom w:val="nil"/>
              <w:right w:val="nil"/>
            </w:tcBorders>
          </w:tcPr>
          <w:p>
            <w:pPr>
              <w:pStyle w:val="Normal6a"/>
            </w:pPr>
            <w:r>
              <w:t>19.</w:t>
            </w:r>
            <w:r>
              <w:tab/>
            </w:r>
            <w:r>
              <w:rPr>
                <w:b/>
                <w:i/>
              </w:rPr>
              <w:t>potępia udział Kuby, Wenezueli i Nikaragui w posiedzeniu</w:t>
            </w:r>
            <w:r>
              <w:t> UE oraz Wspólnoty Państw Ameryki Łacińskiej i Karaibów w 2023 r.</w:t>
            </w:r>
            <w:r>
              <w:rPr>
                <w:b/>
                <w:i/>
              </w:rPr>
              <w:t>;</w:t>
            </w:r>
            <w:r>
              <w:t xml:space="preserve"> </w:t>
            </w:r>
            <w:r>
              <w:rPr>
                <w:b/>
                <w:i/>
              </w:rPr>
              <w:t>potępia w szczególności fizyczną obecność Delcy Rodríguez w Brukseli pomimo nałożonych na nią ograniczeń w podróżowaniu i wjazdach do strefy Schengen;</w:t>
            </w:r>
            <w:r>
              <w:t xml:space="preserve"> </w:t>
            </w:r>
            <w:r>
              <w:rPr>
                <w:b/>
                <w:i/>
              </w:rPr>
              <w:t>ubolewa, że przewodnicząca Komisji Ursula von der Leyen, ówczesny przewodniczący Rady Europejskiej Charles Michel i ówczesny przewodniczący Rady UE Pedro Sánchez powitali Rodríguez, jakby była prawowitym przywódcą;</w:t>
            </w:r>
            <w:r>
              <w:t xml:space="preserve"> </w:t>
            </w:r>
            <w:r>
              <w:rPr>
                <w:b/>
                <w:i/>
              </w:rPr>
              <w:t>zwraca uwagę, że takie przyjęcie podważa deklarowaną przez UE obronę praw człowieka i praworządności;</w:t>
            </w:r>
            <w:r>
              <w:t xml:space="preserve"> </w:t>
            </w:r>
            <w:r>
              <w:rPr>
                <w:b/>
                <w:i/>
              </w:rPr>
              <w:t>przypomina, że Rodríguez po raz drugi bezkarnie dopuściła się rażącego naruszenia tych ograniczeń, przy czym pierwszym z nim była potajemna wizyta w Barajas w Hiszpanii w 2020 r., gdzie spotkała się z ówczesnym ministrem transportu rządu Sáncheza i jego zastępcą w Partii Socjalistycznej José Luisem Ábalosem, wobec którego toczy się obecnie dochodzenie w sprawie korupcji;</w:t>
            </w:r>
            <w:r>
              <w:t xml:space="preserve"> </w:t>
            </w:r>
            <w:r>
              <w:rPr>
                <w:b/>
                <w:i/>
              </w:rPr>
              <w:t>kwestionuje realizację</w:t>
            </w:r>
            <w:r>
              <w:t xml:space="preserve"> inicjatyw w ramach planu działania UE i Wspólnoty na lata 2023–2025 </w:t>
            </w:r>
            <w:r>
              <w:rPr>
                <w:b/>
                <w:i/>
              </w:rPr>
              <w:t>jako zasadniczo wadliwą;</w:t>
            </w:r>
            <w:r>
              <w:t xml:space="preserve"> </w:t>
            </w:r>
            <w:r>
              <w:rPr>
                <w:b/>
                <w:i/>
              </w:rPr>
              <w:t>przypomina w związku z tym, że Fidel Castro i Hugo Chávez promowali CELAC, aby osłabić Organizację Państw Amerykańskich (OPA)</w:t>
            </w:r>
            <w:r>
              <w:t xml:space="preserve">; podkreśla w związku z tym potrzebę </w:t>
            </w:r>
            <w:r>
              <w:rPr>
                <w:b/>
                <w:i/>
              </w:rPr>
              <w:t>wykluczenia Kuby, Wenezueli i Nikaragui ze szczytu</w:t>
            </w:r>
            <w:r>
              <w:t xml:space="preserve"> w 2025 r., </w:t>
            </w:r>
            <w:r>
              <w:rPr>
                <w:b/>
                <w:i/>
              </w:rPr>
              <w:t>jeśli ma on mieć jakąkolwiek wiarygodność</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wyraża zadowolenie w związku z posiedzeniem UE oraz Wspólnoty Państw Ameryki Łacińskiej i Karaibów w 2023 r. oraz realizacją inicjatyw w ramach planu działania UE i Wspólnoty na lata 2023–2025; podkreśla w związku z tym potrzebę przyjęcia nowego i ambitnego planu działania na szczycie w 2025 r., który to plan jeszcze bardziej wzmocni partnerstwo i uwzględni najlepsze praktyki;</w:t>
            </w:r>
          </w:p>
        </w:tc>
        <w:tc>
          <w:tcPr>
            <w:tcW w:w="4876" w:type="dxa"/>
            <w:tcBorders>
              <w:top w:val="nil"/>
              <w:left w:val="nil"/>
              <w:bottom w:val="nil"/>
              <w:right w:val="nil"/>
            </w:tcBorders>
          </w:tcPr>
          <w:p>
            <w:pPr>
              <w:pStyle w:val="Normal6a"/>
            </w:pPr>
            <w:r>
              <w:t>19.</w:t>
            </w:r>
            <w:r>
              <w:tab/>
            </w:r>
            <w:r>
              <w:t xml:space="preserve">wyraża zadowolenie w związku z posiedzeniem UE oraz Wspólnoty Państw Ameryki Łacińskiej i Karaibów w 2023 r. oraz realizacją inicjatyw w ramach planu działania UE i Wspólnoty na lata 2023–2025; </w:t>
            </w:r>
            <w:r>
              <w:rPr>
                <w:b/>
                <w:i/>
              </w:rPr>
              <w:t>pochwala ambicję organizowania szczytów co dwa lata;</w:t>
            </w:r>
            <w:r>
              <w:t xml:space="preserve"> podkreśla w związku z tym potrzebę przyjęcia nowego i ambitnego planu działania na szczycie w </w:t>
            </w:r>
            <w:r>
              <w:rPr>
                <w:b/>
                <w:i/>
              </w:rPr>
              <w:t>Santa Marta w Kolumbii 9-10 listopada</w:t>
            </w:r>
            <w:r>
              <w:t xml:space="preserve"> 2025 r., który to plan jeszcze bardziej wzmocni partnerstwo i uwzględni najlepsze praktyki;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wyraża zadowolenie w związku z posiedzeniem UE oraz Wspólnoty Państw Ameryki Łacińskiej i Karaibów w 2023 r. oraz realizacją inicjatyw w ramach planu działania UE i Wspólnoty na lata 2023–2025; podkreśla w związku z tym potrzebę przyjęcia nowego i ambitnego planu działania na szczycie w 2025 r., który to plan jeszcze bardziej wzmocni partnerstwo i uwzględni </w:t>
            </w:r>
            <w:r>
              <w:rPr>
                <w:b/>
                <w:i/>
              </w:rPr>
              <w:t>najlepsze praktyki</w:t>
            </w:r>
            <w:r>
              <w:t>;</w:t>
            </w:r>
          </w:p>
        </w:tc>
        <w:tc>
          <w:tcPr>
            <w:tcW w:w="4876" w:type="dxa"/>
            <w:tcBorders>
              <w:top w:val="nil"/>
              <w:left w:val="nil"/>
              <w:bottom w:val="nil"/>
              <w:right w:val="nil"/>
            </w:tcBorders>
          </w:tcPr>
          <w:p>
            <w:pPr>
              <w:pStyle w:val="Normal6a"/>
            </w:pPr>
            <w:r>
              <w:t>19.</w:t>
            </w:r>
            <w:r>
              <w:tab/>
            </w:r>
            <w:r>
              <w:t xml:space="preserve">wyraża zadowolenie w związku z posiedzeniem UE oraz Wspólnoty Państw Ameryki Łacińskiej i Karaibów w 2023 r. oraz realizacją inicjatyw w ramach planu działania UE i Wspólnoty na lata 2023–2025; podkreśla w związku z tym potrzebę przyjęcia nowego i ambitnego planu działania na szczycie w 2025 r., który to plan jeszcze bardziej wzmocni partnerstwo i uwzględni </w:t>
            </w:r>
            <w:r>
              <w:rPr>
                <w:b/>
                <w:i/>
              </w:rPr>
              <w:t>rosnącą liczbę partnerstw dwóch regionów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wyraża zadowolenie w związku z posiedzeniem UE oraz Wspólnoty Państw Ameryki Łacińskiej i Karaibów w 2023 r. oraz realizacją inicjatyw w ramach planu działania UE i Wspólnoty na lata 2023–2025; podkreśla w związku z tym potrzebę przyjęcia nowego i ambitnego planu działania na szczycie w 2025 r., który to plan jeszcze bardziej wzmocni partnerstwo i uwzględni </w:t>
            </w:r>
            <w:r>
              <w:rPr>
                <w:b/>
                <w:i/>
              </w:rPr>
              <w:t>najlepsze praktyki</w:t>
            </w:r>
            <w:r>
              <w:t>;</w:t>
            </w:r>
          </w:p>
        </w:tc>
        <w:tc>
          <w:tcPr>
            <w:tcW w:w="4876" w:type="dxa"/>
            <w:tcBorders>
              <w:top w:val="nil"/>
              <w:left w:val="nil"/>
              <w:bottom w:val="nil"/>
              <w:right w:val="nil"/>
            </w:tcBorders>
          </w:tcPr>
          <w:p>
            <w:pPr>
              <w:pStyle w:val="Normal6a"/>
            </w:pPr>
            <w:r>
              <w:t>19.</w:t>
            </w:r>
            <w:r>
              <w:tab/>
            </w:r>
            <w:r>
              <w:t xml:space="preserve">wyraża zadowolenie w związku z posiedzeniem UE oraz Wspólnoty Państw Ameryki Łacińskiej i Karaibów w 2023 r. oraz realizacją inicjatyw w ramach planu działania UE i Wspólnoty na lata 2023–2025; podkreśla w związku z tym potrzebę przyjęcia nowego i ambitnego planu działania na szczycie w 2025 r., który to plan jeszcze bardziej wzmocni partnerstwo i uwzględni </w:t>
            </w:r>
            <w:r>
              <w:rPr>
                <w:b/>
                <w:i/>
              </w:rPr>
              <w:t>rosnącą liczbę partnerstw dwóch regionów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wyraża zadowolenie w związku z posiedzeniem UE oraz Wspólnoty Państw Ameryki Łacińskiej i Karaibów w 2023 r. oraz realizacją inicjatyw w ramach planu działania UE i Wspólnoty na lata 2023–2025; podkreśla w związku z tym potrzebę przyjęcia nowego i ambitnego planu działania na szczycie w 2025 r., który to plan jeszcze bardziej wzmocni partnerstwo i uwzględni najlepsze praktyki;</w:t>
            </w:r>
          </w:p>
        </w:tc>
        <w:tc>
          <w:tcPr>
            <w:tcW w:w="4876" w:type="dxa"/>
            <w:tcBorders>
              <w:top w:val="nil"/>
              <w:left w:val="nil"/>
              <w:bottom w:val="nil"/>
              <w:right w:val="nil"/>
            </w:tcBorders>
          </w:tcPr>
          <w:p>
            <w:pPr>
              <w:pStyle w:val="Normal6a"/>
            </w:pPr>
            <w:r>
              <w:t>19.</w:t>
            </w:r>
            <w:r>
              <w:tab/>
            </w:r>
            <w:r>
              <w:t>wyraża zadowolenie w związku z posiedzeniem UE oraz Wspólnoty Państw Ameryki Łacińskiej i Karaibów w 2023 r. oraz realizacją inicjatyw w ramach planu działania UE i Wspólnoty na lata 2023–2025; podkreśla w związku z tym potrzebę przyjęcia nowego i ambitnego planu działania na szczycie w 2025 r., który to plan jeszcze bardziej wzmocni partnerstwo</w:t>
            </w:r>
            <w:r>
              <w:rPr>
                <w:b/>
                <w:i/>
              </w:rPr>
              <w:t>, umożliwi regularną organizację szczytów</w:t>
            </w:r>
            <w:r>
              <w:t xml:space="preserve"> i uwzględni najlepsze praktyki;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podkreśla, że zbliżający się szczyt UE-CELAC będzie miał kluczowe znaczenie dla konsolidacji więzi opartej na wspólnych wartościach i przedstawienia odnowionego multilateralizmu między Zachodem a globalnym Południem, a także będzie okazją do odnowienia naszego zaangażowania politycznego na najwyższym szczeblu i ustanowienia ambitnego i operacyjnego programu dla obu regionów;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wzywa strony do potwierdzenia zobowiązania do ustanowienia stałego mechanizmu monitorowania stosunków i zobowiązań UE-CELAC z udziałem wielu zainteresowanych stron;</w:t>
            </w:r>
            <w:r>
              <w:t xml:space="preserve"> </w:t>
            </w:r>
            <w:r>
              <w:rPr>
                <w:b/>
                <w:i/>
              </w:rPr>
              <w:t>podkreśla znaczenie zapewnienia znaczącego udziału społeczeństwa obywatelskiego zarówno UE, jak i Ameryki Łacińskiej i Karaibów w przygotowaniach do szczytu i w jego trakcie;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wzywa strony do wykorzystania udanych przykładów współpracy między UE a CELAC, takich jak protokół ustaleń w sprawie zintegrowanego zarządzania ryzykiem związanym z klęskami żywiołowymi podpisany 15 maja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uważa, że ten kolejny szczyt będzie doskonałą okazją do przedstawienia światu europejsko-latynoamerykańskiego głosu oraz do przypomnienia, że istnieje inna atlantycka przestrzeń wartości humanistycznych, współpracy i dialogu, które mogą przyczynić się do kształtowania bardziej zrównoważonego porządku międzynarodowego;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podkreśla potrzebę dalszego organizowania tych szczytów co dwa lata oraz zapewnienia większych struktur instytucjonalnych, zasobów i wiedzy technicznej, aby zapewnić ich organizowanie, powodzenie i osiągnięcie wymiernych celów.</w:t>
            </w:r>
            <w:r>
              <w:t xml:space="preserve"> </w:t>
            </w:r>
            <w:r>
              <w:rPr>
                <w:b/>
                <w:i/>
              </w:rPr>
              <w:t>w związku z tym apeluje o stworzenie stałej przestrzeni instytucjonalnej między szczytami, która umożliwi sprawniejszą koordynację, lepsze przygotowania i szybszą komunikację;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zwraca uwagę na potrzebę przyczynienia się do większej integracji regionalnej, która może nadać Ameryce Łacińskiej i Karaibom większą siłę w globalnym dyskursie, co jednoznacznie doprowadzi do bardziej płynnych stosunków między regionami;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wzywa strony do potwierdzenia na szczycie w listopadzie 2025 r. wspólnego zaangażowania na rzecz multilateralizmu i pokoju;</w:t>
            </w:r>
          </w:p>
        </w:tc>
        <w:tc>
          <w:tcPr>
            <w:tcW w:w="4876" w:type="dxa"/>
            <w:tcBorders>
              <w:top w:val="nil"/>
              <w:left w:val="nil"/>
              <w:bottom w:val="nil"/>
              <w:right w:val="nil"/>
            </w:tcBorders>
          </w:tcPr>
          <w:p>
            <w:pPr>
              <w:pStyle w:val="Normal6a"/>
            </w:pPr>
            <w:r>
              <w:t>20.</w:t>
            </w:r>
            <w:r>
              <w:tab/>
            </w:r>
            <w:r>
              <w:t xml:space="preserve">wzywa strony do potwierdzenia na szczycie w listopadzie 2025 r. wspólnego zaangażowania na rzecz </w:t>
            </w:r>
            <w:r>
              <w:rPr>
                <w:b/>
                <w:i/>
              </w:rPr>
              <w:t>pokoju,</w:t>
            </w:r>
            <w:r>
              <w:t xml:space="preserve"> multilateralizmu i </w:t>
            </w:r>
            <w:r>
              <w:rPr>
                <w:b/>
                <w:i/>
              </w:rPr>
              <w:t>wolnego handlu podczas szczytu w listopadzie 2025 r., przewidującego stopniowe tworzenie europejsko- latynoamerykańskiego i transatlantyckiego obszaru</w:t>
            </w:r>
            <w:r>
              <w:t xml:space="preserve"> pokoju</w:t>
            </w:r>
            <w:r>
              <w:rPr>
                <w:b/>
                <w:i/>
              </w:rPr>
              <w:t>, demokracji i dobrobytu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Hermann Tertsch, Jorge Martín Frías, Roberto Vannacci,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wzywa strony do </w:t>
            </w:r>
            <w:r>
              <w:rPr>
                <w:b/>
                <w:i/>
              </w:rPr>
              <w:t>potwierdzenia</w:t>
            </w:r>
            <w:r>
              <w:t xml:space="preserve"> na szczycie w listopadzie 2025 r. </w:t>
            </w:r>
            <w:r>
              <w:rPr>
                <w:b/>
                <w:i/>
              </w:rPr>
              <w:t>wspólnego zaangażowania na rzecz multilateralizmu i pokoju</w:t>
            </w:r>
            <w:r>
              <w:t>;</w:t>
            </w:r>
          </w:p>
        </w:tc>
        <w:tc>
          <w:tcPr>
            <w:tcW w:w="4876" w:type="dxa"/>
            <w:tcBorders>
              <w:top w:val="nil"/>
              <w:left w:val="nil"/>
              <w:bottom w:val="nil"/>
              <w:right w:val="nil"/>
            </w:tcBorders>
          </w:tcPr>
          <w:p>
            <w:pPr>
              <w:pStyle w:val="Normal6a"/>
            </w:pPr>
            <w:r>
              <w:t>20.</w:t>
            </w:r>
            <w:r>
              <w:tab/>
            </w:r>
            <w:r>
              <w:t xml:space="preserve">wzywa strony do </w:t>
            </w:r>
            <w:r>
              <w:rPr>
                <w:b/>
                <w:i/>
              </w:rPr>
              <w:t>potępienia dyktatur Kuby, Wenezueli i Nikaragui</w:t>
            </w:r>
            <w:r>
              <w:t xml:space="preserve"> na szczycie w listopadzie 2025 r.</w:t>
            </w:r>
            <w:r>
              <w:rPr>
                <w:b/>
                <w:i/>
              </w:rPr>
              <w:t>, a także regresu demokracji od lat w Iberoameryce, napędzanego przez te reżimy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Urmas Paet, Lucia Yar, Marie-Agnes Strack-Zimmermann, Hilde Vautmans,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wzywa strony do potwierdzenia na szczycie w listopadzie 2025 r. wspólnego zaangażowania na rzecz multilateralizmu i pokoju;</w:t>
            </w:r>
          </w:p>
        </w:tc>
        <w:tc>
          <w:tcPr>
            <w:tcW w:w="4876" w:type="dxa"/>
            <w:tcBorders>
              <w:top w:val="nil"/>
              <w:left w:val="nil"/>
              <w:bottom w:val="nil"/>
              <w:right w:val="nil"/>
            </w:tcBorders>
          </w:tcPr>
          <w:p>
            <w:pPr>
              <w:pStyle w:val="Normal6a"/>
            </w:pPr>
            <w:r>
              <w:t>20.</w:t>
            </w:r>
            <w:r>
              <w:tab/>
            </w:r>
            <w:r>
              <w:t xml:space="preserve">wzywa strony do potwierdzenia na szczycie w listopadzie 2025 r. wspólnego zaangażowania na rzecz multilateralizmu i pokoju </w:t>
            </w:r>
            <w:r>
              <w:rPr>
                <w:b/>
                <w:i/>
              </w:rPr>
              <w:t>i apeluje do nich o potwierdzenie poparcia dla poszanowania praworządności, międzynarodowego wymiaru sprawiedliwości, demokracji i praw człowieka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wzywa strony do potwierdzenia na szczycie w listopadzie 2025 r. wspólnego zaangażowania na rzecz multilateralizmu i pokoju;</w:t>
            </w:r>
          </w:p>
        </w:tc>
        <w:tc>
          <w:tcPr>
            <w:tcW w:w="4876" w:type="dxa"/>
            <w:tcBorders>
              <w:top w:val="nil"/>
              <w:left w:val="nil"/>
              <w:bottom w:val="nil"/>
              <w:right w:val="nil"/>
            </w:tcBorders>
          </w:tcPr>
          <w:p>
            <w:pPr>
              <w:pStyle w:val="Normal6a"/>
            </w:pPr>
            <w:r>
              <w:t>20.</w:t>
            </w:r>
            <w:r>
              <w:tab/>
            </w:r>
            <w:r>
              <w:t>wzywa strony do potwierdzenia na szczycie w listopadzie 2025 r. wspólnego zaangażowania na rzecz multilateralizmu</w:t>
            </w:r>
            <w:r>
              <w:rPr>
                <w:b/>
                <w:i/>
              </w:rPr>
              <w:t>, światowego porządku opartego na zasadach, integralności terytorialnej państw</w:t>
            </w:r>
            <w:r>
              <w:t xml:space="preserve"> i pokoju;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wzywa strony do potwierdzenia na szczycie w listopadzie 2025 r. wspólnego zaangażowania na rzecz multilateralizmu </w:t>
            </w:r>
            <w:r>
              <w:rPr>
                <w:b/>
                <w:i/>
              </w:rPr>
              <w:t>i</w:t>
            </w:r>
            <w:r>
              <w:t xml:space="preserve"> pokoju;</w:t>
            </w:r>
          </w:p>
        </w:tc>
        <w:tc>
          <w:tcPr>
            <w:tcW w:w="4876" w:type="dxa"/>
            <w:tcBorders>
              <w:top w:val="nil"/>
              <w:left w:val="nil"/>
              <w:bottom w:val="nil"/>
              <w:right w:val="nil"/>
            </w:tcBorders>
          </w:tcPr>
          <w:p>
            <w:pPr>
              <w:pStyle w:val="Normal6a"/>
            </w:pPr>
            <w:r>
              <w:t>20.</w:t>
            </w:r>
            <w:r>
              <w:tab/>
            </w:r>
            <w:r>
              <w:t>wzywa strony do potwierdzenia na szczycie w listopadzie 2025 r. wspólnego zaangażowania na rzecz multilateralizmu</w:t>
            </w:r>
            <w:r>
              <w:rPr>
                <w:b/>
                <w:i/>
              </w:rPr>
              <w:t>,</w:t>
            </w:r>
            <w:r>
              <w:t xml:space="preserve"> pokoju</w:t>
            </w:r>
            <w:r>
              <w:rPr>
                <w:b/>
                <w:i/>
              </w:rPr>
              <w:t>, demokracji, praw człowieka, sprawiedliwości społecznej i zrównoważonego rozwoju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zachęca do podjęcia działań na rzecz podnoszenia świadomości – zarówno wśród przywódców wojskowych i cywilnych, jak i wśród obywateli Ameryki Łacińskiej i Karaibów – na temat celów politycznych i strategicznych Rosji, Chin i Iranu;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wzywa strony do stanowczego potępienia trwającej rosyjskiej wojny napastniczej, w szczególności wszystkich poważnych naruszeń prawa międzynarodowego i międzynarodowego prawa humanitarnego;</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wzywa strony do stanowczego potępienia trwającej rosyjskiej wojny napastniczej, w szczególności wszystkich poważnych naruszeń prawa międzynarodowego i międzynarodowego prawa humanitarnego;</w:t>
            </w:r>
          </w:p>
        </w:tc>
        <w:tc>
          <w:tcPr>
            <w:tcW w:w="4876" w:type="dxa"/>
            <w:tcBorders>
              <w:top w:val="nil"/>
              <w:left w:val="nil"/>
              <w:bottom w:val="nil"/>
              <w:right w:val="nil"/>
            </w:tcBorders>
          </w:tcPr>
          <w:p>
            <w:pPr>
              <w:pStyle w:val="Normal6a"/>
            </w:pPr>
            <w:r>
              <w:t>21.</w:t>
            </w:r>
            <w:r>
              <w:tab/>
            </w:r>
            <w:r>
              <w:t xml:space="preserve">wzywa strony do stanowczego potępienia trwającej rosyjskiej wojny napastniczej, w szczególności wszystkich poważnych naruszeń prawa międzynarodowego i międzynarodowego prawa humanitarnego; </w:t>
            </w:r>
            <w:r>
              <w:rPr>
                <w:b/>
                <w:i/>
              </w:rPr>
              <w:t>wzywa strony do połączenia wysiłków na rzecz szybkiego osiągnięcia trwałego zawieszenia broni i interwencji humanitarnej w Strefie Gazy, uwolnienia wszystkich zakładników oraz wycofania Sił Obronnych Izraela ze Strefy Gazy i wszystkich okupowanych terytoriów;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wzywa strony do stanowczego potępienia trwającej rosyjskiej wojny napastniczej, w szczególności wszystkich poważnych naruszeń prawa międzynarodowego i międzynarodowego prawa humanitarnego;</w:t>
            </w:r>
          </w:p>
        </w:tc>
        <w:tc>
          <w:tcPr>
            <w:tcW w:w="4876" w:type="dxa"/>
            <w:tcBorders>
              <w:top w:val="nil"/>
              <w:left w:val="nil"/>
              <w:bottom w:val="nil"/>
              <w:right w:val="nil"/>
            </w:tcBorders>
          </w:tcPr>
          <w:p>
            <w:pPr>
              <w:pStyle w:val="Normal6a"/>
            </w:pPr>
            <w:r>
              <w:t>21.</w:t>
            </w:r>
            <w:r>
              <w:tab/>
            </w:r>
            <w:r>
              <w:t xml:space="preserve">wzywa strony do stanowczego potępienia trwającej rosyjskiej wojny napastniczej, w szczególności wszystkich poważnych naruszeń prawa międzynarodowego i międzynarodowego prawa humanitarnego; </w:t>
            </w:r>
            <w:r>
              <w:rPr>
                <w:b/>
                <w:i/>
              </w:rPr>
              <w:t>w związku z tym wzywa strony do dyplomatycznego, finansowego i wojskowego wspierania Ukrainy, która padła ofiarą wojny;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wzywa strony do stanowczego potępienia trwającej rosyjskiej wojny napastniczej, w szczególności wszystkich poważnych naruszeń prawa międzynarodowego i międzynarodowego prawa humanitarnego;</w:t>
            </w:r>
          </w:p>
        </w:tc>
        <w:tc>
          <w:tcPr>
            <w:tcW w:w="4876" w:type="dxa"/>
            <w:tcBorders>
              <w:top w:val="nil"/>
              <w:left w:val="nil"/>
              <w:bottom w:val="nil"/>
              <w:right w:val="nil"/>
            </w:tcBorders>
          </w:tcPr>
          <w:p>
            <w:pPr>
              <w:pStyle w:val="Normal6a"/>
            </w:pPr>
            <w:r>
              <w:t>21.</w:t>
            </w:r>
            <w:r>
              <w:tab/>
            </w:r>
            <w:r>
              <w:t xml:space="preserve">wzywa strony do stanowczego potępienia trwającej rosyjskiej wojny napastniczej, </w:t>
            </w:r>
            <w:r>
              <w:rPr>
                <w:b/>
                <w:i/>
              </w:rPr>
              <w:t>a także trwającego ludobójstwa i eksterminacji narodu palestyńskiego przez Izrael,</w:t>
            </w:r>
            <w:r>
              <w:t xml:space="preserve"> w szczególności wszystkich poważnych naruszeń </w:t>
            </w:r>
            <w:r>
              <w:rPr>
                <w:b/>
                <w:i/>
              </w:rPr>
              <w:t>przez ten kraj</w:t>
            </w:r>
            <w:r>
              <w:t xml:space="preserve"> prawa międzynarodowego i międzynarodowego prawa humanitarnego;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wzywa strony do stanowczego potępienia trwającej rosyjskiej wojny napastniczej, w szczególności wszystkich poważnych naruszeń prawa międzynarodowego i międzynarodowego prawa humanitarnego;</w:t>
            </w:r>
          </w:p>
        </w:tc>
        <w:tc>
          <w:tcPr>
            <w:tcW w:w="4876" w:type="dxa"/>
            <w:tcBorders>
              <w:top w:val="nil"/>
              <w:left w:val="nil"/>
              <w:bottom w:val="nil"/>
              <w:right w:val="nil"/>
            </w:tcBorders>
          </w:tcPr>
          <w:p>
            <w:pPr>
              <w:pStyle w:val="Normal6a"/>
            </w:pPr>
            <w:r>
              <w:t>21.</w:t>
            </w:r>
            <w:r>
              <w:tab/>
            </w:r>
            <w:r>
              <w:t>wzywa strony do stanowczego potępienia trwającej rosyjskiej wojny napastniczej, w szczególności wszystkich poważnych naruszeń prawa międzynarodowego i międzynarodowego prawa humanitarnego</w:t>
            </w:r>
            <w:r>
              <w:rPr>
                <w:b/>
                <w:i/>
              </w:rPr>
              <w:t>, a także wskazuje potrzebę poszanowania demokracji i praw człowieka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wzywa strony do stanowczego potępienia trwającej rosyjskiej wojny napastniczej</w:t>
            </w:r>
            <w:r>
              <w:t xml:space="preserve">, w szczególności </w:t>
            </w:r>
            <w:r>
              <w:rPr>
                <w:b/>
                <w:i/>
              </w:rPr>
              <w:t>wszystkich poważnych naruszeń prawa międzynarodowego i międzynarodowego prawa humanitarnego</w:t>
            </w:r>
            <w:r>
              <w:t>;</w:t>
            </w:r>
          </w:p>
        </w:tc>
        <w:tc>
          <w:tcPr>
            <w:tcW w:w="4876" w:type="dxa"/>
            <w:tcBorders>
              <w:top w:val="nil"/>
              <w:left w:val="nil"/>
              <w:bottom w:val="nil"/>
              <w:right w:val="nil"/>
            </w:tcBorders>
          </w:tcPr>
          <w:p>
            <w:pPr>
              <w:pStyle w:val="Normal6a"/>
            </w:pPr>
            <w:r>
              <w:t>21.</w:t>
            </w:r>
            <w:r>
              <w:tab/>
            </w:r>
            <w:r>
              <w:rPr>
                <w:b/>
                <w:i/>
              </w:rPr>
              <w:t>podkreśla, że szczyt UE-CELAC w listopadzie 2025 r. nie powinien być wykorzystywany do wydawania deklaracji motywowanych ideologią</w:t>
            </w:r>
            <w:r>
              <w:t xml:space="preserve">, w szczególności </w:t>
            </w:r>
            <w:r>
              <w:rPr>
                <w:b/>
                <w:i/>
              </w:rPr>
              <w:t>w kwestiach takich jak wojna w Ukrainie, które nie są objęte zamierzonym celem współpracy UE-Ameryka Łacińska i Karaiby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uważa, że ważne jest, aby UE oraz Ameryka Łacińska i Karaiby zgodziły się wspólnie realizować globalne inicjatywy ekologiczne, takie jak negocjacje w sprawie międzynarodowego traktatu, aby wyeliminować zanieczyszczenia tworzywami sztucznymi;</w:t>
            </w:r>
          </w:p>
        </w:tc>
        <w:tc>
          <w:tcPr>
            <w:tcW w:w="4876" w:type="dxa"/>
            <w:tcBorders>
              <w:top w:val="nil"/>
              <w:left w:val="nil"/>
              <w:bottom w:val="nil"/>
              <w:right w:val="nil"/>
            </w:tcBorders>
          </w:tcPr>
          <w:p>
            <w:pPr>
              <w:pStyle w:val="Normal6a"/>
            </w:pPr>
            <w:r>
              <w:t>22.</w:t>
            </w:r>
            <w:r>
              <w:tab/>
            </w:r>
            <w:r>
              <w:t xml:space="preserve">uważa, że ważne jest, aby UE oraz Ameryka Łacińska i Karaiby zgodziły się wspólnie realizować globalne inicjatywy ekologiczne, takie jak negocjacje w sprawie międzynarodowego traktatu, aby wyeliminować zanieczyszczenia tworzywami sztucznymi; </w:t>
            </w:r>
            <w:r>
              <w:rPr>
                <w:b/>
                <w:i/>
              </w:rPr>
              <w:t>oraz ustanowienie sprawiedliwych ram globalnego zarządzania w dziedzinie klimatu, w tym mechanizmów finansowania działań w związku ze zmianą klimatu dostosowanych do potrzeb krajów o średnim dochodzie;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Irene Montero, Merja Kyllönen, Pernando Barrena Arza,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uważa, że ważne jest, aby UE oraz Ameryka Łacińska i Karaiby zgodziły się wspólnie realizować globalne inicjatywy ekologiczne, takie jak negocjacje w sprawie międzynarodowego traktatu, aby wyeliminować zanieczyszczenia tworzywami sztucznymi;</w:t>
            </w:r>
          </w:p>
        </w:tc>
        <w:tc>
          <w:tcPr>
            <w:tcW w:w="4876" w:type="dxa"/>
            <w:tcBorders>
              <w:top w:val="nil"/>
              <w:left w:val="nil"/>
              <w:bottom w:val="nil"/>
              <w:right w:val="nil"/>
            </w:tcBorders>
          </w:tcPr>
          <w:p>
            <w:pPr>
              <w:pStyle w:val="Normal6a"/>
            </w:pPr>
            <w:r>
              <w:t>22.</w:t>
            </w:r>
            <w:r>
              <w:tab/>
            </w:r>
            <w:r>
              <w:t xml:space="preserve">uważa, że ważne jest, aby UE oraz Ameryka Łacińska i Karaiby zgodziły się wspólnie realizować globalne </w:t>
            </w:r>
            <w:r>
              <w:rPr>
                <w:b/>
                <w:i/>
              </w:rPr>
              <w:t>i sprawiedliwe społecznie</w:t>
            </w:r>
            <w:r>
              <w:t xml:space="preserve"> inicjatywy ekologiczne, takie jak negocjacje w sprawie międzynarodowego traktatu, aby wyeliminować zanieczyszczenia tworzywami sztucznymi;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podkreśla, że UE i Ameryka Łacińska i Karaiby powinny przyjąć nieideologiczne podejście do ochrony środowiska i zachęcać do zrównoważonego wykorzystywania zasobów naturalnych;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apeluje o większe zaangażowanie na rzecz edukacji, w tym poprzez zwiększenie liczby programów wymiany w ramach programu Erasmus+;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z zadowoleniem przyjmuje promowanie nowego międzyregionalnego paktu na rzecz opieki jako kluczowej inicjatywy na rzecz wspólnego promowania celów europejskiej strategii w dziedzinie opieki i zobowiązania z Buenos Aires;</w:t>
            </w:r>
            <w:r>
              <w:t xml:space="preserve"> </w:t>
            </w:r>
            <w:r>
              <w:rPr>
                <w:b/>
                <w:i/>
              </w:rPr>
              <w:t>w związku ze szczytem podkreśla potrzebę podjęcia międzyregionalnego zobowiązania do konsolidacji i finansowania kompleksowych systemów opieki, potraktowania tej inicjatywy priorytetowo w budżetach krajowych i sformułowania zobowiązania Unii Europejskiej do współpracy, z uwzględnieniem różnych poziomów rozwoju w obu regionach;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ponownie wzywa do znacznego zacieśnienia współpracy międzyregionalnej w zakresie zwalczania przestępczości zorganizowanej i przemytu narkotyków;</w:t>
            </w:r>
          </w:p>
        </w:tc>
        <w:tc>
          <w:tcPr>
            <w:tcW w:w="4876" w:type="dxa"/>
            <w:tcBorders>
              <w:top w:val="nil"/>
              <w:left w:val="nil"/>
              <w:bottom w:val="nil"/>
              <w:right w:val="nil"/>
            </w:tcBorders>
          </w:tcPr>
          <w:p>
            <w:pPr>
              <w:pStyle w:val="Normal6a"/>
            </w:pPr>
            <w:r>
              <w:t>24.</w:t>
            </w:r>
            <w:r>
              <w:tab/>
            </w:r>
            <w:r>
              <w:t>ponownie wzywa do znacznego zacieśnienia współpracy międzyregionalnej w zakresie zwalczania przestępczości zorganizowanej i przemytu narkotyków</w:t>
            </w:r>
            <w:r>
              <w:rPr>
                <w:b/>
                <w:i/>
              </w:rPr>
              <w:t>, w dążeniu do kompleksowego podejścia do bezpieczeństwa obywateli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ponownie wzywa do znacznego zacieśnienia współpracy międzyregionalnej w zakresie zwalczania przestępczości zorganizowanej i przemytu narkotyków;</w:t>
            </w:r>
          </w:p>
        </w:tc>
        <w:tc>
          <w:tcPr>
            <w:tcW w:w="4876" w:type="dxa"/>
            <w:tcBorders>
              <w:top w:val="nil"/>
              <w:left w:val="nil"/>
              <w:bottom w:val="nil"/>
              <w:right w:val="nil"/>
            </w:tcBorders>
          </w:tcPr>
          <w:p>
            <w:pPr>
              <w:pStyle w:val="Normal6a"/>
            </w:pPr>
            <w:r>
              <w:t>24.</w:t>
            </w:r>
            <w:r>
              <w:tab/>
            </w:r>
            <w:r>
              <w:t xml:space="preserve">ponownie wzywa do znacznego zacieśnienia współpracy międzyregionalnej w zakresie zwalczania przestępczości zorganizowanej i przemytu narkotyków </w:t>
            </w:r>
            <w:r>
              <w:rPr>
                <w:b/>
                <w:i/>
              </w:rPr>
              <w:t>w dążeniu do kompleksowego podejścia do bezpieczeństwa obywateli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ponownie wzywa do znacznego zacieśnienia współpracy międzyregionalnej w zakresie zwalczania przestępczości zorganizowanej </w:t>
            </w:r>
            <w:r>
              <w:rPr>
                <w:b/>
                <w:i/>
              </w:rPr>
              <w:t>i</w:t>
            </w:r>
            <w:r>
              <w:t xml:space="preserve"> przemytu narkotyków;</w:t>
            </w:r>
          </w:p>
        </w:tc>
        <w:tc>
          <w:tcPr>
            <w:tcW w:w="4876" w:type="dxa"/>
            <w:tcBorders>
              <w:top w:val="nil"/>
              <w:left w:val="nil"/>
              <w:bottom w:val="nil"/>
              <w:right w:val="nil"/>
            </w:tcBorders>
          </w:tcPr>
          <w:p>
            <w:pPr>
              <w:pStyle w:val="Normal6a"/>
            </w:pPr>
            <w:r>
              <w:t>24.</w:t>
            </w:r>
            <w:r>
              <w:tab/>
            </w:r>
            <w:r>
              <w:t>ponownie wzywa do znacznego zacieśnienia współpracy międzyregionalnej w zakresie zwalczania przestępczości zorganizowanej</w:t>
            </w:r>
            <w:r>
              <w:rPr>
                <w:b/>
                <w:i/>
              </w:rPr>
              <w:t>,</w:t>
            </w:r>
            <w:r>
              <w:t xml:space="preserve"> przemytu narkotyków </w:t>
            </w:r>
            <w:r>
              <w:rPr>
                <w:b/>
                <w:i/>
              </w:rPr>
              <w:t>i nielegalnej migracji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Davor Ivo Stier, Antonio López-Istúriz White, 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podkreśla, że zbliżający się szczyt z udziałem UE i Wspólnoty Państw Ameryki Łacińskiej i Karaibów stanowi okazję do utrzymania w mocy zasad państwa prawa, demokracji i praw człowieka, i postuluje, aby wszyscy uczestnicy trzymali się tych zasad;</w:t>
            </w:r>
            <w:r>
              <w:t xml:space="preserve"> </w:t>
            </w:r>
            <w:r>
              <w:rPr>
                <w:b/>
                <w:i/>
              </w:rPr>
              <w:t>wskazuje, że nie będzie to możliwe bez prawdziwie przejrzystego, wszechstronnego i znaczącego udziału społeczeństwa obywatelskiego;</w:t>
            </w:r>
            <w:r>
              <w:t xml:space="preserve"> </w:t>
            </w:r>
            <w:r>
              <w:rPr>
                <w:b/>
                <w:i/>
              </w:rPr>
              <w:t>wzywa szczyt UE-CELAC do wydania oświadczenia wzywającego do należytego poszanowania praw człowieka w obu regionach;</w:t>
            </w:r>
            <w:r>
              <w:t xml:space="preserve"> </w:t>
            </w:r>
            <w:r>
              <w:rPr>
                <w:b/>
                <w:i/>
              </w:rPr>
              <w:t>uważa, że aby poczynić znaczne postępy i osiągnąć wymierne postępy w zakresie zobowiązań, na szczyt UE-CELAC nie należy zapraszać przedstawicieli krajów autorytarnych, które utrzymały władzę poprzez oszustwa wyborcze lub użycie siły;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wzywa strony do potwierdzenia zdecydowanego i wspólnego zaangażowania na rzecz ambitnych działań w dziedzinie klimatu poprzez pełne i skuteczne wdrożenie porozumienia paryskiego;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podkreśla znaczenie aktywnego zaangażowania i konsultacji ze społeczeństwem obywatelskim i organizacjami pozarządowymi podczas szczytu;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zobowiązuje swoją przewodniczącą do przekazania niniejszej rezolucji Radzie, Komisji i wiceprzewodniczącemu Komisji / wysokiemu przedstawicielowi Unii do spraw zagranicznych i polityki bezpieczeństwa.</w:t>
            </w:r>
          </w:p>
        </w:tc>
        <w:tc>
          <w:tcPr>
            <w:tcW w:w="4876" w:type="dxa"/>
            <w:tcBorders>
              <w:top w:val="nil"/>
              <w:left w:val="nil"/>
              <w:bottom w:val="nil"/>
              <w:right w:val="nil"/>
            </w:tcBorders>
          </w:tcPr>
          <w:p>
            <w:pPr>
              <w:pStyle w:val="Normal6a"/>
            </w:pPr>
            <w:r>
              <w:t>25.</w:t>
            </w:r>
            <w:r>
              <w:tab/>
            </w:r>
            <w:r>
              <w:t xml:space="preserve">zobowiązuje swoją przewodniczącą do przekazania niniejszej rezolucji Radzie, Komisji i wiceprzewodniczącemu Komisji / wysokiemu przedstawicielowi Unii do spraw zagranicznych i polityki bezpieczeństwa </w:t>
            </w:r>
            <w:r>
              <w:rPr>
                <w:b/>
                <w:i/>
              </w:rPr>
              <w:t>oraz Europejskiemu Trybunałowi Obrachunkowemu</w:t>
            </w:r>
            <w:r>
              <w:t xml:space="preserve"> .</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774.524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200</w:t>
    </w:r>
    <w:r>
      <w:fldChar w:fldCharType="end"/>
    </w:r>
    <w:r>
      <w:t>/</w:t>
    </w:r>
    <w:r>
      <w:fldChar w:fldCharType="begin"/>
    </w:r>
    <w:r>
      <w:instrText xml:space="preserve"> NUMPAGES </w:instrText>
    </w:r>
    <w:r>
      <w:fldChar w:fldCharType="separate"/>
    </w:r>
    <w:r>
      <w:t>200</w:t>
    </w:r>
    <w:r>
      <w:fldChar w:fldCharType="end"/>
    </w:r>
    <w:r>
      <w:tab/>
    </w:r>
    <w:r>
      <w:rPr>
        <w:rStyle w:val="HideTWBExt"/>
      </w:rPr>
      <w:t>&lt;PathFdR&gt;</w:t>
    </w:r>
    <w:r>
      <w:t>AM\1323314PL.docx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AM\1323314PL.docx</w:t>
    </w:r>
    <w:r>
      <w:rPr>
        <w:rStyle w:val="HideTWBExt"/>
      </w:rPr>
      <w:t>&lt;/PathFdR&gt;</w:t>
    </w:r>
    <w:r>
      <w:tab/>
    </w:r>
    <w:r>
      <w:fldChar w:fldCharType="begin"/>
    </w:r>
    <w:r>
      <w:instrText xml:space="preserve"> PAGE </w:instrText>
    </w:r>
    <w:r>
      <w:fldChar w:fldCharType="separate"/>
    </w:r>
    <w:r>
      <w:t>199</w:t>
    </w:r>
    <w:r>
      <w:fldChar w:fldCharType="end"/>
    </w:r>
    <w:r>
      <w:t>/</w:t>
    </w:r>
    <w:r>
      <w:fldChar w:fldCharType="begin"/>
    </w:r>
    <w:r>
      <w:instrText xml:space="preserve"> NUMPAGES </w:instrText>
    </w:r>
    <w:r>
      <w:fldChar w:fldCharType="separate"/>
    </w:r>
    <w:r>
      <w:t>200</w:t>
    </w:r>
    <w:r>
      <w:fldChar w:fldCharType="end"/>
    </w:r>
    <w:r>
      <w:tab/>
    </w:r>
    <w:r>
      <w:t>PE</w:t>
    </w:r>
    <w:r>
      <w:rPr>
        <w:rStyle w:val="HideTWBExt"/>
      </w:rPr>
      <w:t>&lt;NoPE&gt;</w:t>
    </w:r>
    <w:r>
      <w:t>774.524</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AM\1323314PL.docx</w:t>
    </w:r>
    <w:r>
      <w:rPr>
        <w:rStyle w:val="HideTWBExt"/>
      </w:rPr>
      <w:t>&lt;/PathFdR&gt;</w:t>
    </w:r>
    <w:r>
      <w:tab/>
    </w:r>
    <w:r>
      <w:tab/>
    </w:r>
    <w:r>
      <w:t>PE</w:t>
    </w:r>
    <w:r>
      <w:rPr>
        <w:rStyle w:val="HideTWBExt"/>
      </w:rPr>
      <w:t>&lt;NoPE&gt;</w:t>
    </w:r>
    <w:r>
      <w:t>774.524</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val="0"/>
    </w:pPr>
    <w:rPr>
      <w:b/>
    </w:r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200</Pages>
  <Words>35253</Words>
  <Characters>224515</Characters>
  <Application>Microsoft Office Word</Application>
  <DocSecurity>0</DocSecurity>
  <Lines>1</Lines>
  <Paragraphs>3420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1323314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207490</vt:lpwstr>
  </property>
  <property fmtid="{D5CDD505-2E9C-101B-9397-08002B2CF9AE}" pid="7" name="dmxml.render.traceId">
    <vt:lpwstr>6866553163fc702ca809ef3e15aa5e84</vt:lpwstr>
  </property>
  <property fmtid="{D5CDD505-2E9C-101B-9397-08002B2CF9AE}" pid="8" name="FooterPath">
    <vt:lpwstr>AM\1323314PL.docx</vt:lpwstr>
  </property>
  <property fmtid="{D5CDD505-2E9C-101B-9397-08002B2CF9AE}" pid="9" name="PE Number">
    <vt:lpwstr>774.524</vt:lpwstr>
  </property>
  <property fmtid="{D5CDD505-2E9C-101B-9397-08002B2CF9AE}" pid="10" name="UID">
    <vt:lpwstr>eu.europa.europarl-DIN1-2025-0000124443_01.00-pl-01.00_text-xml</vt:lpwstr>
  </property>
</Properties>
</file>