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Europa-Parlamentet</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0.11pt">
                  <v:imagedata r:id="rId4" o:title=""/>
                </v:shape>
              </w:pict>
            </w:r>
          </w:p>
        </w:tc>
      </w:tr>
    </w:tbl>
    <w:p>
      <w:pPr>
        <w:pStyle w:val="LineTop"/>
      </w:pPr>
      <w:r>
        <w:t xml:space="preserve"> </w:t>
      </w:r>
    </w:p>
    <w:p>
      <w:pPr>
        <w:pStyle w:val="EPBody"/>
      </w:pPr>
      <w:r>
        <w:rPr>
          <w:rStyle w:val="HideTWBExt"/>
        </w:rPr>
        <w:t>&lt;Commission&gt;</w:t>
      </w:r>
      <w:r>
        <w:rPr>
          <w:rStyle w:val="HideTWBInt"/>
        </w:rPr>
        <w:t>{AFET}</w:t>
      </w:r>
      <w:r>
        <w:t>Udenrigsudvalget</w:t>
      </w:r>
      <w:r>
        <w:rPr>
          <w:rStyle w:val="HideTWBExt"/>
        </w:rPr>
        <w:t>&lt;/Commission&gt;</w:t>
      </w:r>
    </w:p>
    <w:p>
      <w:pPr>
        <w:pStyle w:val="LineBottom"/>
      </w:pPr>
      <w:r>
        <w:t xml:space="preserve"> </w:t>
      </w:r>
    </w:p>
    <w:p>
      <w:pPr>
        <w:pStyle w:val="CoverReference"/>
      </w:pPr>
      <w:r>
        <w:rPr>
          <w:rStyle w:val="HideTWBExt"/>
        </w:rPr>
        <w:t>&lt;RefProc&gt;</w:t>
      </w:r>
      <w:r>
        <w:t>2025/2082</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{10/09/2025}</w:t>
      </w:r>
      <w:r>
        <w:t>10.9.2025</w:t>
      </w:r>
      <w:r>
        <w:rPr>
          <w:rStyle w:val="HideTWBExt"/>
        </w:rPr>
        <w:t>&lt;/Date&gt;</w:t>
      </w:r>
    </w:p>
    <w:p>
      <w:pPr>
        <w:pStyle w:val="CoverDocType"/>
      </w:pPr>
      <w:r>
        <w:rPr>
          <w:rStyle w:val="HideTWBExt"/>
        </w:rPr>
        <w:t>&lt;TypeAM&gt;</w:t>
      </w:r>
      <w:r>
        <w:t>ÆNDRINGSFORSLAG</w:t>
      </w:r>
      <w:r>
        <w:rPr>
          <w:rStyle w:val="HideTWBExt"/>
        </w:rPr>
        <w:t>&lt;/TypeAM&gt;</w:t>
      </w:r>
    </w:p>
    <w:p>
      <w:pPr>
        <w:pStyle w:val="CoverDocType24a"/>
      </w:pPr>
      <w:r>
        <w:rPr>
          <w:rStyle w:val="HideTWBExt"/>
        </w:rPr>
        <w:t>&lt;RangeAM&gt;</w:t>
      </w:r>
      <w:r>
        <w:t>1</w:t>
      </w:r>
      <w:r>
        <w:t xml:space="preserve"> - </w:t>
      </w:r>
      <w:r>
        <w:t>212</w:t>
      </w:r>
      <w:r>
        <w:rPr>
          <w:rStyle w:val="HideTWBExt"/>
        </w:rPr>
        <w:t>&lt;/RangeAM&gt;</w:t>
      </w:r>
    </w:p>
    <w:p>
      <w:pPr>
        <w:pStyle w:val="CoverBold"/>
      </w:pPr>
      <w:r>
        <w:rPr>
          <w:rStyle w:val="HideTWBExt"/>
        </w:rPr>
        <w:t>&lt;TitreType&gt;</w:t>
      </w:r>
      <w:r>
        <w:t>Udkast til betænkning</w:t>
      </w:r>
      <w:r>
        <w:rPr>
          <w:rStyle w:val="HideTWBExt"/>
        </w:rPr>
        <w:t>&lt;/TitreType&gt;</w:t>
      </w:r>
    </w:p>
    <w:p>
      <w:pPr>
        <w:pStyle w:val="CoverBold"/>
      </w:pPr>
      <w:r>
        <w:rPr>
          <w:rStyle w:val="HideTWBExt"/>
        </w:rPr>
        <w:t>&lt;Rapporteur&gt;</w:t>
      </w:r>
      <w:r>
        <w:t>Hana Jalloul Muro</w:t>
      </w:r>
      <w:r>
        <w:rPr>
          <w:rStyle w:val="HideTWBExt"/>
        </w:rPr>
        <w:t>&lt;/Rapporteur&gt;</w:t>
      </w:r>
    </w:p>
    <w:p>
      <w:pPr>
        <w:pStyle w:val="CoverNormal24a"/>
      </w:pPr>
      <w:r>
        <w:rPr>
          <w:rStyle w:val="HideTWBExt"/>
        </w:rPr>
        <w:t>&lt;DocRefPE&gt;</w:t>
      </w:r>
      <w:r>
        <w:t>(PE775.425v01-00)</w:t>
      </w:r>
      <w:r>
        <w:rPr>
          <w:rStyle w:val="HideTWBExt"/>
        </w:rPr>
        <w:t>&lt;/DocRefPE&gt;</w:t>
      </w:r>
    </w:p>
    <w:p>
      <w:pPr>
        <w:pStyle w:val="CoverNormal"/>
      </w:pPr>
      <w:r>
        <w:rPr>
          <w:rStyle w:val="HideTWBExt"/>
        </w:rPr>
        <w:t>&lt;Titre&gt;</w:t>
      </w:r>
      <w:r>
        <w:t>Forbindelserne mellem EU og Saudi-Arabien</w:t>
      </w:r>
      <w:r>
        <w:rPr>
          <w:rStyle w:val="HideTWBExt"/>
        </w:rPr>
        <w:t>&lt;/Titre&gt;</w:t>
      </w:r>
    </w:p>
    <w:p>
      <w:pPr>
        <w:pStyle w:val="CoverNormal24a"/>
      </w:pPr>
      <w:r>
        <w:rPr>
          <w:rStyle w:val="HideTWBExt"/>
        </w:rPr>
        <w:t>&lt;DocRef&gt;</w:t>
      </w:r>
      <w:r>
        <w:t>(2025/2082(INI))</w:t>
      </w:r>
      <w:r>
        <w:rPr>
          <w:rStyle w:val="HideTWBExt"/>
        </w:rPr>
        <w:t>&lt;/DocRef&gt;</w:t>
      </w:r>
    </w:p>
    <w:p>
      <w:r>
        <w:br w:type="page"/>
      </w:r>
      <w:r>
        <w:t>AM_Com_NonLegReport</w:t>
      </w:r>
    </w:p>
    <w:p>
      <w:pPr>
        <w:pStyle w:val="AmNumberTabs"/>
      </w:pPr>
      <w:r>
        <w:br w:type="page"/>
      </w:r>
      <w:r>
        <w:rPr>
          <w:rStyle w:val="HideTWBExt"/>
        </w:rPr>
        <w:t>&lt;RepeatBlock-Amend&gt;</w:t>
      </w:r>
      <w:r>
        <w:rPr>
          <w:rStyle w:val="HideTWBExt"/>
        </w:rPr>
        <w:t>&lt;Amend&gt;</w:t>
      </w:r>
      <w:r>
        <w:t>Ændringsforslag</w:t>
      </w:r>
      <w:r>
        <w:tab/>
      </w:r>
      <w:r>
        <w:tab/>
      </w:r>
      <w:r>
        <w:rPr>
          <w:rStyle w:val="HideTWBExt"/>
        </w:rPr>
        <w:t>&lt;NumAm&gt;</w:t>
      </w:r>
      <w:r>
        <w:t>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sine tidligere beslutninger om Saudi-Arabien, navnlig beslutningen af 25. oktober 2018 om drabet på journalisten Jamal Khashoggi på det saudiarabiske konsulat i Istanbul og beslutningen af 8. juli 2021 om dødsstraf i Saudi-Arabien, navnlig sagerne om Mustafa Hashem al-Darwish og Abdullah al-Howaiti,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sine tidligere beslutninger om Saudi-Arabien, navnlig beslutningen af 11. februar 2021 om den humanitære og politiske situation i Yemen og beslutningen af 8. juli 2021 om dødsstraf i Saudi-Arabien, navnlig sagerne om Mustafa Hashem al-Darwish og Abdullah al-Howaiti,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FN's konvention om afskaffelse af alle former for diskrimination imod kvinder (CEDAW),</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c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EU's retningslinjer vedrørende menneskerettighedsforkæmpere,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1 d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den globale EU‑ordning for menneskerettighedssanktioner,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w:t>
            </w:r>
            <w:r>
              <w:tab/>
            </w:r>
            <w:r>
              <w:t xml:space="preserve">der henviser til den fælles erklæring fra </w:t>
            </w:r>
            <w:r>
              <w:rPr>
                <w:b/>
                <w:i/>
              </w:rPr>
              <w:t>topmødet</w:t>
            </w:r>
            <w:r>
              <w:t xml:space="preserve"> mellem Den Europæiske Union og Golfstaternes Samarbejdsråd den 16. oktober 2024,</w:t>
            </w:r>
          </w:p>
        </w:tc>
        <w:tc>
          <w:tcPr>
            <w:tcW w:w="4876" w:type="dxa"/>
            <w:tcBorders>
              <w:top w:val="nil"/>
              <w:left w:val="nil"/>
              <w:bottom w:val="nil"/>
              <w:right w:val="nil"/>
            </w:tcBorders>
          </w:tcPr>
          <w:p>
            <w:pPr>
              <w:pStyle w:val="Normal6a"/>
            </w:pPr>
            <w:r>
              <w:t>–</w:t>
            </w:r>
            <w:r>
              <w:tab/>
            </w:r>
            <w:r>
              <w:t xml:space="preserve">der henviser til den fælles erklæring fra </w:t>
            </w:r>
            <w:r>
              <w:rPr>
                <w:b/>
                <w:i/>
              </w:rPr>
              <w:t>det første topmøde</w:t>
            </w:r>
            <w:r>
              <w:t xml:space="preserve"> mellem Den Europæiske Union og Golfstaternes Samarbejdsråd den 16. oktober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Henvisning 5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der henviser til samarbejdsaftalen af 3. oktober 2021 mellem EU-Udenrigstjenesten og Kongeriget Saudi-Arabiens udenrigsministerium,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der henviser til, at Saudi-Arabien er en vigtig bilateral og regional partner for EU;</w:t>
            </w:r>
          </w:p>
        </w:tc>
        <w:tc>
          <w:tcPr>
            <w:tcW w:w="4876" w:type="dxa"/>
            <w:tcBorders>
              <w:top w:val="nil"/>
              <w:left w:val="nil"/>
              <w:bottom w:val="nil"/>
              <w:right w:val="nil"/>
            </w:tcBorders>
          </w:tcPr>
          <w:p>
            <w:pPr>
              <w:pStyle w:val="Normal6a"/>
            </w:pPr>
            <w:r>
              <w:t>A.</w:t>
            </w:r>
            <w:r>
              <w:tab/>
            </w:r>
            <w:r>
              <w:t xml:space="preserve">der henviser til, at Saudi-Arabien er en vigtig bilateral og regional partner for EU; </w:t>
            </w:r>
            <w:r>
              <w:rPr>
                <w:b/>
                <w:i/>
              </w:rPr>
              <w:t>der henviser til, at det vil være vigtigt at uddybe vores indbyrdes forbindelser hen imod et strategisk partnerskab, der har til formål at styrke de bilaterale forbindelser og fremme samarbejdet inden for forskellige sektorer, herunder forsvar, kultur, innovation og frem for alt energi;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A.</w:t>
            </w:r>
            <w:r>
              <w:tab/>
            </w:r>
            <w:r>
              <w:t xml:space="preserve">der henviser til, at Saudi-Arabien </w:t>
            </w:r>
            <w:r>
              <w:rPr>
                <w:b/>
                <w:i/>
              </w:rPr>
              <w:t>er</w:t>
            </w:r>
            <w:r>
              <w:t xml:space="preserve"> en vigtig bilateral og regional partner for EU;</w:t>
            </w:r>
          </w:p>
        </w:tc>
        <w:tc>
          <w:tcPr>
            <w:tcW w:w="4876" w:type="dxa"/>
            <w:tcBorders>
              <w:top w:val="nil"/>
              <w:left w:val="nil"/>
              <w:bottom w:val="nil"/>
              <w:right w:val="nil"/>
            </w:tcBorders>
          </w:tcPr>
          <w:p>
            <w:pPr>
              <w:pStyle w:val="Normal6a"/>
            </w:pPr>
            <w:r>
              <w:t>A.</w:t>
            </w:r>
            <w:r>
              <w:tab/>
            </w:r>
            <w:r>
              <w:t xml:space="preserve">der henviser til, at Saudi-Arabien </w:t>
            </w:r>
            <w:r>
              <w:rPr>
                <w:b/>
                <w:i/>
              </w:rPr>
              <w:t>har potentiale til at blive</w:t>
            </w:r>
            <w:r>
              <w:t xml:space="preserve"> en vigtig bilateral og regional partner for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A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Aa.</w:t>
            </w:r>
            <w:r>
              <w:tab/>
            </w:r>
            <w:r>
              <w:rPr>
                <w:b/>
                <w:i/>
              </w:rPr>
              <w:t>der henviser til, at Saudi-Arabien er en vigtig olieleverandør globalt og en nøgleaktør inden for OPEC, og at energiimporten udgør en essentiel del af samhandelen mellem EU og Saudi-Arabien;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Saudi-Arabien og Kina i det forgangne årti har uddybet deres forbindelser inden for rammerne af strategien "Vision 2030" og initiativet "Den Nye Silkevej";</w:t>
            </w:r>
            <w:r>
              <w:t xml:space="preserve"> </w:t>
            </w:r>
            <w:r>
              <w:rPr>
                <w:b/>
                <w:i/>
              </w:rPr>
              <w:t>der henviser til, at Kina</w:t>
            </w:r>
            <w:r>
              <w:t xml:space="preserve"> </w:t>
            </w:r>
            <w:r>
              <w:rPr>
                <w:b/>
                <w:i/>
              </w:rPr>
              <w:t>siden 2019</w:t>
            </w:r>
            <w:r>
              <w:t xml:space="preserve"> </w:t>
            </w:r>
            <w:r>
              <w:rPr>
                <w:b/>
                <w:i/>
              </w:rPr>
              <w:t>har været den største aftager af saudiarabisk råolie;</w:t>
            </w:r>
            <w:r>
              <w:t xml:space="preserve"> </w:t>
            </w:r>
            <w:r>
              <w:rPr>
                <w:b/>
                <w:i/>
              </w:rPr>
              <w:t>der henviser til, at Saudi-Arabien og Kina uddybede deres samarbejde inden for udenrigspolitik, sikkerhed, energi, samhandel og teknologi, da de i 2016 nedsatte et fælles udvalg på højt plan samt flere underudvalg;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Saudi-Arabien nu er blevet den største modtager af kinesiske investeringer under initiativet "Den Nye Silkevej", herunder investeringer i strategisk infrastruktur såsom havne og digitale netværk;</w:t>
            </w:r>
            <w:r>
              <w:t xml:space="preserve"> </w:t>
            </w:r>
            <w:r>
              <w:rPr>
                <w:b/>
                <w:i/>
              </w:rPr>
              <w:t>der henviser til, at Kinas voksende økonomiske fodaftryk i Kongeriget kan give Kina en styrkeposition, som vil kunne omsættes til politisk indflydelse;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EU er en af Saudi-Arabiens vigtigste handelspartnere, idet Saudi-Arabien hovedsagelig eksporterer olie og petrokemiske produkter til EU, mens EU hovedsagelig eksporterer maskiner, elektronisk udstyr, kemikalier og lægemidler til Saudi-Arabien;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menneskerettighedsorganisationer har udtrykt alvorlig bekymring over, at Saudi-Arabiens statslige investeringsfond (PIF) faciliterer og drager fordel af menneskerettighedskrænkelser;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Ba.</w:t>
            </w:r>
            <w:r>
              <w:tab/>
            </w:r>
            <w:r>
              <w:rPr>
                <w:b/>
                <w:i/>
              </w:rPr>
              <w:t>der henviser til, at koblingerne mellem Saudi-Arabiens statslige investeringsfond (PIF) og krænkelser af menneskerettighederne har givet anledning til alvorlige bekymringer;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B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Bb.</w:t>
            </w:r>
            <w:r>
              <w:tab/>
            </w:r>
            <w:r>
              <w:rPr>
                <w:b/>
                <w:i/>
              </w:rPr>
              <w:t>der henviser til, at Saudi-Arabien i den senere tid har uddybet sine forbindelser med Indien, navnlig gennem projektet om en økonomisk korridor mellem Indien, Mellemøsten og Europa (IMEC), som har til formål at forbedre konnektiviteten mellem Asien og Europa via Den Arabiske Halvø;</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Saudi-Arabien </w:t>
            </w:r>
            <w:r>
              <w:rPr>
                <w:b/>
                <w:i/>
              </w:rPr>
              <w:t>udvider</w:t>
            </w:r>
            <w:r>
              <w:t xml:space="preserve"> sin rolle som regional mægler og international aktør;</w:t>
            </w:r>
          </w:p>
        </w:tc>
        <w:tc>
          <w:tcPr>
            <w:tcW w:w="4876" w:type="dxa"/>
            <w:tcBorders>
              <w:top w:val="nil"/>
              <w:left w:val="nil"/>
              <w:bottom w:val="nil"/>
              <w:right w:val="nil"/>
            </w:tcBorders>
          </w:tcPr>
          <w:p>
            <w:pPr>
              <w:pStyle w:val="Normal6a"/>
            </w:pPr>
            <w:r>
              <w:t>C.</w:t>
            </w:r>
            <w:r>
              <w:tab/>
            </w:r>
            <w:r>
              <w:t xml:space="preserve">der henviser til, at Saudi-Arabien </w:t>
            </w:r>
            <w:r>
              <w:rPr>
                <w:b/>
                <w:i/>
              </w:rPr>
              <w:t>i den senere tid har intensiveret</w:t>
            </w:r>
            <w:r>
              <w:t xml:space="preserve"> sin rolle som regional mægler og international aktør</w:t>
            </w:r>
            <w:r>
              <w:rPr>
                <w:b/>
                <w:i/>
              </w:rPr>
              <w:t>, og at det er afgørende, at landet samtidig fuldt ud overholder og fremmer menneskerettighederne og folkeretten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Saudi-Arabien </w:t>
            </w:r>
            <w:r>
              <w:rPr>
                <w:b/>
                <w:i/>
              </w:rPr>
              <w:t>udvider</w:t>
            </w:r>
            <w:r>
              <w:t xml:space="preserve"> sin rolle som regional mægler og international aktør;</w:t>
            </w:r>
          </w:p>
        </w:tc>
        <w:tc>
          <w:tcPr>
            <w:tcW w:w="4876" w:type="dxa"/>
            <w:tcBorders>
              <w:top w:val="nil"/>
              <w:left w:val="nil"/>
              <w:bottom w:val="nil"/>
              <w:right w:val="nil"/>
            </w:tcBorders>
          </w:tcPr>
          <w:p>
            <w:pPr>
              <w:pStyle w:val="Normal6a"/>
            </w:pPr>
            <w:r>
              <w:t>C.</w:t>
            </w:r>
            <w:r>
              <w:tab/>
            </w:r>
            <w:r>
              <w:t xml:space="preserve">der henviser til, at Saudi-Arabien </w:t>
            </w:r>
            <w:r>
              <w:rPr>
                <w:b/>
                <w:i/>
              </w:rPr>
              <w:t>i den senere tid har intensiveret</w:t>
            </w:r>
            <w:r>
              <w:t xml:space="preserve"> sin rolle som regional mægler og international aktør</w:t>
            </w:r>
            <w:r>
              <w:rPr>
                <w:b/>
                <w:i/>
              </w:rPr>
              <w:t>, og at det er afgørende, at landet samtidig fuldt ud overholder og fremmer menneskerettighederne og folkeretten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 xml:space="preserve">der henviser til, at Saudi-Arabien </w:t>
            </w:r>
            <w:r>
              <w:rPr>
                <w:b/>
                <w:i/>
              </w:rPr>
              <w:t>udvider sin rolle som</w:t>
            </w:r>
            <w:r>
              <w:t xml:space="preserve"> regional mægler og </w:t>
            </w:r>
            <w:r>
              <w:rPr>
                <w:b/>
                <w:i/>
              </w:rPr>
              <w:t>international aktør</w:t>
            </w:r>
            <w:r>
              <w:t>;</w:t>
            </w:r>
          </w:p>
        </w:tc>
        <w:tc>
          <w:tcPr>
            <w:tcW w:w="4876" w:type="dxa"/>
            <w:tcBorders>
              <w:top w:val="nil"/>
              <w:left w:val="nil"/>
              <w:bottom w:val="nil"/>
              <w:right w:val="nil"/>
            </w:tcBorders>
          </w:tcPr>
          <w:p>
            <w:pPr>
              <w:pStyle w:val="Normal6a"/>
            </w:pPr>
            <w:r>
              <w:t>C.</w:t>
            </w:r>
            <w:r>
              <w:tab/>
            </w:r>
            <w:r>
              <w:t xml:space="preserve">der henviser til, at Saudi-Arabien </w:t>
            </w:r>
            <w:r>
              <w:rPr>
                <w:b/>
                <w:i/>
              </w:rPr>
              <w:t>i den senere tid har konsolideret sin status som en pålidelig</w:t>
            </w:r>
            <w:r>
              <w:t xml:space="preserve"> regional mægler og </w:t>
            </w:r>
            <w:r>
              <w:rPr>
                <w:b/>
                <w:i/>
              </w:rPr>
              <w:t>en global nøgleaktør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der henviser til, at Saudi-Arabien mellem den 1. januar og den 5. august </w:t>
            </w:r>
            <w:r>
              <w:rPr>
                <w:b/>
                <w:i/>
              </w:rPr>
              <w:t>2025 </w:t>
            </w:r>
            <w:r>
              <w:rPr>
                <w:b/>
                <w:i/>
              </w:rPr>
              <w:t>henrettede mindst</w:t>
            </w:r>
            <w:r>
              <w:t xml:space="preserve"> </w:t>
            </w:r>
            <w:r>
              <w:rPr>
                <w:b/>
                <w:i/>
              </w:rPr>
              <w:t>241</w:t>
            </w:r>
            <w:r>
              <w:rPr>
                <w:b/>
                <w:i/>
              </w:rPr>
              <w:t> personer, og at landet henrettede 345 personer i 2024;</w:t>
            </w:r>
            <w:r>
              <w:t xml:space="preserve"> </w:t>
            </w:r>
            <w:r>
              <w:rPr>
                <w:b/>
                <w:i/>
              </w:rPr>
              <w:t>der henviser til, at der mellem november 2022 og december 2024 blev henrettet mindst 214 personer for narkotikakriminalitet;</w:t>
            </w:r>
            <w:r>
              <w:t xml:space="preserve"> </w:t>
            </w:r>
            <w:r>
              <w:rPr>
                <w:b/>
                <w:i/>
              </w:rPr>
              <w:t>der henviser til, at det samlede antal henrettelser</w:t>
            </w:r>
            <w:r>
              <w:rPr>
                <w:b/>
                <w:i/>
              </w:rPr>
              <w:t> i de senere år</w:t>
            </w:r>
            <w:r>
              <w:rPr>
                <w:b/>
                <w:i/>
              </w:rPr>
              <w:t> har været støt stigende, hvilket er stik imod, hvad de saudiarabiske myndigheder gentagne gange har lovet;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C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Ca.</w:t>
            </w:r>
            <w:r>
              <w:tab/>
            </w:r>
            <w:r>
              <w:rPr>
                <w:b/>
                <w:i/>
              </w:rPr>
              <w:t>der henviser til, at der er meldinger om, at den russiske "skyggeflåde" af olietankskibe har medført stadigt tættere forbindelser mellem Rusland og Saudi-Arabien, hvorved Rusland lettere kan unddrage sig sanktioner;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22</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der henviser til, at Saudi-Arabien styrker dialogen og samarbejdet med EU om menneskerettigheder;</w:t>
            </w:r>
          </w:p>
        </w:tc>
        <w:tc>
          <w:tcPr>
            <w:tcW w:w="4876" w:type="dxa"/>
            <w:tcBorders>
              <w:top w:val="nil"/>
              <w:left w:val="nil"/>
              <w:bottom w:val="nil"/>
              <w:right w:val="nil"/>
            </w:tcBorders>
          </w:tcPr>
          <w:p>
            <w:pPr>
              <w:pStyle w:val="Normal6a"/>
            </w:pPr>
            <w:r>
              <w:t>D.</w:t>
            </w:r>
            <w:r>
              <w:tab/>
            </w:r>
            <w:r>
              <w:t xml:space="preserve">der henviser til, at Saudi-Arabien styrker dialogen og samarbejdet med EU om menneskerettigheder; </w:t>
            </w:r>
            <w:r>
              <w:rPr>
                <w:b/>
                <w:i/>
              </w:rPr>
              <w:t>der henviser til, at menneskerettighedssituationen i Saudi-Arabien fortsat giver anledning til alvorlige bekymringer, ikke mindst hvad angår kvinders rettigheder, arbejdstagerrettigheder og ytringsfrihed samt Saudi-Arabien overtrædelse af internationale menneskerettighedskonventioner;</w:t>
            </w:r>
            <w:r>
              <w:t xml:space="preserve"> </w:t>
            </w:r>
            <w:r>
              <w:rPr>
                <w:b/>
                <w:i/>
              </w:rPr>
              <w:t>der henviser til, at Saudi-Arabiens straffelov kriminaliserer ytringsfrihed;</w:t>
            </w:r>
            <w:r>
              <w:t xml:space="preserve"> </w:t>
            </w:r>
            <w:r>
              <w:rPr>
                <w:b/>
                <w:i/>
              </w:rPr>
              <w:t>der henviser til, at de saudiarabiske myndigheder i de senere år har optrappet deres brutale undertrykkelse af personer, som bruger internettet til at give deres holdninger til kende, og ofte har nægtet sådanne personer rimelig adgang til advokatbistand, retssikkerhed og retfærdig rettergang;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23</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der henviser til, at Saudi-Arabien </w:t>
            </w:r>
            <w:r>
              <w:rPr>
                <w:b/>
                <w:i/>
              </w:rPr>
              <w:t>styrker</w:t>
            </w:r>
            <w:r>
              <w:t xml:space="preserve"> dialogen og samarbejdet med EU </w:t>
            </w:r>
            <w:r>
              <w:rPr>
                <w:b/>
                <w:i/>
              </w:rPr>
              <w:t>om menneskerettigheder</w:t>
            </w:r>
            <w:r>
              <w:t>;</w:t>
            </w:r>
          </w:p>
        </w:tc>
        <w:tc>
          <w:tcPr>
            <w:tcW w:w="4876" w:type="dxa"/>
            <w:tcBorders>
              <w:top w:val="nil"/>
              <w:left w:val="nil"/>
              <w:bottom w:val="nil"/>
              <w:right w:val="nil"/>
            </w:tcBorders>
          </w:tcPr>
          <w:p>
            <w:pPr>
              <w:pStyle w:val="Normal6a"/>
            </w:pPr>
            <w:r>
              <w:t>D.</w:t>
            </w:r>
            <w:r>
              <w:tab/>
            </w:r>
            <w:r>
              <w:t xml:space="preserve">der henviser til, at Saudi-Arabien </w:t>
            </w:r>
            <w:r>
              <w:rPr>
                <w:b/>
                <w:i/>
              </w:rPr>
              <w:t>i den senere tid har styrket</w:t>
            </w:r>
            <w:r>
              <w:t xml:space="preserve"> dialogen og samarbejdet med 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24</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FN's Komité for Afskaffelse af Diskrimination mod Kvinder (CEDAW-komitéen) har udtrykt bekymring over rodfæstet diskriminerende praksis, chikane af kvindelige aktivister og den bredere virkning af straffeforanstaltninger, herunder brugen af dødsstraf;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25</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det næste topmøde mellem EU og GCC, som vil blive afholdt i Riyadh i 2026, bliver afgørende for yderligere at udvide omfanget af forbindelserne mellem EU og Saudi-Arabien og styrke samarbejdet om vigtige anliggender af fælles interesse;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fremme af respekten for menneskerettighederne og folkeretten i udenrigspolitikken, herunder handel, er en traktatmæssig forpligtelse for Den Europæiske Union, som er nedfældet i artikel 3 og 21 i TEU;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27</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beskyttelse af menneskerettighederne udgør en traktatmæssig forpligtelse for EU's udenrigspolitik, herunder handel, som er nedfældet i artikel 3 og 21 i traktaten om Den Europæiske Union;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fremme af respekten for menneskerettighederne og folkeretten i udenrigspolitikken, herunder handel, er en traktatmæssig forpligtelse for Den Europæiske Union, som er nedfældet i artikel 3 og 21 i TEU;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a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Da.</w:t>
            </w:r>
            <w:r>
              <w:tab/>
            </w:r>
            <w:r>
              <w:rPr>
                <w:b/>
                <w:i/>
              </w:rPr>
              <w:t>der henviser til, at fremme af respekten for menneskerettighederne og folkeretten i udenrigspolitikken, herunder handel, er en traktatmæssig forpligtelse for Den Europæiske Union, som er nedfældet i artikel 3 og 21 i TEU;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30</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Saudi-Arabien skal være vært for to store internationale arrangementer, nemlig EXPO 2030 og verdensmesterskabet i fodbold i 2034, og at afviklingen af disse arrangementer vil kræve et kolossalt antal migrantarbejdere, hvis rettigheder skal tilgodeses og håndhæves;</w:t>
            </w:r>
            <w:r>
              <w:t xml:space="preserve"> </w:t>
            </w:r>
            <w:r>
              <w:rPr>
                <w:b/>
                <w:i/>
              </w:rPr>
              <w:t>der henviser til, at civilsamfundsorganisationer fordømmer den grusomme behandling af migrantarbejderne, som har minimale eller slet ingen rettigheder;</w:t>
            </w:r>
            <w:r>
              <w:t xml:space="preserve"> </w:t>
            </w:r>
            <w:r>
              <w:rPr>
                <w:b/>
                <w:i/>
              </w:rPr>
              <w:t>der henviser til, at de saudiarabiske myndigheder ikke i fornødent omfang beskytter sine migrantarbejdere imod dødsulykker, som kunne være forebygget, ikke i fornødent omfang efterforsker arbejdssikkerhedsmæssige episoder, men i stedet fejlkategoriserer dødsulykker på arbejdspladsen som værende "naturlige dødsfald", og ikke i fornødent omfang sørger for rettidig og adækvat udbetaling af erstatning herfor; der henviser til, at Saudi-Arabiens afholdelse af og værtskab for de ovennævnte arrangementer blot vil forværre menneskerettighedssituationen yderligere;</w:t>
            </w:r>
            <w:r>
              <w:t xml:space="preserve"> </w:t>
            </w:r>
            <w:r>
              <w:rPr>
                <w:b/>
                <w:i/>
              </w:rPr>
              <w:t>der henviser til, at der bør indføres robust og omfattende beskyttelse af disse personer, og at de bør garanteres en mindsteløn;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Betragtning D b (ny)</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Db.</w:t>
            </w:r>
            <w:r>
              <w:tab/>
            </w:r>
            <w:r>
              <w:rPr>
                <w:b/>
                <w:i/>
              </w:rPr>
              <w:t>der henviser til, at Saudi-Arabien i den senere tid har uddybet sine sikkerhedsmæssige og økonomiske forbindelser med USA og samtidig har søgt om medlemskab af BRICS, hvilket afspejler landets togrenede tilnærmelse til både den vestlige og den multipolære blok;</w:t>
            </w:r>
            <w:r>
              <w:t xml:space="preserve"> </w:t>
            </w:r>
            <w:r>
              <w:rPr>
                <w:b/>
                <w:i/>
              </w:rPr>
              <w:t>der henviser til, at dette medfører nye udfordringer og muligheder for EU's strategiske autonomi;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32</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fremhæver det positive </w:t>
            </w:r>
            <w:r>
              <w:rPr>
                <w:b/>
                <w:i/>
              </w:rPr>
              <w:t>engagement</w:t>
            </w:r>
            <w:r>
              <w:t xml:space="preserve"> mellem EU og Golfstaternes Samarbejdsråd på topmødet mellem EU og Golfstaternes Samarbejdsråd; bekræfter, at EU sigter mod at styrke de bilaterale forbindelser med hver enkelt partner i Golfstaternes Samarbejdsråd gennem strategiske partnerskabsaftaler, der vil afhjælpe den nuværende mangel på en juridisk bindende ramme for bilaterale forbindelser mellem EU og Saudi-Arabien og frigøre potentialet for et dybere og bredere samarbejde på områder såsom sikkerhed, </w:t>
            </w:r>
            <w:r>
              <w:rPr>
                <w:b/>
                <w:i/>
              </w:rPr>
              <w:t>handel</w:t>
            </w:r>
            <w:r>
              <w:t>, energi, klima, forskning, innovation, kunstig intelligens, konnektivitet, digital forvaltning, uddannelse, kultur, forskning, unge og mellemfolkelige kontakter;</w:t>
            </w:r>
          </w:p>
        </w:tc>
        <w:tc>
          <w:tcPr>
            <w:tcW w:w="4876" w:type="dxa"/>
            <w:tcBorders>
              <w:top w:val="nil"/>
              <w:left w:val="nil"/>
              <w:bottom w:val="nil"/>
              <w:right w:val="nil"/>
            </w:tcBorders>
          </w:tcPr>
          <w:p>
            <w:pPr>
              <w:pStyle w:val="Normal6a"/>
            </w:pPr>
            <w:r>
              <w:t>1.</w:t>
            </w:r>
            <w:r>
              <w:tab/>
            </w:r>
            <w:r>
              <w:t xml:space="preserve">fremhæver det positive </w:t>
            </w:r>
            <w:r>
              <w:rPr>
                <w:b/>
                <w:i/>
              </w:rPr>
              <w:t>samspil</w:t>
            </w:r>
            <w:r>
              <w:t xml:space="preserve"> mellem EU og Golfstaternes Samarbejdsråd på topmødet mellem EU og Golfstaternes Samarbejdsråd; bekræfter, at EU sigter mod at styrke de bilaterale forbindelser med hver enkelt partner i Golfstaternes Samarbejdsråd </w:t>
            </w:r>
            <w:r>
              <w:rPr>
                <w:b/>
                <w:i/>
              </w:rPr>
              <w:t>(GCC)</w:t>
            </w:r>
            <w:r>
              <w:t xml:space="preserve"> gennem strategiske partnerskabsaftaler, der vil afhjælpe den nuværende mangel på en juridisk bindende ramme for </w:t>
            </w:r>
            <w:r>
              <w:rPr>
                <w:b/>
                <w:i/>
              </w:rPr>
              <w:t>de</w:t>
            </w:r>
            <w:r>
              <w:t xml:space="preserve"> bilaterale forbindelser mellem EU og Saudi-Arabien og </w:t>
            </w:r>
            <w:r>
              <w:rPr>
                <w:b/>
                <w:i/>
              </w:rPr>
              <w:t>derved</w:t>
            </w:r>
            <w:r>
              <w:t xml:space="preserve"> frigøre potentialet for et dybere og bredere samarbejde på områder såsom sikkerhed, </w:t>
            </w:r>
            <w:r>
              <w:rPr>
                <w:b/>
                <w:i/>
              </w:rPr>
              <w:t>samhandel</w:t>
            </w:r>
            <w:r>
              <w:t xml:space="preserve">, energi, klima, forskning, innovation, kunstig intelligens, konnektivitet, digital forvaltning, uddannelse, kultur, forskning, unge og mellemfolkelige kontakter </w:t>
            </w:r>
            <w:r>
              <w:rPr>
                <w:b/>
                <w:i/>
              </w:rPr>
              <w:t>og for at afstedkomme hårdt tiltrængte reformer inden for menneskerettigheder og arbejdstagerrettigheder i GCC's medlemslande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fremhæver det positive </w:t>
            </w:r>
            <w:r>
              <w:rPr>
                <w:b/>
                <w:i/>
              </w:rPr>
              <w:t>engagement</w:t>
            </w:r>
            <w:r>
              <w:t xml:space="preserve"> mellem EU og Golfstaternes Samarbejdsråd på topmødet mellem EU og Golfstaternes Samarbejdsråd; bekræfter, at EU sigter mod at styrke de bilaterale forbindelser med hver enkelt partner i Golfstaternes Samarbejdsråd gennem strategiske partnerskabsaftaler, der vil afhjælpe den nuværende mangel på en juridisk bindende ramme for bilaterale forbindelser mellem EU og Saudi-Arabien og frigøre potentialet for et dybere og bredere samarbejde på områder såsom sikkerhed, </w:t>
            </w:r>
            <w:r>
              <w:rPr>
                <w:b/>
                <w:i/>
              </w:rPr>
              <w:t>handel</w:t>
            </w:r>
            <w:r>
              <w:t>, energi, klima, forskning, innovation, kunstig intelligens, konnektivitet, digital forvaltning, uddannelse, kultur, forskning, unge og mellemfolkelige kontakter;</w:t>
            </w:r>
          </w:p>
        </w:tc>
        <w:tc>
          <w:tcPr>
            <w:tcW w:w="4876" w:type="dxa"/>
            <w:tcBorders>
              <w:top w:val="nil"/>
              <w:left w:val="nil"/>
              <w:bottom w:val="nil"/>
              <w:right w:val="nil"/>
            </w:tcBorders>
          </w:tcPr>
          <w:p>
            <w:pPr>
              <w:pStyle w:val="Normal6a"/>
            </w:pPr>
            <w:r>
              <w:t>1.</w:t>
            </w:r>
            <w:r>
              <w:tab/>
            </w:r>
            <w:r>
              <w:t xml:space="preserve">fremhæver det positive </w:t>
            </w:r>
            <w:r>
              <w:rPr>
                <w:b/>
                <w:i/>
              </w:rPr>
              <w:t>samspil</w:t>
            </w:r>
            <w:r>
              <w:t xml:space="preserve"> mellem EU og Golfstaternes Samarbejdsråd på topmødet mellem EU og Golfstaternes Samarbejdsråd; bekræfter, at EU sigter mod at styrke de bilaterale forbindelser med hver enkelt partner i Golfstaternes Samarbejdsråd </w:t>
            </w:r>
            <w:r>
              <w:rPr>
                <w:b/>
                <w:i/>
              </w:rPr>
              <w:t>(GCC) </w:t>
            </w:r>
            <w:r>
              <w:t>gennem strategiske partnerskabsaftaler, der vil afhjælpe den nuværende mangel på en juridisk bindende ramme for </w:t>
            </w:r>
            <w:r>
              <w:rPr>
                <w:b/>
                <w:i/>
              </w:rPr>
              <w:t>de </w:t>
            </w:r>
            <w:r>
              <w:t xml:space="preserve">bilaterale forbindelser mellem EU og Saudi-Arabien og </w:t>
            </w:r>
            <w:r>
              <w:rPr>
                <w:b/>
                <w:i/>
              </w:rPr>
              <w:t>derved</w:t>
            </w:r>
            <w:r>
              <w:t xml:space="preserve"> frigøre potentialet for et dybere og bredere samarbejde på områder såsom sikkerhed, </w:t>
            </w:r>
            <w:r>
              <w:rPr>
                <w:b/>
                <w:i/>
              </w:rPr>
              <w:t>samhandel</w:t>
            </w:r>
            <w:r>
              <w:t>, energi, klima, forskning, innovation, kunstig intelligens, konnektivitet, digital forvaltning, uddannelse, kultur, forskning, unge og mellemfolkelige kontakter</w:t>
            </w:r>
            <w:r>
              <w:rPr>
                <w:b/>
                <w:i/>
              </w:rPr>
              <w:t> og for at afstedkomme hårdt tiltrængte reformer inden for menneskerettigheder og arbejdstagerrettigheder i GCC's medlemslande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fremhæver det positive </w:t>
            </w:r>
            <w:r>
              <w:rPr>
                <w:b/>
                <w:i/>
              </w:rPr>
              <w:t>engagement</w:t>
            </w:r>
            <w:r>
              <w:t xml:space="preserve"> mellem EU og Golfstaternes Samarbejdsråd på </w:t>
            </w:r>
            <w:r>
              <w:rPr>
                <w:b/>
                <w:i/>
              </w:rPr>
              <w:t>topmødet</w:t>
            </w:r>
            <w:r>
              <w:t xml:space="preserve"> mellem EU og </w:t>
            </w:r>
            <w:r>
              <w:rPr>
                <w:b/>
                <w:i/>
              </w:rPr>
              <w:t>Golfstaternes Samarbejdsråd</w:t>
            </w:r>
            <w:r>
              <w:t xml:space="preserve">; bekræfter, at EU sigter mod at styrke de bilaterale forbindelser med hver enkelt partner i Golfstaternes Samarbejdsråd gennem strategiske partnerskabsaftaler, der vil afhjælpe den nuværende mangel på en juridisk bindende ramme for bilaterale forbindelser mellem EU og Saudi-Arabien og frigøre potentialet for et dybere og bredere samarbejde på områder såsom </w:t>
            </w:r>
            <w:r>
              <w:rPr>
                <w:b/>
                <w:i/>
              </w:rPr>
              <w:t>sikkerhed, handel</w:t>
            </w:r>
            <w:r>
              <w:t>, energi</w:t>
            </w:r>
            <w:r>
              <w:rPr>
                <w:b/>
                <w:i/>
              </w:rPr>
              <w:t>,</w:t>
            </w:r>
            <w:r>
              <w:t xml:space="preserve"> klima, forskning</w:t>
            </w:r>
            <w:r>
              <w:rPr>
                <w:b/>
                <w:i/>
              </w:rPr>
              <w:t>,</w:t>
            </w:r>
            <w:r>
              <w:t xml:space="preserve"> innovation, kunstig intelligens, konnektivitet, digital forvaltning, uddannelse, kultur, </w:t>
            </w:r>
            <w:r>
              <w:rPr>
                <w:b/>
                <w:i/>
              </w:rPr>
              <w:t>forskning,</w:t>
            </w:r>
            <w:r>
              <w:t xml:space="preserve"> unge og mellemfolkelige kontakter;</w:t>
            </w:r>
          </w:p>
        </w:tc>
        <w:tc>
          <w:tcPr>
            <w:tcW w:w="4876" w:type="dxa"/>
            <w:tcBorders>
              <w:top w:val="nil"/>
              <w:left w:val="nil"/>
              <w:bottom w:val="nil"/>
              <w:right w:val="nil"/>
            </w:tcBorders>
          </w:tcPr>
          <w:p>
            <w:pPr>
              <w:pStyle w:val="Normal6a"/>
            </w:pPr>
            <w:r>
              <w:t>1.</w:t>
            </w:r>
            <w:r>
              <w:tab/>
            </w:r>
            <w:r>
              <w:t xml:space="preserve">fremhæver det positive </w:t>
            </w:r>
            <w:r>
              <w:rPr>
                <w:b/>
                <w:i/>
              </w:rPr>
              <w:t>samspil</w:t>
            </w:r>
            <w:r>
              <w:t xml:space="preserve"> mellem EU og Golfstaternes Samarbejdsråd på </w:t>
            </w:r>
            <w:r>
              <w:rPr>
                <w:b/>
                <w:i/>
              </w:rPr>
              <w:t>det første topmøde</w:t>
            </w:r>
            <w:r>
              <w:t xml:space="preserve"> mellem EU og </w:t>
            </w:r>
            <w:r>
              <w:rPr>
                <w:b/>
                <w:i/>
              </w:rPr>
              <w:t>GCC</w:t>
            </w:r>
            <w:r>
              <w:t>; bekræfter, at EU sigter mod at styrke de bilaterale forbindelser med hver enkelt partner i Golfstaternes Samarbejdsråd gennem strategiske partnerskabsaftaler, der vil afhjælpe den nuværende mangel på en juridisk bindende ramme for </w:t>
            </w:r>
            <w:r>
              <w:rPr>
                <w:b/>
                <w:i/>
              </w:rPr>
              <w:t>de </w:t>
            </w:r>
            <w:r>
              <w:t xml:space="preserve">bilaterale forbindelser mellem EU og Saudi-Arabien og </w:t>
            </w:r>
            <w:r>
              <w:rPr>
                <w:b/>
                <w:i/>
              </w:rPr>
              <w:t>derved</w:t>
            </w:r>
            <w:r>
              <w:t xml:space="preserve"> frigøre potentialet for et dybere og bredere samarbejde på områder såsom </w:t>
            </w:r>
            <w:r>
              <w:rPr>
                <w:b/>
                <w:i/>
              </w:rPr>
              <w:t>udenrigs- og sikkerhedspolitik, retspleje og retshåndhævelse, samhandel og investering</w:t>
            </w:r>
            <w:r>
              <w:t xml:space="preserve">, energi </w:t>
            </w:r>
            <w:r>
              <w:rPr>
                <w:b/>
                <w:i/>
              </w:rPr>
              <w:t>og</w:t>
            </w:r>
            <w:r>
              <w:t xml:space="preserve"> klima</w:t>
            </w:r>
            <w:r>
              <w:rPr>
                <w:b/>
                <w:i/>
              </w:rPr>
              <w:t>, digital omstilling, miljø</w:t>
            </w:r>
            <w:r>
              <w:t xml:space="preserve">, forskning </w:t>
            </w:r>
            <w:r>
              <w:rPr>
                <w:b/>
                <w:i/>
              </w:rPr>
              <w:t>og</w:t>
            </w:r>
            <w:r>
              <w:t xml:space="preserve"> innovation, kunstig intelligens, konnektivitet, digital forvaltning, uddannelse, kultur, unge og mellemfolkelige kontakter;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w:t>
            </w:r>
            <w:r>
              <w:tab/>
            </w:r>
            <w:r>
              <w:t xml:space="preserve">fremhæver det positive </w:t>
            </w:r>
            <w:r>
              <w:rPr>
                <w:b/>
                <w:i/>
              </w:rPr>
              <w:t>engagement</w:t>
            </w:r>
            <w:r>
              <w:t xml:space="preserve"> mellem EU og Golfstaternes Samarbejdsråd på topmødet mellem EU og Golfstaternes Samarbejdsråd; bekræfter, at EU sigter mod at styrke de bilaterale forbindelser med hver enkelt partner i Golfstaternes Samarbejdsråd gennem strategiske partnerskabsaftaler, der vil afhjælpe den nuværende mangel på en juridisk bindende ramme for bilaterale forbindelser mellem EU og Saudi-Arabien og frigøre potentialet for et dybere og bredere samarbejde på områder såsom sikkerhed, handel, energi, klima, forskning, innovation, kunstig intelligens, konnektivitet, digital forvaltning, uddannelse, kultur, forskning, unge og mellemfolkelige kontakter;</w:t>
            </w:r>
          </w:p>
        </w:tc>
        <w:tc>
          <w:tcPr>
            <w:tcW w:w="4876" w:type="dxa"/>
            <w:tcBorders>
              <w:top w:val="nil"/>
              <w:left w:val="nil"/>
              <w:bottom w:val="nil"/>
              <w:right w:val="nil"/>
            </w:tcBorders>
          </w:tcPr>
          <w:p>
            <w:pPr>
              <w:pStyle w:val="Normal6a"/>
            </w:pPr>
            <w:r>
              <w:t>1.</w:t>
            </w:r>
            <w:r>
              <w:tab/>
            </w:r>
            <w:r>
              <w:t xml:space="preserve">fremhæver det positive </w:t>
            </w:r>
            <w:r>
              <w:rPr>
                <w:b/>
                <w:i/>
              </w:rPr>
              <w:t>samspil</w:t>
            </w:r>
            <w:r>
              <w:t xml:space="preserve"> mellem EU og Golfstaternes Samarbejdsråd </w:t>
            </w:r>
            <w:r>
              <w:rPr>
                <w:b/>
                <w:i/>
              </w:rPr>
              <w:t>– som er to af de førende aktører i den bredere Middelhavsregion –</w:t>
            </w:r>
            <w:r>
              <w:t xml:space="preserve"> på topmødet mellem EU og Golfstaternes Samarbejdsråd; bekræfter, at EU sigter mod at styrke de bilaterale forbindelser med hver enkelt partner i Golfstaternes Samarbejdsråd gennem strategiske partnerskabsaftaler, der vil afhjælpe den nuværende mangel på en juridisk bindende ramme for bilaterale forbindelser mellem EU og Saudi-Arabien og frigøre potentialet for et dybere og bredere samarbejde på områder såsom sikkerhed, handel, energi, klima, forskning, innovation, kunstig intelligens, konnektivitet, digital forvaltning, uddannelse, kultur, forskning, unge og mellemfolkelige kontakter;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36</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1a.</w:t>
            </w:r>
            <w:r>
              <w:tab/>
            </w:r>
            <w:r>
              <w:rPr>
                <w:b/>
                <w:i/>
              </w:rPr>
              <w:t>udtrykker sin støtte til Rådets afgørelse om bemyndigelse af Kommissionen og den højtstående repræsentant til at indlede forhandlinger om indgåelse af et strategisk partnerskab med Kongeriget Saudi-Arabien;</w:t>
            </w:r>
            <w:r>
              <w:t xml:space="preserve"> </w:t>
            </w:r>
            <w:r>
              <w:rPr>
                <w:b/>
                <w:i/>
              </w:rPr>
              <w:t>anerkender, at dette udspil skaber en afgørende mulighed for at fremme Unionens strategiske interesser, forbedre regionens stabilitet og styrke samarbejdet på energi- og sikkerhedsområdet;</w:t>
            </w:r>
            <w:r>
              <w:t xml:space="preserve"> </w:t>
            </w:r>
            <w:r>
              <w:rPr>
                <w:b/>
                <w:i/>
              </w:rPr>
              <w:t>opfordrer til et resolut og aktivt engagement fra begge parters side igennem hele forhandlingsforløbet for således at sikre en hurtig og rettidig afslutning af forhandlingerne;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37</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1b.</w:t>
            </w:r>
            <w:r>
              <w:tab/>
            </w:r>
            <w:r>
              <w:rPr>
                <w:b/>
                <w:i/>
              </w:rPr>
              <w:t>understreger, at Saudi-Arabien – uagtet sin fortsatte nøglerolle på verdens markeder for konventionel energi – desuden har begivet sig ud på en ambitiøs vej hen imod diversificering og bæredygtighed med nogle af verdens største investeringer i vedvarende energi, navnlig omfattende sol- og brintenergiprojekter;</w:t>
            </w:r>
            <w:r>
              <w:t xml:space="preserve"> </w:t>
            </w:r>
            <w:r>
              <w:rPr>
                <w:b/>
                <w:i/>
              </w:rPr>
              <w:t>bemærker, at Saudi-Arabien nu er blandt verdens 10 største energilagringsmarkeder, hvilket yderligere styrker landets førerposition inden for vedvarende energi</w:t>
            </w:r>
            <w:r>
              <w:rPr>
                <w:b/>
                <w:i/>
                <w:vertAlign w:val="superscript"/>
              </w:rPr>
              <w:t>1a</w:t>
            </w:r>
            <w:r>
              <w:rPr>
                <w:b/>
                <w:i/>
              </w:rPr>
              <w:t>;</w:t>
            </w:r>
            <w:r>
              <w:t xml:space="preserve"> </w:t>
            </w:r>
            <w:r>
              <w:rPr>
                <w:b/>
                <w:i/>
              </w:rPr>
              <w:t>understreger, at et tættere samarbejde med Saudi-Arabien potentielt kan give EU mulighed for at forbedre sin energisikkerhed og diversificere sine forsyningskilder;</w:t>
            </w:r>
            <w:r>
              <w:t xml:space="preserve"> </w:t>
            </w:r>
            <w:r>
              <w:rPr>
                <w:b/>
                <w:i/>
              </w:rPr>
              <w:t>fremhæver, at udnyttelse af Saudi-Arabiens enorme solenergipotentiale sammen med EU's avancerede vedvarende teknologier kan muliggøre fælles initiativer inden for grøn brint, bæredygtige brændstoffer og næste generation af energiinfrastruktur og dermed fremme innovation og positionere begge partnere som globale ledere inden for partnerskaber om vedvarende energi</w:t>
            </w:r>
            <w:r>
              <w:rPr>
                <w:b/>
                <w:i/>
                <w:vertAlign w:val="superscript"/>
              </w:rPr>
              <w:t>10a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https://www.moenergy.gov.sa/en/media-center/news/saudi-arabia-ranks-among-worlds-top-10-energy-storage-markets-advancing-leadership-renewable-energy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10a</w:t>
            </w:r>
            <w:r>
              <w:t xml:space="preserve"> </w:t>
            </w:r>
            <w:r>
              <w:rPr>
                <w:b/>
                <w:i/>
              </w:rPr>
              <w:t>https://www.weforum.org/publications/fostering-effective-energy-transition-2023/in-full/saudi-arabia/;</w:t>
            </w:r>
            <w:r>
              <w:t xml:space="preserve"> </w:t>
            </w:r>
            <w:r>
              <w:rPr>
                <w:b/>
                <w:i/>
              </w:rPr>
              <w:t>https://unfccc.int/sites/default/files/resource/KSA_BTR1_20250320-2.pdf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38</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fremhæver Saudi-Arabiens samarbejde med EU </w:t>
            </w:r>
            <w:r>
              <w:rPr>
                <w:b/>
                <w:i/>
              </w:rPr>
              <w:t>på det</w:t>
            </w:r>
            <w:r>
              <w:t xml:space="preserve"> udenrigs- og </w:t>
            </w:r>
            <w:r>
              <w:rPr>
                <w:b/>
                <w:i/>
              </w:rPr>
              <w:t>sikkerhedspolitiske område</w:t>
            </w:r>
            <w:r>
              <w:t>;</w:t>
            </w:r>
          </w:p>
        </w:tc>
        <w:tc>
          <w:tcPr>
            <w:tcW w:w="4876" w:type="dxa"/>
            <w:tcBorders>
              <w:top w:val="nil"/>
              <w:left w:val="nil"/>
              <w:bottom w:val="nil"/>
              <w:right w:val="nil"/>
            </w:tcBorders>
          </w:tcPr>
          <w:p>
            <w:pPr>
              <w:pStyle w:val="Normal6a"/>
            </w:pPr>
            <w:r>
              <w:t>2.</w:t>
            </w:r>
            <w:r>
              <w:tab/>
            </w:r>
            <w:r>
              <w:t xml:space="preserve">fremhæver Saudi-Arabiens samarbejde med EU </w:t>
            </w:r>
            <w:r>
              <w:rPr>
                <w:b/>
                <w:i/>
              </w:rPr>
              <w:t>inden for</w:t>
            </w:r>
            <w:r>
              <w:t xml:space="preserve"> udenrigs- og </w:t>
            </w:r>
            <w:r>
              <w:rPr>
                <w:b/>
                <w:i/>
              </w:rPr>
              <w:t>sikkerhedspolitik, også i forbindelse med radikalisering og terrorbekæmpelse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39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fremhæver </w:t>
            </w:r>
            <w:r>
              <w:rPr>
                <w:b/>
                <w:i/>
              </w:rPr>
              <w:t>Saudi-Arabiens</w:t>
            </w:r>
            <w:r>
              <w:t xml:space="preserve"> samarbejde </w:t>
            </w:r>
            <w:r>
              <w:rPr>
                <w:b/>
                <w:i/>
              </w:rPr>
              <w:t>med</w:t>
            </w:r>
            <w:r>
              <w:t xml:space="preserve"> EU på det udenrigs- og sikkerhedspolitiske område;</w:t>
            </w:r>
          </w:p>
        </w:tc>
        <w:tc>
          <w:tcPr>
            <w:tcW w:w="4876" w:type="dxa"/>
            <w:tcBorders>
              <w:top w:val="nil"/>
              <w:left w:val="nil"/>
              <w:bottom w:val="nil"/>
              <w:right w:val="nil"/>
            </w:tcBorders>
          </w:tcPr>
          <w:p>
            <w:pPr>
              <w:pStyle w:val="Normal6a"/>
            </w:pPr>
            <w:r>
              <w:t>2.</w:t>
            </w:r>
            <w:r>
              <w:tab/>
            </w:r>
            <w:r>
              <w:t xml:space="preserve">fremhæver </w:t>
            </w:r>
            <w:r>
              <w:rPr>
                <w:b/>
                <w:i/>
              </w:rPr>
              <w:t>den høje grad af interessesammenfald og</w:t>
            </w:r>
            <w:r>
              <w:t xml:space="preserve"> samarbejde </w:t>
            </w:r>
            <w:r>
              <w:rPr>
                <w:b/>
                <w:i/>
              </w:rPr>
              <w:t>mellem Saudi-Arabien og</w:t>
            </w:r>
            <w:r>
              <w:t xml:space="preserve"> EU på det udenrigs- og sikkerhedspolitiske område;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40</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fremhæver Saudi-Arabiens samarbejde med EU på det udenrigs- og sikkerhedspolitiske område;</w:t>
            </w:r>
          </w:p>
        </w:tc>
        <w:tc>
          <w:tcPr>
            <w:tcW w:w="4876" w:type="dxa"/>
            <w:tcBorders>
              <w:top w:val="nil"/>
              <w:left w:val="nil"/>
              <w:bottom w:val="nil"/>
              <w:right w:val="nil"/>
            </w:tcBorders>
          </w:tcPr>
          <w:p>
            <w:pPr>
              <w:pStyle w:val="Normal6a"/>
            </w:pPr>
            <w:r>
              <w:t>2.</w:t>
            </w:r>
            <w:r>
              <w:tab/>
            </w:r>
            <w:r>
              <w:t xml:space="preserve">fremhæver Saudi-Arabiens samarbejde med EU på det udenrigs- og sikkerhedspolitiske område </w:t>
            </w:r>
            <w:r>
              <w:rPr>
                <w:b/>
                <w:i/>
              </w:rPr>
              <w:t>samt inden for terrorbekæmpelse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41</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t xml:space="preserve">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 </w:t>
            </w:r>
            <w:r>
              <w:rPr>
                <w:b/>
                <w:i/>
              </w:rPr>
              <w:t>indskærper imidlertid, at dette samarbejde ikke må føre til, at kontrollen over europæiske virksomheder inden for strategiske sektorer overdrages til Saudi-Arabien, sådan som landets statslige investeringsfond (PIF) i den senere tid har bevirket;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glæder sig over</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rPr>
                <w:b/>
                <w:i/>
              </w:rPr>
              <w:t>noterer sig</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 </w:t>
            </w:r>
            <w:r>
              <w:rPr>
                <w:b/>
                <w:i/>
              </w:rPr>
              <w:t>udtrykker bekymring over PIF's dokumenterede kobling til menneskerettighedskrænkelser og indskærper, at virksomheder bør udvise rettidig omhu i relation til menneskerettighederne, når de overvejer forretningsaktiviteter, som direkte eller indirekte involverer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43</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glæder sig over</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rPr>
                <w:b/>
                <w:i/>
              </w:rPr>
              <w:t>noterer sig</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 </w:t>
            </w:r>
            <w:r>
              <w:rPr>
                <w:b/>
                <w:i/>
              </w:rPr>
              <w:t>udtrykker bekymring over PIF's dokumenterede kobling til menneskerettighedskrænkelser og indskærper, at der skal udvises en høj grad af rettidig omhu i forbindelse med påtænkte økonomiske aftaler eller forretningsaftaler, som direkte eller indirekte involverer PIF;</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44</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t xml:space="preserve">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 </w:t>
            </w:r>
            <w:r>
              <w:rPr>
                <w:b/>
                <w:i/>
              </w:rPr>
              <w:t>indskærper, at det er nødvendigt at udvise en høj grad af rettidig omhu i forbindelse med påtænkte økonomiske aftaler eller forretningsaftaler, som direkte eller indirekte involverer landets statslige investeringsfond, i betragtning af meldingerne om fondens kobling til menneskerettighedskrænkelser;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45</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t xml:space="preserve">glæder sig over potentialet for yderligere økonomisk samarbejde mellem EU og Saudi-Arabien inden for bæredygtig energi, kritiske råstoffer, informationsteknologi og iværksætteri og bemærker, at økonomisk samarbejde mellem EU og Saudi-Arabien er hjørnestenen i de bilaterale forbindelser; </w:t>
            </w:r>
            <w:r>
              <w:rPr>
                <w:b/>
                <w:i/>
              </w:rPr>
              <w:t>opfordrer til udvidet samarbejde mellem EU og Saudi-Arabien inden for disse områder;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46</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Marie-Agnes Strack-Zimmermann,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glæder sig over</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rPr>
                <w:b/>
                <w:i/>
              </w:rPr>
              <w:t>fremhæver</w:t>
            </w:r>
            <w:r>
              <w:t xml:space="preserve"> potentialet for yderligere økonomisk samarbejde mellem EU og Saudi-Arabien inden for bæredygtig energi, kritiske råstoffer, informationsteknologi og iværksætteri og bemærker, at økonomisk samarbejde mellem EU og Saudi-Arabien er hjørnestenen i de bilaterale forbindelser;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rPr>
                <w:b/>
                <w:i/>
              </w:rPr>
              <w:t>glæder sig over potentialet for</w:t>
            </w:r>
            <w:r>
              <w:t xml:space="preserve"> yderligere økonomisk samarbejde mellem EU og Saudi-Arabien inden for bæredygtig energi, kritiske råstoffer, informationsteknologi og iværksætteri og bemærker, at økonomisk samarbejde mellem EU og Saudi-Arabien er hjørnestenen i de bilaterale forbindelser;</w:t>
            </w:r>
          </w:p>
        </w:tc>
        <w:tc>
          <w:tcPr>
            <w:tcW w:w="4876" w:type="dxa"/>
            <w:tcBorders>
              <w:top w:val="nil"/>
              <w:left w:val="nil"/>
              <w:bottom w:val="nil"/>
              <w:right w:val="nil"/>
            </w:tcBorders>
          </w:tcPr>
          <w:p>
            <w:pPr>
              <w:pStyle w:val="Normal6a"/>
            </w:pPr>
            <w:r>
              <w:t>3.</w:t>
            </w:r>
            <w:r>
              <w:tab/>
            </w:r>
            <w:r>
              <w:rPr>
                <w:b/>
                <w:i/>
              </w:rPr>
              <w:t>opfordrer til</w:t>
            </w:r>
            <w:r>
              <w:t xml:space="preserve"> yderligere økonomisk samarbejde mellem EU og Saudi-Arabien inden for bæredygtig energi, kritiske råstoffer, informationsteknologi og iværksætteri og bemærker, at økonomisk samarbejde mellem EU og Saudi-Arabien er hjørnestenen i de bilaterale forbindelser;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48</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bemærker, at Saudi-Arabien kan blive en vigtig partner i bestræbelserne på at bekæmpe ulovlig indvandring og styre migrationsstrømmene fra Mellemøsten, Afrika, det indiske subkontinent og Centralasien;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49</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3a.</w:t>
            </w:r>
            <w:r>
              <w:tab/>
            </w:r>
            <w:r>
              <w:rPr>
                <w:b/>
                <w:i/>
              </w:rPr>
              <w:t>indskærper, at en uddybning af samarbejdet mellem EU og Saudi-Arabien inden for energi og samhandel bør styrke EU's strategiske autonomi ved at diversificere EU's pålidelige forsyningskilder;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bekræfter på ny, at EU er fast besluttet på at støtte Saudi-Arabiens bestræbelser på at opnå </w:t>
            </w:r>
            <w:r>
              <w:rPr>
                <w:b/>
                <w:i/>
              </w:rPr>
              <w:t>socioøkonomisk</w:t>
            </w:r>
            <w:r>
              <w:t xml:space="preserve"> diversificering og reformer, herunder fremme af bæredygtig udvikling;</w:t>
            </w:r>
          </w:p>
        </w:tc>
        <w:tc>
          <w:tcPr>
            <w:tcW w:w="4876" w:type="dxa"/>
            <w:tcBorders>
              <w:top w:val="nil"/>
              <w:left w:val="nil"/>
              <w:bottom w:val="nil"/>
              <w:right w:val="nil"/>
            </w:tcBorders>
          </w:tcPr>
          <w:p>
            <w:pPr>
              <w:pStyle w:val="Normal6a"/>
            </w:pPr>
            <w:r>
              <w:t>4.</w:t>
            </w:r>
            <w:r>
              <w:tab/>
            </w:r>
            <w:r>
              <w:t xml:space="preserve">bekræfter på ny, at EU er fast besluttet på at støtte Saudi-Arabiens bestræbelser på at opnå diversificering og </w:t>
            </w:r>
            <w:r>
              <w:rPr>
                <w:b/>
                <w:i/>
              </w:rPr>
              <w:t>indføre socioøkonomiske</w:t>
            </w:r>
            <w:r>
              <w:t xml:space="preserve"> reformer, herunder fremme af bæredygtig udvikling </w:t>
            </w:r>
            <w:r>
              <w:rPr>
                <w:b/>
                <w:i/>
              </w:rPr>
              <w:t>gennem diversificering af landets energikilder, herunder kernekraft</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bekræfter på ny</w:t>
            </w:r>
            <w:r>
              <w:t xml:space="preserve">, at EU fortsat er fast besluttet på at fremme en sikker og gensidigt fordelagtig ordning for visumfri </w:t>
            </w:r>
            <w:r>
              <w:rPr>
                <w:b/>
                <w:i/>
              </w:rPr>
              <w:t>rejse</w:t>
            </w:r>
            <w:r>
              <w:t xml:space="preserve"> med de fem </w:t>
            </w:r>
            <w:r>
              <w:rPr>
                <w:b/>
                <w:i/>
              </w:rPr>
              <w:t>resterende</w:t>
            </w:r>
            <w:r>
              <w:t xml:space="preserve"> GCC-lande for at sikre ligebehandling af dem;</w:t>
            </w:r>
          </w:p>
        </w:tc>
        <w:tc>
          <w:tcPr>
            <w:tcW w:w="4876" w:type="dxa"/>
            <w:tcBorders>
              <w:top w:val="nil"/>
              <w:left w:val="nil"/>
              <w:bottom w:val="nil"/>
              <w:right w:val="nil"/>
            </w:tcBorders>
          </w:tcPr>
          <w:p>
            <w:pPr>
              <w:pStyle w:val="Normal6a"/>
            </w:pPr>
            <w:r>
              <w:t>5.</w:t>
            </w:r>
            <w:r>
              <w:tab/>
            </w:r>
            <w:r>
              <w:rPr>
                <w:b/>
                <w:i/>
              </w:rPr>
              <w:t>bemærker</w:t>
            </w:r>
            <w:r>
              <w:t xml:space="preserve">, at EU fortsat er fast besluttet på at fremme en sikker og gensidigt fordelagtig ordning for visumfri </w:t>
            </w:r>
            <w:r>
              <w:rPr>
                <w:b/>
                <w:i/>
              </w:rPr>
              <w:t>indrejse</w:t>
            </w:r>
            <w:r>
              <w:t xml:space="preserve"> med de fem </w:t>
            </w:r>
            <w:r>
              <w:rPr>
                <w:b/>
                <w:i/>
              </w:rPr>
              <w:t>øvrige</w:t>
            </w:r>
            <w:r>
              <w:t xml:space="preserve"> GCC-lande for at sikre ligebehandling af dem; </w:t>
            </w:r>
            <w:r>
              <w:rPr>
                <w:b/>
                <w:i/>
              </w:rPr>
              <w:t>påpeger, hvilke risici visumfri indrejse medfører, f.eks. et højere antal asylansøgninger, ikke mindst fra udemokratiske lande som Saudi-Arabien, samt sikkerhedsrisici i forbindelse med terrorisme og ekstremisme;</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bekræfter på ny, at EU fortsat er fast besluttet på at fremme en sikker og gensidigt fordelagtig ordning for visumfri </w:t>
            </w:r>
            <w:r>
              <w:rPr>
                <w:b/>
                <w:i/>
              </w:rPr>
              <w:t>rejse</w:t>
            </w:r>
            <w:r>
              <w:t xml:space="preserve"> med de fem </w:t>
            </w:r>
            <w:r>
              <w:rPr>
                <w:b/>
                <w:i/>
              </w:rPr>
              <w:t>resterende</w:t>
            </w:r>
            <w:r>
              <w:t xml:space="preserve"> GCC-lande for at sikre ligebehandling af dem;</w:t>
            </w:r>
          </w:p>
        </w:tc>
        <w:tc>
          <w:tcPr>
            <w:tcW w:w="4876" w:type="dxa"/>
            <w:tcBorders>
              <w:top w:val="nil"/>
              <w:left w:val="nil"/>
              <w:bottom w:val="nil"/>
              <w:right w:val="nil"/>
            </w:tcBorders>
          </w:tcPr>
          <w:p>
            <w:pPr>
              <w:pStyle w:val="Normal6a"/>
            </w:pPr>
            <w:r>
              <w:t>5.</w:t>
            </w:r>
            <w:r>
              <w:tab/>
            </w:r>
            <w:r>
              <w:t xml:space="preserve">bekræfter på ny, at EU fortsat er fast besluttet på at fremme en sikker og gensidigt fordelagtig ordning for visumfri </w:t>
            </w:r>
            <w:r>
              <w:rPr>
                <w:b/>
                <w:i/>
              </w:rPr>
              <w:t>indrejse</w:t>
            </w:r>
            <w:r>
              <w:t xml:space="preserve"> med de fem </w:t>
            </w:r>
            <w:r>
              <w:rPr>
                <w:b/>
                <w:i/>
              </w:rPr>
              <w:t>øvrige</w:t>
            </w:r>
            <w:r>
              <w:t xml:space="preserve"> GCC-lande for at sikre ligebehandling af dem</w:t>
            </w:r>
            <w:r>
              <w:rPr>
                <w:b/>
                <w:i/>
              </w:rPr>
              <w:t>,</w:t>
            </w:r>
            <w:r>
              <w:t xml:space="preserve"> </w:t>
            </w:r>
            <w:r>
              <w:rPr>
                <w:b/>
                <w:i/>
              </w:rPr>
              <w:t>hvilket kan vurderes i forbindelse med EU's nye visumstrategi</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53</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rPr>
                <w:b/>
                <w:i/>
              </w:rPr>
              <w:t>bekræfter på ny, at EU fortsat er fast besluttet på at fremme en sikker og gensidigt fordelagtig</w:t>
            </w:r>
            <w:r>
              <w:t xml:space="preserve"> ordning for visumfri </w:t>
            </w:r>
            <w:r>
              <w:rPr>
                <w:b/>
                <w:i/>
              </w:rPr>
              <w:t>rejse med de fem resterende GCC-lande for at sikre ligebehandling af dem</w:t>
            </w:r>
            <w:r>
              <w:t>;</w:t>
            </w:r>
          </w:p>
        </w:tc>
        <w:tc>
          <w:tcPr>
            <w:tcW w:w="4876" w:type="dxa"/>
            <w:tcBorders>
              <w:top w:val="nil"/>
              <w:left w:val="nil"/>
              <w:bottom w:val="nil"/>
              <w:right w:val="nil"/>
            </w:tcBorders>
          </w:tcPr>
          <w:p>
            <w:pPr>
              <w:pStyle w:val="Normal6a"/>
            </w:pPr>
            <w:r>
              <w:t>5.</w:t>
            </w:r>
            <w:r>
              <w:tab/>
            </w:r>
            <w:r>
              <w:rPr>
                <w:b/>
                <w:i/>
              </w:rPr>
              <w:t>indskærper, at eventuelle drøftelser om en</w:t>
            </w:r>
            <w:r>
              <w:t xml:space="preserve"> ordning for visumfri </w:t>
            </w:r>
            <w:r>
              <w:rPr>
                <w:b/>
                <w:i/>
              </w:rPr>
              <w:t>indrejse med GCC-landene skal gøres ufravigeligt betinget af effektive sikkerhedsgarantier, styring af indvandring til Unionen og foranstaltninger til at bekæmpe enhver udenlandsk indblanding</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54</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 xml:space="preserve">bekræfter på ny, at EU fortsat er fast besluttet på at fremme en sikker og gensidigt fordelagtig ordning for visumfri </w:t>
            </w:r>
            <w:r>
              <w:rPr>
                <w:b/>
                <w:i/>
              </w:rPr>
              <w:t>rejse med de fem resterende GCC-lande for at sikre ligebehandling af dem</w:t>
            </w:r>
            <w:r>
              <w:t>;</w:t>
            </w:r>
          </w:p>
        </w:tc>
        <w:tc>
          <w:tcPr>
            <w:tcW w:w="4876" w:type="dxa"/>
            <w:tcBorders>
              <w:top w:val="nil"/>
              <w:left w:val="nil"/>
              <w:bottom w:val="nil"/>
              <w:right w:val="nil"/>
            </w:tcBorders>
          </w:tcPr>
          <w:p>
            <w:pPr>
              <w:pStyle w:val="Normal6a"/>
            </w:pPr>
            <w:r>
              <w:t>5.</w:t>
            </w:r>
            <w:r>
              <w:tab/>
            </w:r>
            <w:r>
              <w:t xml:space="preserve">bekræfter på ny, at EU fortsat er fast besluttet på at fremme en sikker og gensidigt fordelagtig ordning for visumfri </w:t>
            </w:r>
            <w:r>
              <w:rPr>
                <w:b/>
                <w:i/>
              </w:rPr>
              <w:t>indrejse med Kongeriget Saudi-Arabien</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55</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bemærker den betydelige økonomiske betydning, som saudiarabiske turister har for Den Europæiske Unions medlemsstater, navnlig med hensyn til at støtte nøglesektorer såsom hotel- og restaurationsbranchen, detailhandelen og kulturlivet;</w:t>
            </w:r>
            <w:r>
              <w:t xml:space="preserve"> </w:t>
            </w:r>
            <w:r>
              <w:rPr>
                <w:b/>
                <w:i/>
              </w:rPr>
              <w:t>understreger, at saudiarabiske statsborgere ikke udgør en kilde til ulovligt migrationspres</w:t>
            </w:r>
            <w:r>
              <w:rPr>
                <w:b/>
                <w:i/>
                <w:vertAlign w:val="superscript"/>
              </w:rPr>
              <w:t>8a</w:t>
            </w:r>
            <w:r>
              <w:rPr>
                <w:b/>
                <w:i/>
              </w:rPr>
              <w:t>, og opfordrer derfor til, at der indføres en Schengenvisumfritagelse for at lette turismen, øge den mellemfolkelige udveksling og yderligere styrke de økonomiske og kulturelle bånd mellem EU og Kongeriget Saudi-Arabien;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8a</w:t>
            </w:r>
            <w:r>
              <w:t xml:space="preserve"> </w:t>
            </w:r>
            <w:r>
              <w:rPr>
                <w:b/>
                <w:i/>
              </w:rPr>
              <w:t>https://home-affairs.ec.europa.eu/document/download/d22b298f-18db-48b1-bb53-cc4114bc40b3_en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56</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efterlyser et stærkere partnerskab mellem EU og Saudi-Arabien inden for uddannelse og forskning, bl.a. via programmer som Erasmus Mundus og Horisont Europa;</w:t>
            </w:r>
            <w:r>
              <w:t xml:space="preserve"> </w:t>
            </w:r>
            <w:r>
              <w:rPr>
                <w:b/>
                <w:i/>
              </w:rPr>
              <w:t>understreger, hvor vigtigt det er at skabe de fornødne betingelser for øget mobilitet for studerende;</w:t>
            </w:r>
            <w:r>
              <w:t xml:space="preserve"> </w:t>
            </w:r>
            <w:r>
              <w:rPr>
                <w:b/>
                <w:i/>
              </w:rPr>
              <w:t>fremhæver, at en styrkelse af udvekslingsmulighederne blandt unge i væsentlig grad vil bidrage til at konsolidere forbindelserne mellem EU, Saudi-Arabien og hele Golfregionen;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57</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5a.</w:t>
            </w:r>
            <w:r>
              <w:tab/>
            </w:r>
            <w:r>
              <w:rPr>
                <w:b/>
                <w:i/>
              </w:rPr>
              <w:t>glæder sig over, at Saudi-Arabien har udpeget Det Muslimske Broderskab som en terrororganisation, og at USA for nylig har taget skridt hen imod at træffe lignende foranstaltninger;</w:t>
            </w:r>
            <w:r>
              <w:t xml:space="preserve"> </w:t>
            </w:r>
            <w:r>
              <w:rPr>
                <w:b/>
                <w:i/>
              </w:rPr>
              <w:t>opfordrer EU og medlemsstaterne til snarest muligt at følge trop og ligeledes udpege Det Muslimske Broderskab som en terrororganisation;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opfordrer EU til yderligere at lette reguleringssamarbejdet, hvilket vil støtte Saudi-Arabien i dets bestræbelser på at indføre regler og procedurer for at gennemføre diversificering og reformer;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59</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5b.</w:t>
            </w:r>
            <w:r>
              <w:tab/>
            </w:r>
            <w:r>
              <w:rPr>
                <w:b/>
                <w:i/>
              </w:rPr>
              <w:t>glæder sig over Abraham-aftalerne, som USA mæglede på plads, og opfordrer Saudi-Arabien til hurtigst muligt at tilslutte sig disse;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60</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glæder sig over Saudi-Arabiens voksende betydning som diplomatisk aktør</w:t>
            </w:r>
            <w:r>
              <w:rPr>
                <w:b/>
                <w:i/>
              </w:rPr>
              <w:t>, der bidrager til international</w:t>
            </w:r>
            <w:r>
              <w:t xml:space="preserve"> stabilitet, navnlig i forbindelse med </w:t>
            </w:r>
            <w:r>
              <w:rPr>
                <w:b/>
                <w:i/>
              </w:rPr>
              <w:t>Israels militæroperation</w:t>
            </w:r>
            <w:r>
              <w:t xml:space="preserve"> i Gaza </w:t>
            </w:r>
            <w:r>
              <w:rPr>
                <w:b/>
                <w:i/>
              </w:rPr>
              <w:t>samt under</w:t>
            </w:r>
            <w:r>
              <w:t xml:space="preserve"> den seneste udvikling i Syrien, Libanon, Yemen, Det Røde Hav og Sudan;</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w:t>
            </w:r>
            <w:r>
              <w:rPr>
                <w:b/>
                <w:i/>
              </w:rPr>
              <w:t>og dets betydelige bidrag til den regionale og globale</w:t>
            </w:r>
            <w:r>
              <w:t xml:space="preserve"> stabilitet, navnlig i forbindelse med </w:t>
            </w:r>
            <w:r>
              <w:rPr>
                <w:b/>
                <w:i/>
              </w:rPr>
              <w:t>den igangværende krig</w:t>
            </w:r>
            <w:r>
              <w:t xml:space="preserve"> i Gaza </w:t>
            </w:r>
            <w:r>
              <w:rPr>
                <w:b/>
                <w:i/>
              </w:rPr>
              <w:t>og</w:t>
            </w:r>
            <w:r>
              <w:t xml:space="preserve"> den seneste udvikling i Syrien, Libanon, Yemen, Det Røde Hav og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61</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glæder sig over Saudi-Arabiens voksende betydning som diplomatisk aktør, der bidrager til international stabilitet, navnlig i forbindelse med Israels militæroperation i Gaza samt under den seneste udvikling i Syrien, Libanon</w:t>
            </w:r>
            <w:r>
              <w:rPr>
                <w:b/>
                <w:i/>
              </w:rPr>
              <w:t>, Yemen,</w:t>
            </w:r>
            <w:r>
              <w:t xml:space="preserve"> Det Røde Hav </w:t>
            </w:r>
            <w:r>
              <w:rPr>
                <w:b/>
                <w:i/>
              </w:rPr>
              <w:t>og Sudan</w:t>
            </w:r>
            <w:r>
              <w:t>;</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Israels militæroperation i Gaza </w:t>
            </w:r>
            <w:r>
              <w:rPr>
                <w:b/>
                <w:i/>
              </w:rPr>
              <w:t>efter Hamas' terrorangreb den 7. oktober 2023, hvorved ca. 1 200 mennesker blev dræbt og 250 blev taget som gidsler,</w:t>
            </w:r>
            <w:r>
              <w:t xml:space="preserve"> samt under den seneste udvikling i Syrien, Libanon </w:t>
            </w:r>
            <w:r>
              <w:rPr>
                <w:b/>
                <w:i/>
              </w:rPr>
              <w:t>og</w:t>
            </w:r>
            <w:r>
              <w:t xml:space="preserve"> Det Røde Hav;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62</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Israels militæroperation</w:t>
            </w:r>
            <w:r>
              <w:t xml:space="preserve"> i Gaza </w:t>
            </w:r>
            <w:r>
              <w:rPr>
                <w:b/>
                <w:i/>
              </w:rPr>
              <w:t>samt under</w:t>
            </w:r>
            <w:r>
              <w:t xml:space="preserve"> den seneste udvikling i Syrien, Libanon, Yemen, Det Røde Hav og Sudan;</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krigen</w:t>
            </w:r>
            <w:r>
              <w:t xml:space="preserve"> i Gaza </w:t>
            </w:r>
            <w:r>
              <w:rPr>
                <w:b/>
                <w:i/>
              </w:rPr>
              <w:t>og</w:t>
            </w:r>
            <w:r>
              <w:t xml:space="preserve"> den seneste udvikling i Syrien, Libanon, Yemen, Det Røde Hav og Sudan</w:t>
            </w:r>
            <w:r>
              <w:rPr>
                <w:b/>
                <w:i/>
              </w:rPr>
              <w:t>, ikke mindst det stigende antal terrorangreb i regionen</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Israels militæroperation</w:t>
            </w:r>
            <w:r>
              <w:t xml:space="preserve"> i Gaza samt under den seneste udvikling i Syrien, Libanon, Yemen, Det Røde Hav og Sudan;</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de stadigt større vidnesbyrd om, at Israel begår folkemord</w:t>
            </w:r>
            <w:r>
              <w:t xml:space="preserve"> i Gaza</w:t>
            </w:r>
            <w:r>
              <w:rPr>
                <w:b/>
                <w:i/>
              </w:rPr>
              <w:t>,</w:t>
            </w:r>
            <w:r>
              <w:t xml:space="preserve"> samt under den seneste udvikling i Syrien, Libanon, Yemen, Det Røde Hav og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64</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rPr>
                <w:b/>
                <w:i/>
              </w:rPr>
              <w:t>glæder sig over</w:t>
            </w:r>
            <w:r>
              <w:t xml:space="preserve"> Saudi-Arabiens voksende betydning som diplomatisk aktør, der bidrager til international stabilitet, navnlig i forbindelse med Israels militæroperation i Gaza samt under den seneste udvikling i Syrien, Libanon, Yemen, Det Røde Hav og Sudan;</w:t>
            </w:r>
          </w:p>
        </w:tc>
        <w:tc>
          <w:tcPr>
            <w:tcW w:w="4876" w:type="dxa"/>
            <w:tcBorders>
              <w:top w:val="nil"/>
              <w:left w:val="nil"/>
              <w:bottom w:val="nil"/>
              <w:right w:val="nil"/>
            </w:tcBorders>
          </w:tcPr>
          <w:p>
            <w:pPr>
              <w:pStyle w:val="Normal6a"/>
            </w:pPr>
            <w:r>
              <w:t>6.</w:t>
            </w:r>
            <w:r>
              <w:tab/>
            </w:r>
            <w:r>
              <w:rPr>
                <w:b/>
                <w:i/>
              </w:rPr>
              <w:t>fremhæver</w:t>
            </w:r>
            <w:r>
              <w:t xml:space="preserve"> Saudi-Arabiens voksende betydning som diplomatisk aktør, der bidrager til international stabilitet, navnlig i forbindelse med Israels militæroperation i Gaza samt under den seneste udvikling i Syrien, Libanon, Yemen, Det Røde Hav og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65</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Israels militæroperation i Gaza</w:t>
            </w:r>
            <w:r>
              <w:t xml:space="preserve"> samt under den seneste udvikling i Syrien, Libanon, Yemen, Det Røde Hav og Sudan;</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den israelsk-palæstinensiske konflikt</w:t>
            </w:r>
            <w:r>
              <w:t> samt under den seneste udvikling i Syrien, Libanon, Yemen, Det Røde Hav og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66</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Israels militæroperation</w:t>
            </w:r>
            <w:r>
              <w:t xml:space="preserve"> i Gaza samt under den seneste udvikling i Syrien, Libanon, Yemen, Det Røde Hav og Sudan;</w:t>
            </w:r>
          </w:p>
        </w:tc>
        <w:tc>
          <w:tcPr>
            <w:tcW w:w="4876" w:type="dxa"/>
            <w:tcBorders>
              <w:top w:val="nil"/>
              <w:left w:val="nil"/>
              <w:bottom w:val="nil"/>
              <w:right w:val="nil"/>
            </w:tcBorders>
          </w:tcPr>
          <w:p>
            <w:pPr>
              <w:pStyle w:val="Normal6a"/>
            </w:pPr>
            <w:r>
              <w:t>6.</w:t>
            </w:r>
            <w:r>
              <w:tab/>
            </w:r>
            <w:r>
              <w:t xml:space="preserve">glæder sig over Saudi-Arabiens voksende betydning som diplomatisk aktør, der bidrager til international stabilitet, navnlig i forbindelse med </w:t>
            </w:r>
            <w:r>
              <w:rPr>
                <w:b/>
                <w:i/>
              </w:rPr>
              <w:t>krisen</w:t>
            </w:r>
            <w:r>
              <w:t xml:space="preserve"> i Gaza samt under den seneste udvikling i Syrien, Libanon, Yemen, Det Røde Hav og Sudan;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67</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anerkender Saudi-Arabiens og visse andre arabiske staters bestræbelser på at normalisere de diplomatiske forbindelser med Israel i henhold til Abraham-aftalerne;</w:t>
            </w:r>
            <w:r>
              <w:t xml:space="preserve"> </w:t>
            </w:r>
            <w:r>
              <w:rPr>
                <w:b/>
                <w:i/>
              </w:rPr>
              <w:t>opfordrer EU til at støtte initiativer, der har til formål at skabe bred regional og international opbakning til en bedre fremtid for forbindelserne mellem Israel og den arabiske verden;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68</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påpeger, at Saudi-Arabiens udenrigspolitik påvirkes af en kombination af strategiske, religiøse, økonomiske og sikkerhedsmæssige faktorer, og at landet primært søger at bevare stabiliteten, styrke sin regionale indflydelse og værne om sine energimæssige og geopolitiske interesser;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69</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6a.</w:t>
            </w:r>
            <w:r>
              <w:tab/>
            </w:r>
            <w:r>
              <w:rPr>
                <w:b/>
                <w:i/>
              </w:rPr>
              <w:t>indskærper, at et styrket samarbejde med Saudi-Arabien tillige bør styrke begge parters fælles tilsagn om at tilstræbe fred og stabilitet og bør beskytte den multilaterale regelbaserede verdensorden imod rivaliserende verdensordener;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70</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opfordrer til et stærkere</w:t>
            </w:r>
            <w:r>
              <w:t xml:space="preserv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w:t>
            </w:r>
          </w:p>
        </w:tc>
        <w:tc>
          <w:tcPr>
            <w:tcW w:w="4876" w:type="dxa"/>
            <w:tcBorders>
              <w:top w:val="nil"/>
              <w:left w:val="nil"/>
              <w:bottom w:val="nil"/>
              <w:right w:val="nil"/>
            </w:tcBorders>
          </w:tcPr>
          <w:p>
            <w:pPr>
              <w:pStyle w:val="Normal6a"/>
            </w:pPr>
            <w:r>
              <w:t>7.</w:t>
            </w:r>
            <w:r>
              <w:tab/>
            </w:r>
            <w:r>
              <w:rPr>
                <w:b/>
                <w:i/>
              </w:rPr>
              <w:t>efterlyser et styrket</w:t>
            </w:r>
            <w:r>
              <w:t xml:space="preserv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 </w:t>
            </w:r>
            <w:r>
              <w:rPr>
                <w:b/>
                <w:i/>
              </w:rPr>
              <w:t>indskærper, at dette samarbejde skal være funderet på en reel og fælles forpligtelse til at overholde folkeretten, herunder menneskerettighederne, den humanitære folkeret og FN-pagten;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opfordrer til et stærkere</w:t>
            </w:r>
            <w:r>
              <w:t xml:space="preserv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w:t>
            </w:r>
          </w:p>
        </w:tc>
        <w:tc>
          <w:tcPr>
            <w:tcW w:w="4876" w:type="dxa"/>
            <w:tcBorders>
              <w:top w:val="nil"/>
              <w:left w:val="nil"/>
              <w:bottom w:val="nil"/>
              <w:right w:val="nil"/>
            </w:tcBorders>
          </w:tcPr>
          <w:p>
            <w:pPr>
              <w:pStyle w:val="Normal6a"/>
            </w:pPr>
            <w:r>
              <w:t>7.</w:t>
            </w:r>
            <w:r>
              <w:tab/>
            </w:r>
            <w:r>
              <w:rPr>
                <w:b/>
                <w:i/>
              </w:rPr>
              <w:t>efterlyser et styrket</w:t>
            </w:r>
            <w:r>
              <w:t xml:space="preserv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 </w:t>
            </w:r>
            <w:r>
              <w:rPr>
                <w:b/>
                <w:i/>
              </w:rPr>
              <w:t>indskærper, at dette samarbejde skal være funderet på en reel og fælles forpligtelse til at overholde folkeretten, herunder menneskerettighederne, den humanitære folkeret og FN-pagten;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72</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rPr>
                <w:b/>
                <w:i/>
              </w:rPr>
              <w:t>opfordrer til</w:t>
            </w:r>
            <w:r>
              <w:t xml:space="preserve"> et stærkere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w:t>
            </w:r>
          </w:p>
        </w:tc>
        <w:tc>
          <w:tcPr>
            <w:tcW w:w="4876" w:type="dxa"/>
            <w:tcBorders>
              <w:top w:val="nil"/>
              <w:left w:val="nil"/>
              <w:bottom w:val="nil"/>
              <w:right w:val="nil"/>
            </w:tcBorders>
          </w:tcPr>
          <w:p>
            <w:pPr>
              <w:pStyle w:val="Normal6a"/>
            </w:pPr>
            <w:r>
              <w:t>7.</w:t>
            </w:r>
            <w:r>
              <w:tab/>
            </w:r>
            <w:r>
              <w:rPr>
                <w:b/>
                <w:i/>
              </w:rPr>
              <w:t>efterlyser</w:t>
            </w:r>
            <w:r>
              <w:t xml:space="preserve"> et stærkere udenrigs- og sikkerhedssamarbejde i lyset af de regionale eskaleringer; fremhæver, at der både i den fælles meddelelse om et strategisk partnerskab med Golfstaterne og den fremtidige strategiske partnerskabsaftale bliver opfordret til et stærkere samarbejde på politiske og sikkerhedsmæssige områder; </w:t>
            </w:r>
            <w:r>
              <w:rPr>
                <w:b/>
                <w:i/>
              </w:rPr>
              <w:t>indskærper, at dette samarbejde skal være funderet på en fælles forpligtelse til at overholde folkeretten, herunder menneskerettighederne, den humanitære folkeret og FN-pagten;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7a.</w:t>
            </w:r>
            <w:r>
              <w:tab/>
            </w:r>
            <w:r>
              <w:rPr>
                <w:b/>
                <w:i/>
              </w:rPr>
              <w:t>fremhæver Saudi-Arabiens vigtige diplomatiske rolle, navnlig med hensyn til at støtte deeskalering i Yemen, forbedre sikkerheden for skibsfarten i Det Røde Hav, være vært for forhandlinger om Ukraine samt facilitere dialogen om Sudan, hvilket alt sammen bidrager konstruktivt til den regionale og internationale stabilitet;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rPr>
                <w:b/>
                <w:i/>
              </w:rPr>
              <w:t>opfordrer Saudi-Arabien til at fortsætte</w:t>
            </w:r>
            <w:r>
              <w:t xml:space="preserve"> samarbejdet mellem EU og Saudi-Arabien om terrorbekæmpelse og forebyggelse af radikalisering;</w:t>
            </w:r>
          </w:p>
        </w:tc>
        <w:tc>
          <w:tcPr>
            <w:tcW w:w="4876" w:type="dxa"/>
            <w:tcBorders>
              <w:top w:val="nil"/>
              <w:left w:val="nil"/>
              <w:bottom w:val="nil"/>
              <w:right w:val="nil"/>
            </w:tcBorders>
          </w:tcPr>
          <w:p>
            <w:pPr>
              <w:pStyle w:val="Normal6a"/>
            </w:pPr>
            <w:r>
              <w:t>8.</w:t>
            </w:r>
            <w:r>
              <w:tab/>
            </w:r>
            <w:r>
              <w:rPr>
                <w:b/>
                <w:i/>
              </w:rPr>
              <w:t>noterer sig</w:t>
            </w:r>
            <w:r>
              <w:t xml:space="preserve"> samarbejdet mellem EU og Saudi-Arabien om terrorbekæmpelse og forebyggelse af radikalisering</w:t>
            </w:r>
            <w:r>
              <w:rPr>
                <w:b/>
                <w:i/>
              </w:rPr>
              <w:t>, som skal ske i overensstemmelse med internationale menneskerettighedsstandarder</w:t>
            </w:r>
            <w:r>
              <w:t xml:space="preserve">; </w:t>
            </w:r>
            <w:r>
              <w:rPr>
                <w:b/>
                <w:i/>
              </w:rPr>
              <w:t>udtrykker bekymring over Saudi-Arabiens brug af terrorbekæmpelseslove til at bringe aktivister til tavshed og undertrykke dissidenter, hvilket har givet sig udslag i vedvarende anholdelser af saudiarabiske borgere anklaget for terrorisme efter at have deltaget i fredelige aktiviteter på de sociale medier;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75</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p>
        </w:tc>
        <w:tc>
          <w:tcPr>
            <w:tcW w:w="4876" w:type="dxa"/>
            <w:tcBorders>
              <w:top w:val="nil"/>
              <w:left w:val="nil"/>
              <w:bottom w:val="nil"/>
              <w:right w:val="nil"/>
            </w:tcBorders>
          </w:tcPr>
          <w:p>
            <w:pPr>
              <w:pStyle w:val="Normal6a"/>
            </w:pPr>
            <w:r>
              <w:t>8.</w:t>
            </w:r>
            <w:r>
              <w:tab/>
            </w:r>
            <w:r>
              <w:t xml:space="preserve">opfordrer Saudi-Arabien til at fortsætte samarbejdet mellem EU og Saudi-Arabien om terrorbekæmpelse og forebyggelse af radikalisering; </w:t>
            </w:r>
            <w:r>
              <w:rPr>
                <w:b/>
                <w:i/>
              </w:rPr>
              <w:t>indskærper, at ethvert samarbejde om bekæmpelse af terrorisme og radikalisering skal omfatte en særlig vagtsomhed over for spredning af wahhabismens ekstremistiske doktriner, som fortsat overvejende forbindes med Saudi-Arabien;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76</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p>
        </w:tc>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r>
              <w:rPr>
                <w:b/>
                <w:i/>
              </w:rPr>
              <w:t>,</w:t>
            </w:r>
            <w:r>
              <w:t xml:space="preserve"> </w:t>
            </w:r>
            <w:r>
              <w:rPr>
                <w:b/>
                <w:i/>
              </w:rPr>
              <w:t>hvilket skal ske i overensstemmelse med internationale menneskerettighedsstandarder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p>
        </w:tc>
        <w:tc>
          <w:tcPr>
            <w:tcW w:w="4876" w:type="dxa"/>
            <w:tcBorders>
              <w:top w:val="nil"/>
              <w:left w:val="nil"/>
              <w:bottom w:val="nil"/>
              <w:right w:val="nil"/>
            </w:tcBorders>
          </w:tcPr>
          <w:p>
            <w:pPr>
              <w:pStyle w:val="Normal6a"/>
            </w:pPr>
            <w:r>
              <w:t>8.</w:t>
            </w:r>
            <w:r>
              <w:tab/>
            </w:r>
            <w:r>
              <w:t xml:space="preserve">opfordrer Saudi-Arabien til at fortsætte samarbejdet mellem EU og Saudi-Arabien om terrorbekæmpelse og forebyggelse af radikalisering; </w:t>
            </w:r>
            <w:r>
              <w:rPr>
                <w:b/>
                <w:i/>
              </w:rPr>
              <w:t>understreger, hvor vigtigt det er at opnå</w:t>
            </w:r>
            <w:r>
              <w:t xml:space="preserve"> </w:t>
            </w:r>
            <w:r>
              <w:rPr>
                <w:b/>
                <w:i/>
              </w:rPr>
              <w:t>en omfattende tilnærmelse mellem EU og Saudi-Arabien</w:t>
            </w:r>
            <w:r>
              <w:rPr>
                <w:b/>
                <w:i/>
              </w:rPr>
              <w:t> på disse områder;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p>
        </w:tc>
        <w:tc>
          <w:tcPr>
            <w:tcW w:w="4876" w:type="dxa"/>
            <w:tcBorders>
              <w:top w:val="nil"/>
              <w:left w:val="nil"/>
              <w:bottom w:val="nil"/>
              <w:right w:val="nil"/>
            </w:tcBorders>
          </w:tcPr>
          <w:p>
            <w:pPr>
              <w:pStyle w:val="Normal6a"/>
            </w:pPr>
            <w:r>
              <w:t>8.</w:t>
            </w:r>
            <w:r>
              <w:tab/>
            </w:r>
            <w:r>
              <w:t>opfordrer Saudi-Arabien til at fortsætte samarbejdet mellem EU og Saudi-Arabien om terrorbekæmpelse og forebyggelse af radikalisering</w:t>
            </w:r>
            <w:r>
              <w:rPr>
                <w:b/>
                <w:i/>
              </w:rPr>
              <w:t>,</w:t>
            </w:r>
            <w:r>
              <w:t xml:space="preserve"> </w:t>
            </w:r>
            <w:r>
              <w:rPr>
                <w:b/>
                <w:i/>
              </w:rPr>
              <w:t>hvilket skal ske i overensstemmelse med internationale menneskerettighedsstandarder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79</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Israels militæroperation i Gaza, dets støtte til </w:t>
            </w:r>
            <w:r>
              <w:rPr>
                <w:b/>
                <w:i/>
              </w:rPr>
              <w:t>humanitær bistand</w:t>
            </w:r>
            <w:r>
              <w:t xml:space="preserve"> og dets opfordringer til våbenhvile og </w:t>
            </w:r>
            <w:r>
              <w:rPr>
                <w:b/>
                <w:i/>
              </w:rPr>
              <w:t>løsladelse af</w:t>
            </w:r>
            <w:r>
              <w:t xml:space="preserve"> gidsler;</w:t>
            </w:r>
          </w:p>
        </w:tc>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Israels militæroperation i Gaza, dets støtte til </w:t>
            </w:r>
            <w:r>
              <w:rPr>
                <w:b/>
                <w:i/>
              </w:rPr>
              <w:t>nødhjælpsarbejde</w:t>
            </w:r>
            <w:r>
              <w:t xml:space="preserve"> og dets opfordringer til våbenhvile og </w:t>
            </w:r>
            <w:r>
              <w:rPr>
                <w:b/>
                <w:i/>
              </w:rPr>
              <w:t>frigivelse af gidslerne;</w:t>
            </w:r>
            <w:r>
              <w:t xml:space="preserve"> </w:t>
            </w:r>
            <w:r>
              <w:rPr>
                <w:b/>
                <w:i/>
              </w:rPr>
              <w:t>udtrykker sin dybeste bekymring over truslen om yderligere militær optrapning i Gazastriben og tager skarpt afstand fra alle folkeretskrænkelser begået som led i denne konflikt, herunder alle planer om territoriale eller demografiske ændringer i området;</w:t>
            </w:r>
            <w:r>
              <w:t xml:space="preserve"> </w:t>
            </w:r>
            <w:r>
              <w:rPr>
                <w:b/>
                <w:i/>
              </w:rPr>
              <w:t>opfordrer til øjeblikkelig og effektiv handling fra verdenssamfundets side for at afhjælpe den uacceptable humanitære situation i Gaza som følge af den blokade, som den israelske regering har indført, og som forhindrer nødhjælp i at nå frem til civilbefolkningen, der lever under umenneskelige forhold;</w:t>
            </w:r>
            <w:r>
              <w:t xml:space="preserve"> </w:t>
            </w:r>
            <w:r>
              <w:rPr>
                <w:b/>
                <w:i/>
              </w:rPr>
              <w:t>opfordrer til en øjeblikkelig og varig indstilling af kamphandlingerne;</w:t>
            </w:r>
            <w:r>
              <w:t xml:space="preserve"> </w:t>
            </w:r>
            <w:r>
              <w:rPr>
                <w:b/>
                <w:i/>
              </w:rPr>
              <w:t>kræver, at samtlige tilbageværende israelske</w:t>
            </w:r>
            <w:r>
              <w:t xml:space="preserve"> gidsler </w:t>
            </w:r>
            <w:r>
              <w:rPr>
                <w:b/>
                <w:i/>
              </w:rPr>
              <w:t>frigives øjeblikkeligt og betingelsesløst</w:t>
            </w:r>
            <w:r>
              <w:t xml:space="preserve">; </w:t>
            </w:r>
            <w:r>
              <w:rPr>
                <w:b/>
                <w:i/>
              </w:rPr>
              <w:t>opfordrer fortsat til en proaktive diplomatisk indsats fra EU's side med henblik på at opnå en permanent våbenhvile;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80</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w:t>
            </w:r>
            <w:r>
              <w:rPr>
                <w:b/>
                <w:i/>
              </w:rPr>
              <w:t>Israels militæroperation i Gaza, dets</w:t>
            </w:r>
            <w:r>
              <w:t xml:space="preserve"> støtte til </w:t>
            </w:r>
            <w:r>
              <w:rPr>
                <w:b/>
                <w:i/>
              </w:rPr>
              <w:t>humanitær bistand og dets opfordringer til våbenhvile og løsladelse af</w:t>
            </w:r>
            <w:r>
              <w:t xml:space="preserve"> gidsler;</w:t>
            </w:r>
          </w:p>
        </w:tc>
        <w:tc>
          <w:tcPr>
            <w:tcW w:w="4876" w:type="dxa"/>
            <w:tcBorders>
              <w:top w:val="nil"/>
              <w:left w:val="nil"/>
              <w:bottom w:val="nil"/>
              <w:right w:val="nil"/>
            </w:tcBorders>
          </w:tcPr>
          <w:p>
            <w:pPr>
              <w:pStyle w:val="Normal6a"/>
            </w:pPr>
            <w:r>
              <w:t>9.</w:t>
            </w:r>
            <w:r>
              <w:tab/>
            </w:r>
            <w:r>
              <w:t xml:space="preserve">anerkender Saudi-Arabiens bestræbelser på at </w:t>
            </w:r>
            <w:r>
              <w:rPr>
                <w:b/>
                <w:i/>
              </w:rPr>
              <w:t>stabilisere Mellemøsten,</w:t>
            </w:r>
            <w:r>
              <w:t xml:space="preserve"> tilskynde til deeskalering i forbindelse med </w:t>
            </w:r>
            <w:r>
              <w:rPr>
                <w:b/>
                <w:i/>
              </w:rPr>
              <w:t>konflikten mellem Israel og Hamas samt landets</w:t>
            </w:r>
            <w:r>
              <w:t xml:space="preserve"> støtte til </w:t>
            </w:r>
            <w:r>
              <w:rPr>
                <w:b/>
                <w:i/>
              </w:rPr>
              <w:t>nødhjælpsarbejde, frigivelse af samtlige</w:t>
            </w:r>
            <w:r>
              <w:t xml:space="preserve"> gidsler</w:t>
            </w:r>
            <w:r>
              <w:rPr>
                <w:b/>
                <w:i/>
              </w:rPr>
              <w:t>, som stadig tilbageholdes i Gaza, og en afslutning på den israelsk-palæstinensiske konflikt</w:t>
            </w:r>
            <w:r>
              <w:t xml:space="preserve">; </w:t>
            </w:r>
            <w:r>
              <w:rPr>
                <w:b/>
                <w:i/>
              </w:rPr>
              <w:t>understreger, at Saudi-Arabiens troværdighed som fredsmægler desuden kan gøre landet til en værdifuld aktør i en fremtidig indsats for at stabilisere de palæstinensiske områder;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81</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Israels militæroperation i Gaza, dets støtte til </w:t>
            </w:r>
            <w:r>
              <w:rPr>
                <w:b/>
                <w:i/>
              </w:rPr>
              <w:t>humanitær bistand</w:t>
            </w:r>
            <w:r>
              <w:t xml:space="preserve"> og dets opfordringer til våbenhvile og </w:t>
            </w:r>
            <w:r>
              <w:rPr>
                <w:b/>
                <w:i/>
              </w:rPr>
              <w:t>løsladelse af</w:t>
            </w:r>
            <w:r>
              <w:t xml:space="preserve"> gidsler;</w:t>
            </w:r>
          </w:p>
        </w:tc>
        <w:tc>
          <w:tcPr>
            <w:tcW w:w="4876" w:type="dxa"/>
            <w:tcBorders>
              <w:top w:val="nil"/>
              <w:left w:val="nil"/>
              <w:bottom w:val="nil"/>
              <w:right w:val="nil"/>
            </w:tcBorders>
          </w:tcPr>
          <w:p>
            <w:pPr>
              <w:pStyle w:val="Normal6a"/>
            </w:pPr>
            <w:r>
              <w:t>9.</w:t>
            </w:r>
            <w:r>
              <w:tab/>
            </w:r>
            <w:r>
              <w:t xml:space="preserve">anerkender Saudi-Arabiens </w:t>
            </w:r>
            <w:r>
              <w:rPr>
                <w:b/>
                <w:i/>
              </w:rPr>
              <w:t>fordømmelse af Hamas' angreb på Israel den 7. oktober 2023, samt dets</w:t>
            </w:r>
            <w:r>
              <w:t xml:space="preserve"> bestræbelser på at tilskynde til deeskalering i forbindelse med Israels militæroperation i Gaza, dets støtte til </w:t>
            </w:r>
            <w:r>
              <w:rPr>
                <w:b/>
                <w:i/>
              </w:rPr>
              <w:t>nødhjælpsarbejde</w:t>
            </w:r>
            <w:r>
              <w:t xml:space="preserve"> og dets opfordringer til våbenhvile og </w:t>
            </w:r>
            <w:r>
              <w:rPr>
                <w:b/>
                <w:i/>
              </w:rPr>
              <w:t>frigivelse af gidslerne;</w:t>
            </w:r>
            <w:r>
              <w:t xml:space="preserve"> </w:t>
            </w:r>
            <w:r>
              <w:rPr>
                <w:b/>
                <w:i/>
              </w:rPr>
              <w:t>bifalder Saudi-Arabiens toneangivende medvirken i Den Arabiske Ligas erklæring med krav om, at Hamas skal afvæbnes, skal frigive samtlige</w:t>
            </w:r>
            <w:r>
              <w:t xml:space="preserve"> gidsler</w:t>
            </w:r>
            <w:r>
              <w:rPr>
                <w:b/>
                <w:i/>
              </w:rPr>
              <w:t>, og skal afgive kontrollen over Gaza</w:t>
            </w:r>
            <w:r>
              <w:t>;</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82</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Israels militæroperation i Gaza, dets støtte til </w:t>
            </w:r>
            <w:r>
              <w:rPr>
                <w:b/>
                <w:i/>
              </w:rPr>
              <w:t>humanitær bistand</w:t>
            </w:r>
            <w:r>
              <w:t xml:space="preserve"> og dets opfordringer til våbenhvile og </w:t>
            </w:r>
            <w:r>
              <w:rPr>
                <w:b/>
                <w:i/>
              </w:rPr>
              <w:t>løsladelse af gidsler</w:t>
            </w:r>
            <w:r>
              <w:t>;</w:t>
            </w:r>
          </w:p>
        </w:tc>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Israels militæroperation i Gaza </w:t>
            </w:r>
            <w:r>
              <w:rPr>
                <w:b/>
                <w:i/>
              </w:rPr>
              <w:t>efter Hamas' terrorangreb den 7. oktober 2023, hvorved ca. 1 200 mennesker blev dræbt og 250 blev taget som gidsler</w:t>
            </w:r>
            <w:r>
              <w:t xml:space="preserve">, dets støtte til </w:t>
            </w:r>
            <w:r>
              <w:rPr>
                <w:b/>
                <w:i/>
              </w:rPr>
              <w:t>nødhjælpsarbejde</w:t>
            </w:r>
            <w:r>
              <w:t xml:space="preserve"> og dets opfordringer til våbenhvile og </w:t>
            </w:r>
            <w:r>
              <w:rPr>
                <w:b/>
                <w:i/>
              </w:rPr>
              <w:t>frigivelse af gidslerne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83</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rPr>
                <w:b/>
                <w:i/>
              </w:rPr>
              <w:t>anerkender</w:t>
            </w:r>
            <w:r>
              <w:t xml:space="preserve"> Saudi-Arabiens bestræbelser på at </w:t>
            </w:r>
            <w:r>
              <w:rPr>
                <w:b/>
                <w:i/>
              </w:rPr>
              <w:t>tilskynde til deeskalering i forbindelse med Israels militæroperation i Gaza, dets støtte til humanitær bistand og dets opfordringer til</w:t>
            </w:r>
            <w:r>
              <w:t xml:space="preserve"> våbenhvile </w:t>
            </w:r>
            <w:r>
              <w:rPr>
                <w:b/>
                <w:i/>
              </w:rPr>
              <w:t>og løsladelse af</w:t>
            </w:r>
            <w:r>
              <w:t xml:space="preserve"> gidsler;</w:t>
            </w:r>
          </w:p>
        </w:tc>
        <w:tc>
          <w:tcPr>
            <w:tcW w:w="4876" w:type="dxa"/>
            <w:tcBorders>
              <w:top w:val="nil"/>
              <w:left w:val="nil"/>
              <w:bottom w:val="nil"/>
              <w:right w:val="nil"/>
            </w:tcBorders>
          </w:tcPr>
          <w:p>
            <w:pPr>
              <w:pStyle w:val="Normal6a"/>
            </w:pPr>
            <w:r>
              <w:t>9.</w:t>
            </w:r>
            <w:r>
              <w:tab/>
            </w:r>
            <w:r>
              <w:rPr>
                <w:b/>
                <w:i/>
              </w:rPr>
              <w:t>glæder sig over</w:t>
            </w:r>
            <w:r>
              <w:t xml:space="preserve"> Saudi-Arabiens bestræbelser på at </w:t>
            </w:r>
            <w:r>
              <w:rPr>
                <w:b/>
                <w:i/>
              </w:rPr>
              <w:t>levere nødhjælp, opnå en varig</w:t>
            </w:r>
            <w:r>
              <w:t xml:space="preserve"> våbenhvile </w:t>
            </w:r>
            <w:r>
              <w:rPr>
                <w:b/>
                <w:i/>
              </w:rPr>
              <w:t>i Gaza og få frigivet samtlige de israelske</w:t>
            </w:r>
            <w:r>
              <w:t xml:space="preserve"> gidsler</w:t>
            </w:r>
            <w:r>
              <w:rPr>
                <w:b/>
                <w:i/>
              </w:rPr>
              <w:t>, der tilbageholdes af Hamas</w:t>
            </w:r>
            <w:r>
              <w:t xml:space="preserve">; </w:t>
            </w:r>
            <w:r>
              <w:rPr>
                <w:b/>
                <w:i/>
              </w:rPr>
              <w:t>roser Saudi-Arabiens aktive engagement i at opnå en holdbar fred og en tostatsløsning i overensstemmelse med folkeretten;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w:t>
            </w:r>
            <w:r>
              <w:rPr>
                <w:b/>
                <w:i/>
              </w:rPr>
              <w:t>Israels militæroperation</w:t>
            </w:r>
            <w:r>
              <w:t xml:space="preserve"> i Gaza, </w:t>
            </w:r>
            <w:r>
              <w:rPr>
                <w:b/>
                <w:i/>
              </w:rPr>
              <w:t>dets</w:t>
            </w:r>
            <w:r>
              <w:t xml:space="preserve"> støtte til </w:t>
            </w:r>
            <w:r>
              <w:rPr>
                <w:b/>
                <w:i/>
              </w:rPr>
              <w:t>humanitær bistand</w:t>
            </w:r>
            <w:r>
              <w:t xml:space="preserve"> og dets opfordringer til våbenhvile og </w:t>
            </w:r>
            <w:r>
              <w:rPr>
                <w:b/>
                <w:i/>
              </w:rPr>
              <w:t>løsladelse af gidsler</w:t>
            </w:r>
            <w:r>
              <w:t>;</w:t>
            </w:r>
          </w:p>
        </w:tc>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w:t>
            </w:r>
            <w:r>
              <w:rPr>
                <w:b/>
                <w:i/>
              </w:rPr>
              <w:t>den stadigt større dokumentation for, at Israel begår folkemord</w:t>
            </w:r>
            <w:r>
              <w:t xml:space="preserve"> i Gaza, </w:t>
            </w:r>
            <w:r>
              <w:rPr>
                <w:b/>
                <w:i/>
              </w:rPr>
              <w:t>samt Saudi-Arabiens</w:t>
            </w:r>
            <w:r>
              <w:t xml:space="preserve"> støtte til </w:t>
            </w:r>
            <w:r>
              <w:rPr>
                <w:b/>
                <w:i/>
              </w:rPr>
              <w:t>nødhjælpsarbejde</w:t>
            </w:r>
            <w:r>
              <w:t xml:space="preserve"> og dets opfordringer til våbenhvile og </w:t>
            </w:r>
            <w:r>
              <w:rPr>
                <w:b/>
                <w:i/>
              </w:rPr>
              <w:t>frigivelse af gidslerne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w:t>
            </w:r>
            <w:r>
              <w:rPr>
                <w:b/>
                <w:i/>
              </w:rPr>
              <w:t>Israels militæroperation</w:t>
            </w:r>
            <w:r>
              <w:t xml:space="preserve"> i Gaza, dets støtte til </w:t>
            </w:r>
            <w:r>
              <w:rPr>
                <w:b/>
                <w:i/>
              </w:rPr>
              <w:t>humanitær bistand</w:t>
            </w:r>
            <w:r>
              <w:t xml:space="preserve"> og dets opfordringer til våbenhvile og </w:t>
            </w:r>
            <w:r>
              <w:rPr>
                <w:b/>
                <w:i/>
              </w:rPr>
              <w:t>løsladelse af</w:t>
            </w:r>
            <w:r>
              <w:t xml:space="preserve"> gidsler;</w:t>
            </w:r>
          </w:p>
        </w:tc>
        <w:tc>
          <w:tcPr>
            <w:tcW w:w="4876" w:type="dxa"/>
            <w:tcBorders>
              <w:top w:val="nil"/>
              <w:left w:val="nil"/>
              <w:bottom w:val="nil"/>
              <w:right w:val="nil"/>
            </w:tcBorders>
          </w:tcPr>
          <w:p>
            <w:pPr>
              <w:pStyle w:val="Normal6a"/>
            </w:pPr>
            <w:r>
              <w:t>9.</w:t>
            </w:r>
            <w:r>
              <w:tab/>
            </w:r>
            <w:r>
              <w:t xml:space="preserve">anerkender Saudi-Arabiens bestræbelser på at tilskynde til deeskalering i forbindelse med </w:t>
            </w:r>
            <w:r>
              <w:rPr>
                <w:b/>
                <w:i/>
              </w:rPr>
              <w:t>den aktuelle krise</w:t>
            </w:r>
            <w:r>
              <w:t xml:space="preserve"> i Gaza, dets støtte til </w:t>
            </w:r>
            <w:r>
              <w:rPr>
                <w:b/>
                <w:i/>
              </w:rPr>
              <w:t>nødhjælpsarbejde</w:t>
            </w:r>
            <w:r>
              <w:t xml:space="preserve"> og dets opfordringer til våbenhvile og </w:t>
            </w:r>
            <w:r>
              <w:rPr>
                <w:b/>
                <w:i/>
              </w:rPr>
              <w:t>frigivelse af de</w:t>
            </w:r>
            <w:r>
              <w:t xml:space="preserve"> gidsler</w:t>
            </w:r>
            <w:r>
              <w:rPr>
                <w:b/>
                <w:i/>
              </w:rPr>
              <w:t>, som Hamas tilbageholder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86</w:t>
      </w:r>
      <w:r>
        <w:rPr>
          <w:rStyle w:val="HideTWBExt"/>
        </w:rPr>
        <w:t>&lt;/NumAm&gt;</w:t>
      </w:r>
    </w:p>
    <w:p>
      <w:pPr>
        <w:pStyle w:val="NormalBold"/>
      </w:pPr>
      <w:r>
        <w:rPr>
          <w:rStyle w:val="HideTWBExt"/>
          <w:b w:val="0"/>
        </w:rPr>
        <w:t>&lt;RepeatBlock-By&gt;</w:t>
      </w:r>
      <w:r>
        <w:rPr>
          <w:rStyle w:val="HideTWBExt"/>
          <w:b w:val="0"/>
        </w:rPr>
        <w:t>&lt;Members&gt;</w:t>
      </w:r>
      <w:r>
        <w:t>Bernard Guetta, Hilde Vautmans,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a.</w:t>
            </w:r>
            <w:r>
              <w:tab/>
            </w:r>
            <w:r>
              <w:rPr>
                <w:b/>
                <w:i/>
              </w:rPr>
              <w:t>glæder sig over New York-erklæringen, som blev fremsat ved afslutningen af den internationale konference på højt plan om en fredelig løsning på Palæstina-spørgsmålet og om gennemførelse af tostatsløsningen, der blev afholdt den 28.-30. juli 2025 under fælles forsæde af Saudi-Arabien og Frankrig;</w:t>
            </w:r>
            <w:r>
              <w:t xml:space="preserve"> </w:t>
            </w:r>
            <w:r>
              <w:rPr>
                <w:b/>
                <w:i/>
              </w:rPr>
              <w:t>bekræfter på ny Europa-Parlamentets opbakning til en forhandlet tostatsløsning på grundlag af grænserne fra 1967 med Israel og Palæstina som demokratiske og suveræne nabolande med Jerusalem som deres fælles hovedstad, som eksisterer side om side i fred og sikkerhed, som den eneste holdbare vej til varig fred og stabilitet i Mellemøsten;</w:t>
            </w:r>
            <w:r>
              <w:t xml:space="preserve"> </w:t>
            </w:r>
            <w:r>
              <w:rPr>
                <w:b/>
                <w:i/>
              </w:rPr>
              <w:t>gentager, at der ikke kan være udsigt til fred, sikkerhed og stabilitet i Gaza eller til forsoning mellem det israelske og det palæstinensiske folk, så længe Hamas spiller en rolle i Gazastriben;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9 a.</w:t>
            </w:r>
            <w:r>
              <w:tab/>
            </w:r>
            <w:r>
              <w:rPr>
                <w:b/>
                <w:i/>
              </w:rPr>
              <w:t>opfordrer Saudi-Arabien til at fortsætte arbejdet hen imod en normalisering med Israel;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88</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t xml:space="preserve">roser Saudi-Arabiens vedvarende engagement i Syrien, herunder regionale </w:t>
            </w:r>
            <w:r>
              <w:rPr>
                <w:b/>
                <w:i/>
              </w:rPr>
              <w:t>konsultationer</w:t>
            </w:r>
            <w:r>
              <w:t xml:space="preserve"> med henblik på stabilisering og genopretning efter konflikter; understreger, at det er vigtigt at bevare Syriens territoriale integritet;</w:t>
            </w:r>
          </w:p>
        </w:tc>
        <w:tc>
          <w:tcPr>
            <w:tcW w:w="4876" w:type="dxa"/>
            <w:tcBorders>
              <w:top w:val="nil"/>
              <w:left w:val="nil"/>
              <w:bottom w:val="nil"/>
              <w:right w:val="nil"/>
            </w:tcBorders>
          </w:tcPr>
          <w:p>
            <w:pPr>
              <w:pStyle w:val="Normal6a"/>
            </w:pPr>
            <w:r>
              <w:t>10.</w:t>
            </w:r>
            <w:r>
              <w:tab/>
            </w:r>
            <w:r>
              <w:t xml:space="preserve">roser Saudi-Arabiens vedvarende engagement i Syrien, herunder regionale </w:t>
            </w:r>
            <w:r>
              <w:rPr>
                <w:b/>
                <w:i/>
              </w:rPr>
              <w:t>drøftelser</w:t>
            </w:r>
            <w:r>
              <w:t xml:space="preserve"> med henblik på stabilisering og genopretning efter konflikter; understreger, at det er vigtigt at bevare Syriens territoriale integritet; </w:t>
            </w:r>
            <w:r>
              <w:rPr>
                <w:b/>
                <w:i/>
              </w:rPr>
              <w:t>efterlyser øget samarbejde mellem EU og Saudi-Arabien for at sikre en fredelig og inkluderende overgangsperiode i Syrien og for at beskytte Syriens kristne befolkning og alle øvrige mindretalsbefolkninger og garantere deres sikkerhed og religionsfrihed og beskytte deres kulturarv;</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89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roser</w:t>
            </w:r>
            <w:r>
              <w:t xml:space="preserve"> Saudi-Arabiens </w:t>
            </w:r>
            <w:r>
              <w:rPr>
                <w:b/>
                <w:i/>
              </w:rPr>
              <w:t>vedvarende engagement</w:t>
            </w:r>
            <w:r>
              <w:t xml:space="preserve"> i Syrien, herunder regionale </w:t>
            </w:r>
            <w:r>
              <w:rPr>
                <w:b/>
                <w:i/>
              </w:rPr>
              <w:t>konsultationer med henblik på stabilisering og genopretning efter konflikter</w:t>
            </w:r>
            <w:r>
              <w:t xml:space="preserve">; understreger, </w:t>
            </w:r>
            <w:r>
              <w:rPr>
                <w:b/>
                <w:i/>
              </w:rPr>
              <w:t>at det er</w:t>
            </w:r>
            <w:r>
              <w:t xml:space="preserve"> vigtigt at bevare Syriens territoriale integritet;</w:t>
            </w:r>
          </w:p>
        </w:tc>
        <w:tc>
          <w:tcPr>
            <w:tcW w:w="4876" w:type="dxa"/>
            <w:tcBorders>
              <w:top w:val="nil"/>
              <w:left w:val="nil"/>
              <w:bottom w:val="nil"/>
              <w:right w:val="nil"/>
            </w:tcBorders>
          </w:tcPr>
          <w:p>
            <w:pPr>
              <w:pStyle w:val="Normal6a"/>
            </w:pPr>
            <w:r>
              <w:t>10.</w:t>
            </w:r>
            <w:r>
              <w:tab/>
            </w:r>
            <w:r>
              <w:rPr>
                <w:b/>
                <w:i/>
              </w:rPr>
              <w:t>påskønner</w:t>
            </w:r>
            <w:r>
              <w:t xml:space="preserve"> Saudi-Arabiens </w:t>
            </w:r>
            <w:r>
              <w:rPr>
                <w:b/>
                <w:i/>
              </w:rPr>
              <w:t>betydelige diplomatiske og finansielle hjælpeaktiviteter</w:t>
            </w:r>
            <w:r>
              <w:t xml:space="preserve"> i Syrien, herunder </w:t>
            </w:r>
            <w:r>
              <w:rPr>
                <w:b/>
                <w:i/>
              </w:rPr>
              <w:t>gennem</w:t>
            </w:r>
            <w:r>
              <w:t xml:space="preserve"> regionale </w:t>
            </w:r>
            <w:r>
              <w:rPr>
                <w:b/>
                <w:i/>
              </w:rPr>
              <w:t>drøftelser samt stabiliserings- og genopbygningsarbejde mere bredt;</w:t>
            </w:r>
            <w:r>
              <w:t xml:space="preserve"> </w:t>
            </w:r>
            <w:r>
              <w:rPr>
                <w:b/>
                <w:i/>
              </w:rPr>
              <w:t>opfordrer Saudi-Arabien og dets partnere i regionen til at bistå den syriske overgangsregering med at etablere en varig og inkluderende politisk og sikkerhedsmæssig forvaltningsstruktur</w:t>
            </w:r>
            <w:r>
              <w:t xml:space="preserve">; understreger, </w:t>
            </w:r>
            <w:r>
              <w:rPr>
                <w:b/>
                <w:i/>
              </w:rPr>
              <w:t>hvor</w:t>
            </w:r>
            <w:r>
              <w:t xml:space="preserve"> vigtigt </w:t>
            </w:r>
            <w:r>
              <w:rPr>
                <w:b/>
                <w:i/>
              </w:rPr>
              <w:t>det er</w:t>
            </w:r>
            <w:r>
              <w:t xml:space="preserve"> at bevare Syriens </w:t>
            </w:r>
            <w:r>
              <w:rPr>
                <w:b/>
                <w:i/>
              </w:rPr>
              <w:t>suverænitet og</w:t>
            </w:r>
            <w:r>
              <w:t xml:space="preserve"> territoriale integritet;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10.</w:t>
            </w:r>
            <w:r>
              <w:tab/>
            </w:r>
            <w:r>
              <w:rPr>
                <w:b/>
                <w:i/>
              </w:rPr>
              <w:t>roser</w:t>
            </w:r>
            <w:r>
              <w:t xml:space="preserve"> Saudi-Arabiens vedvarende engagement i Syrien, herunder regionale </w:t>
            </w:r>
            <w:r>
              <w:rPr>
                <w:b/>
                <w:i/>
              </w:rPr>
              <w:t>konsultationer</w:t>
            </w:r>
            <w:r>
              <w:t xml:space="preserve"> med henblik på stabilisering og genopretning efter </w:t>
            </w:r>
            <w:r>
              <w:rPr>
                <w:b/>
                <w:i/>
              </w:rPr>
              <w:t>konflikter</w:t>
            </w:r>
            <w:r>
              <w:t>; understreger, at det er vigtigt at bevare Syriens territoriale integritet;</w:t>
            </w:r>
          </w:p>
        </w:tc>
        <w:tc>
          <w:tcPr>
            <w:tcW w:w="4876" w:type="dxa"/>
            <w:tcBorders>
              <w:top w:val="nil"/>
              <w:left w:val="nil"/>
              <w:bottom w:val="nil"/>
              <w:right w:val="nil"/>
            </w:tcBorders>
          </w:tcPr>
          <w:p>
            <w:pPr>
              <w:pStyle w:val="Normal6a"/>
            </w:pPr>
            <w:r>
              <w:t>10.</w:t>
            </w:r>
            <w:r>
              <w:tab/>
            </w:r>
            <w:r>
              <w:rPr>
                <w:b/>
                <w:i/>
              </w:rPr>
              <w:t>fremhæver</w:t>
            </w:r>
            <w:r>
              <w:t xml:space="preserve"> Saudi-Arabiens vedvarende engagement i Syrien, herunder regionale </w:t>
            </w:r>
            <w:r>
              <w:rPr>
                <w:b/>
                <w:i/>
              </w:rPr>
              <w:t>drøftelser</w:t>
            </w:r>
            <w:r>
              <w:t xml:space="preserve"> med henblik på stabilisering og genopretning efter </w:t>
            </w:r>
            <w:r>
              <w:rPr>
                <w:b/>
                <w:i/>
              </w:rPr>
              <w:t>konflikten</w:t>
            </w:r>
            <w:r>
              <w:t xml:space="preserve">; understreger, at det er vigtigt at bevare Syriens territoriale integritet; </w:t>
            </w:r>
            <w:r>
              <w:rPr>
                <w:b/>
                <w:i/>
              </w:rPr>
              <w:t>påpeger, at det nuværende styre gennem sin politiske profilering undergraver den regionale sikkerhed og forholdene for de religiøse mindretal i Mellemøsten;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10a.</w:t>
            </w:r>
            <w:r>
              <w:tab/>
            </w:r>
            <w:r>
              <w:rPr>
                <w:b/>
                <w:i/>
              </w:rPr>
              <w:t>opfordrer Saudi-Arabien til at øge sin finansiering til De Forenede Nationers Hjælpeorganisation for Palæstinaflygtninge (UNRWA) for at understøtte dens afgørende rolle med hensyn til at levere nødhjælp og basale tjenester til palæstinensiske flygtninge, navnlig i lyset af Israels agitation imod UNRWA og for at kompensere for, at visse donorlande har indstillet deres bidrag;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bekræfter på ny EU's støtte til Libanons politiske og socioøkonomiske genopbygning og fremhæver vigtigheden af samarbejdet mellem EU og Saudi-Arabien om gennemførelse af FN's Sikkerhedsråds resolution 1701 (2006)</w:t>
            </w:r>
            <w:r>
              <w:rPr>
                <w:b/>
                <w:i/>
              </w:rPr>
              <w:t>, støtte til Libanons væbnede styrker og fremme af nedrustningen</w:t>
            </w:r>
            <w:r>
              <w:t xml:space="preserve"> af Hizbollah</w:t>
            </w:r>
            <w:r>
              <w:rPr>
                <w:b/>
                <w:i/>
              </w:rPr>
              <w:t>, samtidig med at Israels forsvarsstyrkers angreb fordømmes</w:t>
            </w:r>
            <w:r>
              <w:t>;</w:t>
            </w:r>
          </w:p>
        </w:tc>
        <w:tc>
          <w:tcPr>
            <w:tcW w:w="4876" w:type="dxa"/>
            <w:tcBorders>
              <w:top w:val="nil"/>
              <w:left w:val="nil"/>
              <w:bottom w:val="nil"/>
              <w:right w:val="nil"/>
            </w:tcBorders>
          </w:tcPr>
          <w:p>
            <w:pPr>
              <w:pStyle w:val="Normal6a"/>
            </w:pPr>
            <w:r>
              <w:t>11.</w:t>
            </w:r>
            <w:r>
              <w:tab/>
            </w:r>
            <w:r>
              <w:t>bekræfter på ny EU's støtte til Libanons politiske og socioøkonomiske genopbygning og fremhæver vigtigheden af samarbejdet mellem EU og Saudi-Arabien om gennemførelse af FN's Sikkerhedsråds resolution 1701 (2006)</w:t>
            </w:r>
            <w:r>
              <w:rPr>
                <w:b/>
                <w:i/>
              </w:rPr>
              <w:t>;</w:t>
            </w:r>
            <w:r>
              <w:t xml:space="preserve"> </w:t>
            </w:r>
            <w:r>
              <w:rPr>
                <w:b/>
                <w:i/>
              </w:rPr>
              <w:t>glæder sig over den libanesiske regerings indsats for og opfordring til en fuldstændig og betingelsesløs afvæbning</w:t>
            </w:r>
            <w:r>
              <w:t xml:space="preserve"> af Hizbollah </w:t>
            </w:r>
            <w:r>
              <w:rPr>
                <w:b/>
                <w:i/>
              </w:rPr>
              <w:t>inden udgangen af 2025 i overensstemmelse med den seneste fredskøreplan, som USA har mæglet på plads;</w:t>
            </w:r>
            <w:r>
              <w:t xml:space="preserve"> </w:t>
            </w:r>
            <w:r>
              <w:rPr>
                <w:b/>
                <w:i/>
              </w:rPr>
              <w:t>gentager, hvor vigtigt det er at bevare Libanons suverænitet og territoriale integritet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93</w:t>
      </w:r>
      <w:r>
        <w:rPr>
          <w:rStyle w:val="HideTWBExt"/>
        </w:rPr>
        <w:t>&lt;/NumAm&gt;</w:t>
      </w:r>
    </w:p>
    <w:p>
      <w:pPr>
        <w:pStyle w:val="NormalBold"/>
      </w:pPr>
      <w:r>
        <w:rPr>
          <w:rStyle w:val="HideTWBExt"/>
          <w:b w:val="0"/>
        </w:rPr>
        <w:t>&lt;RepeatBlock-By&gt;</w:t>
      </w:r>
      <w:r>
        <w:rPr>
          <w:rStyle w:val="HideTWBExt"/>
          <w:b w:val="0"/>
        </w:rPr>
        <w:t>&lt;Members&gt;</w:t>
      </w:r>
      <w:r>
        <w:t>Marie-Agnes Strack-Zimmermann, Dan Barna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fremme af nedrustningen</w:t>
            </w:r>
            <w:r>
              <w:t xml:space="preserve"> af Hizbollah, </w:t>
            </w:r>
            <w:r>
              <w:rPr>
                <w:b/>
                <w:i/>
              </w:rPr>
              <w:t>samtidig med at Israels</w:t>
            </w:r>
            <w:r>
              <w:t xml:space="preserve"> forsvarsstyrkers angreb </w:t>
            </w:r>
            <w:r>
              <w:rPr>
                <w:b/>
                <w:i/>
              </w:rPr>
              <w:t>fordømmes</w:t>
            </w:r>
            <w:r>
              <w:t>;</w:t>
            </w:r>
          </w:p>
        </w:tc>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støtte til afvæbning</w:t>
            </w:r>
            <w:r>
              <w:t xml:space="preserve"> af Hizbollah, </w:t>
            </w:r>
            <w:r>
              <w:rPr>
                <w:b/>
                <w:i/>
              </w:rPr>
              <w:t>og fordømmer de israelske</w:t>
            </w:r>
            <w:r>
              <w:t xml:space="preserve"> forsvarsstyrkers angreb </w:t>
            </w:r>
            <w:r>
              <w:rPr>
                <w:b/>
                <w:i/>
              </w:rPr>
              <w:t>på FN's midlertidige styrke i Libanon (UNIFIL)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94</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fremme af nedrustningen</w:t>
            </w:r>
            <w:r>
              <w:t xml:space="preserve"> af Hizbollah</w:t>
            </w:r>
            <w:r>
              <w:rPr>
                <w:b/>
                <w:i/>
              </w:rPr>
              <w:t>, samtidig med at Israels forsvarsstyrkers angreb fordømmes</w:t>
            </w:r>
            <w:r>
              <w:t>;</w:t>
            </w:r>
          </w:p>
        </w:tc>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støtte til afvæbning</w:t>
            </w:r>
            <w:r>
              <w:t xml:space="preserve"> af Hizbollah;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95</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fremme af nedrustningen</w:t>
            </w:r>
            <w:r>
              <w:t xml:space="preserve"> af Hizbollah</w:t>
            </w:r>
            <w:r>
              <w:rPr>
                <w:b/>
                <w:i/>
              </w:rPr>
              <w:t>, samtidig med at Israels forsvarsstyrkers angreb fordømmes</w:t>
            </w:r>
            <w:r>
              <w:t>;</w:t>
            </w:r>
          </w:p>
        </w:tc>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støtte til afvæbning</w:t>
            </w:r>
            <w:r>
              <w:t xml:space="preserve"> af Hizbollah;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96</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fremme af nedrustningen</w:t>
            </w:r>
            <w:r>
              <w:t xml:space="preserve"> af Hizbollah</w:t>
            </w:r>
            <w:r>
              <w:rPr>
                <w:b/>
                <w:i/>
              </w:rPr>
              <w:t>, samtidig med at Israels forsvarsstyrkers angreb fordømmes</w:t>
            </w:r>
            <w:r>
              <w:t>;</w:t>
            </w:r>
          </w:p>
        </w:tc>
        <w:tc>
          <w:tcPr>
            <w:tcW w:w="4876" w:type="dxa"/>
            <w:tcBorders>
              <w:top w:val="nil"/>
              <w:left w:val="nil"/>
              <w:bottom w:val="nil"/>
              <w:right w:val="nil"/>
            </w:tcBorders>
          </w:tcPr>
          <w:p>
            <w:pPr>
              <w:pStyle w:val="Normal6a"/>
            </w:pPr>
            <w:r>
              <w:t>11.</w:t>
            </w:r>
            <w:r>
              <w:tab/>
            </w:r>
            <w:r>
              <w:t xml:space="preserve">bekræfter på ny EU's støtte til Libanons politiske og socioøkonomiske genopbygning og fremhæver vigtigheden af samarbejdet mellem EU og Saudi-Arabien om gennemførelse af FN's Sikkerhedsråds resolution 1701 (2006), støtte til Libanons væbnede styrker og </w:t>
            </w:r>
            <w:r>
              <w:rPr>
                <w:b/>
                <w:i/>
              </w:rPr>
              <w:t>støtte til afvæbning</w:t>
            </w:r>
            <w:r>
              <w:t xml:space="preserve"> af Hizbollah;</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97</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anerkender Saudi-Arabiens konstruktive tilgang midt i de nuværende regionale spændinger gennem landets vej mod diplomatisk normalisering med Iran og fremhæver den fælles EU-saudiarabiske holdning til iranske stedfortræderaktører og udviklingen af et iransk atomprogram;</w:t>
            </w:r>
          </w:p>
        </w:tc>
        <w:tc>
          <w:tcPr>
            <w:tcW w:w="4876" w:type="dxa"/>
            <w:tcBorders>
              <w:top w:val="nil"/>
              <w:left w:val="nil"/>
              <w:bottom w:val="nil"/>
              <w:right w:val="nil"/>
            </w:tcBorders>
          </w:tcPr>
          <w:p>
            <w:pPr>
              <w:pStyle w:val="Normal6a"/>
            </w:pPr>
            <w:r>
              <w:t>12.</w:t>
            </w:r>
            <w:r>
              <w:tab/>
            </w:r>
            <w:r>
              <w:t xml:space="preserve">anerkender Saudi-Arabiens konstruktive tilgang midt i de nuværende regionale spændinger gennem landets vej mod diplomatisk normalisering med Iran og fremhæver den fælles EU-saudiarabiske holdning til iranske stedfortræderaktører og udviklingen af et iransk atomprogram; </w:t>
            </w:r>
            <w:r>
              <w:rPr>
                <w:b/>
                <w:i/>
              </w:rPr>
              <w:t>fordømmer i den forbindelse også Irans ballistiske missilprogram og dets program for bevæbnede ubemandede luftfartøjer;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w:t>
            </w:r>
            <w:r>
              <w:tab/>
            </w:r>
            <w:r>
              <w:t xml:space="preserve">anerkender Saudi-Arabiens konstruktive </w:t>
            </w:r>
            <w:r>
              <w:rPr>
                <w:b/>
                <w:i/>
              </w:rPr>
              <w:t>tilgang midt i de nuværende</w:t>
            </w:r>
            <w:r>
              <w:t xml:space="preserve"> regionale spændinger </w:t>
            </w:r>
            <w:r>
              <w:rPr>
                <w:b/>
                <w:i/>
              </w:rPr>
              <w:t>gennem landets vej mod diplomatisk</w:t>
            </w:r>
            <w:r>
              <w:t xml:space="preserve"> normalisering med Iran </w:t>
            </w:r>
            <w:r>
              <w:rPr>
                <w:b/>
                <w:i/>
              </w:rPr>
              <w:t>og</w:t>
            </w:r>
            <w:r>
              <w:t xml:space="preserve"> fremhæver </w:t>
            </w:r>
            <w:r>
              <w:rPr>
                <w:b/>
                <w:i/>
              </w:rPr>
              <w:t>den fælles EU-saudiarabiske holdning til iranske</w:t>
            </w:r>
            <w:r>
              <w:t xml:space="preserve"> stedfortræderaktører og </w:t>
            </w:r>
            <w:r>
              <w:rPr>
                <w:b/>
                <w:i/>
              </w:rPr>
              <w:t>udviklingen af et iransk</w:t>
            </w:r>
            <w:r>
              <w:t xml:space="preserve"> atomprogram;</w:t>
            </w:r>
          </w:p>
        </w:tc>
        <w:tc>
          <w:tcPr>
            <w:tcW w:w="4876" w:type="dxa"/>
            <w:tcBorders>
              <w:top w:val="nil"/>
              <w:left w:val="nil"/>
              <w:bottom w:val="nil"/>
              <w:right w:val="nil"/>
            </w:tcBorders>
          </w:tcPr>
          <w:p>
            <w:pPr>
              <w:pStyle w:val="Normal6a"/>
            </w:pPr>
            <w:r>
              <w:t>12.</w:t>
            </w:r>
            <w:r>
              <w:tab/>
            </w:r>
            <w:r>
              <w:t xml:space="preserve">anerkender Saudi-Arabiens konstruktive </w:t>
            </w:r>
            <w:r>
              <w:rPr>
                <w:b/>
                <w:i/>
              </w:rPr>
              <w:t>rolle i forbindelse med de aktuelle</w:t>
            </w:r>
            <w:r>
              <w:t xml:space="preserve"> regionale spændinger</w:t>
            </w:r>
            <w:r>
              <w:rPr>
                <w:b/>
                <w:i/>
              </w:rPr>
              <w:t>, det udvidede samarbejde mellem Saudi-Arabien og De Forenede Arabiske Emirater og den gradvise diplomatiske</w:t>
            </w:r>
            <w:r>
              <w:t xml:space="preserve"> normalisering med Iran</w:t>
            </w:r>
            <w:r>
              <w:rPr>
                <w:b/>
                <w:i/>
              </w:rPr>
              <w:t>;</w:t>
            </w:r>
            <w:r>
              <w:t xml:space="preserve"> fremhæver </w:t>
            </w:r>
            <w:r>
              <w:rPr>
                <w:b/>
                <w:i/>
              </w:rPr>
              <w:t>tilnærmelsen mellem EU og Saudi-Arabien med hensyn til at inddæmme Irans</w:t>
            </w:r>
            <w:r>
              <w:t xml:space="preserve"> stedfortræderaktører og </w:t>
            </w:r>
            <w:r>
              <w:rPr>
                <w:b/>
                <w:i/>
              </w:rPr>
              <w:t>standse videreudviklingen af Irans</w:t>
            </w:r>
            <w:r>
              <w:t xml:space="preserve"> atomprogram;</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99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fremhæver </w:t>
            </w:r>
            <w:r>
              <w:rPr>
                <w:b/>
                <w:i/>
              </w:rPr>
              <w:t>den fælles prioritet mellem EU og</w:t>
            </w:r>
            <w:r>
              <w:t xml:space="preserve"> Saudi-Arabien </w:t>
            </w:r>
            <w:r>
              <w:rPr>
                <w:b/>
                <w:i/>
              </w:rPr>
              <w:t>om at skabe varig fred i</w:t>
            </w:r>
            <w:r>
              <w:t xml:space="preserve"> Yemen </w:t>
            </w:r>
            <w:r>
              <w:rPr>
                <w:b/>
                <w:i/>
              </w:rPr>
              <w:t>og roser</w:t>
            </w:r>
            <w:r>
              <w:t xml:space="preserve"> Saudi-Arabiens </w:t>
            </w:r>
            <w:r>
              <w:rPr>
                <w:b/>
                <w:i/>
              </w:rPr>
              <w:t>fortsatte engagement i at opnå en inklusiv politisk løsning i</w:t>
            </w:r>
            <w:r>
              <w:t xml:space="preserve"> Yemen;</w:t>
            </w:r>
          </w:p>
        </w:tc>
        <w:tc>
          <w:tcPr>
            <w:tcW w:w="4876" w:type="dxa"/>
            <w:tcBorders>
              <w:top w:val="nil"/>
              <w:left w:val="nil"/>
              <w:bottom w:val="nil"/>
              <w:right w:val="nil"/>
            </w:tcBorders>
          </w:tcPr>
          <w:p>
            <w:pPr>
              <w:pStyle w:val="Normal6a"/>
            </w:pPr>
            <w:r>
              <w:t>13.</w:t>
            </w:r>
            <w:r>
              <w:tab/>
            </w:r>
            <w:r>
              <w:t>fremhæver</w:t>
            </w:r>
            <w:r>
              <w:rPr>
                <w:b/>
                <w:i/>
              </w:rPr>
              <w:t>, at</w:t>
            </w:r>
            <w:r>
              <w:t xml:space="preserve"> Saudi-Arabien </w:t>
            </w:r>
            <w:r>
              <w:rPr>
                <w:b/>
                <w:i/>
              </w:rPr>
              <w:t>har ændret sin udenrigspolitik over for</w:t>
            </w:r>
            <w:r>
              <w:t xml:space="preserve"> Yemen </w:t>
            </w:r>
            <w:r>
              <w:rPr>
                <w:b/>
                <w:i/>
              </w:rPr>
              <w:t>fra en militær intervention — som har kostet mindst 375 000 mennesker livet, hovedsagelig som følge sult forårsaget af</w:t>
            </w:r>
            <w:r>
              <w:t xml:space="preserve"> Saudi-Arabiens </w:t>
            </w:r>
            <w:r>
              <w:rPr>
                <w:b/>
                <w:i/>
              </w:rPr>
              <w:t>flådeblokade af</w:t>
            </w:r>
            <w:r>
              <w:t xml:space="preserve"> Yemen</w:t>
            </w:r>
            <w:r>
              <w:rPr>
                <w:b/>
                <w:i/>
              </w:rPr>
              <w:t>, og har forårsaget omfattende ødelæggelser og skabt en stadig pågående humanitær krise — til diplomati efter internationalt pres og som følge af tilnærmelsen mellem Saudi-Arabien og Iran</w:t>
            </w:r>
            <w:r>
              <w:t xml:space="preserve">; </w:t>
            </w:r>
            <w:r>
              <w:rPr>
                <w:b/>
                <w:i/>
              </w:rPr>
              <w:t>opfordrer til at forøge EU's og Saudi-Arabiens nødhjælp til Yemen og til en fælles indsats for at modvirke, at nødhjælpsarbejdere bliver målskive i konflikten;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fremhæver den fælles prioritet mellem EU og Saudi-Arabien om at skabe varig fred i Yemen og roser Saudi-Arabiens fortsatte engagement i at opnå en </w:t>
            </w:r>
            <w:r>
              <w:rPr>
                <w:b/>
                <w:i/>
              </w:rPr>
              <w:t>inklusiv</w:t>
            </w:r>
            <w:r>
              <w:t xml:space="preserve"> politisk løsning i Yemen;</w:t>
            </w:r>
          </w:p>
        </w:tc>
        <w:tc>
          <w:tcPr>
            <w:tcW w:w="4876" w:type="dxa"/>
            <w:tcBorders>
              <w:top w:val="nil"/>
              <w:left w:val="nil"/>
              <w:bottom w:val="nil"/>
              <w:right w:val="nil"/>
            </w:tcBorders>
          </w:tcPr>
          <w:p>
            <w:pPr>
              <w:pStyle w:val="Normal6a"/>
            </w:pPr>
            <w:r>
              <w:t>13.</w:t>
            </w:r>
            <w:r>
              <w:tab/>
            </w:r>
            <w:r>
              <w:t xml:space="preserve">fremhæver den fælles prioritet mellem EU og Saudi-Arabien om at skabe varig fred i Yemen og roser Saudi-Arabiens fortsatte engagement i at opnå en </w:t>
            </w:r>
            <w:r>
              <w:rPr>
                <w:b/>
                <w:i/>
              </w:rPr>
              <w:t>inkluderende</w:t>
            </w:r>
            <w:r>
              <w:t xml:space="preserve"> politisk løsning i Yemen; </w:t>
            </w:r>
            <w:r>
              <w:rPr>
                <w:b/>
                <w:i/>
              </w:rPr>
              <w:t>opfordrer Saudi-Arabien til at støtte en uafhængig international mekanisme, som skal efterforske landets styrkers krænkelser af den humanitære folkeret, herunder krænkelser begået i Yemen mellem 2015 og 2022 af koalitionen under ledelse af Saudi-Arabien og De Forenede Arabiske Emirater samt massedrabene på etiopiske migranter langs den yemenitisk-saudiarabiske grænse mellem marts 2022 og juni 2023;</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opfordrer Saudi-Arabien til at støtte en uafhængig international mekanisme, som skal efterforske landets styrkers krænkelser af den humanitære folkeret, herunder krænkelser begået i Yemen mellem 2015 og 2022 af koalitionen under ledelse af Saudi-Arabien og De Forenede Arabiske Emirater samt massedrabene på etiopiske migranter langs den yemenitisk-saudiarabiske grænse mellem marts 2022 og juni 2023, og indskærper, at det er nødvendigt at sikre, at ofrene for disse overgreb ydes retfærdighed, herunder at de ydes passende erstatning;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102</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13a.</w:t>
            </w:r>
            <w:r>
              <w:tab/>
            </w:r>
            <w:r>
              <w:rPr>
                <w:b/>
                <w:i/>
              </w:rPr>
              <w:t>opfordrer Saudi-Arabien til at støtte en uafhængig international mekanisme, som skal efterforske landets styrkers krænkelser af den humanitære folkeret, herunder krænkelser begået i Yemen mellem 2015 og 2022 af koalitionen under ledelse af Saudi-Arabien og De Forenede Arabiske Emirater samt massedrabene på etiopiske migranter langs den yemenitisk-saudiarabiske grænse mellem marts 2022 og juni 2023, og indskærper, at det er nødvendigt at sikre, at ofrene for disse overgreb ydes retfærdighed, herunder at de ydes passende erstatning;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103</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søruter</w:t>
            </w:r>
            <w:r>
              <w:t xml:space="preserve"> og internationale navigationsrettigheder i Det Røde Hav; fremhæver Saudi-Arabiens efterretningssamarbejde med de EU-medlemsstater, der deltager i EUNAVFOR ASPIDES;</w:t>
            </w:r>
          </w:p>
        </w:tc>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sejlruter</w:t>
            </w:r>
            <w:r>
              <w:t xml:space="preserve"> og internationale navigationsrettigheder i Det Røde Hav; fremhæver Saudi-Arabiens efterretningssamarbejde med de EU-medlemsstater, der deltager i EUNAVFOR ASPIDES; </w:t>
            </w:r>
            <w:r>
              <w:rPr>
                <w:b/>
                <w:i/>
              </w:rPr>
              <w:t>indskærper, at Saudi-Arabien og de øvrige golfstater skal spille en nøglerolle med hensyn til at garantere, at de sejlruter, der passerer igennem deres territorialfarvand, er sikre;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søruter</w:t>
            </w:r>
            <w:r>
              <w:t xml:space="preserve"> og internationale navigationsrettigheder i Det Røde Hav; fremhæver Saudi-Arabiens </w:t>
            </w:r>
            <w:r>
              <w:rPr>
                <w:b/>
                <w:i/>
              </w:rPr>
              <w:t>efterretningssamarbejde</w:t>
            </w:r>
            <w:r>
              <w:t xml:space="preserve"> med de EU-medlemsstater, der deltager i EUNAVFOR ASPIDES;</w:t>
            </w:r>
          </w:p>
        </w:tc>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sejlruter</w:t>
            </w:r>
            <w:r>
              <w:t xml:space="preserve"> og internationale navigationsrettigheder i Det Røde Hav; fremhæver Saudi-Arabiens </w:t>
            </w:r>
            <w:r>
              <w:rPr>
                <w:b/>
                <w:i/>
              </w:rPr>
              <w:t>engagement i søfartssikkerhed og opfordrer til et tættere politisk og efterretningsmæssigt samarbejde</w:t>
            </w:r>
            <w:r>
              <w:t xml:space="preserve"> med de EU-medlemsstater, der deltager i EUNAVFOR ASPIDES;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søruter</w:t>
            </w:r>
            <w:r>
              <w:t xml:space="preserve"> og internationale navigationsrettigheder i Det Røde Hav; fremhæver Saudi-Arabiens efterretningssamarbejde med </w:t>
            </w:r>
            <w:r>
              <w:rPr>
                <w:b/>
                <w:i/>
              </w:rPr>
              <w:t>de EU-medlemsstater, der deltager i</w:t>
            </w:r>
            <w:r>
              <w:t xml:space="preserve"> EUNAVFOR ASPIDES;</w:t>
            </w:r>
          </w:p>
        </w:tc>
        <w:tc>
          <w:tcPr>
            <w:tcW w:w="4876" w:type="dxa"/>
            <w:tcBorders>
              <w:top w:val="nil"/>
              <w:left w:val="nil"/>
              <w:bottom w:val="nil"/>
              <w:right w:val="nil"/>
            </w:tcBorders>
          </w:tcPr>
          <w:p>
            <w:pPr>
              <w:pStyle w:val="Normal6a"/>
            </w:pPr>
            <w:r>
              <w:t>15.</w:t>
            </w:r>
            <w:r>
              <w:tab/>
            </w:r>
            <w:r>
              <w:t xml:space="preserve">understreger EU's urokkelige tilsagn om at sikre beskyttelsen af </w:t>
            </w:r>
            <w:r>
              <w:rPr>
                <w:b/>
                <w:i/>
              </w:rPr>
              <w:t>sejlruter</w:t>
            </w:r>
            <w:r>
              <w:t xml:space="preserve"> og internationale navigationsrettigheder i Det Røde Hav; fremhæver Saudi-Arabiens efterretningssamarbejde med EUNAVFOR ASPIDES </w:t>
            </w:r>
            <w:r>
              <w:rPr>
                <w:b/>
                <w:i/>
              </w:rPr>
              <w:t>og med EU's medlemsstater mere generelt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106</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glæder sig over Saudi-Arabiens involvering i at være vært for forhandlingerne om en våbenhvile i Ukraine;</w:t>
            </w:r>
          </w:p>
        </w:tc>
        <w:tc>
          <w:tcPr>
            <w:tcW w:w="4876" w:type="dxa"/>
            <w:tcBorders>
              <w:top w:val="nil"/>
              <w:left w:val="nil"/>
              <w:bottom w:val="nil"/>
              <w:right w:val="nil"/>
            </w:tcBorders>
          </w:tcPr>
          <w:p>
            <w:pPr>
              <w:pStyle w:val="Normal6a"/>
            </w:pPr>
            <w:r>
              <w:t>16.</w:t>
            </w:r>
            <w:r>
              <w:tab/>
            </w:r>
            <w:r>
              <w:t xml:space="preserve">glæder sig over Saudi-Arabiens involvering i at være vært for forhandlingerne om en våbenhvile i Ukraine; </w:t>
            </w:r>
            <w:r>
              <w:rPr>
                <w:b/>
                <w:i/>
              </w:rPr>
              <w:t>opfordrer indtrængende Saudi-Arabien til at samarbejde tættere med sine partnere om at støtte sanktioner mod Den Russiske Føderation og træffe foranstaltninger til at bringe den russiske skyggeflådes aktiviteter til ophør;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107</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17.</w:t>
            </w:r>
            <w:r>
              <w:tab/>
            </w:r>
            <w:r>
              <w:rPr>
                <w:b/>
                <w:i/>
              </w:rPr>
              <w:t>noterer sig Saudi-Arabiens tilsagn om investeringer på 600 mia. USD i De Forenede Stater, herunder en forsvarsaftale og strategisk samarbejde om fremspirende teknologier;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108</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17.</w:t>
            </w:r>
            <w:r>
              <w:tab/>
            </w:r>
            <w:r>
              <w:t xml:space="preserve">noterer sig Saudi-Arabiens tilsagn om investeringer </w:t>
            </w:r>
            <w:r>
              <w:rPr>
                <w:b/>
                <w:i/>
              </w:rPr>
              <w:t>på</w:t>
            </w:r>
            <w:r>
              <w:t xml:space="preserve"> 600 mia. USD i </w:t>
            </w:r>
            <w:r>
              <w:rPr>
                <w:b/>
                <w:i/>
              </w:rPr>
              <w:t>De Forenede Stater</w:t>
            </w:r>
            <w:r>
              <w:t xml:space="preserve">, herunder en forsvarsaftale og strategisk samarbejde om </w:t>
            </w:r>
            <w:r>
              <w:rPr>
                <w:b/>
                <w:i/>
              </w:rPr>
              <w:t>fremspirende</w:t>
            </w:r>
            <w:r>
              <w:t xml:space="preserve"> teknologier;</w:t>
            </w:r>
          </w:p>
        </w:tc>
        <w:tc>
          <w:tcPr>
            <w:tcW w:w="4876" w:type="dxa"/>
            <w:tcBorders>
              <w:top w:val="nil"/>
              <w:left w:val="nil"/>
              <w:bottom w:val="nil"/>
              <w:right w:val="nil"/>
            </w:tcBorders>
          </w:tcPr>
          <w:p>
            <w:pPr>
              <w:pStyle w:val="Normal6a"/>
            </w:pPr>
            <w:r>
              <w:t>17.</w:t>
            </w:r>
            <w:r>
              <w:tab/>
            </w:r>
            <w:r>
              <w:t xml:space="preserve">noterer sig Saudi-Arabiens tilsagn om </w:t>
            </w:r>
            <w:r>
              <w:rPr>
                <w:b/>
                <w:i/>
              </w:rPr>
              <w:t>at foretage</w:t>
            </w:r>
            <w:r>
              <w:t xml:space="preserve"> investeringer </w:t>
            </w:r>
            <w:r>
              <w:rPr>
                <w:b/>
                <w:i/>
              </w:rPr>
              <w:t>for</w:t>
            </w:r>
            <w:r>
              <w:t xml:space="preserve"> 600 mia. USD i </w:t>
            </w:r>
            <w:r>
              <w:rPr>
                <w:b/>
                <w:i/>
              </w:rPr>
              <w:t>USA</w:t>
            </w:r>
            <w:r>
              <w:t xml:space="preserve">, herunder en forsvarsaftale og strategisk samarbejde om </w:t>
            </w:r>
            <w:r>
              <w:rPr>
                <w:b/>
                <w:i/>
              </w:rPr>
              <w:t>nye</w:t>
            </w:r>
            <w:r>
              <w:t xml:space="preserve"> teknologier; </w:t>
            </w:r>
            <w:r>
              <w:rPr>
                <w:b/>
                <w:i/>
              </w:rPr>
              <w:t>indskærper i lyset af ovenstående, at det er af afgørende betydning, at EU bibeholder sin strategiske autonomi og værner om sine økonomiske og teknologiske interesser;</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109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 xml:space="preserve">anerkender Saudi-Arabiens rolle </w:t>
            </w:r>
            <w:r>
              <w:rPr>
                <w:b/>
                <w:i/>
              </w:rPr>
              <w:t>i det multilaterale</w:t>
            </w:r>
            <w:r>
              <w:t xml:space="preserve"> samarbejde, </w:t>
            </w:r>
            <w:r>
              <w:rPr>
                <w:b/>
                <w:i/>
              </w:rPr>
              <w:t>herunder</w:t>
            </w:r>
            <w:r>
              <w:t xml:space="preserve"> dets voksende engagement i Afrika, navnlig Sahel, </w:t>
            </w:r>
            <w:r>
              <w:rPr>
                <w:b/>
                <w:i/>
              </w:rPr>
              <w:t>og</w:t>
            </w:r>
            <w:r>
              <w:t xml:space="preserve"> Asien;</w:t>
            </w:r>
          </w:p>
        </w:tc>
        <w:tc>
          <w:tcPr>
            <w:tcW w:w="4876" w:type="dxa"/>
            <w:tcBorders>
              <w:top w:val="nil"/>
              <w:left w:val="nil"/>
              <w:bottom w:val="nil"/>
              <w:right w:val="nil"/>
            </w:tcBorders>
          </w:tcPr>
          <w:p>
            <w:pPr>
              <w:pStyle w:val="Normal6a"/>
            </w:pPr>
            <w:r>
              <w:t>18.</w:t>
            </w:r>
            <w:r>
              <w:tab/>
            </w:r>
            <w:r>
              <w:t xml:space="preserve">anerkender Saudi-Arabiens rolle </w:t>
            </w:r>
            <w:r>
              <w:rPr>
                <w:b/>
                <w:i/>
              </w:rPr>
              <w:t>med hensyn til at befordre multilateralt</w:t>
            </w:r>
            <w:r>
              <w:t xml:space="preserve"> samarbejde, </w:t>
            </w:r>
            <w:r>
              <w:rPr>
                <w:b/>
                <w:i/>
              </w:rPr>
              <w:t>bl.a. gennem</w:t>
            </w:r>
            <w:r>
              <w:t xml:space="preserve"> dets voksende engagement i Afrika, navnlig </w:t>
            </w:r>
            <w:r>
              <w:rPr>
                <w:b/>
                <w:i/>
              </w:rPr>
              <w:t>i</w:t>
            </w:r>
            <w:r>
              <w:t xml:space="preserve"> Sahel, </w:t>
            </w:r>
            <w:r>
              <w:rPr>
                <w:b/>
                <w:i/>
              </w:rPr>
              <w:t>samt i</w:t>
            </w:r>
            <w:r>
              <w:t xml:space="preserve"> Asien; </w:t>
            </w:r>
            <w:r>
              <w:rPr>
                <w:b/>
                <w:i/>
              </w:rPr>
              <w:t>opfordrer til tættere koordinering mellem EU og Saudi-Arabien om energisamarbejde, tværregional infrastrukturudvikling, kapacitetsopbygning, udvikling af humankapital, finansieringsinstrumenter og investeringsmekanismer på hele det afrikanske kontinent;</w:t>
            </w:r>
            <w:r>
              <w:t xml:space="preserve"> </w:t>
            </w:r>
            <w:r>
              <w:rPr>
                <w:b/>
                <w:i/>
              </w:rPr>
              <w:t>understreger, hvor vigtigt det er at integrere projekter under ledelse af Saudi-Arabien i EU's rammer, herunder </w:t>
            </w:r>
            <w:r>
              <w:rPr>
                <w:b/>
                <w:i/>
              </w:rPr>
              <w:t>initiativet</w:t>
            </w:r>
            <w:r>
              <w:t xml:space="preserve"> </w:t>
            </w:r>
            <w:r>
              <w:rPr>
                <w:b/>
                <w:i/>
              </w:rPr>
              <w:t>Global Gateway;</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110</w:t>
      </w:r>
      <w:r>
        <w:rPr>
          <w:rStyle w:val="HideTWBExt"/>
        </w:rPr>
        <w:t>&lt;/NumAm&gt;</w:t>
      </w:r>
    </w:p>
    <w:p>
      <w:pPr>
        <w:pStyle w:val="NormalBold"/>
      </w:pPr>
      <w:r>
        <w:rPr>
          <w:rStyle w:val="HideTWBExt"/>
          <w:b w:val="0"/>
        </w:rPr>
        <w:t>&lt;RepeatBlock-By&gt;</w:t>
      </w:r>
      <w:r>
        <w:rPr>
          <w:rStyle w:val="HideTWBExt"/>
          <w:b w:val="0"/>
        </w:rPr>
        <w:t>&lt;Members&gt;</w:t>
      </w:r>
      <w:r>
        <w:t>Davor Ivo Stier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bemærker, at Saudi-Arabien formelt er blevet opfordret til at blive medlem af gruppen af BRICS-lande;</w:t>
            </w:r>
          </w:p>
        </w:tc>
        <w:tc>
          <w:tcPr>
            <w:tcW w:w="4876" w:type="dxa"/>
            <w:tcBorders>
              <w:top w:val="nil"/>
              <w:left w:val="nil"/>
              <w:bottom w:val="nil"/>
              <w:right w:val="nil"/>
            </w:tcBorders>
          </w:tcPr>
          <w:p>
            <w:pPr>
              <w:pStyle w:val="Normal6a"/>
            </w:pPr>
            <w:r>
              <w:t>19.</w:t>
            </w:r>
            <w:r>
              <w:tab/>
            </w:r>
            <w:r>
              <w:t xml:space="preserve">bemærker, at Saudi-Arabien formelt er blevet opfordret til at blive medlem af gruppen af BRICS-lande; </w:t>
            </w:r>
            <w:r>
              <w:rPr>
                <w:b/>
                <w:i/>
              </w:rPr>
              <w:t>bemærker, at Saudi-Arabiens tilnærmelse til BRICS-landene er udtryk for en bredere tendens i retning af diversificerede alliancer, og opfordrer EU til at samarbejde konstruktivt med Saudi-Arabien om multilaterale fora for at beskytte vores fælles handels- og investeringsinteresser;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111</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bemærker, at Saudi-Arabien formelt er blevet opfordret til at blive medlem af gruppen af BRICS-lande;</w:t>
            </w:r>
          </w:p>
        </w:tc>
        <w:tc>
          <w:tcPr>
            <w:tcW w:w="4876" w:type="dxa"/>
            <w:tcBorders>
              <w:top w:val="nil"/>
              <w:left w:val="nil"/>
              <w:bottom w:val="nil"/>
              <w:right w:val="nil"/>
            </w:tcBorders>
          </w:tcPr>
          <w:p>
            <w:pPr>
              <w:pStyle w:val="Normal6a"/>
            </w:pPr>
            <w:r>
              <w:t>19.</w:t>
            </w:r>
            <w:r>
              <w:tab/>
            </w:r>
            <w:r>
              <w:t xml:space="preserve">bemærker </w:t>
            </w:r>
            <w:r>
              <w:rPr>
                <w:b/>
                <w:i/>
              </w:rPr>
              <w:t>med bekymring</w:t>
            </w:r>
            <w:r>
              <w:t>, at Saudi-Arabien formelt er blevet opfordret til at blive medlem af gruppen af BRICS-lande;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20.</w:t>
            </w:r>
            <w:r>
              <w:tab/>
            </w:r>
            <w:r>
              <w:rPr>
                <w:b/>
                <w:i/>
              </w:rPr>
              <w:t>noterer sig styrkelsen af de bilaterale forbindelser mellem Saudi-Arabien og Tyrkiet, navnlig på sikkerheds- og forsvarsområdet;</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113</w:t>
      </w:r>
      <w:r>
        <w:rPr>
          <w:rStyle w:val="HideTWBExt"/>
        </w:rPr>
        <w:t>&lt;/NumAm&gt;</w:t>
      </w:r>
    </w:p>
    <w:p>
      <w:pPr>
        <w:pStyle w:val="NormalBold"/>
      </w:pPr>
      <w:r>
        <w:rPr>
          <w:rStyle w:val="HideTWBExt"/>
          <w:b w:val="0"/>
        </w:rPr>
        <w:t>&lt;RepeatBlock-By&gt;</w:t>
      </w:r>
      <w:r>
        <w:rPr>
          <w:rStyle w:val="HideTWBExt"/>
          <w:b w:val="0"/>
        </w:rPr>
        <w:t>&lt;Members&gt;</w:t>
      </w:r>
      <w:r>
        <w:t>Alice Teodorescu Måwe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noterer sig styrkelsen af de bilaterale forbindelser mellem Saudi-Arabien og Tyrkiet, navnlig på sikkerheds- og forsvarsområdet;</w:t>
            </w:r>
          </w:p>
        </w:tc>
        <w:tc>
          <w:tcPr>
            <w:tcW w:w="4876" w:type="dxa"/>
            <w:tcBorders>
              <w:top w:val="nil"/>
              <w:left w:val="nil"/>
              <w:bottom w:val="nil"/>
              <w:right w:val="nil"/>
            </w:tcBorders>
          </w:tcPr>
          <w:p>
            <w:pPr>
              <w:pStyle w:val="Normal6a"/>
            </w:pPr>
            <w:r>
              <w:t>20.</w:t>
            </w:r>
            <w:r>
              <w:tab/>
            </w:r>
            <w:r>
              <w:t>noterer sig styrkelsen af de bilaterale forbindelser mellem Saudi-Arabien og Tyrkiet, navnlig på sikkerheds- og forsvarsområdet;</w:t>
            </w:r>
            <w:r>
              <w:rPr>
                <w:b/>
                <w:i/>
              </w:rPr>
              <w:t> opfordrer Saudi-Arabien til at bruge disse forbindelser til at overtale Tyrkiet til at bidrage konstruktivt til fredsprocessen i Mellemøsten ved at anerkende Hamas som en terrorbevægelse og indstille sin politiske, økonomiske og logistiske støtte til bevægelsen;</w:t>
            </w:r>
          </w:p>
        </w:tc>
      </w:tr>
    </w:tbl>
    <w:p>
      <w:pPr>
        <w:pStyle w:val="AmOrLang"/>
      </w:pPr>
      <w:r>
        <w:t xml:space="preserve">Or. </w:t>
      </w:r>
      <w:r>
        <w:rPr>
          <w:rStyle w:val="HideTWBExt"/>
        </w:rPr>
        <w:t>&lt;Original&gt;</w:t>
      </w:r>
      <w:r>
        <w:rPr>
          <w:rStyle w:val="HideTWBInt"/>
        </w:rPr>
        <w:t>{SV}</w:t>
      </w:r>
      <w:r>
        <w:t>sv</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114</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rPr>
                <w:b/>
                <w:i/>
              </w:rPr>
              <w:t>noterer sig</w:t>
            </w:r>
            <w:r>
              <w:t xml:space="preserve"> styrkelsen af de bilaterale forbindelser mellem Saudi-Arabien og Tyrkiet, navnlig på sikkerheds- og forsvarsområdet;</w:t>
            </w:r>
          </w:p>
        </w:tc>
        <w:tc>
          <w:tcPr>
            <w:tcW w:w="4876" w:type="dxa"/>
            <w:tcBorders>
              <w:top w:val="nil"/>
              <w:left w:val="nil"/>
              <w:bottom w:val="nil"/>
              <w:right w:val="nil"/>
            </w:tcBorders>
          </w:tcPr>
          <w:p>
            <w:pPr>
              <w:pStyle w:val="Normal6a"/>
            </w:pPr>
            <w:r>
              <w:t>20.</w:t>
            </w:r>
            <w:r>
              <w:tab/>
            </w:r>
            <w:r>
              <w:rPr>
                <w:b/>
                <w:i/>
              </w:rPr>
              <w:t>beklager</w:t>
            </w:r>
            <w:r>
              <w:t xml:space="preserve"> styrkelsen af de bilaterale forbindelser mellem Saudi-Arabien og Tyrkiet, navnlig på sikkerheds- og forsvarsområdet; </w:t>
            </w:r>
            <w:r>
              <w:rPr>
                <w:b/>
                <w:i/>
              </w:rPr>
              <w:t>påpeger, at Tyrkiet støttede magtovertagelsen af et brutalt regime i Syrien, som gentagne gange har begået overgreb imod sine religiøse mindretal;</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115</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noterer sig styrkelsen af de bilaterale forbindelser mellem Saudi-Arabien og Tyrkiet, navnlig på sikkerheds- og forsvarsområdet;</w:t>
            </w:r>
          </w:p>
        </w:tc>
        <w:tc>
          <w:tcPr>
            <w:tcW w:w="4876" w:type="dxa"/>
            <w:tcBorders>
              <w:top w:val="nil"/>
              <w:left w:val="nil"/>
              <w:bottom w:val="nil"/>
              <w:right w:val="nil"/>
            </w:tcBorders>
          </w:tcPr>
          <w:p>
            <w:pPr>
              <w:pStyle w:val="Normal6a"/>
            </w:pPr>
            <w:r>
              <w:t>20.</w:t>
            </w:r>
            <w:r>
              <w:tab/>
            </w:r>
            <w:r>
              <w:t xml:space="preserve">noterer sig </w:t>
            </w:r>
            <w:r>
              <w:rPr>
                <w:b/>
                <w:i/>
              </w:rPr>
              <w:t>med bekymring</w:t>
            </w:r>
            <w:r>
              <w:t xml:space="preserve"> styrkelsen af de bilaterale forbindelser mellem Saudi-Arabien og Tyrkiet, navnlig på sikkerheds- og forsvarsområdet;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116</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indskærper, at Saudi-Arabien i forbindelse med sin udvikling af nye partnerskaber bør sikre, at dets politikker fortsat er i overensstemmelse med de interesser og værdier, som landet har til fælles med sine mangeårige partnere, navnlig EU og dets medlemsstater;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117</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20a.</w:t>
            </w:r>
            <w:r>
              <w:tab/>
            </w:r>
            <w:r>
              <w:rPr>
                <w:b/>
                <w:i/>
              </w:rPr>
              <w:t>bifalder Saudi-Arabiens resolutte holdning om, at Det Muslimske Broderskab er en terrorbevægelse, og opfordrer EU og dets medlemsstater til at følge trop og anerkende Det Muslimske Broderskab som en terrorbevægelse;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118</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20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20b.</w:t>
            </w:r>
            <w:r>
              <w:tab/>
            </w:r>
            <w:r>
              <w:rPr>
                <w:b/>
                <w:i/>
              </w:rPr>
              <w:t>opfordrer Kongeriget Saudi-Arabien til at tilslutte sig Abraham-aftalerne for at fremme den regionale stabilitet og normalisere sine forbindelser med Israel;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119</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rPr>
                <w:b/>
                <w:i/>
              </w:rPr>
              <w:t>glæder sig over</w:t>
            </w:r>
            <w:r>
              <w:t xml:space="preserve"> Saudi-Arabiens ambitiøse Vision 2030-planer, der skitserer meningsfulde socioøkonomiske reformer med henblik på at modernisere landet og dets institutioner </w:t>
            </w:r>
            <w:r>
              <w:rPr>
                <w:b/>
                <w:i/>
              </w:rPr>
              <w:t>samt</w:t>
            </w:r>
            <w:r>
              <w:t xml:space="preserve"> diversificere økonomien;</w:t>
            </w:r>
          </w:p>
        </w:tc>
        <w:tc>
          <w:tcPr>
            <w:tcW w:w="4876" w:type="dxa"/>
            <w:tcBorders>
              <w:top w:val="nil"/>
              <w:left w:val="nil"/>
              <w:bottom w:val="nil"/>
              <w:right w:val="nil"/>
            </w:tcBorders>
          </w:tcPr>
          <w:p>
            <w:pPr>
              <w:pStyle w:val="Normal6a"/>
            </w:pPr>
            <w:r>
              <w:t>21.</w:t>
            </w:r>
            <w:r>
              <w:tab/>
            </w:r>
            <w:r>
              <w:rPr>
                <w:b/>
                <w:i/>
              </w:rPr>
              <w:t>noterer sig</w:t>
            </w:r>
            <w:r>
              <w:t xml:space="preserve"> Saudi-Arabiens ambitiøse Vision 2030-planer, der skitserer meningsfulde socioøkonomiske reformer med henblik på at modernisere landet og dets institutioner </w:t>
            </w:r>
            <w:r>
              <w:rPr>
                <w:b/>
                <w:i/>
              </w:rPr>
              <w:t>og at</w:t>
            </w:r>
            <w:r>
              <w:t xml:space="preserve"> diversificere økonomien;</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21a.</w:t>
            </w:r>
            <w:r>
              <w:tab/>
            </w:r>
            <w:r>
              <w:rPr>
                <w:b/>
                <w:i/>
              </w:rPr>
              <w:t>bifalder Kongeriget Saudi-Arabiens tilgang under ledelse af kong Salman bin Abdulaziz og kronprins og premierminister Mohammed bin Salman al-Saud med hensyn til at fremme tolerance og bevæge sig væk fra restriktive religiøse politikker;</w:t>
            </w:r>
            <w:r>
              <w:t xml:space="preserve"> </w:t>
            </w:r>
            <w:r>
              <w:rPr>
                <w:b/>
                <w:i/>
              </w:rPr>
              <w:t>bemærker den direkte forbindelse mellem tolerance og bæredygtig økonomisk vækst og understreger, at åbenhed og inklusion skaber grobund for innovation, investeringer og sociale fremskridt;</w:t>
            </w:r>
            <w:r>
              <w:t xml:space="preserve"> </w:t>
            </w:r>
            <w:r>
              <w:rPr>
                <w:b/>
                <w:i/>
              </w:rPr>
              <w:t>mener, at Saudi-Arabiens igangværende reformer udgør et vigtigt eksempel til efterfølgelse for hele regionen og viser, hvordan tolerance kan bidrage til at skabe større stabilitet og større velstand;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21b.</w:t>
            </w:r>
            <w:r>
              <w:tab/>
            </w:r>
            <w:r>
              <w:rPr>
                <w:b/>
                <w:i/>
              </w:rPr>
              <w:t>fremhæver Kongeriget Saudi-Arabiens engagement i energiomstillingen og minder om landets tilsagn om</w:t>
            </w:r>
            <w:r>
              <w:rPr>
                <w:b/>
                <w:i/>
              </w:rPr>
              <w:t> senest i 2060</w:t>
            </w:r>
            <w:r>
              <w:rPr>
                <w:b/>
                <w:i/>
              </w:rPr>
              <w:t> at opnå nettonulemission og</w:t>
            </w:r>
            <w:r>
              <w:rPr>
                <w:b/>
                <w:i/>
              </w:rPr>
              <w:t> senest i 2030</w:t>
            </w:r>
            <w:r>
              <w:rPr>
                <w:b/>
                <w:i/>
              </w:rPr>
              <w:t> at producere 50 % af sin elektricitet fra vedvarende energikilder;</w:t>
            </w:r>
            <w:r>
              <w:t xml:space="preserve"> </w:t>
            </w:r>
            <w:r>
              <w:rPr>
                <w:b/>
                <w:i/>
              </w:rPr>
              <w:t>glæder sig i den forbindelse over flagskibsprojektet om senest i 2030 at producere 4 mio. ton ren brint årligt, hvilket viser Saudi-Arabiens ambition om at positionere sig som en førende global leverandør af ren brint</w:t>
            </w:r>
            <w:r>
              <w:rPr>
                <w:b/>
                <w:i/>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1a</w:t>
            </w:r>
            <w:r>
              <w:t xml:space="preserve"> </w:t>
            </w:r>
            <w:r>
              <w:rPr>
                <w:b/>
                <w:i/>
              </w:rPr>
              <w:t>https://www.sgi.gov.sa/saudi-global-climate-impact/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122</w:t>
      </w:r>
      <w:r>
        <w:rPr>
          <w:rStyle w:val="HideTWBExt"/>
        </w:rPr>
        <w:t>&lt;/NumAm&gt;</w:t>
      </w:r>
    </w:p>
    <w:p>
      <w:pPr>
        <w:pStyle w:val="NormalBold"/>
      </w:pPr>
      <w:r>
        <w:rPr>
          <w:rStyle w:val="HideTWBExt"/>
          <w:b w:val="0"/>
        </w:rPr>
        <w:t>&lt;RepeatBlock-By&gt;</w:t>
      </w:r>
      <w:r>
        <w:rPr>
          <w:rStyle w:val="HideTWBExt"/>
          <w:b w:val="0"/>
        </w:rPr>
        <w:t>&lt;Members&gt;</w:t>
      </w:r>
      <w:r>
        <w:t>Arkadiusz Mularczyk</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22.</w:t>
            </w:r>
            <w:r>
              <w:tab/>
            </w:r>
            <w:r>
              <w:rPr>
                <w:b/>
                <w:i/>
              </w:rPr>
              <w:t>opfordrer Saudi-Arabien til at omforme sit energilandskab og bevæge sig i retning af vedvarende energi og grøn brint som led i sine Vision 2030-planer;</w:t>
            </w:r>
            <w:r>
              <w:t xml:space="preserve"> </w:t>
            </w:r>
            <w:r>
              <w:rPr>
                <w:b/>
                <w:i/>
              </w:rPr>
              <w:t>bemærker, at EU er rede til at samarbejde med sine saudiarabiske modparter om projekter, der fremmer begge regioners miljømål;</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opfordrer Saudi-Arabien til at omforme sit energilandskab og bevæge sig i retning af vedvarende energi og grøn brint som led i sine Vision 2030-planer; bemærker, at EU er rede til at samarbejde med sine saudiarabiske modparter om projekter, der fremmer begge regioners miljømål;</w:t>
            </w:r>
          </w:p>
        </w:tc>
        <w:tc>
          <w:tcPr>
            <w:tcW w:w="4876" w:type="dxa"/>
            <w:tcBorders>
              <w:top w:val="nil"/>
              <w:left w:val="nil"/>
              <w:bottom w:val="nil"/>
              <w:right w:val="nil"/>
            </w:tcBorders>
          </w:tcPr>
          <w:p>
            <w:pPr>
              <w:pStyle w:val="Normal6a"/>
            </w:pPr>
            <w:r>
              <w:t>22.</w:t>
            </w:r>
            <w:r>
              <w:tab/>
            </w:r>
            <w:r>
              <w:t xml:space="preserve">opfordrer Saudi-Arabien til at omforme sit energilandskab og bevæge sig i retning af vedvarende energi og grøn brint som led i sine Vision 2030-planer; </w:t>
            </w:r>
            <w:r>
              <w:rPr>
                <w:b/>
                <w:i/>
              </w:rPr>
              <w:t>støtter opfordringen fra FN's eksperter til Saudi-Arabien om at skrinlægge planerne om at udvide sin produktion af råolie og planerne om at prospektere efter yderligere olie- og gasforekomster for at øge sin produktionskapacitet, hvilket skaber forhøjet risiko for at overskride kulstofkvoten med henblik på at begrænse den globale opvarmning til 1,5 °C og for, at klimaforandringernes virkninger for menneskerettighederne forværres, hvilket er i strid med landets egne menneskerettighedsforpligtelser;</w:t>
            </w:r>
            <w:r>
              <w:t xml:space="preserve"> </w:t>
            </w:r>
            <w:r>
              <w:rPr>
                <w:b/>
                <w:i/>
              </w:rPr>
              <w:t>opfordrer indtrængende Aramco til at afgive vigtige oplysninger om sine samlede emissioner og kulstofintensiteten i sin produktion af råolie;</w:t>
            </w:r>
            <w:r>
              <w:t xml:space="preserve"> bemærker, at EU er rede til at samarbejde med sine saudiarabiske modparter om projekter, der fremmer begge regioners miljømål;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opfordrer Saudi-Arabien til at omforme sit energilandskab og bevæge sig i retning af vedvarende energi og grøn brint som led i sine Vision 2030-planer; bemærker, at EU er rede til at samarbejde med sine saudiarabiske modparter om projekter, der fremmer begge regioners miljømål;</w:t>
            </w:r>
          </w:p>
        </w:tc>
        <w:tc>
          <w:tcPr>
            <w:tcW w:w="4876" w:type="dxa"/>
            <w:tcBorders>
              <w:top w:val="nil"/>
              <w:left w:val="nil"/>
              <w:bottom w:val="nil"/>
              <w:right w:val="nil"/>
            </w:tcBorders>
          </w:tcPr>
          <w:p>
            <w:pPr>
              <w:pStyle w:val="Normal6a"/>
            </w:pPr>
            <w:r>
              <w:t>22.</w:t>
            </w:r>
            <w:r>
              <w:tab/>
            </w:r>
            <w:r>
              <w:t xml:space="preserve">opfordrer Saudi-Arabien til at omforme sit energilandskab og bevæge sig i retning af vedvarende energi og grøn brint som led i sine Vision 2030-planer; </w:t>
            </w:r>
            <w:r>
              <w:rPr>
                <w:b/>
                <w:i/>
              </w:rPr>
              <w:t>støtter opfordringen fra FN's eksperter til Saudi-Arabien om at skrinlægge planerne om at udvide sin produktion af råolie og planerne om at prospektere efter yderligere olie- og gasforekomster for at øge sin produktionskapacitet, hvilket skaber forhøjet risiko for at overskride kulstofkvoten med henblik på at begrænse den globale opvarmning til 1,5 °C og for, at klimaforandringernes virkninger for menneskerettighederne forværres, hvilket er i strid med landets egne menneskerettighedsforpligtelser;</w:t>
            </w:r>
            <w:r>
              <w:t xml:space="preserve"> </w:t>
            </w:r>
            <w:r>
              <w:rPr>
                <w:b/>
                <w:i/>
              </w:rPr>
              <w:t>opfordrer indtrængende Aramco til at afgive vigtige oplysninger om sine samlede emissioner og kulstofintensiteten i sin produktion af råolie;</w:t>
            </w:r>
            <w:r>
              <w:t xml:space="preserve"> bemærker, at EU er rede til at samarbejde med sine saudiarabiske modparter om projekter, der fremmer begge regioners miljømål;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opfordrer Saudi-Arabien til at omforme sit energilandskab og bevæge sig i retning af vedvarende energi og grøn brint som led i sine Vision 2030-planer; bemærker, at EU er rede til at samarbejde med sine saudiarabiske modparter om projekter, der fremmer begge regioners miljømål;</w:t>
            </w:r>
          </w:p>
        </w:tc>
        <w:tc>
          <w:tcPr>
            <w:tcW w:w="4876" w:type="dxa"/>
            <w:tcBorders>
              <w:top w:val="nil"/>
              <w:left w:val="nil"/>
              <w:bottom w:val="nil"/>
              <w:right w:val="nil"/>
            </w:tcBorders>
          </w:tcPr>
          <w:p>
            <w:pPr>
              <w:pStyle w:val="Normal6a"/>
            </w:pPr>
            <w:r>
              <w:t>22.</w:t>
            </w:r>
            <w:r>
              <w:tab/>
            </w:r>
            <w:r>
              <w:t xml:space="preserve">opfordrer Saudi-Arabien til at omforme sit energilandskab og bevæge sig i retning af vedvarende energi og grøn brint som led i sine Vision 2030-planer; </w:t>
            </w:r>
            <w:r>
              <w:rPr>
                <w:b/>
                <w:i/>
              </w:rPr>
              <w:t>støtter opfordringen fra FN's eksperter til Saudi-Arabien om at skrinlægge planerne om at udvide sin produktion af råolie, eftersom dette ville være i modstrid med landets forpligtelser i henhold til Parisaftalen;</w:t>
            </w:r>
            <w:r>
              <w:t xml:space="preserve"> bemærker, at EU er rede til at samarbejde med sine saudiarabiske modparter om projekter, der fremmer begge regioners miljømål;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126</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opfordrer Saudi-Arabien til at omforme sit energilandskab og bevæge sig i retning af vedvarende energi </w:t>
            </w:r>
            <w:r>
              <w:rPr>
                <w:b/>
                <w:i/>
              </w:rPr>
              <w:t>og grøn brint som led i sine Vision 2030-planer;</w:t>
            </w:r>
            <w:r>
              <w:t xml:space="preserve"> </w:t>
            </w:r>
            <w:r>
              <w:rPr>
                <w:b/>
                <w:i/>
              </w:rPr>
              <w:t>bemærker, at EU er rede til at samarbejde med sine saudiarabiske modparter om projekter, der fremmer begge regioners miljømål</w:t>
            </w:r>
            <w:r>
              <w:t>;</w:t>
            </w:r>
          </w:p>
        </w:tc>
        <w:tc>
          <w:tcPr>
            <w:tcW w:w="4876" w:type="dxa"/>
            <w:tcBorders>
              <w:top w:val="nil"/>
              <w:left w:val="nil"/>
              <w:bottom w:val="nil"/>
              <w:right w:val="nil"/>
            </w:tcBorders>
          </w:tcPr>
          <w:p>
            <w:pPr>
              <w:pStyle w:val="Normal6a"/>
            </w:pPr>
            <w:r>
              <w:t>22.</w:t>
            </w:r>
            <w:r>
              <w:tab/>
            </w:r>
            <w:r>
              <w:t>opfordrer Saudi-Arabien til at omforme sit energilandskab og bevæge sig i retning af vedvarende energi</w:t>
            </w:r>
            <w:r>
              <w:rPr>
                <w:b/>
                <w:i/>
              </w:rPr>
              <w:t>, herunder krenekraft, som er en teknologi, som EU's medlemsstater fuldt ud behersker, både ud fra et teknologisk og et forretningsmæssigt perspektiv</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127</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fremhæver Saudi-Arabiens voksende rolle som aktør i råstofforsyningskæderne og dets bestræbelser på at tilpasse sig international bedste praksis;</w:t>
            </w:r>
            <w:r>
              <w:t xml:space="preserve"> </w:t>
            </w:r>
            <w:r>
              <w:rPr>
                <w:b/>
                <w:i/>
              </w:rPr>
              <w:t>understreger, at en udvidelse af samarbejdet mellem EU og Saudi-Arabien inden for dette område vil være afgørende for yderligere at konsolidere EU's strategi for risikobegrænsning og dets bestræbelser på at diversificere sin råstofforsyning;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22a.</w:t>
            </w:r>
            <w:r>
              <w:tab/>
            </w:r>
            <w:r>
              <w:rPr>
                <w:b/>
                <w:i/>
              </w:rPr>
              <w:t>beklager, at Saudi-Arabien, trods sin erklærede ambition</w:t>
            </w:r>
            <w:r>
              <w:t xml:space="preserve"> </w:t>
            </w:r>
            <w:r>
              <w:rPr>
                <w:b/>
                <w:i/>
              </w:rPr>
              <w:t>om senest i 2030 at producere halvdelen af sin elektricitet fra vedvarende energikilder, hidtil ikke har gennemført nogen politikker, der i væsentlig grad vil nedbringe landets drivhusgasemissioner og mindske dets afhængighed af fossile brændstoffer;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129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22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22b.</w:t>
            </w:r>
            <w:r>
              <w:tab/>
            </w:r>
            <w:r>
              <w:rPr>
                <w:b/>
                <w:i/>
              </w:rPr>
              <w:t>bemærker med foruroligelse, at Saudi-Arabien på klimatopmødet COP29 modsatte sig globale forpligtelser til at udfase fossile brændstoffer, hvilket undergraver opfyldelsen af Parisaftalens mål;</w:t>
            </w:r>
            <w:r>
              <w:t xml:space="preserve"> </w:t>
            </w:r>
            <w:r>
              <w:rPr>
                <w:b/>
                <w:i/>
              </w:rPr>
              <w:t>indskærper, at samarbejdet mellem EU og Saudi-Arabien skal være betinget af troværdige klimahandlingsplaner med bindende gennemførelsesforanstaltninger;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130</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 xml:space="preserve">anerkender, at Saudi-Arabien har gjort </w:t>
            </w:r>
            <w:r>
              <w:rPr>
                <w:b/>
                <w:i/>
              </w:rPr>
              <w:t>betydelige</w:t>
            </w:r>
            <w:r>
              <w:t xml:space="preserve"> fremskridt med hensyn til at tackle sin høje ungdomsarbejdsløshed </w:t>
            </w:r>
            <w:r>
              <w:rPr>
                <w:b/>
                <w:i/>
              </w:rPr>
              <w:t>og har sænket den</w:t>
            </w:r>
            <w:r>
              <w:t xml:space="preserve"> fra 35,01 % i 2006 til 16 % i 2023; anbefaler, at Saudi-Arabien fortsat prioriterer dette spørgsmål;</w:t>
            </w:r>
          </w:p>
        </w:tc>
        <w:tc>
          <w:tcPr>
            <w:tcW w:w="4876" w:type="dxa"/>
            <w:tcBorders>
              <w:top w:val="nil"/>
              <w:left w:val="nil"/>
              <w:bottom w:val="nil"/>
              <w:right w:val="nil"/>
            </w:tcBorders>
          </w:tcPr>
          <w:p>
            <w:pPr>
              <w:pStyle w:val="Normal6a"/>
            </w:pPr>
            <w:r>
              <w:t>23.</w:t>
            </w:r>
            <w:r>
              <w:tab/>
            </w:r>
            <w:r>
              <w:t>anerkender, at Saudi-Arabien har gjort fremskridt med hensyn til at tackle sin høje ungdomsarbejdsløshed</w:t>
            </w:r>
            <w:r>
              <w:rPr>
                <w:b/>
                <w:i/>
              </w:rPr>
              <w:t>, som landet har nedbragt</w:t>
            </w:r>
            <w:r>
              <w:t xml:space="preserve"> fra 35,01 % i 2006 til 16 % i 2023; anbefaler, at Saudi-Arabien fortsat prioriterer dette spørgsmål;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131</w:t>
      </w:r>
      <w:r>
        <w:rPr>
          <w:rStyle w:val="HideTWBExt"/>
        </w:rPr>
        <w:t>&lt;/NumAm&gt;</w:t>
      </w:r>
    </w:p>
    <w:p>
      <w:pPr>
        <w:pStyle w:val="NormalBold"/>
      </w:pPr>
      <w:r>
        <w:rPr>
          <w:rStyle w:val="HideTWBExt"/>
          <w:b w:val="0"/>
        </w:rPr>
        <w:t>&lt;RepeatBlock-By&gt;</w:t>
      </w:r>
      <w:r>
        <w:rPr>
          <w:rStyle w:val="HideTWBExt"/>
          <w:b w:val="0"/>
        </w:rPr>
        <w:t>&lt;Members&gt;</w:t>
      </w:r>
      <w:r>
        <w:t>Željana Zovko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23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23a.</w:t>
            </w:r>
            <w:r>
              <w:tab/>
            </w:r>
            <w:r>
              <w:rPr>
                <w:b/>
                <w:i/>
              </w:rPr>
              <w:t>påskønner Saudi-Arabiens positive reformer af sine læseplaner, navnlig fjernelsen af antisemitiske og antikristne budskaber;</w:t>
            </w:r>
            <w:r>
              <w:t xml:space="preserve"> </w:t>
            </w:r>
            <w:r>
              <w:rPr>
                <w:b/>
                <w:i/>
              </w:rPr>
              <w:t>opfordrer Saudi-Arabien til at fortsætte disse reformer;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at styrke</w:t>
            </w:r>
            <w:r>
              <w:t xml:space="preserve"> kvinders indflydelse og status, idet kvinders deltagelse i arbejdsstyrken er steget til 36 %, og kvinder har </w:t>
            </w:r>
            <w:r>
              <w:rPr>
                <w:b/>
                <w:i/>
              </w:rPr>
              <w:t>opnået retten</w:t>
            </w:r>
            <w:r>
              <w:t xml:space="preserve"> til at føre motorkøretøjer og </w:t>
            </w:r>
            <w:r>
              <w:rPr>
                <w:b/>
                <w:i/>
              </w:rPr>
              <w:t>til at</w:t>
            </w:r>
            <w:r>
              <w:t xml:space="preserve"> rejse uden </w:t>
            </w:r>
            <w:r>
              <w:rPr>
                <w:b/>
                <w:i/>
              </w:rPr>
              <w:t>ledsagelse af</w:t>
            </w:r>
            <w:r>
              <w:t xml:space="preserve"> en mandlig værge; </w:t>
            </w:r>
            <w:r>
              <w:rPr>
                <w:b/>
                <w:i/>
              </w:rPr>
              <w:t>bemærker imidlertid, at adskillige saudiarabiske kvindesagsforkæmpere fortsat er fængslet eller er underlagt strenge restriktioner i Saudi-Arabien;</w:t>
            </w:r>
            <w:r>
              <w:t xml:space="preserve"> </w:t>
            </w:r>
            <w:r>
              <w:rPr>
                <w:b/>
                <w:i/>
              </w:rPr>
              <w:t>opfordrer de saudiarabiske myndigheder til at løslade Manahel al-Otaibi og Salma al-Shehab og til at ophæve rejseforbuddet og de administrative restriktioner for Loujain al-Hathloul, Mariam al-Otaibi og Fawzia al-Otaibi;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t>fremhæver de betydelige fremskridt, som Saudi-Arabien har gjort med hensyn til </w:t>
            </w:r>
            <w:r>
              <w:rPr>
                <w:b/>
                <w:i/>
              </w:rPr>
              <w:t>at styrke</w:t>
            </w:r>
            <w:r>
              <w:t xml:space="preserve"> kvinders indflydelse og status, idet kvinders deltagelse i arbejdsstyrken er steget til 36 %, og kvinder har </w:t>
            </w:r>
            <w:r>
              <w:rPr>
                <w:b/>
                <w:i/>
              </w:rPr>
              <w:t>opnået retten</w:t>
            </w:r>
            <w:r>
              <w:t> til at føre motorkøretøjer og </w:t>
            </w:r>
            <w:r>
              <w:rPr>
                <w:b/>
                <w:i/>
              </w:rPr>
              <w:t>til at </w:t>
            </w:r>
            <w:r>
              <w:t>rejse uden</w:t>
            </w:r>
            <w:r>
              <w:rPr>
                <w:b/>
                <w:i/>
              </w:rPr>
              <w:t> tilladelse fra</w:t>
            </w:r>
            <w:r>
              <w:t xml:space="preserve"> en mandlig værge; </w:t>
            </w:r>
            <w:r>
              <w:rPr>
                <w:b/>
                <w:i/>
              </w:rPr>
              <w:t>konstaterer, at der fortsat er alvorlige udfordringer, bl.a. med hensyn til personalstatutloven, navnlig hvad angår børneægteskab, voldtægt inden for ægteskabet samt forskelsbehandling af kvinder i forbindelse med ægteskabsindgåelse, skilsmissebevilling, tilkendelse af forældremyndighed, arveret og ejendomsrettigheder;</w:t>
            </w:r>
            <w:r>
              <w:t xml:space="preserve"> </w:t>
            </w:r>
            <w:r>
              <w:rPr>
                <w:b/>
                <w:i/>
              </w:rPr>
              <w:t>fordømmer situationen for de saudiarabiske kvindesagsforkæmpere, der plæderede for retten til at føre motorkøretøj og for afskaffelsen af mandligt værgemål, idet de fortsat bliver straffet og viktimiseret af de saudiarabiske myndigheder gennem rejseforbud;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at styrke</w:t>
            </w:r>
            <w:r>
              <w:t xml:space="preserve"> kvinders indflydelse og status, idet kvinders deltagelse i arbejdsstyrken er steget til 36 %, og kvinder har </w:t>
            </w:r>
            <w:r>
              <w:rPr>
                <w:b/>
                <w:i/>
              </w:rPr>
              <w:t>opnået retten</w:t>
            </w:r>
            <w:r>
              <w:t xml:space="preserve"> til at føre motorkøretøjer og </w:t>
            </w:r>
            <w:r>
              <w:rPr>
                <w:b/>
                <w:i/>
              </w:rPr>
              <w:t>til at</w:t>
            </w:r>
            <w:r>
              <w:t xml:space="preserve"> rejse uden </w:t>
            </w:r>
            <w:r>
              <w:rPr>
                <w:b/>
                <w:i/>
              </w:rPr>
              <w:t>ledsagelse af</w:t>
            </w:r>
            <w:r>
              <w:t xml:space="preserve"> en mandlig værge</w:t>
            </w:r>
            <w:r>
              <w:rPr>
                <w:b/>
                <w:i/>
              </w:rPr>
              <w:t>, men konstaterer, at der fortsat er alvorlige udfordringer, bl.a. med hensyn til personalstatutloven, navnlig hvad angår børneægteskab, voldtægt inden for ægteskabet samt forskelsbehandling af kvinder i forbindelse med ægteskabsindgåelse, skilsmissebevilling, tilkendelse af forældremyndighed, arveret og ejendomsrettigheder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t xml:space="preserve">fremhæver de betydelige fremskridt, som Saudi-Arabien har gjort med hensyn til </w:t>
            </w:r>
            <w:r>
              <w:rPr>
                <w:b/>
                <w:i/>
              </w:rPr>
              <w:t>at styrke</w:t>
            </w:r>
            <w:r>
              <w:t xml:space="preserve"> kvinders indflydelse og status, idet kvinders deltagelse i arbejdsstyrken er steget til 36 %, og kvinder har </w:t>
            </w:r>
            <w:r>
              <w:rPr>
                <w:b/>
                <w:i/>
              </w:rPr>
              <w:t>opnået retten</w:t>
            </w:r>
            <w:r>
              <w:t xml:space="preserve"> til at føre motorkøretøjer og </w:t>
            </w:r>
            <w:r>
              <w:rPr>
                <w:b/>
                <w:i/>
              </w:rPr>
              <w:t>til at</w:t>
            </w:r>
            <w:r>
              <w:t xml:space="preserve"> rejse uden </w:t>
            </w:r>
            <w:r>
              <w:rPr>
                <w:b/>
                <w:i/>
              </w:rPr>
              <w:t>ledsagelse af</w:t>
            </w:r>
            <w:r>
              <w:t xml:space="preserve"> en mandlig værge</w:t>
            </w:r>
            <w:r>
              <w:rPr>
                <w:b/>
                <w:i/>
              </w:rPr>
              <w:t>, men konstaterer, at der fortsat er alvorlige udfordringer, bl.a. med hensyn til personalstatutloven, navnlig hvad angår børneægteskab, voldtægt inden for ægteskabet samt forskelsbehandling af kvinder i forbindelse med ægteskabsindgåelse, skilsmissebevilling, tilkendelse af forældremyndighed, arveret og ejendomsrettigheder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136</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rPr>
                <w:b/>
                <w:i/>
              </w:rPr>
              <w:t>fremhæver</w:t>
            </w:r>
            <w:r>
              <w:t xml:space="preserve"> de betydelige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rPr>
                <w:b/>
                <w:i/>
              </w:rPr>
              <w:t>bemærker</w:t>
            </w:r>
            <w:r>
              <w:t xml:space="preserve"> de betydelige fremskridt, som Saudi-Arabien har gjort med hensyn til </w:t>
            </w:r>
            <w:r>
              <w:rPr>
                <w:b/>
                <w:i/>
              </w:rPr>
              <w:t>at styrke</w:t>
            </w:r>
            <w:r>
              <w:t xml:space="preserve"> kvinders indflydelse og status, idet kvinders deltagelse i arbejdsstyrken er steget til 36 %, og kvinder har </w:t>
            </w:r>
            <w:r>
              <w:rPr>
                <w:b/>
                <w:i/>
              </w:rPr>
              <w:t>opnået retten</w:t>
            </w:r>
            <w:r>
              <w:t xml:space="preserve"> til at føre motorkøretøjer og </w:t>
            </w:r>
            <w:r>
              <w:rPr>
                <w:b/>
                <w:i/>
              </w:rPr>
              <w:t>til at</w:t>
            </w:r>
            <w:r>
              <w:t xml:space="preserve"> rejse uden </w:t>
            </w:r>
            <w:r>
              <w:rPr>
                <w:b/>
                <w:i/>
              </w:rPr>
              <w:t>ledsagelse af</w:t>
            </w:r>
            <w:r>
              <w:t xml:space="preserve"> en mandlig værge;</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24.</w:t>
            </w:r>
            <w:r>
              <w:tab/>
            </w:r>
            <w:r>
              <w:t xml:space="preserve">fremhæver de </w:t>
            </w:r>
            <w:r>
              <w:rPr>
                <w:b/>
                <w:i/>
              </w:rPr>
              <w:t>betydelige</w:t>
            </w:r>
            <w:r>
              <w:t xml:space="preserve"> fremskridt, som Saudi-Arabien har gjort med hensyn til </w:t>
            </w:r>
            <w:r>
              <w:rPr>
                <w:b/>
                <w:i/>
              </w:rPr>
              <w:t>styrkelse af</w:t>
            </w:r>
            <w:r>
              <w:t xml:space="preserve"> kvinders indflydelse og status, idet kvinders deltagelse i arbejdsstyrken er steget til 36 %, og kvinder har </w:t>
            </w:r>
            <w:r>
              <w:rPr>
                <w:b/>
                <w:i/>
              </w:rPr>
              <w:t>fået ret</w:t>
            </w:r>
            <w:r>
              <w:t xml:space="preserve"> til at føre motorkøretøjer og rejse uden en mandlig værge;</w:t>
            </w:r>
          </w:p>
        </w:tc>
        <w:tc>
          <w:tcPr>
            <w:tcW w:w="4876" w:type="dxa"/>
            <w:tcBorders>
              <w:top w:val="nil"/>
              <w:left w:val="nil"/>
              <w:bottom w:val="nil"/>
              <w:right w:val="nil"/>
            </w:tcBorders>
          </w:tcPr>
          <w:p>
            <w:pPr>
              <w:pStyle w:val="Normal6a"/>
            </w:pPr>
            <w:r>
              <w:t>24.</w:t>
            </w:r>
            <w:r>
              <w:tab/>
            </w:r>
            <w:r>
              <w:t xml:space="preserve">fremhæver de fremskridt, som Saudi-Arabien har gjort med hensyn til </w:t>
            </w:r>
            <w:r>
              <w:rPr>
                <w:b/>
                <w:i/>
              </w:rPr>
              <w:t>at styrke</w:t>
            </w:r>
            <w:r>
              <w:t xml:space="preserve"> kvinders indflydelse og status, idet kvinders deltagelse i arbejdsstyrken er steget til 36 %, og kvinder har </w:t>
            </w:r>
            <w:r>
              <w:rPr>
                <w:b/>
                <w:i/>
              </w:rPr>
              <w:t>opnået retten</w:t>
            </w:r>
            <w:r>
              <w:t xml:space="preserve"> til at føre motorkøretøjer og </w:t>
            </w:r>
            <w:r>
              <w:rPr>
                <w:b/>
                <w:i/>
              </w:rPr>
              <w:t>til at</w:t>
            </w:r>
            <w:r>
              <w:t xml:space="preserve"> rejse uden </w:t>
            </w:r>
            <w:r>
              <w:rPr>
                <w:b/>
                <w:i/>
              </w:rPr>
              <w:t>ledsagelse af</w:t>
            </w:r>
            <w:r>
              <w:t xml:space="preserve"> en mandlig værge;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noterer sig</w:t>
            </w:r>
            <w:r>
              <w:t xml:space="preserve">, at Saudi-Arabien har iværksat en række ambitiøse infrastrukturprojekter forud for </w:t>
            </w:r>
            <w:r>
              <w:rPr>
                <w:b/>
                <w:i/>
              </w:rPr>
              <w:t>afholdelsen af</w:t>
            </w:r>
            <w:r>
              <w:t xml:space="preserve"> EXPO 2030 og </w:t>
            </w:r>
            <w:r>
              <w:rPr>
                <w:b/>
                <w:i/>
              </w:rPr>
              <w:t>VM</w:t>
            </w:r>
            <w:r>
              <w:t xml:space="preserve"> i fodbold i 2034;</w:t>
            </w:r>
          </w:p>
        </w:tc>
        <w:tc>
          <w:tcPr>
            <w:tcW w:w="4876" w:type="dxa"/>
            <w:tcBorders>
              <w:top w:val="nil"/>
              <w:left w:val="nil"/>
              <w:bottom w:val="nil"/>
              <w:right w:val="nil"/>
            </w:tcBorders>
          </w:tcPr>
          <w:p>
            <w:pPr>
              <w:pStyle w:val="Normal6a"/>
            </w:pPr>
            <w:r>
              <w:t>25.</w:t>
            </w:r>
            <w:r>
              <w:tab/>
            </w:r>
            <w:r>
              <w:rPr>
                <w:b/>
                <w:i/>
              </w:rPr>
              <w:t>bemærker</w:t>
            </w:r>
            <w:r>
              <w:t xml:space="preserve">, at Saudi-Arabien har iværksat en række ambitiøse infrastrukturprojekter forud for </w:t>
            </w:r>
            <w:r>
              <w:rPr>
                <w:b/>
                <w:i/>
              </w:rPr>
              <w:t>sit værtskab for</w:t>
            </w:r>
            <w:r>
              <w:t xml:space="preserve"> EXPO 2030 og </w:t>
            </w:r>
            <w:r>
              <w:rPr>
                <w:b/>
                <w:i/>
              </w:rPr>
              <w:t>verdensmesterskabet</w:t>
            </w:r>
            <w:r>
              <w:t xml:space="preserve"> i fodbold i 2034</w:t>
            </w:r>
            <w:r>
              <w:rPr>
                <w:b/>
                <w:i/>
              </w:rPr>
              <w:t>, og udtrykker alvorlig bekymring over, at migrantarbejdere trods bebudede reformer fortsat bliver udsat for omfattende overgreb under kafala-systemet, bl.a. forhold der kan sidestilles med tvangsarbejde</w:t>
            </w:r>
            <w:r>
              <w:t xml:space="preserve">; </w:t>
            </w:r>
            <w:r>
              <w:rPr>
                <w:b/>
                <w:i/>
              </w:rPr>
              <w:t>anerkender de reformer, der er indført inden for rammerne af arbejdsmarkedsreforminitiativet, men opfordrer indtrængende Saudi-Arabien til helt at afskaffe kafala-systemet i lov og praksis ved at fratage arbejdsgiverne kontrollen over arbejdstagernes bevægelsesfrihed – herunder retten til at fratræde og skifte job – og ved at sikre arbejdstagerne retten til at strejke, til kollektive overenskomstforhandlinger og til foreningsfrihed, forhindre tvangsudsættelse af beboere og standse undertrykkelsen af menneskerettighedsforkæmpere i forbindelse hermed;</w:t>
            </w:r>
            <w:r>
              <w:t xml:space="preserve"> </w:t>
            </w:r>
            <w:r>
              <w:rPr>
                <w:b/>
                <w:i/>
              </w:rPr>
              <w:t>opfordrer Saudi-Arabien til at sikre, at alle migrantarbejdere, herunder tjenestefolk, har adgang til domstolsprøvelse og effektive mekanismer til at drage arbejdsgivere, som har begået overgreb, til ansvar;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139</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noterer sig</w:t>
            </w:r>
            <w:r>
              <w:t xml:space="preserve">, at Saudi-Arabien har iværksat en række ambitiøse infrastrukturprojekter forud for </w:t>
            </w:r>
            <w:r>
              <w:rPr>
                <w:b/>
                <w:i/>
              </w:rPr>
              <w:t>afholdelsen af</w:t>
            </w:r>
            <w:r>
              <w:t xml:space="preserve"> EXPO 2030 og </w:t>
            </w:r>
            <w:r>
              <w:rPr>
                <w:b/>
                <w:i/>
              </w:rPr>
              <w:t>VM</w:t>
            </w:r>
            <w:r>
              <w:t xml:space="preserve"> i fodbold i 2034;</w:t>
            </w:r>
          </w:p>
        </w:tc>
        <w:tc>
          <w:tcPr>
            <w:tcW w:w="4876" w:type="dxa"/>
            <w:tcBorders>
              <w:top w:val="nil"/>
              <w:left w:val="nil"/>
              <w:bottom w:val="nil"/>
              <w:right w:val="nil"/>
            </w:tcBorders>
          </w:tcPr>
          <w:p>
            <w:pPr>
              <w:pStyle w:val="Normal6a"/>
            </w:pPr>
            <w:r>
              <w:t>25.</w:t>
            </w:r>
            <w:r>
              <w:tab/>
            </w:r>
            <w:r>
              <w:rPr>
                <w:b/>
                <w:i/>
              </w:rPr>
              <w:t>bemærker</w:t>
            </w:r>
            <w:r>
              <w:t>, at Saudi-Arabien har iværksat en række ambitiøse infrastrukturprojekter forud for </w:t>
            </w:r>
            <w:r>
              <w:rPr>
                <w:b/>
                <w:i/>
              </w:rPr>
              <w:t>sit værtskab for</w:t>
            </w:r>
            <w:r>
              <w:t> EXPO 2030 og </w:t>
            </w:r>
            <w:r>
              <w:rPr>
                <w:b/>
                <w:i/>
              </w:rPr>
              <w:t>verdensmesterskabet</w:t>
            </w:r>
            <w:r>
              <w:t xml:space="preserve"> i fodbold i 2034; </w:t>
            </w:r>
            <w:r>
              <w:rPr>
                <w:b/>
                <w:i/>
              </w:rPr>
              <w:t>er dybt bekymret over den høje dødelighed blandt migranter ved arbejdsulykker i Saudi-Arabien;</w:t>
            </w:r>
            <w:r>
              <w:t xml:space="preserve"> </w:t>
            </w:r>
            <w:r>
              <w:rPr>
                <w:b/>
                <w:i/>
              </w:rPr>
              <w:t>opfordrer Saudi-Arabien til at afskaffe Kafala-systemet og sikre strejkeretten, retten til kollektive overenskomstforhandlinger og retten til foreningsfrihed;</w:t>
            </w:r>
            <w:r>
              <w:t xml:space="preserve"> </w:t>
            </w:r>
            <w:r>
              <w:rPr>
                <w:b/>
                <w:i/>
              </w:rPr>
              <w:t>opfordrer indtrængende Saudi-Arabien til at afskaffe ethvert krav om, at migrantarbejdere skal indhente deres arbejdsgivers samtykke for at kunne forlade landet eller skifte job;</w:t>
            </w:r>
            <w:r>
              <w:t xml:space="preserve"> </w:t>
            </w:r>
            <w:r>
              <w:rPr>
                <w:b/>
                <w:i/>
              </w:rPr>
              <w:t>er bekymret over, at verdensmesterskabet i fodbold vil blive brugt til renvaske landets renommé og ikke som en reel mulighed for at gennemføre de krævede arbejdsretlige reformer;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noterer sig</w:t>
            </w:r>
            <w:r>
              <w:t xml:space="preserve">, at Saudi-Arabien har iværksat en række ambitiøse infrastrukturprojekter forud for </w:t>
            </w:r>
            <w:r>
              <w:rPr>
                <w:b/>
                <w:i/>
              </w:rPr>
              <w:t>afholdelsen af</w:t>
            </w:r>
            <w:r>
              <w:t xml:space="preserve"> EXPO 2030 og </w:t>
            </w:r>
            <w:r>
              <w:rPr>
                <w:b/>
                <w:i/>
              </w:rPr>
              <w:t>VM</w:t>
            </w:r>
            <w:r>
              <w:t xml:space="preserve"> i fodbold i 2034;</w:t>
            </w:r>
          </w:p>
        </w:tc>
        <w:tc>
          <w:tcPr>
            <w:tcW w:w="4876" w:type="dxa"/>
            <w:tcBorders>
              <w:top w:val="nil"/>
              <w:left w:val="nil"/>
              <w:bottom w:val="nil"/>
              <w:right w:val="nil"/>
            </w:tcBorders>
          </w:tcPr>
          <w:p>
            <w:pPr>
              <w:pStyle w:val="Normal6a"/>
            </w:pPr>
            <w:r>
              <w:t>25.</w:t>
            </w:r>
            <w:r>
              <w:tab/>
            </w:r>
            <w:r>
              <w:rPr>
                <w:b/>
                <w:i/>
              </w:rPr>
              <w:t>bemærker</w:t>
            </w:r>
            <w:r>
              <w:t>, at Saudi-Arabien har iværksat en række ambitiøse infrastrukturprojekter forud for </w:t>
            </w:r>
            <w:r>
              <w:rPr>
                <w:b/>
                <w:i/>
              </w:rPr>
              <w:t>sit værtskab for</w:t>
            </w:r>
            <w:r>
              <w:t> EXPO 2030 og </w:t>
            </w:r>
            <w:r>
              <w:rPr>
                <w:b/>
                <w:i/>
              </w:rPr>
              <w:t>verdensmesterskabet</w:t>
            </w:r>
            <w:r>
              <w:t> i fodbold i 2034</w:t>
            </w:r>
            <w:r>
              <w:rPr>
                <w:b/>
                <w:i/>
              </w:rPr>
              <w:t>, og er alvorligt bekymret over dokumentationen for, at migrantarbejdere trods bebudede reformer bliver udsat for omfattende overgreb under Kafala-systemet, bl.a. forhold der kan sidestilles med tvangsarbejde, og opfordrer Saudi-Arabien til helt at afskaffe Kafala-systemet og sikre arbejdstagerne retten til at strejke, retten til kollektive overenskomstforhandlinger og retten til foreningsfrihed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141</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noterer sig</w:t>
            </w:r>
            <w:r>
              <w:t xml:space="preserve">, at Saudi-Arabien har iværksat en række ambitiøse infrastrukturprojekter forud for </w:t>
            </w:r>
            <w:r>
              <w:rPr>
                <w:b/>
                <w:i/>
              </w:rPr>
              <w:t>afholdelsen af</w:t>
            </w:r>
            <w:r>
              <w:t xml:space="preserve"> EXPO 2030 og </w:t>
            </w:r>
            <w:r>
              <w:rPr>
                <w:b/>
                <w:i/>
              </w:rPr>
              <w:t>VM</w:t>
            </w:r>
            <w:r>
              <w:t xml:space="preserve"> i fodbold i 2034;</w:t>
            </w:r>
          </w:p>
        </w:tc>
        <w:tc>
          <w:tcPr>
            <w:tcW w:w="4876" w:type="dxa"/>
            <w:tcBorders>
              <w:top w:val="nil"/>
              <w:left w:val="nil"/>
              <w:bottom w:val="nil"/>
              <w:right w:val="nil"/>
            </w:tcBorders>
          </w:tcPr>
          <w:p>
            <w:pPr>
              <w:pStyle w:val="Normal6a"/>
            </w:pPr>
            <w:r>
              <w:t>25.</w:t>
            </w:r>
            <w:r>
              <w:tab/>
            </w:r>
            <w:r>
              <w:rPr>
                <w:b/>
                <w:i/>
              </w:rPr>
              <w:t>bemærker</w:t>
            </w:r>
            <w:r>
              <w:t>, at Saudi-Arabien har iværksat en række ambitiøse infrastrukturprojekter forud for </w:t>
            </w:r>
            <w:r>
              <w:rPr>
                <w:b/>
                <w:i/>
              </w:rPr>
              <w:t>sit værtskab for</w:t>
            </w:r>
            <w:r>
              <w:t> EXPO 2030 og </w:t>
            </w:r>
            <w:r>
              <w:rPr>
                <w:b/>
                <w:i/>
              </w:rPr>
              <w:t>verdensmesterskabet</w:t>
            </w:r>
            <w:r>
              <w:t xml:space="preserve"> i fodbold i 2034; </w:t>
            </w:r>
            <w:r>
              <w:rPr>
                <w:b/>
                <w:i/>
              </w:rPr>
              <w:t>forlader sig på regeringens evne til at sikre arbejdstagerne retten til foreningsfrihed;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25.</w:t>
            </w:r>
            <w:r>
              <w:tab/>
            </w:r>
            <w:r>
              <w:rPr>
                <w:b/>
                <w:i/>
              </w:rPr>
              <w:t>noterer sig</w:t>
            </w:r>
            <w:r>
              <w:t xml:space="preserve">, at Saudi-Arabien har iværksat en række ambitiøse infrastrukturprojekter forud for </w:t>
            </w:r>
            <w:r>
              <w:rPr>
                <w:b/>
                <w:i/>
              </w:rPr>
              <w:t>afholdelsen af</w:t>
            </w:r>
            <w:r>
              <w:t xml:space="preserve"> EXPO 2030 og </w:t>
            </w:r>
            <w:r>
              <w:rPr>
                <w:b/>
                <w:i/>
              </w:rPr>
              <w:t>VM</w:t>
            </w:r>
            <w:r>
              <w:t xml:space="preserve"> i fodbold i 2034;</w:t>
            </w:r>
          </w:p>
        </w:tc>
        <w:tc>
          <w:tcPr>
            <w:tcW w:w="4876" w:type="dxa"/>
            <w:tcBorders>
              <w:top w:val="nil"/>
              <w:left w:val="nil"/>
              <w:bottom w:val="nil"/>
              <w:right w:val="nil"/>
            </w:tcBorders>
          </w:tcPr>
          <w:p>
            <w:pPr>
              <w:pStyle w:val="Normal6a"/>
            </w:pPr>
            <w:r>
              <w:t>25.</w:t>
            </w:r>
            <w:r>
              <w:tab/>
            </w:r>
            <w:r>
              <w:rPr>
                <w:b/>
                <w:i/>
              </w:rPr>
              <w:t>bemærker</w:t>
            </w:r>
            <w:r>
              <w:t>, at Saudi-Arabien har iværksat en række ambitiøse infrastrukturprojekter forud for </w:t>
            </w:r>
            <w:r>
              <w:rPr>
                <w:b/>
                <w:i/>
              </w:rPr>
              <w:t>sit værtskab for</w:t>
            </w:r>
            <w:r>
              <w:t> EXPO 2030 og </w:t>
            </w:r>
            <w:r>
              <w:rPr>
                <w:b/>
                <w:i/>
              </w:rPr>
              <w:t>verdensmesterskabet</w:t>
            </w:r>
            <w:r>
              <w:t> i fodbold i 2034</w:t>
            </w:r>
            <w:r>
              <w:rPr>
                <w:b/>
                <w:i/>
              </w:rPr>
              <w:t>, og understreger, at der fortsat er mange anledninger til bekymring med hensyn til arbejdstageres vilkår og rettigheder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143</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opfordrer indtrængende Saudi-Arabien til i mellemtiden at afskaffe ethvert krav om, at migrantarbejdere skal indhente deres arbejdsgivers samtykke for at kunne forlade landet eller skifte job;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25a.</w:t>
            </w:r>
            <w:r>
              <w:tab/>
            </w:r>
            <w:r>
              <w:rPr>
                <w:b/>
                <w:i/>
              </w:rPr>
              <w:t>opfordrer indtrængende Saudi-Arabien til i mellemtiden at afskaffe ethvert krav om, at migrantarbejdere skal indhente deres arbejdsgivers samtykke for at kunne forlade landet eller skifte job;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opfordrer indtrængende Saudi-Arabien til at skærpe sine due diligence-krav for og sit tilsyn med rekrutteringsfirmaer for at sikre, at de afholder samtlige omkostninger og gebyrer i forbindelse med rekruttering af arbejdstagere og opretter en fond til tilbagebetaling af ulovlige rekrutteringsgebyrer til arbejdstagere;</w:t>
            </w:r>
            <w:r>
              <w:t xml:space="preserve"> </w:t>
            </w:r>
            <w:r>
              <w:rPr>
                <w:b/>
                <w:i/>
              </w:rPr>
              <w:t>opfordrer Saudi-Arabien til at indføre en ikkediskriminerende mindsteløn, der gør det muligt at opretholde et eksistensminimum, og at sikre adgang til retsmidler for alle former for løntyveri fra migrantarbejdere, som giver arbejdstagere mulighed for at få udbetalt deres eventuelle tilbageholdte lønninger og ydelser;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25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25b.</w:t>
            </w:r>
            <w:r>
              <w:tab/>
            </w:r>
            <w:r>
              <w:rPr>
                <w:b/>
                <w:i/>
              </w:rPr>
              <w:t>opfordrer indtrængende Saudi-Arabien til at skærpe sine due diligence-krav for og sit tilsyn med rekrutteringsfirmaer for at sikre, at de afholder samtlige omkostninger og gebyrer i forbindelse med rekruttering af arbejdstagere og opretter en fond til tilbagebetaling af ulovlige rekrutteringsgebyrer til arbejdstagere;</w:t>
            </w:r>
            <w:r>
              <w:t xml:space="preserve"> </w:t>
            </w:r>
            <w:r>
              <w:rPr>
                <w:b/>
                <w:i/>
              </w:rPr>
              <w:t>opfordrer Saudi-Arabien til at indføre en ikkediskriminerende mindsteløn, der gør det muligt at opretholde et eksistensminimum, og at sikre adgang til retsmidler for alle former for løntyveri fra migrantarbejdere, som giver arbejdstagere mulighed for at få udbetalt deres eventuelle tilbageholdte lønninger og ydelser;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147</w:t>
      </w:r>
      <w:r>
        <w:rPr>
          <w:rStyle w:val="HideTWBExt"/>
        </w:rPr>
        <w:t>&lt;/NumAm&gt;</w:t>
      </w:r>
    </w:p>
    <w:p>
      <w:pPr>
        <w:pStyle w:val="NormalBold"/>
      </w:pPr>
      <w:r>
        <w:rPr>
          <w:rStyle w:val="HideTWBExt"/>
          <w:b w:val="0"/>
        </w:rPr>
        <w:t>&lt;RepeatBlock-By&gt;</w:t>
      </w:r>
      <w:r>
        <w:rPr>
          <w:rStyle w:val="HideTWBExt"/>
          <w:b w:val="0"/>
        </w:rPr>
        <w:t>&lt;Members&gt;</w:t>
      </w:r>
      <w:r>
        <w:t>Engin Eroglu</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om</w:t>
            </w:r>
            <w:r>
              <w:t xml:space="preserve"> initiativet om en økonomisk korridor mellem Indien, Mellemøsten og Europa, som forventes at føre til investeringer i elkabler, </w:t>
            </w:r>
            <w:r>
              <w:rPr>
                <w:b/>
                <w:i/>
              </w:rPr>
              <w:t>undersøisk telekommunikation</w:t>
            </w:r>
            <w:r>
              <w:t xml:space="preserve"> og datakabler samt rørledninger til grøn brint;</w:t>
            </w:r>
          </w:p>
        </w:tc>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inden for det strategiske partnerskab mellem EU og GCC og gennem EU-initiativet Global Gateway i forbindelse med</w:t>
            </w:r>
            <w:r>
              <w:t xml:space="preserve"> initiativet om en økonomisk korridor mellem Indien, Mellemøsten og Europa </w:t>
            </w:r>
            <w:r>
              <w:rPr>
                <w:b/>
                <w:i/>
              </w:rPr>
              <w:t>(IMEC)</w:t>
            </w:r>
            <w:r>
              <w:t xml:space="preserve">, som forventes at føre til investeringer i elkabler, </w:t>
            </w:r>
            <w:r>
              <w:rPr>
                <w:b/>
                <w:i/>
              </w:rPr>
              <w:t>undersøiske telekommunikations-</w:t>
            </w:r>
            <w:r>
              <w:t xml:space="preserve"> og datakabler samt rørledninger til grøn brint</w:t>
            </w:r>
            <w:r>
              <w:rPr>
                <w:b/>
                <w:i/>
              </w:rPr>
              <w:t>, og glæder sig over USA's deltagelse heri</w:t>
            </w:r>
            <w:r>
              <w:t xml:space="preserve">; </w:t>
            </w:r>
            <w:r>
              <w:rPr>
                <w:b/>
                <w:i/>
              </w:rPr>
              <w:t>opfordrer indtrængende til at afhjælpe IMEC's finansieringsunderskud gennem investeringer fra EU, USA og Golfstaterne og til at fremme udviklingen af bæredygtig infrastruktur;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148</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om</w:t>
            </w:r>
            <w:r>
              <w:t xml:space="preserve"> initiativet om en økonomisk korridor mellem Indien, Mellemøsten og Europa, som forventes at føre til investeringer i elkabler, </w:t>
            </w:r>
            <w:r>
              <w:rPr>
                <w:b/>
                <w:i/>
              </w:rPr>
              <w:t>undersøisk telekommunikation</w:t>
            </w:r>
            <w:r>
              <w:t xml:space="preserve"> og datakabler samt rørledninger til grøn brint;</w:t>
            </w:r>
          </w:p>
        </w:tc>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i forbindelse med</w:t>
            </w:r>
            <w:r>
              <w:t xml:space="preserve"> initiativet om en økonomisk korridor mellem Indien, Mellemøsten og Europa </w:t>
            </w:r>
            <w:r>
              <w:rPr>
                <w:b/>
                <w:i/>
              </w:rPr>
              <w:t>(IMEC)</w:t>
            </w:r>
            <w:r>
              <w:t xml:space="preserve">, som forventes at føre til investeringer i elkabler, </w:t>
            </w:r>
            <w:r>
              <w:rPr>
                <w:b/>
                <w:i/>
              </w:rPr>
              <w:t>undersøiske telekommunikations-</w:t>
            </w:r>
            <w:r>
              <w:t xml:space="preserve"> og datakabler samt rørledninger til grøn brint</w:t>
            </w:r>
            <w:r>
              <w:rPr>
                <w:b/>
                <w:i/>
              </w:rPr>
              <w:t>, men bemærker, at der er behov for at udvikle og gennemføre en politik for due diligence på menneskerettighedsområdet i samråd med relevante rettighedshavere såsom uafhængige fagforeninger og andre interessenter og i overensstemmelse med FN's vejledende principper for erhvervslivet og menneskerettigheder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149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om</w:t>
            </w:r>
            <w:r>
              <w:t xml:space="preserve"> initiativet om en økonomisk korridor mellem Indien, Mellemøsten og Europa, som forventes at føre til investeringer i elkabler, </w:t>
            </w:r>
            <w:r>
              <w:rPr>
                <w:b/>
                <w:i/>
              </w:rPr>
              <w:t>undersøisk telekommunikation</w:t>
            </w:r>
            <w:r>
              <w:t xml:space="preserve"> og datakabler samt rørledninger til grøn brint;</w:t>
            </w:r>
          </w:p>
        </w:tc>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i forbindelse med</w:t>
            </w:r>
            <w:r>
              <w:t xml:space="preserve"> initiativet om en økonomisk korridor mellem Indien, Mellemøsten og Europa </w:t>
            </w:r>
            <w:r>
              <w:rPr>
                <w:b/>
                <w:i/>
              </w:rPr>
              <w:t>(IMEC)</w:t>
            </w:r>
            <w:r>
              <w:t xml:space="preserve">, som forventes at føre til investeringer i elkabler, </w:t>
            </w:r>
            <w:r>
              <w:rPr>
                <w:b/>
                <w:i/>
              </w:rPr>
              <w:t>undersøiske telekommunikations-</w:t>
            </w:r>
            <w:r>
              <w:t xml:space="preserve"> og datakabler samt rørledninger til grøn brint; </w:t>
            </w:r>
            <w:r>
              <w:rPr>
                <w:b/>
                <w:i/>
              </w:rPr>
              <w:t>undersøger dets potentiale til at binde EU bedre sammen gennem multimodale transportforbindelser;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150</w:t>
      </w:r>
      <w:r>
        <w:rPr>
          <w:rStyle w:val="HideTWBExt"/>
        </w:rPr>
        <w:t>&lt;/NumAm&gt;</w:t>
      </w:r>
    </w:p>
    <w:p>
      <w:pPr>
        <w:pStyle w:val="NormalBold"/>
      </w:pPr>
      <w:r>
        <w:rPr>
          <w:rStyle w:val="HideTWBExt"/>
          <w:b w:val="0"/>
        </w:rPr>
        <w:t>&lt;RepeatBlock-By&gt;</w:t>
      </w:r>
      <w:r>
        <w:rPr>
          <w:rStyle w:val="HideTWBExt"/>
          <w:b w:val="0"/>
        </w:rPr>
        <w:t>&lt;Members&gt;</w:t>
      </w:r>
      <w:r>
        <w:t>Adam Bielan</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om</w:t>
            </w:r>
            <w:r>
              <w:t xml:space="preserve"> initiativet om en økonomisk korridor mellem Indien, Mellemøsten og Europa, som forventes at føre til investeringer i elkabler, </w:t>
            </w:r>
            <w:r>
              <w:rPr>
                <w:b/>
                <w:i/>
              </w:rPr>
              <w:t>undersøisk telekommunikation</w:t>
            </w:r>
            <w:r>
              <w:t xml:space="preserve"> og datakabler samt rørledninger til grøn brint;</w:t>
            </w:r>
          </w:p>
        </w:tc>
        <w:tc>
          <w:tcPr>
            <w:tcW w:w="4876" w:type="dxa"/>
            <w:tcBorders>
              <w:top w:val="nil"/>
              <w:left w:val="nil"/>
              <w:bottom w:val="nil"/>
              <w:right w:val="nil"/>
            </w:tcBorders>
          </w:tcPr>
          <w:p>
            <w:pPr>
              <w:pStyle w:val="Normal6a"/>
            </w:pPr>
            <w:r>
              <w:t>26.</w:t>
            </w:r>
            <w:r>
              <w:tab/>
            </w:r>
            <w:r>
              <w:t xml:space="preserve">anerkender muligheden for samarbejde mellem EU og Saudi-Arabien </w:t>
            </w:r>
            <w:r>
              <w:rPr>
                <w:b/>
                <w:i/>
              </w:rPr>
              <w:t>og parternes overlappende interesser i forbindelse med</w:t>
            </w:r>
            <w:r>
              <w:t xml:space="preserve"> initiativet om en økonomisk korridor mellem Indien, Mellemøsten og Europa </w:t>
            </w:r>
            <w:r>
              <w:rPr>
                <w:b/>
                <w:i/>
              </w:rPr>
              <w:t>(IMEC)</w:t>
            </w:r>
            <w:r>
              <w:t xml:space="preserve">, som forventes at føre til investeringer i elkabler, </w:t>
            </w:r>
            <w:r>
              <w:rPr>
                <w:b/>
                <w:i/>
              </w:rPr>
              <w:t>undersøiske telekommunikations-</w:t>
            </w:r>
            <w:r>
              <w:t xml:space="preserve"> og datakabler samt rørledninger til grøn brint;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151</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fremhæver IMEC's strategiske betydning som en forandringsskabende drivkraft for regional konnektivitet, økonomisk integration og geopolitisk samarbejde;</w:t>
            </w:r>
            <w:r>
              <w:t xml:space="preserve"> </w:t>
            </w:r>
            <w:r>
              <w:rPr>
                <w:b/>
                <w:i/>
              </w:rPr>
              <w:t>bemærker potentialet for at udvide samarbejdet om strategisk digital infrastruktur, herunder diversificerede og sikre dataruter, der forbinder Golfstaterne med Europa med det fælles mål at styrke Europas digitale modstandsdygtighed, datasikkerhed og konnektivitet med Asien og Afrika;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26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26a.</w:t>
            </w:r>
            <w:r>
              <w:tab/>
            </w:r>
            <w:r>
              <w:rPr>
                <w:b/>
                <w:i/>
              </w:rPr>
              <w:t>anerkender de igangværende bestræbelser fra Det Europæiske Handelskammer i Kongeriget Saudi-Arabien (ECCKSA) på at fremme samarbejdet mellem europæiske virksomheder og Saudi-Arabien om transport- og logistikinfrastruktur;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w:t>
            </w:r>
            <w:r>
              <w:rPr>
                <w:b/>
                <w:i/>
              </w:rPr>
              <w:t>og til mere kontrol</w:t>
            </w:r>
            <w:r>
              <w:t xml:space="preserve">;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 </w:t>
            </w:r>
            <w:r>
              <w:rPr>
                <w:b/>
                <w:i/>
              </w:rPr>
              <w:t>indskærper, at denne dialog, i lighed med alle andre menneskerettighedsdialoger, som EU fører, bør sigte mod at opnå konkrete, målbare og tidsbestemte fremskridt på menneskerettighedsområdet, bl.a. menneskerettighedsreformer, ophør af politikker, som krænker menneskerettighederne, sikring af ansvarsdragelse for begåede overgreb samt løsladelse af uretmæssigt fængslede personer;</w:t>
            </w:r>
            <w:r>
              <w:t xml:space="preserve"> </w:t>
            </w:r>
            <w:r>
              <w:rPr>
                <w:b/>
                <w:i/>
              </w:rPr>
              <w:t>minder om, at samarbejdet mellem EU og Saudi-Arabien om menneskerettigheder ikke må begrænses til kun at omfatte menneskerettighedsdialogerne, men skal strømlines på tværs af alle forbindelser mellem EU og Saudi-Arabien, jf. artikel 21 i TEU;</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154</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 </w:t>
            </w:r>
            <w:r>
              <w:rPr>
                <w:b/>
                <w:i/>
              </w:rPr>
              <w:t>bemærker, at drøftelserne omhandlede en lang række menneskerettighedsproblemer, bl.a. kvinders og sårbare gruppers rettigheder, retsstaten, retten til en retfærdig rettergang, dødsstraf, ytrings-, forsamlings- og foreningsfrihed, menneskehandel, økonomiske, sociale og kulturelle rettigheder samt bilateralt samarbejde og aktiviteter mellem EU og Saudi-Arabien i multilaterale menneskerettighedsfora;</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155</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w:t>
            </w:r>
            <w:r>
              <w:rPr>
                <w:b/>
                <w:i/>
              </w:rPr>
              <w:t>, og indskærper, at denne dialog, i lighed med alle andre menneskerettighedsdialoger, som EU fører, bør sigte mod at opnå konkrete, målbare og tidsbestemte fremskridt på menneskerettighedsområdet, bl.a. menneskerettighedsreformer, ophør af politikker, som krænker menneskerettighederne, sikring af ansvarsdragelse for begåede overgreb samt løsladelse af uretmæssigt fængslede personer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156</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 </w:t>
            </w:r>
            <w:r>
              <w:rPr>
                <w:b/>
                <w:i/>
              </w:rPr>
              <w:t>understreger, at menneskerettighedsdialoger udgør en særdeles vigtig platform for udveksling af synspunkter om internationale menneskerettigheder og styrkelse af det multilaterale samarbejde;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 </w:t>
            </w:r>
            <w:r>
              <w:rPr>
                <w:b/>
                <w:i/>
              </w:rPr>
              <w:t>indskærper, at disse menneskerettighedsdialoger bør sigte mod at sikre konkrete, målbare og tidsbestemte fremskridt og reformer på menneskerettighedsområdet;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158</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Europa-Kommissionen, </w:t>
            </w:r>
            <w:r>
              <w:rPr>
                <w:b/>
                <w:i/>
              </w:rPr>
              <w:t>hvoraf</w:t>
            </w:r>
            <w:r>
              <w:t xml:space="preserve"> den fjerde dialog blev afholdt i Riyadh i december 2024; </w:t>
            </w:r>
            <w:r>
              <w:rPr>
                <w:b/>
                <w:i/>
              </w:rPr>
              <w:t>indskærper, at denne dialog, i lighed med alle andre menneskerettighedsdialoger, bør sigte mod at opnå konkrete, målbare, tidsbestemte og bindende forpligtelser;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159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w:t>
            </w:r>
            <w:r>
              <w:rPr>
                <w:b/>
                <w:i/>
              </w:rPr>
              <w:t>Europa-Kommissionen, hvor</w:t>
            </w:r>
            <w:r>
              <w:t xml:space="preserve"> den fjerde dialog blev afholdt i Riyadh i december 2024;</w:t>
            </w:r>
          </w:p>
        </w:tc>
        <w:tc>
          <w:tcPr>
            <w:tcW w:w="4876" w:type="dxa"/>
            <w:tcBorders>
              <w:top w:val="nil"/>
              <w:left w:val="nil"/>
              <w:bottom w:val="nil"/>
              <w:right w:val="nil"/>
            </w:tcBorders>
          </w:tcPr>
          <w:p>
            <w:pPr>
              <w:pStyle w:val="Normal6a"/>
            </w:pPr>
            <w:r>
              <w:t>27.</w:t>
            </w:r>
            <w:r>
              <w:tab/>
            </w:r>
            <w:r>
              <w:t xml:space="preserve">opfordrer til et tættere samarbejde mellem EU og Saudi-Arabien om menneskerettigheder; glæder sig over menneskerettighedsdialogerne mellem EU og Kongeriget Saudi-Arabien under ledelse af Saudi-Arabiens menneskerettighedskommission og </w:t>
            </w:r>
            <w:r>
              <w:rPr>
                <w:b/>
                <w:i/>
              </w:rPr>
              <w:t>EU's særlige repræsentant for menneskerettigheder, hvoraf</w:t>
            </w:r>
            <w:r>
              <w:t xml:space="preserve"> den fjerde dialog blev afholdt i Riyadh i december 2024;</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160</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27.</w:t>
            </w:r>
            <w:r>
              <w:tab/>
            </w:r>
            <w:r>
              <w:t xml:space="preserve">opfordrer til et tættere samarbejde mellem EU og Saudi-Arabien om </w:t>
            </w:r>
            <w:r>
              <w:rPr>
                <w:b/>
                <w:i/>
              </w:rPr>
              <w:t>menneskerettigheder;</w:t>
            </w:r>
            <w:r>
              <w:t xml:space="preserve"> </w:t>
            </w:r>
            <w:r>
              <w:rPr>
                <w:b/>
                <w:i/>
              </w:rPr>
              <w:t>glæder sig over menneskerettighedsdialogerne mellem EU og Kongeriget Saudi-Arabien under ledelse af Saudi-Arabiens menneskerettighedskommission og Europa-Kommissionen, hvor den fjerde dialog blev afholdt i Riyadh i december 2024</w:t>
            </w:r>
            <w:r>
              <w:t>;</w:t>
            </w:r>
          </w:p>
        </w:tc>
        <w:tc>
          <w:tcPr>
            <w:tcW w:w="4876" w:type="dxa"/>
            <w:tcBorders>
              <w:top w:val="nil"/>
              <w:left w:val="nil"/>
              <w:bottom w:val="nil"/>
              <w:right w:val="nil"/>
            </w:tcBorders>
          </w:tcPr>
          <w:p>
            <w:pPr>
              <w:pStyle w:val="Normal6a"/>
            </w:pPr>
            <w:r>
              <w:t>27.</w:t>
            </w:r>
            <w:r>
              <w:tab/>
            </w:r>
            <w:r>
              <w:t xml:space="preserve">opfordrer til et tættere samarbejde mellem EU og Saudi-Arabien om </w:t>
            </w:r>
            <w:r>
              <w:rPr>
                <w:b/>
                <w:i/>
              </w:rPr>
              <w:t>vores fælles interesser inden for områderne sikkerhed, regional stabilitet, begrænsning af ulovlig indvandring samt økonomisk samarbejde</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kræver øjeblikkelig og betingelsesløs løsladelse af alle fængslede menneskerettighedsforkæmpere, kvindesagsforkæmpere, fredelige regimekritikere og aktivister;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27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27a.</w:t>
            </w:r>
            <w:r>
              <w:tab/>
            </w:r>
            <w:r>
              <w:rPr>
                <w:b/>
                <w:i/>
              </w:rPr>
              <w:t>opfordrer til at oprette en struktureret EU-overvågningsmekanisme med klare benchmarks, tidsfrister og konsekvenser for manglende fremskridt i Saudi-Arabiens menneskerettighedsreformer;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anerkender de </w:t>
            </w:r>
            <w:r>
              <w:rPr>
                <w:b/>
                <w:i/>
              </w:rPr>
              <w:t>betydelige</w:t>
            </w:r>
            <w:r>
              <w:t xml:space="preserve"> sociale reformer, som Saudi-Arabien har gennemført, </w:t>
            </w:r>
            <w:r>
              <w:rPr>
                <w:b/>
                <w:i/>
              </w:rPr>
              <w:t>såsom de nye love om civile transaktioner, fremskridtene med hensyn til styrkelse af kvinders indflydelse og status, arbejdet med at udarbejde en</w:t>
            </w:r>
            <w:r>
              <w:t xml:space="preserve"> straffelov</w:t>
            </w:r>
            <w:r>
              <w:rPr>
                <w:b/>
                <w:i/>
              </w:rPr>
              <w:t>, forbedringen af Kafala-systemet for</w:t>
            </w:r>
            <w:r>
              <w:t xml:space="preserve"> migrantarbejdere </w:t>
            </w:r>
            <w:r>
              <w:rPr>
                <w:b/>
                <w:i/>
              </w:rPr>
              <w:t>og gennemførelsen af nye regler for arbejdstagere</w:t>
            </w:r>
            <w:r>
              <w:t>;</w:t>
            </w:r>
          </w:p>
        </w:tc>
        <w:tc>
          <w:tcPr>
            <w:tcW w:w="4876" w:type="dxa"/>
            <w:tcBorders>
              <w:top w:val="nil"/>
              <w:left w:val="nil"/>
              <w:bottom w:val="nil"/>
              <w:right w:val="nil"/>
            </w:tcBorders>
          </w:tcPr>
          <w:p>
            <w:pPr>
              <w:pStyle w:val="Normal6a"/>
            </w:pPr>
            <w:r>
              <w:t>28.</w:t>
            </w:r>
            <w:r>
              <w:tab/>
            </w:r>
            <w:r>
              <w:t xml:space="preserve">anerkender de sociale reformer, som Saudi-Arabien har gennemført, </w:t>
            </w:r>
            <w:r>
              <w:rPr>
                <w:b/>
                <w:i/>
              </w:rPr>
              <w:t>og påpeger samtidig, at der er behov for yderligere skridt for at fremme og konsolidere de tilsigtede fremskridt bl.a. ved at sikre, at den nye</w:t>
            </w:r>
            <w:r>
              <w:t xml:space="preserve"> straffelov </w:t>
            </w:r>
            <w:r>
              <w:rPr>
                <w:b/>
                <w:i/>
              </w:rPr>
              <w:t>kriminaliserer børneægteskab og voldtægt inden for ægteskabet og afkriminaliserer retten til ytringsfrihed, forsamlingsfrihed og foreningsfrihed;</w:t>
            </w:r>
            <w:r>
              <w:t xml:space="preserve"> </w:t>
            </w:r>
            <w:r>
              <w:rPr>
                <w:b/>
                <w:i/>
              </w:rPr>
              <w:t>er fremdeles bekymret over den udbredte forskelsbehandling i lov og praksis af bl.a. kvinder og</w:t>
            </w:r>
            <w:r>
              <w:t xml:space="preserve"> migrantarbejdere;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164</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anerkender de </w:t>
            </w:r>
            <w:r>
              <w:rPr>
                <w:b/>
                <w:i/>
              </w:rPr>
              <w:t>betydelige</w:t>
            </w:r>
            <w:r>
              <w:t xml:space="preserv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gennemførelsen</w:t>
            </w:r>
            <w:r>
              <w:t xml:space="preserve"> af nye regler for arbejdstagere;</w:t>
            </w:r>
          </w:p>
        </w:tc>
        <w:tc>
          <w:tcPr>
            <w:tcW w:w="4876" w:type="dxa"/>
            <w:tcBorders>
              <w:top w:val="nil"/>
              <w:left w:val="nil"/>
              <w:bottom w:val="nil"/>
              <w:right w:val="nil"/>
            </w:tcBorders>
          </w:tcPr>
          <w:p>
            <w:pPr>
              <w:pStyle w:val="Normal6a"/>
            </w:pPr>
            <w:r>
              <w:t>28.</w:t>
            </w:r>
            <w:r>
              <w:tab/>
            </w:r>
            <w:r>
              <w:t xml:space="preserve">anerkender de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indførelsen</w:t>
            </w:r>
            <w:r>
              <w:t xml:space="preserve"> af nye regler for arbejdstagere; </w:t>
            </w:r>
            <w:r>
              <w:rPr>
                <w:b/>
                <w:i/>
              </w:rPr>
              <w:t>bemærker imidlertid, at Saudi-Arabiens retsvæsen er karakteriseret ved den dobbelt udfordring, at landet ikke har nogen komplet straffelov, men i stedet har vagt formulerede, restriktive love;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165</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anerkender de betydelige sociale reformer, som Saudi-Arabien har gennemført, såsom de nye love om civile transaktioner</w:t>
            </w:r>
            <w:r>
              <w:rPr>
                <w:b/>
                <w:i/>
              </w:rPr>
              <w:t>,</w:t>
            </w:r>
            <w:r>
              <w:t xml:space="preserve"> fremskridtene med hensyn til styrkelse af kvinders indflydelse og status</w:t>
            </w:r>
            <w:r>
              <w:rPr>
                <w:b/>
                <w:i/>
              </w:rPr>
              <w:t>, arbejdet med at udarbejde en straffelov, forbedringen af Kafala-systemet for migrantarbejdere og gennemførelsen af nye regler for arbejdstagere</w:t>
            </w:r>
            <w:r>
              <w:t>;</w:t>
            </w:r>
          </w:p>
        </w:tc>
        <w:tc>
          <w:tcPr>
            <w:tcW w:w="4876" w:type="dxa"/>
            <w:tcBorders>
              <w:top w:val="nil"/>
              <w:left w:val="nil"/>
              <w:bottom w:val="nil"/>
              <w:right w:val="nil"/>
            </w:tcBorders>
          </w:tcPr>
          <w:p>
            <w:pPr>
              <w:pStyle w:val="Normal6a"/>
            </w:pPr>
            <w:r>
              <w:t>28.</w:t>
            </w:r>
            <w:r>
              <w:tab/>
            </w:r>
            <w:r>
              <w:t xml:space="preserve">anerkender de betydelige sociale reformer, som Saudi-Arabien har gennemført, såsom de nye love om civile transaktioner </w:t>
            </w:r>
            <w:r>
              <w:rPr>
                <w:b/>
                <w:i/>
              </w:rPr>
              <w:t>og</w:t>
            </w:r>
            <w:r>
              <w:t xml:space="preserve"> fremskridtene med hensyn til styrkelse af kvinders indflydelse og status;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166</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anerkender de betydelige sociale reformer, som Saudi-Arabien har gennemført, såsom de nye love om civile transaktioner, fremskridtene med hensyn til styrkelse af kvinders indflydelse og status, arbejdet med at udarbejde en straffelov, forbedringen af Kafala-systemet </w:t>
            </w:r>
            <w:r>
              <w:rPr>
                <w:b/>
                <w:i/>
              </w:rPr>
              <w:t>for migrantarbejdere og gennemførelsen</w:t>
            </w:r>
            <w:r>
              <w:t xml:space="preserve"> af nye regler for arbejdstagere;</w:t>
            </w:r>
          </w:p>
        </w:tc>
        <w:tc>
          <w:tcPr>
            <w:tcW w:w="4876" w:type="dxa"/>
            <w:tcBorders>
              <w:top w:val="nil"/>
              <w:left w:val="nil"/>
              <w:bottom w:val="nil"/>
              <w:right w:val="nil"/>
            </w:tcBorders>
          </w:tcPr>
          <w:p>
            <w:pPr>
              <w:pStyle w:val="Normal6a"/>
            </w:pPr>
            <w:r>
              <w:t>28.</w:t>
            </w:r>
            <w:r>
              <w:tab/>
            </w:r>
            <w:r>
              <w:t xml:space="preserve">anerkender de betydelige sociale reformer, som Saudi-Arabien har gennemført, såsom de nye love om civile transaktioner, fremskridtene med hensyn til styrkelse af kvinders indflydelse og status, arbejdet med at udarbejde en straffelov, forbedringen af </w:t>
            </w:r>
            <w:r>
              <w:rPr>
                <w:b/>
                <w:i/>
              </w:rPr>
              <w:t>sponsorordningen (</w:t>
            </w:r>
            <w:r>
              <w:t>Kafala-systemet</w:t>
            </w:r>
            <w:r>
              <w:rPr>
                <w:b/>
                <w:i/>
              </w:rPr>
              <w:t>) og indførelsen</w:t>
            </w:r>
            <w:r>
              <w:t xml:space="preserve"> af nye regler for arbejdstagere;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167</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anerkender de </w:t>
            </w:r>
            <w:r>
              <w:rPr>
                <w:b/>
                <w:i/>
              </w:rPr>
              <w:t>betydelige</w:t>
            </w:r>
            <w:r>
              <w:t xml:space="preserv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gennemførelsen</w:t>
            </w:r>
            <w:r>
              <w:t xml:space="preserve"> af nye regler for arbejdstagere;</w:t>
            </w:r>
          </w:p>
        </w:tc>
        <w:tc>
          <w:tcPr>
            <w:tcW w:w="4876" w:type="dxa"/>
            <w:tcBorders>
              <w:top w:val="nil"/>
              <w:left w:val="nil"/>
              <w:bottom w:val="nil"/>
              <w:right w:val="nil"/>
            </w:tcBorders>
          </w:tcPr>
          <w:p>
            <w:pPr>
              <w:pStyle w:val="Normal6a"/>
            </w:pPr>
            <w:r>
              <w:t>28.</w:t>
            </w:r>
            <w:r>
              <w:tab/>
            </w:r>
            <w:r>
              <w:t xml:space="preserve">anerkender de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indførelsen</w:t>
            </w:r>
            <w:r>
              <w:t xml:space="preserve"> af nye regler for arbejdstagere;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168</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28.</w:t>
            </w:r>
            <w:r>
              <w:tab/>
            </w:r>
            <w:r>
              <w:t xml:space="preserve">anerkender de betydelige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gennemførelsen</w:t>
            </w:r>
            <w:r>
              <w:t xml:space="preserve"> af nye </w:t>
            </w:r>
            <w:r>
              <w:rPr>
                <w:b/>
                <w:i/>
              </w:rPr>
              <w:t>regler for arbejdstagere</w:t>
            </w:r>
            <w:r>
              <w:t>;</w:t>
            </w:r>
          </w:p>
        </w:tc>
        <w:tc>
          <w:tcPr>
            <w:tcW w:w="4876" w:type="dxa"/>
            <w:tcBorders>
              <w:top w:val="nil"/>
              <w:left w:val="nil"/>
              <w:bottom w:val="nil"/>
              <w:right w:val="nil"/>
            </w:tcBorders>
          </w:tcPr>
          <w:p>
            <w:pPr>
              <w:pStyle w:val="Normal6a"/>
            </w:pPr>
            <w:r>
              <w:t>28.</w:t>
            </w:r>
            <w:r>
              <w:tab/>
            </w:r>
            <w:r>
              <w:t xml:space="preserve">anerkender de betydelige sociale reformer, som Saudi-Arabien har gennemført, såsom de nye love om civile transaktioner, fremskridtene med hensyn til styrkelse af kvinders indflydelse og status, arbejdet med at udarbejde en straffelov, forbedringen af Kafala-systemet for migrantarbejdere og </w:t>
            </w:r>
            <w:r>
              <w:rPr>
                <w:b/>
                <w:i/>
              </w:rPr>
              <w:t>indførelsen</w:t>
            </w:r>
            <w:r>
              <w:t xml:space="preserve"> af nye </w:t>
            </w:r>
            <w:r>
              <w:rPr>
                <w:b/>
                <w:i/>
              </w:rPr>
              <w:t>arbejdsmarkedsregler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169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noterer sig Saudi-Arabiens udarbejdelse af en straffelov, men fremhæver samtidig, at lovforslaget ifølge menneskerettighedsorganisationer kriminaliserer ytringer, som er beskyttede rettigheder i henhold til folkeretten, og ikke beskytter kvinder og piger mod alle former for kønsbaseret vold;</w:t>
            </w:r>
            <w:r>
              <w:t xml:space="preserve"> </w:t>
            </w:r>
            <w:r>
              <w:rPr>
                <w:b/>
                <w:i/>
              </w:rPr>
              <w:t>opfordrer indtrængende de saudiarabiske myndigheder til at ændre udkastet til straffelov i overensstemmelse med landets internationale forpligtelser, inden loven bliver vedtaget, og til at sikre, at kvinder og piger beskyttes mod alle former for kønsbaseret vold ved at slette "æresforbrydelser" fra det juridiske ordforråd, sikre passende beskyttelse mod chikane og vold i hjemmet, kriminalisere voldtægt inden for ægteskabet og derudover at anordne hensigtsmæssige høringer af civilsamfundet, herunder kvindelige menneskerettighedsforkæmpere, i forbindelse med udarbejdelsen af straffeloven;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fremhæver, at kvinders arbejdsmarkedsdeltagelse i Saudi-Arabien er mere end fordoblet siden 2017 og nu ligger på 37 %</w:t>
            </w:r>
            <w:r>
              <w:rPr>
                <w:b/>
                <w:i/>
                <w:vertAlign w:val="superscript"/>
              </w:rPr>
              <w:t>2a</w:t>
            </w:r>
            <w:r>
              <w:rPr>
                <w:b/>
                <w:i/>
              </w:rPr>
              <w:t>;</w:t>
            </w:r>
            <w:r>
              <w:t xml:space="preserve"> </w:t>
            </w:r>
            <w:r>
              <w:rPr>
                <w:b/>
                <w:i/>
              </w:rPr>
              <w:t>bemærker, at saudiarabiske kvinder nu ejer 45 % af landets SMV'er og 17 % af samtlige virksomheder i landet;</w:t>
            </w:r>
            <w:r>
              <w:t xml:space="preserve"> </w:t>
            </w:r>
            <w:r>
              <w:rPr>
                <w:b/>
                <w:i/>
              </w:rPr>
              <w:t>mener, at denne udvikling afspejler virkningen af de lovreformer, der er blevet gennemført siden 2018, bl.a. ophævelsen af kvinders køreforbud</w:t>
            </w:r>
            <w:r>
              <w:rPr>
                <w:b/>
                <w:i/>
                <w:vertAlign w:val="superscript"/>
              </w:rPr>
              <w:t>3a</w:t>
            </w:r>
            <w:r>
              <w:rPr>
                <w:b/>
                <w:i/>
              </w:rPr>
              <w:t>, vedtagelsen af en lov til bekæmpelse af chikane og nye personalstatutbestemmelser, som indebar, at minimumsalderen for ægteskabsindgåelse blev hævet til 18 år, samt en styrkelse af kvinders selvbestemmelsesret;</w:t>
            </w:r>
            <w:r>
              <w:t xml:space="preserve"> </w:t>
            </w:r>
            <w:r>
              <w:rPr>
                <w:b/>
                <w:i/>
              </w:rPr>
              <w:t>lykønsker Saudi-Arabien med disse resultater og opfordrer til yderligere reformer med sigte på yderligere at fremme kvinders rettigheder og deltagelse i samfundslivet;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https://genderdata.worldbank.org/en/economies/saudi-arabia#:~:text=In%20Saudi%20Arabia%2C%20the%20labor,labor%20force%20participation%20has%20increased</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https://www.weforum.org/stories/2018/06/saudi-women-take-victory-lap-as-driving-ban-ends/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171</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påpeger, at der ikke råder religionsfrihed i Saudi-Arabien, især ikke for kristne;</w:t>
            </w:r>
            <w:r>
              <w:t xml:space="preserve"> </w:t>
            </w:r>
            <w:r>
              <w:rPr>
                <w:b/>
                <w:i/>
              </w:rPr>
              <w:t>erindrer om, at Saudi-Arabien ofte indtager andenpladsen på listen over de lande i verden, der udsætter kristne mindretal for forfølgelse;</w:t>
            </w:r>
            <w:r>
              <w:t xml:space="preserve"> </w:t>
            </w:r>
            <w:r>
              <w:rPr>
                <w:b/>
                <w:i/>
              </w:rPr>
              <w:t>opfordrer indtrængende de saudiarabiske myndigheder til at ophæve det gældende forbud mod præsters indrejse i landet;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172</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28a.</w:t>
            </w:r>
            <w:r>
              <w:tab/>
            </w:r>
            <w:r>
              <w:rPr>
                <w:b/>
                <w:i/>
              </w:rPr>
              <w:t>noterer sig bekymringerne blandt shiamindretallet i Saudi-Arabien og opfordrer myndighederne til at garantere denne befolkningsgruppes ligebehandling og lige muligheder i Kongeriget;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173</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28b.</w:t>
            </w:r>
            <w:r>
              <w:tab/>
            </w:r>
            <w:r>
              <w:rPr>
                <w:b/>
                <w:i/>
              </w:rPr>
              <w:t>roser Saudi-Arabien for at have udnævnt </w:t>
            </w:r>
            <w:r>
              <w:rPr>
                <w:b/>
                <w:i/>
              </w:rPr>
              <w:t>foreløbig</w:t>
            </w:r>
            <w:r>
              <w:t xml:space="preserve"> </w:t>
            </w:r>
            <w:r>
              <w:rPr>
                <w:b/>
                <w:i/>
              </w:rPr>
              <w:t>seks kvinder til ambassadørposter, hvilket udgør et vigtigt skridt i styrkelsen af kvinders indflydelse og status, og understreger, at dette kun markerer begyndelsen på yderligere fremskridt med hensyn til at fremme kvinders repræsentation og lederskab;</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174</w:t>
      </w:r>
      <w:r>
        <w:rPr>
          <w:rStyle w:val="HideTWBExt"/>
        </w:rPr>
        <w:t>&lt;/NumAm&gt;</w:t>
      </w:r>
    </w:p>
    <w:p>
      <w:pPr>
        <w:pStyle w:val="NormalBold"/>
      </w:pPr>
      <w:r>
        <w:rPr>
          <w:rStyle w:val="HideTWBExt"/>
          <w:b w:val="0"/>
        </w:rPr>
        <w:t>&lt;RepeatBlock-By&gt;</w:t>
      </w:r>
      <w:r>
        <w:rPr>
          <w:rStyle w:val="HideTWBExt"/>
          <w:b w:val="0"/>
        </w:rPr>
        <w:t>&lt;Members&gt;</w:t>
      </w:r>
      <w:r>
        <w:t>António Tânger Corrêa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28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28b.</w:t>
            </w:r>
            <w:r>
              <w:tab/>
            </w:r>
            <w:r>
              <w:rPr>
                <w:b/>
                <w:i/>
              </w:rPr>
              <w:t>glæder sig over, at </w:t>
            </w:r>
            <w:r>
              <w:rPr>
                <w:b/>
                <w:i/>
              </w:rPr>
              <w:t>modtageren af</w:t>
            </w:r>
            <w:r>
              <w:t xml:space="preserve"> </w:t>
            </w:r>
            <w:r>
              <w:rPr>
                <w:b/>
                <w:i/>
              </w:rPr>
              <w:t>Sakharovprisen</w:t>
            </w:r>
            <w:r>
              <w:t xml:space="preserve"> </w:t>
            </w:r>
            <w:r>
              <w:rPr>
                <w:b/>
                <w:i/>
              </w:rPr>
              <w:t>i 2015,</w:t>
            </w:r>
            <w:r>
              <w:rPr>
                <w:b/>
                <w:i/>
              </w:rPr>
              <w:t> Raif Badawi, blev løsladt i marts 2022, men opfordrer de saudiarabiske myndigheder til at ophæve hans særdeles restriktive rejse- og ytringsforbud, således at han kan blive genforenet med sin familie;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175</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anerkender civilsamfundets stigende deltagelse i kongeriget med over 5 400 registrerede foreninger og organisationer og opfordrer til yderligere foranstaltninger til at støtte og fastholde denne positive tendens;</w:t>
            </w:r>
          </w:p>
        </w:tc>
        <w:tc>
          <w:tcPr>
            <w:tcW w:w="4876" w:type="dxa"/>
            <w:tcBorders>
              <w:top w:val="nil"/>
              <w:left w:val="nil"/>
              <w:bottom w:val="nil"/>
              <w:right w:val="nil"/>
            </w:tcBorders>
          </w:tcPr>
          <w:p>
            <w:pPr>
              <w:pStyle w:val="Normal6a"/>
            </w:pPr>
            <w:r>
              <w:t>29.</w:t>
            </w:r>
            <w:r>
              <w:tab/>
            </w:r>
            <w:r>
              <w:t xml:space="preserve">anerkender civilsamfundets stigende deltagelse i Kongeriget med over 5 400 registrerede foreninger og organisationer og opfordrer til yderligere foranstaltninger til at støtte og fastholde denne positive tendens; </w:t>
            </w:r>
            <w:r>
              <w:rPr>
                <w:b/>
                <w:i/>
              </w:rPr>
              <w:t>udtrykker imidlertid bekymring over det stigende antal angreb på fredelige aktivister og almindelige borgere samt vilkårlige anholdelser af borgere for at udøve deres ytringsfrihed, både online og offline, hvilket er deres ret i henhold til international menneskerettighedslovgivning;</w:t>
            </w:r>
            <w:r>
              <w:t xml:space="preserve"> </w:t>
            </w:r>
            <w:r>
              <w:rPr>
                <w:b/>
                <w:i/>
              </w:rPr>
              <w:t>opfordrer Saudi-Arabien til at ændre definitionen af terrorisme i overensstemmelse med internationale standarder, bl.a. ved at ændre sine love om bekæmpelse af cyberkriminalitet og terror for at sikre, at brugen af sociale medier til fredelige meningsytringer ikke kriminaliseres;</w:t>
            </w:r>
            <w:r>
              <w:t xml:space="preserve"> </w:t>
            </w:r>
            <w:r>
              <w:rPr>
                <w:b/>
                <w:i/>
              </w:rPr>
              <w:t>erindrer om, at Europa-Parlamentet</w:t>
            </w:r>
            <w:r>
              <w:rPr>
                <w:b/>
                <w:i/>
              </w:rPr>
              <w:t> i 2015</w:t>
            </w:r>
            <w:r>
              <w:rPr>
                <w:b/>
                <w:i/>
              </w:rPr>
              <w:t> tildelte sin Sakharovpris til den saudiarabiske blogger Raif Badawi;</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 xml:space="preserve">anerkender </w:t>
            </w:r>
            <w:r>
              <w:rPr>
                <w:b/>
                <w:i/>
              </w:rPr>
              <w:t>civilsamfundets stigende deltagelse i kongeriget med</w:t>
            </w:r>
            <w:r>
              <w:t xml:space="preserve"> over 5 400 </w:t>
            </w:r>
            <w:r>
              <w:rPr>
                <w:b/>
                <w:i/>
              </w:rPr>
              <w:t>registrerede</w:t>
            </w:r>
            <w:r>
              <w:t xml:space="preserve"> foreninger og organisationer </w:t>
            </w:r>
            <w:r>
              <w:rPr>
                <w:b/>
                <w:i/>
              </w:rPr>
              <w:t>og</w:t>
            </w:r>
            <w:r>
              <w:t xml:space="preserve"> opfordrer </w:t>
            </w:r>
            <w:r>
              <w:rPr>
                <w:b/>
                <w:i/>
              </w:rPr>
              <w:t>til yderligere foranstaltninger</w:t>
            </w:r>
            <w:r>
              <w:t xml:space="preserve"> til at </w:t>
            </w:r>
            <w:r>
              <w:rPr>
                <w:b/>
                <w:i/>
              </w:rPr>
              <w:t>støtte og fastholde denne positive tendens</w:t>
            </w:r>
            <w:r>
              <w:t>;</w:t>
            </w:r>
          </w:p>
        </w:tc>
        <w:tc>
          <w:tcPr>
            <w:tcW w:w="4876" w:type="dxa"/>
            <w:tcBorders>
              <w:top w:val="nil"/>
              <w:left w:val="nil"/>
              <w:bottom w:val="nil"/>
              <w:right w:val="nil"/>
            </w:tcBorders>
          </w:tcPr>
          <w:p>
            <w:pPr>
              <w:pStyle w:val="Normal6a"/>
            </w:pPr>
            <w:r>
              <w:t>29.</w:t>
            </w:r>
            <w:r>
              <w:tab/>
            </w:r>
            <w:r>
              <w:rPr>
                <w:b/>
                <w:i/>
              </w:rPr>
              <w:t>fremhæver den massive undertrykkelse af Saudi-Arabiens uafhængige civilsamfund og de vilkårlige anholdelser af fredelige systemkritikere, fremtrædende intellektuelle, menneskerettighedsforkæmpere og aktivister;</w:t>
            </w:r>
            <w:r>
              <w:t xml:space="preserve"> anerkender</w:t>
            </w:r>
            <w:r>
              <w:rPr>
                <w:b/>
                <w:i/>
              </w:rPr>
              <w:t>, at det — uagtet registreringen af</w:t>
            </w:r>
            <w:r>
              <w:t xml:space="preserve"> over 5 400 foreninger og organisationer </w:t>
            </w:r>
            <w:r>
              <w:rPr>
                <w:b/>
                <w:i/>
              </w:rPr>
              <w:t>i Kongeriget — er ulovligt at stifte og drive uafhængige ikkestatslige menneskerettighedsorganisationer eller at fungere som uafhængig observatør;</w:t>
            </w:r>
            <w:r>
              <w:t xml:space="preserve"> opfordrer </w:t>
            </w:r>
            <w:r>
              <w:rPr>
                <w:b/>
                <w:i/>
              </w:rPr>
              <w:t>indtrængende Saudi-Arabien</w:t>
            </w:r>
            <w:r>
              <w:t xml:space="preserve"> til at </w:t>
            </w:r>
            <w:r>
              <w:rPr>
                <w:b/>
                <w:i/>
              </w:rPr>
              <w:t>ændre loven om foreninger for at bringe den i fuld overensstemmelse med folkeretten og internationale standarder og gøre det tilladt at stifte uafhængige menneskerettighedsorganisationer og fagforeninger</w:t>
            </w:r>
            <w:r>
              <w:t xml:space="preserve">; </w:t>
            </w:r>
            <w:r>
              <w:rPr>
                <w:b/>
                <w:i/>
              </w:rPr>
              <w:t>opfordrer Saudi-Arabien til at sætte en stopper for de vilkårlige anholdelser og tilbageholdelser af menneskerettighedsforkæmpere, akademikere og gejstlige blot for at have udøvet deres ytrings- og foreningsfrihed samt at sikre, at ytringsfriheden beskyttes i den straffelov, som er under udarbejdelse;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177</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anerkender civilsamfundets stigende deltagelse i kongeriget med over 5 400 registrerede foreninger og organisationer og opfordrer til yderligere foranstaltninger til at støtte og fastholde denne positive tendens;</w:t>
            </w:r>
          </w:p>
        </w:tc>
        <w:tc>
          <w:tcPr>
            <w:tcW w:w="4876" w:type="dxa"/>
            <w:tcBorders>
              <w:top w:val="nil"/>
              <w:left w:val="nil"/>
              <w:bottom w:val="nil"/>
              <w:right w:val="nil"/>
            </w:tcBorders>
          </w:tcPr>
          <w:p>
            <w:pPr>
              <w:pStyle w:val="Normal6a"/>
            </w:pPr>
            <w:r>
              <w:t>29.</w:t>
            </w:r>
            <w:r>
              <w:tab/>
            </w:r>
            <w:r>
              <w:t xml:space="preserve">anerkender civilsamfundets stigende deltagelse i Kongeriget med over 5 400 registrerede foreninger og organisationer og opfordrer til yderligere foranstaltninger til at støtte og fastholde denne positive tendens; </w:t>
            </w:r>
            <w:r>
              <w:rPr>
                <w:b/>
                <w:i/>
              </w:rPr>
              <w:t>opfordrer </w:t>
            </w:r>
            <w:r>
              <w:rPr>
                <w:b/>
                <w:i/>
              </w:rPr>
              <w:t>Saudi-Arabien </w:t>
            </w:r>
            <w:r>
              <w:rPr>
                <w:b/>
                <w:i/>
              </w:rPr>
              <w:t>til at beskytte ytringsfriheden og til at tillade effektiv deltagelse af internationale menneskerettighedsorganisationer i landet;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178</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 xml:space="preserve">anerkender </w:t>
            </w:r>
            <w:r>
              <w:rPr>
                <w:b/>
                <w:i/>
              </w:rPr>
              <w:t>civilsamfundets stigende deltagelse i kongeriget med</w:t>
            </w:r>
            <w:r>
              <w:t xml:space="preserve"> over 5 400 </w:t>
            </w:r>
            <w:r>
              <w:rPr>
                <w:b/>
                <w:i/>
              </w:rPr>
              <w:t>registrerede</w:t>
            </w:r>
            <w:r>
              <w:t xml:space="preserve"> foreninger og organisationer </w:t>
            </w:r>
            <w:r>
              <w:rPr>
                <w:b/>
                <w:i/>
              </w:rPr>
              <w:t>og opfordrer til yderligere foranstaltninger til at støtte og fastholde denne positive tendens</w:t>
            </w:r>
            <w:r>
              <w:t>;</w:t>
            </w:r>
          </w:p>
        </w:tc>
        <w:tc>
          <w:tcPr>
            <w:tcW w:w="4876" w:type="dxa"/>
            <w:tcBorders>
              <w:top w:val="nil"/>
              <w:left w:val="nil"/>
              <w:bottom w:val="nil"/>
              <w:right w:val="nil"/>
            </w:tcBorders>
          </w:tcPr>
          <w:p>
            <w:pPr>
              <w:pStyle w:val="Normal6a"/>
            </w:pPr>
            <w:r>
              <w:t>29.</w:t>
            </w:r>
            <w:r>
              <w:tab/>
            </w:r>
            <w:r>
              <w:rPr>
                <w:b/>
                <w:i/>
              </w:rPr>
              <w:t>fremhæver den vedvarende undertrykkelse af Saudi-Arabiens uafhængige civilsamfund og de vilkårlige anholdelser af fredelige systemkritikere, fremtrædende intellektuelle, menneskerettighedsforkæmpere og aktivister;</w:t>
            </w:r>
            <w:r>
              <w:t xml:space="preserve"> anerkender </w:t>
            </w:r>
            <w:r>
              <w:rPr>
                <w:b/>
                <w:i/>
              </w:rPr>
              <w:t>registreringen af</w:t>
            </w:r>
            <w:r>
              <w:t xml:space="preserve"> over 5 400 foreninger og organisationer;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179</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29.</w:t>
            </w:r>
            <w:r>
              <w:tab/>
            </w:r>
            <w:r>
              <w:t xml:space="preserve">anerkender </w:t>
            </w:r>
            <w:r>
              <w:rPr>
                <w:b/>
                <w:i/>
              </w:rPr>
              <w:t>civilsamfundets</w:t>
            </w:r>
            <w:r>
              <w:t xml:space="preserve"> stigende deltagelse i kongeriget med over 5 400 registrerede foreninger og organisationer og opfordrer til yderligere foranstaltninger til at støtte og fastholde denne positive tendens;</w:t>
            </w:r>
          </w:p>
        </w:tc>
        <w:tc>
          <w:tcPr>
            <w:tcW w:w="4876" w:type="dxa"/>
            <w:tcBorders>
              <w:top w:val="nil"/>
              <w:left w:val="nil"/>
              <w:bottom w:val="nil"/>
              <w:right w:val="nil"/>
            </w:tcBorders>
          </w:tcPr>
          <w:p>
            <w:pPr>
              <w:pStyle w:val="Normal6a"/>
            </w:pPr>
            <w:r>
              <w:t>29.</w:t>
            </w:r>
            <w:r>
              <w:tab/>
            </w:r>
            <w:r>
              <w:t xml:space="preserve">anerkender </w:t>
            </w:r>
            <w:r>
              <w:rPr>
                <w:b/>
                <w:i/>
              </w:rPr>
              <w:t>det saudiarabiske civilsamfunds</w:t>
            </w:r>
            <w:r>
              <w:t xml:space="preserve"> stigende deltagelse i Kongeriget med over 5 400 registrerede foreninger og organisationer og opfordrer til yderligere foranstaltninger til at støtte og fastholde denne positive tendens;</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180</w:t>
      </w:r>
      <w:r>
        <w:rPr>
          <w:rStyle w:val="HideTWBExt"/>
        </w:rPr>
        <w:t>&lt;/NumAm&gt;</w:t>
      </w:r>
    </w:p>
    <w:p>
      <w:pPr>
        <w:pStyle w:val="NormalBold"/>
      </w:pPr>
      <w:r>
        <w:rPr>
          <w:rStyle w:val="HideTWBExt"/>
          <w:b w:val="0"/>
        </w:rPr>
        <w:t>&lt;RepeatBlock-By&gt;</w:t>
      </w:r>
      <w:r>
        <w:rPr>
          <w:rStyle w:val="HideTWBExt"/>
          <w:b w:val="0"/>
        </w:rPr>
        <w:t>&lt;Members&gt;</w:t>
      </w:r>
      <w:r>
        <w:t>Cristian Terheş</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bemærker med tilfredshed de betydelige fremskridt, der er gjort med hensyn til at øge kvinders deltagelse i samfundslivet, idet kvinder nu tegner sig for 41 % af alle statsansatte — heriblandt højtstående diplomatiske poster — og 20 % af medlemmerne af landets rådgivende forsamling, Shura-rådet</w:t>
            </w:r>
            <w:r>
              <w:rPr>
                <w:b/>
                <w:i/>
                <w:vertAlign w:val="superscript"/>
              </w:rPr>
              <w:t>2a</w:t>
            </w:r>
            <w:r>
              <w:rPr>
                <w:b/>
                <w:i/>
              </w:rPr>
              <w:t>;</w:t>
            </w:r>
            <w:r>
              <w:t xml:space="preserve"> </w:t>
            </w:r>
            <w:r>
              <w:rPr>
                <w:b/>
                <w:i/>
              </w:rPr>
              <w:t>fremhæver endvidere den historiske milepæl i maj 2023, hvor astronauten Rayyanah Barnawi blev den første saudiarabiske og første arabiske muslimske kvinde i rummet, hvilket er udtryk for Kongerigets engagement i myndiggørelse af kvinder, innovation og nedbrydning af barrierer</w:t>
            </w:r>
            <w:r>
              <w:rPr>
                <w:b/>
                <w:i/>
                <w:vertAlign w:val="superscript"/>
              </w:rPr>
              <w:t>3a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2a</w:t>
            </w:r>
            <w:r>
              <w:t xml:space="preserve"> </w:t>
            </w:r>
            <w:r>
              <w:rPr>
                <w:b/>
                <w:i/>
              </w:rPr>
              <w:t>https://data.ipu.org/parliament/SA/SA-LC01/data-on-women/</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3a</w:t>
            </w:r>
            <w:r>
              <w:t xml:space="preserve"> </w:t>
            </w:r>
            <w:r>
              <w:rPr>
                <w:b/>
                <w:i/>
              </w:rPr>
              <w:t>https://sites.ungeneva.org/not-a-womans-job/2024/en/permanent-missions/rayanna-barnawi.html</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181</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opfordrer indtrængende Saudi-Arabien til at tillade, at uafhængige menneskerettighedsobservatører aflægger besøg i landet, og til at kræve regelmæssige uafhængige rapporter om menneskerettighedssituationen med klare benchmarks for de gjorte fremskridt med hensyn til menneskerettighedssituationen i Saudi-Arabien;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opfordrer indtrængende Saudi-Arabien til at tillade, at uafhængige menneskerettighedsobservatører aflægger besøg i landet, og til at kræve regelmæssige uafhængige rapporter om menneskerettighedssituationen med klare benchmarks for de gjorte fremskridt med hensyn til menneskerettighedssituationen i Saudi-Arabien;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29a.</w:t>
            </w:r>
            <w:r>
              <w:tab/>
            </w:r>
            <w:r>
              <w:rPr>
                <w:b/>
                <w:i/>
              </w:rPr>
              <w:t>opfordrer indtrængende Saudi-Arabien til at tillade, at uafhængige menneskerettighedsobservatører aflægger besøg i landet;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29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29b.</w:t>
            </w:r>
            <w:r>
              <w:tab/>
            </w:r>
            <w:r>
              <w:rPr>
                <w:b/>
                <w:i/>
              </w:rPr>
              <w:t>opfordrer til øjeblikkelig løsladelse af personer, der tilbageholdes blot for at have udøvet deres rettigheder fredeligt, navnlig fremtrædende aktivister, akademikere og gejstlige;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185</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rPr>
                <w:b/>
                <w:i/>
              </w:rPr>
              <w:t>anerkender</w:t>
            </w:r>
            <w:r>
              <w:t xml:space="preserve"> Saudi-Arabiens menneskerettighedsstrategi for </w:t>
            </w:r>
            <w:r>
              <w:rPr>
                <w:b/>
                <w:i/>
              </w:rPr>
              <w:t>VM</w:t>
            </w:r>
            <w:r>
              <w:t xml:space="preserve"> i fodbold i 2034; bekræfter på ny, at EU er rede til at støtte igangværende menneskerettigheds- og arbejdsmarkedsreformer; </w:t>
            </w:r>
            <w:r>
              <w:rPr>
                <w:b/>
                <w:i/>
              </w:rPr>
              <w:t>opfordrer til</w:t>
            </w:r>
            <w:r>
              <w:t xml:space="preserve"> et styrket samarbejde med FN og Den Internationale Arbejdsorganisation om </w:t>
            </w:r>
            <w:r>
              <w:rPr>
                <w:b/>
                <w:i/>
              </w:rPr>
              <w:t>vandrende arbejdstageres</w:t>
            </w:r>
            <w:r>
              <w:t xml:space="preserve"> rettigheder, navnlig forud for EXPO 2030 og </w:t>
            </w:r>
            <w:r>
              <w:rPr>
                <w:b/>
                <w:i/>
              </w:rPr>
              <w:t>turneringen</w:t>
            </w:r>
            <w:r>
              <w:t>;</w:t>
            </w:r>
          </w:p>
        </w:tc>
        <w:tc>
          <w:tcPr>
            <w:tcW w:w="4876" w:type="dxa"/>
            <w:tcBorders>
              <w:top w:val="nil"/>
              <w:left w:val="nil"/>
              <w:bottom w:val="nil"/>
              <w:right w:val="nil"/>
            </w:tcBorders>
          </w:tcPr>
          <w:p>
            <w:pPr>
              <w:pStyle w:val="Normal6a"/>
            </w:pPr>
            <w:r>
              <w:t>30.</w:t>
            </w:r>
            <w:r>
              <w:tab/>
            </w:r>
            <w:r>
              <w:rPr>
                <w:b/>
                <w:i/>
              </w:rPr>
              <w:t>noterer sig</w:t>
            </w:r>
            <w:r>
              <w:t xml:space="preserve"> Saudi-Arabiens menneskerettighedsstrategi for </w:t>
            </w:r>
            <w:r>
              <w:rPr>
                <w:b/>
                <w:i/>
              </w:rPr>
              <w:t>verdensmesterskabet</w:t>
            </w:r>
            <w:r>
              <w:t xml:space="preserve"> i fodbold i 2034</w:t>
            </w:r>
            <w:r>
              <w:rPr>
                <w:b/>
                <w:i/>
              </w:rPr>
              <w:t>, men beklager, at nogle af de alvorligste menneskerettighedsrisici, såsom overgreb mod og udnyttelse af arbejdstagere, undertrykkelse af frihedsrettigheder og krænkelse af retten til privatlivets fred gennem masseovervågning, ikke er omhandlet i hensigtsmæssig grad eller slet ikke er nævnt</w:t>
            </w:r>
            <w:r>
              <w:t xml:space="preserve">; bekræfter på ny, at EU er rede til at støtte igangværende menneskerettigheds- og arbejdsmarkedsreformer; </w:t>
            </w:r>
            <w:r>
              <w:rPr>
                <w:b/>
                <w:i/>
              </w:rPr>
              <w:t>efterlyser</w:t>
            </w:r>
            <w:r>
              <w:t xml:space="preserve"> et styrket samarbejde med FN og Den Internationale Arbejdsorganisation om </w:t>
            </w:r>
            <w:r>
              <w:rPr>
                <w:b/>
                <w:i/>
              </w:rPr>
              <w:t>migrantarbejdernes</w:t>
            </w:r>
            <w:r>
              <w:t xml:space="preserve"> rettigheder, navnlig forud for EXPO 2030 og </w:t>
            </w:r>
            <w:r>
              <w:rPr>
                <w:b/>
                <w:i/>
              </w:rPr>
              <w:t>verdensmesterskabet, med henblik på at sikre passende arbejdsvilkår for alle arbejdstagere, med særligt fokus på evidensbaserede beskyttelsesforanstaltninger mod overophedning, rettidig og fuldstændig lønudbetaling samt, i tilfælde af dødsfald, garantere behørig politiudredning samt retfærdig og rettidig kompensation til de efterladte</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186</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VM</w:t>
            </w:r>
            <w:r>
              <w:t xml:space="preserve"> i fodbold i 2034; bekræfter på ny, at EU er rede til at støtte igangværende menneskerettigheds- og arbejdsmarkedsreformer; </w:t>
            </w:r>
            <w:r>
              <w:rPr>
                <w:b/>
                <w:i/>
              </w:rPr>
              <w:t>opfordrer til</w:t>
            </w:r>
            <w:r>
              <w:t xml:space="preserve"> et styrket samarbejde med FN og Den Internationale Arbejdsorganisation om </w:t>
            </w:r>
            <w:r>
              <w:rPr>
                <w:b/>
                <w:i/>
              </w:rPr>
              <w:t>vandrende arbejdstageres</w:t>
            </w:r>
            <w:r>
              <w:t xml:space="preserve"> rettigheder, navnlig forud for EXPO 2030 og </w:t>
            </w:r>
            <w:r>
              <w:rPr>
                <w:b/>
                <w:i/>
              </w:rPr>
              <w:t>turneringen</w:t>
            </w:r>
            <w:r>
              <w:t>;</w:t>
            </w:r>
          </w:p>
        </w:tc>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verdensmesterskabet</w:t>
            </w:r>
            <w:r>
              <w:t xml:space="preserve"> i fodbold i 2034; bekræfter på ny, at EU er rede til at støtte igangværende menneskerettigheds- og arbejdsmarkedsreformer; </w:t>
            </w:r>
            <w:r>
              <w:rPr>
                <w:b/>
                <w:i/>
              </w:rPr>
              <w:t>efterlyser</w:t>
            </w:r>
            <w:r>
              <w:t xml:space="preserve"> et styrket samarbejde med FN og Den Internationale Arbejdsorganisation om </w:t>
            </w:r>
            <w:r>
              <w:rPr>
                <w:b/>
                <w:i/>
              </w:rPr>
              <w:t>migrantarbejdernes</w:t>
            </w:r>
            <w:r>
              <w:t xml:space="preserve"> rettigheder, navnlig forud for EXPO 2030 og </w:t>
            </w:r>
            <w:r>
              <w:rPr>
                <w:b/>
                <w:i/>
              </w:rPr>
              <w:t>verdensmesterskabet, med henblik på at sikre, at ethvert dødsfald blandt migrantarbejderne — uanset formodet årsag, tidspunkt og sted — underkastes behørig politiudredning, og at de efterladte modtager en retfærdig og rettidig kompensation herfor,</w:t>
            </w:r>
            <w:r>
              <w:t xml:space="preserve"> </w:t>
            </w:r>
            <w:r>
              <w:rPr>
                <w:b/>
                <w:i/>
              </w:rPr>
              <w:t>og at der træffes passende evidensbaserede beskyttelsesforanstaltninger mod overophedning, og at alle arbejdstagere aflønnes rettidigt og fuldt ud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187</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VM</w:t>
            </w:r>
            <w:r>
              <w:t xml:space="preserve"> i fodbold i 2034; bekræfter på ny, at EU er rede til at støtte igangværende menneskerettigheds- og arbejdsmarkedsreformer; </w:t>
            </w:r>
            <w:r>
              <w:rPr>
                <w:b/>
                <w:i/>
              </w:rPr>
              <w:t>opfordrer til</w:t>
            </w:r>
            <w:r>
              <w:t xml:space="preserve"> et styrket samarbejde med FN og Den Internationale Arbejdsorganisation om </w:t>
            </w:r>
            <w:r>
              <w:rPr>
                <w:b/>
                <w:i/>
              </w:rPr>
              <w:t>vandrende arbejdstageres</w:t>
            </w:r>
            <w:r>
              <w:t xml:space="preserve"> rettigheder, navnlig forud for EXPO 2030 og </w:t>
            </w:r>
            <w:r>
              <w:rPr>
                <w:b/>
                <w:i/>
              </w:rPr>
              <w:t>turneringen</w:t>
            </w:r>
            <w:r>
              <w:t>;</w:t>
            </w:r>
          </w:p>
        </w:tc>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verdensmesterskabet</w:t>
            </w:r>
            <w:r>
              <w:t xml:space="preserve"> i fodbold i 2034; bekræfter på ny, at EU er rede til at støtte igangværende menneskerettigheds- og arbejdsmarkedsreformer; </w:t>
            </w:r>
            <w:r>
              <w:rPr>
                <w:b/>
                <w:i/>
              </w:rPr>
              <w:t>efterlyser</w:t>
            </w:r>
            <w:r>
              <w:t> et styrket samarbejde med FN og Den Internationale Arbejdsorganisation om </w:t>
            </w:r>
            <w:r>
              <w:rPr>
                <w:b/>
                <w:i/>
              </w:rPr>
              <w:t>migrantarbejdernes</w:t>
            </w:r>
            <w:r>
              <w:t> rettigheder, navnlig forud for EXPO 2030 og </w:t>
            </w:r>
            <w:r>
              <w:rPr>
                <w:b/>
                <w:i/>
              </w:rPr>
              <w:t>verdensmesterskabet, med henblik på at sikre, at ethvert dødsfald blandt migrantarbejderne underkastes behørig politiudredning, og at de efterladte modtager en retfærdig og rettidig kompensation herfor, samt at der træffes passende evidensbaserede beskyttelsesforanstaltninger mod overophedning, og at alle arbejdstagere aflønnes rettidigt og fuldt ud</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188</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VM</w:t>
            </w:r>
            <w:r>
              <w:t xml:space="preserve"> i fodbold i 2034; bekræfter på ny, at EU er rede til at støtte igangværende menneskerettigheds- og arbejdsmarkedsreformer; </w:t>
            </w:r>
            <w:r>
              <w:rPr>
                <w:b/>
                <w:i/>
              </w:rPr>
              <w:t>opfordrer til</w:t>
            </w:r>
            <w:r>
              <w:t xml:space="preserve"> et styrket samarbejde med FN og Den Internationale Arbejdsorganisation om </w:t>
            </w:r>
            <w:r>
              <w:rPr>
                <w:b/>
                <w:i/>
              </w:rPr>
              <w:t>vandrende arbejdstageres</w:t>
            </w:r>
            <w:r>
              <w:t xml:space="preserve"> rettigheder, navnlig forud for EXPO 2030 og </w:t>
            </w:r>
            <w:r>
              <w:rPr>
                <w:b/>
                <w:i/>
              </w:rPr>
              <w:t>turneringen</w:t>
            </w:r>
            <w:r>
              <w:t>;</w:t>
            </w:r>
          </w:p>
        </w:tc>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verdensmesterskabet</w:t>
            </w:r>
            <w:r>
              <w:t xml:space="preserve"> i fodbold i 2034; bekræfter på ny, at EU er rede til at støtte igangværende menneskerettigheds- og arbejdsmarkedsreformer; </w:t>
            </w:r>
            <w:r>
              <w:rPr>
                <w:b/>
                <w:i/>
              </w:rPr>
              <w:t>efterlyser</w:t>
            </w:r>
            <w:r>
              <w:t xml:space="preserve"> et styrket samarbejde med FN og Den Internationale Arbejdsorganisation om </w:t>
            </w:r>
            <w:r>
              <w:rPr>
                <w:b/>
                <w:i/>
              </w:rPr>
              <w:t>migrantarbejderes</w:t>
            </w:r>
            <w:r>
              <w:t xml:space="preserve"> rettigheder, navnlig forud for EXPO 2030 og </w:t>
            </w:r>
            <w:r>
              <w:rPr>
                <w:b/>
                <w:i/>
              </w:rPr>
              <w:t>verdensmesterskabet,</w:t>
            </w:r>
            <w:r>
              <w:t xml:space="preserve"> </w:t>
            </w:r>
            <w:r>
              <w:rPr>
                <w:b/>
                <w:i/>
              </w:rPr>
              <w:t>med henblik på at sikre, at alle dødsfald og arbejdsulykker blandt migrantarbejderne — uanset formodet årsag, tidspunkt og sted — underkastes behørig politiudredning, og at de efterladte modtager en retfærdig og rettidig kompensation herfor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189</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VM</w:t>
            </w:r>
            <w:r>
              <w:t xml:space="preserve"> i fodbold i 2034; bekræfter på ny, at EU er rede til at støtte igangværende menneskerettigheds- og arbejdsmarkedsreformer; </w:t>
            </w:r>
            <w:r>
              <w:rPr>
                <w:b/>
                <w:i/>
              </w:rPr>
              <w:t>opfordrer til</w:t>
            </w:r>
            <w:r>
              <w:t xml:space="preserve"> et styrket samarbejde med FN og Den Internationale Arbejdsorganisation om </w:t>
            </w:r>
            <w:r>
              <w:rPr>
                <w:b/>
                <w:i/>
              </w:rPr>
              <w:t>vandrende arbejdstageres</w:t>
            </w:r>
            <w:r>
              <w:t xml:space="preserve"> rettigheder, navnlig forud for EXPO 2030 og </w:t>
            </w:r>
            <w:r>
              <w:rPr>
                <w:b/>
                <w:i/>
              </w:rPr>
              <w:t>turneringen</w:t>
            </w:r>
            <w:r>
              <w:t>;</w:t>
            </w:r>
          </w:p>
        </w:tc>
        <w:tc>
          <w:tcPr>
            <w:tcW w:w="4876" w:type="dxa"/>
            <w:tcBorders>
              <w:top w:val="nil"/>
              <w:left w:val="nil"/>
              <w:bottom w:val="nil"/>
              <w:right w:val="nil"/>
            </w:tcBorders>
          </w:tcPr>
          <w:p>
            <w:pPr>
              <w:pStyle w:val="Normal6a"/>
            </w:pPr>
            <w:r>
              <w:t>30.</w:t>
            </w:r>
            <w:r>
              <w:tab/>
            </w:r>
            <w:r>
              <w:t xml:space="preserve">anerkender Saudi-Arabiens menneskerettighedsstrategi for </w:t>
            </w:r>
            <w:r>
              <w:rPr>
                <w:b/>
                <w:i/>
              </w:rPr>
              <w:t>verdensmesterskabet</w:t>
            </w:r>
            <w:r>
              <w:t xml:space="preserve"> i fodbold i 2034; bekræfter på ny, at EU er rede til at støtte igangværende menneskerettigheds- og arbejdsmarkedsreformer; </w:t>
            </w:r>
            <w:r>
              <w:rPr>
                <w:b/>
                <w:i/>
              </w:rPr>
              <w:t>efterlyser</w:t>
            </w:r>
            <w:r>
              <w:t xml:space="preserve"> et styrket samarbejde med FN og Den Internationale Arbejdsorganisation om </w:t>
            </w:r>
            <w:r>
              <w:rPr>
                <w:b/>
                <w:i/>
              </w:rPr>
              <w:t>migrantarbejderes</w:t>
            </w:r>
            <w:r>
              <w:t xml:space="preserve"> rettigheder </w:t>
            </w:r>
            <w:r>
              <w:rPr>
                <w:b/>
                <w:i/>
              </w:rPr>
              <w:t>med henblik på at gennemføre yderligere omfattende og inkluderende arbejdsmarkedsreformer i overensstemmelse med internationale standarder</w:t>
            </w:r>
            <w:r>
              <w:t xml:space="preserve">, navnlig forud for EXPO 2030 og </w:t>
            </w:r>
            <w:r>
              <w:rPr>
                <w:b/>
                <w:i/>
              </w:rPr>
              <w:t>verdensmesterskabet</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190</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opfordrer Saudi-Arabien til at gennemføre de planlagte lovreformer for at forbedre gennemsigtigheden i retsvæsenet samt at forhindre tidsubegrænset frihedsberøvelse for at sikre gennemsigtighed i retsplejen;</w:t>
            </w:r>
            <w:r>
              <w:t xml:space="preserve"> </w:t>
            </w:r>
            <w:r>
              <w:rPr>
                <w:b/>
                <w:i/>
              </w:rPr>
              <w:t>opfordrer Saudi-Arabien til at reformere sine straffedomstole for at sikre, at alle tiltalte får en retfærdig rettergang, at der idømmes retfærdige straffe for forbrydelser i henhold til fastsatte retsforskrifter, at retsprotokollerne offentliggøres, og at de tiltalte beskyttes mod vilkårlig frihedsberøvelse og mishandling;</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191</w:t>
      </w:r>
      <w:r>
        <w:rPr>
          <w:rStyle w:val="HideTWBExt"/>
        </w:rPr>
        <w:t>&lt;/NumAm&gt;</w:t>
      </w:r>
    </w:p>
    <w:p>
      <w:pPr>
        <w:pStyle w:val="NormalBold"/>
      </w:pPr>
      <w:r>
        <w:rPr>
          <w:rStyle w:val="HideTWBExt"/>
          <w:b w:val="0"/>
        </w:rPr>
        <w:t>&lt;RepeatBlock-By&gt;</w:t>
      </w:r>
      <w:r>
        <w:rPr>
          <w:rStyle w:val="HideTWBExt"/>
          <w:b w:val="0"/>
        </w:rPr>
        <w:t>&lt;Members&gt;</w:t>
      </w:r>
      <w:r>
        <w:t>Roberto Vannacci,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30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30a.</w:t>
            </w:r>
            <w:r>
              <w:tab/>
            </w:r>
            <w:r>
              <w:rPr>
                <w:b/>
                <w:i/>
              </w:rPr>
              <w:t>påpeger, at ytringsfriheden er kraftigt indskrænket, at internettet er underlagt massiv overvågning, og at et kritisk opslag på de sociale medier kan resultere i anholdelse;</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192</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på ny EU's principielle tilsagn om at samarbejde med Saudi-Arabien om </w:t>
            </w:r>
            <w:r>
              <w:rPr>
                <w:b/>
                <w:i/>
              </w:rPr>
              <w:t>afskaffelse af dødsstraffen</w:t>
            </w:r>
            <w:r>
              <w:t>;</w:t>
            </w:r>
          </w:p>
        </w:tc>
        <w:tc>
          <w:tcPr>
            <w:tcW w:w="4876" w:type="dxa"/>
            <w:tcBorders>
              <w:top w:val="nil"/>
              <w:left w:val="nil"/>
              <w:bottom w:val="nil"/>
              <w:right w:val="nil"/>
            </w:tcBorders>
          </w:tcPr>
          <w:p>
            <w:pPr>
              <w:pStyle w:val="Normal6a"/>
            </w:pPr>
            <w:r>
              <w:t>31.</w:t>
            </w:r>
            <w:r>
              <w:tab/>
            </w:r>
            <w:r>
              <w:t xml:space="preserve">bekræfter på ny </w:t>
            </w:r>
            <w:r>
              <w:rPr>
                <w:b/>
                <w:i/>
              </w:rPr>
              <w:t>sin kategoriske og utvetydige modstand imod brugen af dødsstraf uanset tidspunkt og omstændigheder;</w:t>
            </w:r>
            <w:r>
              <w:t xml:space="preserve"> </w:t>
            </w:r>
            <w:r>
              <w:rPr>
                <w:b/>
                <w:i/>
              </w:rPr>
              <w:t>udtrykker bekymring over brugen af dødsstraf i Saudi-Arabien, som</w:t>
            </w:r>
            <w:r>
              <w:rPr>
                <w:b/>
                <w:i/>
              </w:rPr>
              <w:t> i 2024</w:t>
            </w:r>
            <w:r>
              <w:rPr>
                <w:b/>
                <w:i/>
              </w:rPr>
              <w:t> steg markant, hvor der blev fuldbyrdet</w:t>
            </w:r>
            <w:r>
              <w:t xml:space="preserve"> </w:t>
            </w:r>
            <w:r>
              <w:rPr>
                <w:b/>
                <w:i/>
              </w:rPr>
              <w:t>mindst 345 henrettelser</w:t>
            </w:r>
            <w:r>
              <w:rPr>
                <w:b/>
                <w:i/>
              </w:rPr>
              <w:t>, hvilket er et rekordhøjt antal;</w:t>
            </w:r>
            <w:r>
              <w:t xml:space="preserve"> </w:t>
            </w:r>
            <w:r>
              <w:rPr>
                <w:b/>
                <w:i/>
              </w:rPr>
              <w:t>opfordrer Saudi-Arabien til at indføre et moratorium for alle henrettelser med henblik på helt at afskaffe dødsstraffen og bekræfter</w:t>
            </w:r>
            <w:r>
              <w:t xml:space="preserve"> EU's principielle tilsagn om at samarbejde med Saudi-Arabien om </w:t>
            </w:r>
            <w:r>
              <w:rPr>
                <w:b/>
                <w:i/>
              </w:rPr>
              <w:t>at nå dette mål</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193</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w:t>
            </w:r>
            <w:r>
              <w:rPr>
                <w:b/>
                <w:i/>
              </w:rPr>
              <w:t>på ny EU's principielle tilsagn om at samarbejde med</w:t>
            </w:r>
            <w:r>
              <w:t xml:space="preserve"> Saudi-Arabien </w:t>
            </w:r>
            <w:r>
              <w:rPr>
                <w:b/>
                <w:i/>
              </w:rPr>
              <w:t>om afskaffelse af dødsstraffen</w:t>
            </w:r>
            <w:r>
              <w:t>;</w:t>
            </w:r>
          </w:p>
        </w:tc>
        <w:tc>
          <w:tcPr>
            <w:tcW w:w="4876" w:type="dxa"/>
            <w:tcBorders>
              <w:top w:val="nil"/>
              <w:left w:val="nil"/>
              <w:bottom w:val="nil"/>
              <w:right w:val="nil"/>
            </w:tcBorders>
          </w:tcPr>
          <w:p>
            <w:pPr>
              <w:pStyle w:val="Normal6a"/>
            </w:pPr>
            <w:r>
              <w:t>31.</w:t>
            </w:r>
            <w:r>
              <w:tab/>
            </w:r>
            <w:r>
              <w:t>bekræfter</w:t>
            </w:r>
            <w:r>
              <w:rPr>
                <w:b/>
                <w:i/>
              </w:rPr>
              <w:t>, at EU principielt er imod dødsstraf, og opfordrer indtrængende</w:t>
            </w:r>
            <w:r>
              <w:t xml:space="preserve"> Saudi-Arabien </w:t>
            </w:r>
            <w:r>
              <w:rPr>
                <w:b/>
                <w:i/>
              </w:rPr>
              <w:t>til at indføre et øjeblikkeligt moratorium for dødsdomme og henrettelser, navnlig for personer, der er dømt til døden for forbrydelser, de begik som barn, med henblik på helt at afskaffe denne praksis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194</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w:t>
            </w:r>
            <w:r>
              <w:rPr>
                <w:b/>
                <w:i/>
              </w:rPr>
              <w:t>på ny EU's principielle tilsagn om at samarbejde med</w:t>
            </w:r>
            <w:r>
              <w:t xml:space="preserve"> Saudi-Arabien </w:t>
            </w:r>
            <w:r>
              <w:rPr>
                <w:b/>
                <w:i/>
              </w:rPr>
              <w:t>om afskaffelse af dødsstraffen</w:t>
            </w:r>
            <w:r>
              <w:t>;</w:t>
            </w:r>
          </w:p>
        </w:tc>
        <w:tc>
          <w:tcPr>
            <w:tcW w:w="4876" w:type="dxa"/>
            <w:tcBorders>
              <w:top w:val="nil"/>
              <w:left w:val="nil"/>
              <w:bottom w:val="nil"/>
              <w:right w:val="nil"/>
            </w:tcBorders>
          </w:tcPr>
          <w:p>
            <w:pPr>
              <w:pStyle w:val="Normal6a"/>
            </w:pPr>
            <w:r>
              <w:t>31.</w:t>
            </w:r>
            <w:r>
              <w:tab/>
            </w:r>
            <w:r>
              <w:t>bekræfter</w:t>
            </w:r>
            <w:r>
              <w:rPr>
                <w:b/>
                <w:i/>
              </w:rPr>
              <w:t>, at EU principielt er imod dødsstraf, og opfordrer indtrængende</w:t>
            </w:r>
            <w:r>
              <w:t> Saudi-Arabien </w:t>
            </w:r>
            <w:r>
              <w:rPr>
                <w:b/>
                <w:i/>
              </w:rPr>
              <w:t>til at indføre et moratorium for dødsdomme og henrettelser, navnlig for personer, der er dømt til døden for forbrydelser, de begik som barn, med henblik på helt at afskaffe denne praksis</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195</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på ny EU's principielle tilsagn om at samarbejde med Saudi-Arabien om </w:t>
            </w:r>
            <w:r>
              <w:rPr>
                <w:b/>
                <w:i/>
              </w:rPr>
              <w:t>afskaffelse af</w:t>
            </w:r>
            <w:r>
              <w:t xml:space="preserve"> dødsstraffen;</w:t>
            </w:r>
          </w:p>
        </w:tc>
        <w:tc>
          <w:tcPr>
            <w:tcW w:w="4876" w:type="dxa"/>
            <w:tcBorders>
              <w:top w:val="nil"/>
              <w:left w:val="nil"/>
              <w:bottom w:val="nil"/>
              <w:right w:val="nil"/>
            </w:tcBorders>
          </w:tcPr>
          <w:p>
            <w:pPr>
              <w:pStyle w:val="Normal6a"/>
            </w:pPr>
            <w:r>
              <w:t>31.</w:t>
            </w:r>
            <w:r>
              <w:tab/>
            </w:r>
            <w:r>
              <w:t xml:space="preserve">bekræfter på ny EU's principielle tilsagn om at samarbejde med Saudi-Arabien om </w:t>
            </w:r>
            <w:r>
              <w:rPr>
                <w:b/>
                <w:i/>
              </w:rPr>
              <w:t>at afskaffe</w:t>
            </w:r>
            <w:r>
              <w:t xml:space="preserve"> dødsstraffen</w:t>
            </w:r>
            <w:r>
              <w:rPr>
                <w:b/>
                <w:i/>
              </w:rPr>
              <w:t>,</w:t>
            </w:r>
            <w:r>
              <w:t xml:space="preserve"> </w:t>
            </w:r>
            <w:r>
              <w:rPr>
                <w:b/>
                <w:i/>
              </w:rPr>
              <w:t>med mulighed for at indføre et moratorium for dødsdomme og henrettelser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196</w:t>
      </w:r>
      <w:r>
        <w:rPr>
          <w:rStyle w:val="HideTWBExt"/>
        </w:rPr>
        <w:t>&lt;/NumAm&gt;</w:t>
      </w:r>
    </w:p>
    <w:p>
      <w:pPr>
        <w:pStyle w:val="NormalBold"/>
      </w:pPr>
      <w:r>
        <w:rPr>
          <w:rStyle w:val="HideTWBExt"/>
          <w:b w:val="0"/>
        </w:rPr>
        <w:t>&lt;RepeatBlock-By&gt;</w:t>
      </w:r>
      <w:r>
        <w:rPr>
          <w:rStyle w:val="HideTWBExt"/>
          <w:b w:val="0"/>
        </w:rPr>
        <w:t>&lt;Members&gt;</w:t>
      </w:r>
      <w:r>
        <w:t>Roberto Vannacci, Silvia Sardone</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på ny EU's principielle tilsagn om at samarbejde med Saudi-Arabien om </w:t>
            </w:r>
            <w:r>
              <w:rPr>
                <w:b/>
                <w:i/>
              </w:rPr>
              <w:t>afskaffelse af</w:t>
            </w:r>
            <w:r>
              <w:t xml:space="preserve"> dødsstraffen;</w:t>
            </w:r>
          </w:p>
        </w:tc>
        <w:tc>
          <w:tcPr>
            <w:tcW w:w="4876" w:type="dxa"/>
            <w:tcBorders>
              <w:top w:val="nil"/>
              <w:left w:val="nil"/>
              <w:bottom w:val="nil"/>
              <w:right w:val="nil"/>
            </w:tcBorders>
          </w:tcPr>
          <w:p>
            <w:pPr>
              <w:pStyle w:val="Normal6a"/>
            </w:pPr>
            <w:r>
              <w:t>31.</w:t>
            </w:r>
            <w:r>
              <w:tab/>
            </w:r>
            <w:r>
              <w:t>bekræfter på ny EU's principielle tilsagn om at samarbejde med Saudi-Arabien om </w:t>
            </w:r>
            <w:r>
              <w:rPr>
                <w:b/>
                <w:i/>
              </w:rPr>
              <w:t>at afskaffe</w:t>
            </w:r>
            <w:r>
              <w:t xml:space="preserve"> dødsstraffen</w:t>
            </w:r>
            <w:r>
              <w:rPr>
                <w:b/>
                <w:i/>
              </w:rPr>
              <w:t>, og at der fremdeles foretages offentlige henrettelser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197</w:t>
      </w:r>
      <w:r>
        <w:rPr>
          <w:rStyle w:val="HideTWBExt"/>
        </w:rPr>
        <w:t>&lt;/NumAm&gt;</w:t>
      </w:r>
    </w:p>
    <w:p>
      <w:pPr>
        <w:pStyle w:val="NormalBold"/>
      </w:pPr>
      <w:r>
        <w:rPr>
          <w:rStyle w:val="HideTWBExt"/>
          <w:b w:val="0"/>
        </w:rPr>
        <w:t>&lt;RepeatBlock-By&gt;</w:t>
      </w:r>
      <w:r>
        <w:rPr>
          <w:rStyle w:val="HideTWBExt"/>
          <w:b w:val="0"/>
        </w:rPr>
        <w:t>&lt;Members&gt;</w:t>
      </w:r>
      <w:r>
        <w:t>Jordan Bardella, Pierre-Romain Thionnet, Matthieu Valet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31.</w:t>
            </w:r>
            <w:r>
              <w:tab/>
            </w:r>
            <w:r>
              <w:t xml:space="preserve">bekræfter på ny EU's principielle tilsagn om at samarbejde med Saudi-Arabien om </w:t>
            </w:r>
            <w:r>
              <w:rPr>
                <w:b/>
                <w:i/>
              </w:rPr>
              <w:t>afskaffelse af dødsstraffen</w:t>
            </w:r>
            <w:r>
              <w:t>;</w:t>
            </w:r>
          </w:p>
        </w:tc>
        <w:tc>
          <w:tcPr>
            <w:tcW w:w="4876" w:type="dxa"/>
            <w:tcBorders>
              <w:top w:val="nil"/>
              <w:left w:val="nil"/>
              <w:bottom w:val="nil"/>
              <w:right w:val="nil"/>
            </w:tcBorders>
          </w:tcPr>
          <w:p>
            <w:pPr>
              <w:pStyle w:val="Normal6a"/>
            </w:pPr>
            <w:r>
              <w:t>31.</w:t>
            </w:r>
            <w:r>
              <w:tab/>
            </w:r>
            <w:r>
              <w:t>bekræfter på ny EU's principielle tilsagn om at samarbejde med Saudi-Arabien om </w:t>
            </w:r>
            <w:r>
              <w:rPr>
                <w:b/>
                <w:i/>
              </w:rPr>
              <w:t>at afskaffe dødsstraf og legemsstraf</w:t>
            </w:r>
            <w:r>
              <w:t>;</w:t>
            </w:r>
          </w:p>
        </w:tc>
      </w:tr>
    </w:tbl>
    <w:p>
      <w:pPr>
        <w:pStyle w:val="AmOrLang"/>
      </w:pPr>
      <w:r>
        <w:t xml:space="preserve">Or. </w:t>
      </w:r>
      <w:r>
        <w:rPr>
          <w:rStyle w:val="HideTWBExt"/>
        </w:rPr>
        <w:t>&lt;Original&gt;</w:t>
      </w:r>
      <w:r>
        <w:rPr>
          <w:rStyle w:val="HideTWBInt"/>
        </w:rPr>
        <w:t>{FR}</w:t>
      </w:r>
      <w:r>
        <w:t>fr</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198</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udtrykker dyb bekymring over den alarmerende stigning af brugen af dødsstraf i Saudi-Arabien, hvor der</w:t>
            </w:r>
            <w:r>
              <w:rPr>
                <w:b/>
                <w:i/>
              </w:rPr>
              <w:t> i 2024</w:t>
            </w:r>
            <w:r>
              <w:rPr>
                <w:b/>
                <w:i/>
              </w:rPr>
              <w:t> blev foretaget mindst 345 henrettelser, hvilket er det højeste antal, der er registreret i Kongerigets moderne historie, og</w:t>
            </w:r>
            <w:r>
              <w:rPr>
                <w:b/>
                <w:i/>
              </w:rPr>
              <w:t> alene i første halvdel af 2025</w:t>
            </w:r>
            <w:r>
              <w:rPr>
                <w:b/>
                <w:i/>
              </w:rPr>
              <w:t> blev foretaget over 180 henrettelser, hvilket indebærer, at landet er godt på vej til at slå sin egen rekord i antal henrettelser pr. 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199</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bekræfter på ny EU's principielle tilsagn om at samarbejde med Saudi-Arabien om at afskaffe dødsstraffen,</w:t>
            </w:r>
            <w:r>
              <w:t xml:space="preserve"> </w:t>
            </w:r>
            <w:r>
              <w:rPr>
                <w:b/>
                <w:i/>
              </w:rPr>
              <w:t>med mulighed for at indføre et moratorium for dødsdomme og henrettelser,</w:t>
            </w:r>
            <w:r>
              <w:t xml:space="preserve"> </w:t>
            </w:r>
            <w:r>
              <w:rPr>
                <w:b/>
                <w:i/>
              </w:rPr>
              <w:t>i betragtning af det stigende antal henrettelser i Kongeriget;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200</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31a.</w:t>
            </w:r>
            <w:r>
              <w:tab/>
            </w:r>
            <w:r>
              <w:rPr>
                <w:b/>
                <w:i/>
              </w:rPr>
              <w:t>opfordrer til afkriminalisering af seksuelt samkvem mellem personer af samme køn;</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201</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b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31b.</w:t>
            </w:r>
            <w:r>
              <w:tab/>
            </w:r>
            <w:r>
              <w:rPr>
                <w:b/>
                <w:i/>
              </w:rPr>
              <w:t>fordømmer den vedvarende brug af dødsstraf for ikke-dødbringende lovovertrædelser, især narkotikakriminalitet, og opfordrer Saudi-Arabien til straks at indføre et moratorium for henrettelser for sådanne lovovertrædelser i overensstemmelse med internationale menneskerettighedsstandarder;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202</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c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31c.</w:t>
            </w:r>
            <w:r>
              <w:tab/>
            </w:r>
            <w:r>
              <w:rPr>
                <w:b/>
                <w:i/>
              </w:rPr>
              <w:t>udtrykker dyb bekymring over, at over halvdelen af alle henrettede i 2025 var udenlandske statsborgere, hvoraf mange var blevet dømt til døden for ikke-dødbringende narkotikakriminalitet, ofte efter en retssag, der ikke opfyldte de internationale standarder for en retfærdig rettergang;</w:t>
            </w:r>
            <w:r>
              <w:t xml:space="preserve"> </w:t>
            </w:r>
            <w:r>
              <w:rPr>
                <w:b/>
                <w:i/>
              </w:rPr>
              <w:t>erindrer om, at brugen af dødsstraf i sådanne tilfælde udgør en krænkelse af den internationale menneskerettighedslovgivning, som indskærper, at dødsstraf kun må bruges ved de "alvorligste forbrydelser";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203</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d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31d.</w:t>
            </w:r>
            <w:r>
              <w:tab/>
            </w:r>
            <w:r>
              <w:rPr>
                <w:b/>
                <w:i/>
              </w:rPr>
              <w:t>beklager den fortsatte frihedsberøvelse af personer, der er dømt til døden for forbrydelser, de begik som barn, heriblandt Abdullah al-Howaiti, Abdullah al-Derazi og Youssef al-Manasif, og opfordrer de saudiarabiske myndigheder til at omstøde disse dødsdomme i overensstemmelse med Kongerigets forpligtelser i henhold til folkeretten samt kongeligt dekret af 2020;</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204</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31 e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31e.</w:t>
            </w:r>
            <w:r>
              <w:tab/>
            </w:r>
            <w:r>
              <w:rPr>
                <w:b/>
                <w:i/>
              </w:rPr>
              <w:t>fordømmer på det kraftigste henrettelsen af den saudiarabiske journalist Turki bin Abdulaziz al-Jasser efter en hemmelig rettergang samt den fortsatte retsforfølgelse af fredelige reformtilhængere og religiøse skikkelser, såsom Hassan al-Maliki og Salman Alodah, som risikerer dødsstraf blot for at have udøvet deres ret til ytringsfrihed;</w:t>
            </w:r>
            <w:r>
              <w:t xml:space="preserve"> </w:t>
            </w:r>
            <w:r>
              <w:rPr>
                <w:b/>
                <w:i/>
              </w:rPr>
              <w:t>opfordrer Saudi-Arabien til øjeblikkeligt og betingelsesløst at løslade alle personer, der tilbageholdes for fredeligt at udøve deres menneskerettigheder;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205</w:t>
      </w:r>
      <w:r>
        <w:rPr>
          <w:rStyle w:val="HideTWBExt"/>
        </w:rPr>
        <w:t>&lt;/NumAm&gt;</w:t>
      </w:r>
    </w:p>
    <w:p>
      <w:pPr>
        <w:pStyle w:val="NormalBold"/>
      </w:pPr>
      <w:r>
        <w:rPr>
          <w:rStyle w:val="HideTWBExt"/>
          <w:b w:val="0"/>
        </w:rPr>
        <w:t>&lt;RepeatBlock-By&gt;</w:t>
      </w:r>
      <w:r>
        <w:rPr>
          <w:rStyle w:val="HideTWBExt"/>
          <w:b w:val="0"/>
        </w:rPr>
        <w:t>&lt;Members&gt;</w:t>
      </w:r>
      <w:r>
        <w:t>Roberto Vannacci, Silvia Sardone, Susanna Ceccardi</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32.</w:t>
            </w:r>
            <w:r>
              <w:tab/>
            </w:r>
            <w:r>
              <w:rPr>
                <w:b/>
                <w:i/>
              </w:rPr>
              <w:t>opfordrer Saudi-Arabien til at ratificere alle relevante internationale menneskerettighedskonventioner;</w:t>
            </w:r>
          </w:p>
        </w:tc>
        <w:tc>
          <w:tcPr>
            <w:tcW w:w="4876" w:type="dxa"/>
            <w:tcBorders>
              <w:top w:val="nil"/>
              <w:left w:val="nil"/>
              <w:bottom w:val="nil"/>
              <w:right w:val="nil"/>
            </w:tcBorders>
          </w:tcPr>
          <w:p>
            <w:pPr>
              <w:pStyle w:val="Normal6a"/>
            </w:pPr>
            <w:r>
              <w:rPr>
                <w:b/>
                <w:i/>
              </w:rPr>
              <w:t>udgår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206</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opfordrer Saudi-Arabien til at ratificere alle </w:t>
            </w:r>
            <w:r>
              <w:rPr>
                <w:b/>
                <w:i/>
              </w:rPr>
              <w:t>relevante</w:t>
            </w:r>
            <w:r>
              <w:t xml:space="preserve"> internationale menneskerettighedskonventioner;</w:t>
            </w:r>
          </w:p>
        </w:tc>
        <w:tc>
          <w:tcPr>
            <w:tcW w:w="4876" w:type="dxa"/>
            <w:tcBorders>
              <w:top w:val="nil"/>
              <w:left w:val="nil"/>
              <w:bottom w:val="nil"/>
              <w:right w:val="nil"/>
            </w:tcBorders>
          </w:tcPr>
          <w:p>
            <w:pPr>
              <w:pStyle w:val="Normal6a"/>
            </w:pPr>
            <w:r>
              <w:t>32.</w:t>
            </w:r>
            <w:r>
              <w:tab/>
            </w:r>
            <w:r>
              <w:t xml:space="preserve">opfordrer Saudi-Arabien til at ratificere alle </w:t>
            </w:r>
            <w:r>
              <w:rPr>
                <w:b/>
                <w:i/>
              </w:rPr>
              <w:t>centrale</w:t>
            </w:r>
            <w:r>
              <w:t xml:space="preserve"> internationale menneskerettighedskonventioner </w:t>
            </w:r>
            <w:r>
              <w:rPr>
                <w:b/>
                <w:i/>
              </w:rPr>
              <w:t>og konventioner om arbejdstagerrettigheder — herunder den internationale konvention om borgerlige og politiske rettigheder, konventionen mod tortur, den internationale konvention om økonomiske, sociale og kulturelle rettigheder, ILO's konvention om husarbejdere, den internationale konvention om beskyttelse af vandrende arbejdstageres og deres familiemedlemmers rettigheder samt ILO's konvention om arbejdstageres foreningsfrihed og beskyttelse af strejkeretten — og til at bringe sin nationale lovgivning i overensstemmelse med internationale standarder</w:t>
            </w:r>
            <w:r>
              <w: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207</w:t>
      </w:r>
      <w:r>
        <w:rPr>
          <w:rStyle w:val="HideTWBExt"/>
        </w:rPr>
        <w:t>&lt;/NumAm&gt;</w:t>
      </w:r>
    </w:p>
    <w:p>
      <w:pPr>
        <w:pStyle w:val="NormalBold"/>
      </w:pPr>
      <w:r>
        <w:rPr>
          <w:rStyle w:val="HideTWBExt"/>
          <w:b w:val="0"/>
        </w:rPr>
        <w:t>&lt;RepeatBlock-By&gt;</w:t>
      </w:r>
      <w:r>
        <w:rPr>
          <w:rStyle w:val="HideTWBExt"/>
          <w:b w:val="0"/>
        </w:rPr>
        <w:t>&lt;Members&gt;</w:t>
      </w:r>
      <w:r>
        <w:t>Bernard Guetta, Hilde Vautmans, Marie-Agnes Strack-Zimmermann, Engin Eroglu, Lucia Yar</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opfordrer Saudi-Arabien til at ratificere alle relevante internationale menneskerettighedskonventioner;</w:t>
            </w:r>
          </w:p>
        </w:tc>
        <w:tc>
          <w:tcPr>
            <w:tcW w:w="4876" w:type="dxa"/>
            <w:tcBorders>
              <w:top w:val="nil"/>
              <w:left w:val="nil"/>
              <w:bottom w:val="nil"/>
              <w:right w:val="nil"/>
            </w:tcBorders>
          </w:tcPr>
          <w:p>
            <w:pPr>
              <w:pStyle w:val="Normal6a"/>
            </w:pPr>
            <w:r>
              <w:t>32.</w:t>
            </w:r>
            <w:r>
              <w:tab/>
            </w:r>
            <w:r>
              <w:t xml:space="preserve">opfordrer Saudi-Arabien til at ratificere alle relevante internationale menneskerettighedskonventioner; </w:t>
            </w:r>
            <w:r>
              <w:rPr>
                <w:b/>
                <w:i/>
              </w:rPr>
              <w:t>opfordrer Saudi-Arabien til at sikre, at al eksisterende og ny lovgivning, herunder straffeloven, overholder de internationale menneskerettighedsstandarder, og understreger, hvor vigtigt det er at samarbejde tæt med FN-systemet og det uafhængige civilsamfund;</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208</w:t>
      </w:r>
      <w:r>
        <w:rPr>
          <w:rStyle w:val="HideTWBExt"/>
        </w:rPr>
        <w:t>&lt;/NumAm&gt;</w:t>
      </w:r>
    </w:p>
    <w:p>
      <w:pPr>
        <w:pStyle w:val="NormalBold"/>
      </w:pPr>
      <w:r>
        <w:rPr>
          <w:rStyle w:val="HideTWBExt"/>
          <w:b w:val="0"/>
        </w:rPr>
        <w:t>&lt;RepeatBlock-By&gt;</w:t>
      </w:r>
      <w:r>
        <w:rPr>
          <w:rStyle w:val="HideTWBExt"/>
          <w:b w:val="0"/>
        </w:rPr>
        <w:t>&lt;Members&gt;</w:t>
      </w:r>
      <w:r>
        <w:t>Hana Jalloul Muro</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32.</w:t>
            </w:r>
            <w:r>
              <w:tab/>
            </w:r>
            <w:r>
              <w:t xml:space="preserve">opfordrer Saudi-Arabien til at ratificere alle </w:t>
            </w:r>
            <w:r>
              <w:rPr>
                <w:b/>
                <w:i/>
              </w:rPr>
              <w:t>relevante</w:t>
            </w:r>
            <w:r>
              <w:t xml:space="preserve"> internationale menneskerettighedskonventioner;</w:t>
            </w:r>
          </w:p>
        </w:tc>
        <w:tc>
          <w:tcPr>
            <w:tcW w:w="4876" w:type="dxa"/>
            <w:tcBorders>
              <w:top w:val="nil"/>
              <w:left w:val="nil"/>
              <w:bottom w:val="nil"/>
              <w:right w:val="nil"/>
            </w:tcBorders>
          </w:tcPr>
          <w:p>
            <w:pPr>
              <w:pStyle w:val="Normal6a"/>
            </w:pPr>
            <w:r>
              <w:t>32.</w:t>
            </w:r>
            <w:r>
              <w:tab/>
            </w:r>
            <w:r>
              <w:t xml:space="preserve">opfordrer Saudi-Arabien til at ratificere alle </w:t>
            </w:r>
            <w:r>
              <w:rPr>
                <w:b/>
                <w:i/>
              </w:rPr>
              <w:t>centrale</w:t>
            </w:r>
            <w:r>
              <w:t xml:space="preserve"> internationale menneskerettighedskonventioner;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209</w:t>
      </w:r>
      <w:r>
        <w:rPr>
          <w:rStyle w:val="HideTWBExt"/>
        </w:rPr>
        <w:t>&lt;/NumAm&gt;</w:t>
      </w:r>
    </w:p>
    <w:p>
      <w:pPr>
        <w:pStyle w:val="NormalBold"/>
      </w:pPr>
      <w:r>
        <w:rPr>
          <w:rStyle w:val="HideTWBExt"/>
          <w:b w:val="0"/>
        </w:rPr>
        <w:t>&lt;RepeatBlock-By&gt;</w:t>
      </w:r>
      <w:r>
        <w:rPr>
          <w:rStyle w:val="HideTWBExt"/>
          <w:b w:val="0"/>
        </w:rPr>
        <w:t>&lt;Members&gt;</w:t>
      </w:r>
      <w:r>
        <w:t>Ville Niinistö</w:t>
      </w:r>
      <w:r>
        <w:rPr>
          <w:rStyle w:val="HideTWBExt"/>
          <w:b w:val="0"/>
        </w:rPr>
        <w:t>&lt;/Members&gt;</w:t>
      </w:r>
    </w:p>
    <w:p>
      <w:r>
        <w:rPr>
          <w:rStyle w:val="HideTWBExt"/>
          <w:b w:val="0"/>
        </w:rPr>
        <w:t>&lt;AuNomDe&gt;</w:t>
      </w:r>
      <w:r>
        <w:rPr>
          <w:rStyle w:val="HideTWBInt"/>
        </w:rPr>
        <w:t>{Verts/ALE}</w:t>
      </w:r>
      <w:r>
        <w:t>for Verts/ALE-Gruppen</w:t>
      </w:r>
      <w:r>
        <w:rPr>
          <w:rStyle w:val="HideTWBExt"/>
          <w:b w:val="0"/>
        </w:rPr>
        <w:t>&lt;/AuNomDe&gt;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opfordrer indtrængende EU og medlemsstaterne til at gøre ratificeringen af en bilateral partnerskabsaftale med Saudi-Arabien betinget af fremskridt på menneskerettighedsområdet, navnlig Saudi-Arabiens ratificering af centrale konventioner om menneskerettigheder og arbejdstagerrettigheder, løsladelse af uretmæssigt fængslede personer, og reformer af menneskerettigheder og arbejdstagerrettigheder i det omfang, det er nødvendigt for at opfylde de internationale standarder;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210</w:t>
      </w:r>
      <w:r>
        <w:rPr>
          <w:rStyle w:val="HideTWBExt"/>
        </w:rPr>
        <w:t>&lt;/NumAm&gt;</w:t>
      </w:r>
    </w:p>
    <w:p>
      <w:pPr>
        <w:pStyle w:val="NormalBold"/>
      </w:pPr>
      <w:r>
        <w:rPr>
          <w:rStyle w:val="HideTWBExt"/>
          <w:b w:val="0"/>
        </w:rPr>
        <w:t>&lt;RepeatBlock-By&gt;</w:t>
      </w:r>
      <w:r>
        <w:rPr>
          <w:rStyle w:val="HideTWBExt"/>
          <w:b w:val="0"/>
        </w:rPr>
        <w:t>&lt;Members&gt;</w:t>
      </w:r>
      <w:r>
        <w:t>Merja Kyllönen, Jonas Sjöstedt</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opfordrer indtrængende EU og medlemsstaterne til at opstille betingelser på menneskerettighedsområdet for at ratificere en bilateral partnerskabsaftale med Saudi-Arabien, herunder Saudi-Arabiens ratificering af centrale konventioner om menneskerettigheder og arbejdstagerrettigheder, løsladelse af uretmæssigt fængslede personer og reformer af menneskerettigheder og arbejdstagerrettigheder i det omfang, det er nødvendigt for at opfylde de internationale standarder;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211</w:t>
      </w:r>
      <w:r>
        <w:rPr>
          <w:rStyle w:val="HideTWBExt"/>
        </w:rPr>
        <w:t>&lt;/NumAm&gt;</w:t>
      </w:r>
    </w:p>
    <w:p>
      <w:pPr>
        <w:pStyle w:val="NormalBold"/>
      </w:pPr>
      <w:r>
        <w:rPr>
          <w:rStyle w:val="HideTWBExt"/>
          <w:b w:val="0"/>
        </w:rPr>
        <w:t>&lt;RepeatBlock-By&gt;</w:t>
      </w:r>
      <w:r>
        <w:rPr>
          <w:rStyle w:val="HideTWBExt"/>
          <w:b w:val="0"/>
        </w:rPr>
        <w:t>&lt;Members&gt;</w:t>
      </w:r>
      <w:r>
        <w:t>Robert Biedroń, Andreas Schieder, Evin Incir, Marco Tarquinio, Chloé Ridel</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32 a (nyt)</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32a.</w:t>
            </w:r>
            <w:r>
              <w:tab/>
            </w:r>
            <w:r>
              <w:rPr>
                <w:b/>
                <w:i/>
              </w:rPr>
              <w:t>opfordrer indtrængende EU og medlemsstaterne til at opstille betingelser på menneskerettighedsområdet for at ratificere en bilateral partnerskabsaftale med Saudi-Arabien, herunder Saudi-Arabiens ratificering af centrale konventioner om menneskerettigheder og arbejdstagerrettigheder samt løsladelse af uretmæssigt fængslede personer;</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pPr>
        <w:pStyle w:val="AmNumberTabs"/>
      </w:pPr>
      <w:r>
        <w:rPr>
          <w:rStyle w:val="HideTWBExt"/>
        </w:rPr>
        <w:t>&lt;Amend&gt;</w:t>
      </w:r>
      <w:r>
        <w:t>Ændringsforslag</w:t>
      </w:r>
      <w:r>
        <w:tab/>
      </w:r>
      <w:r>
        <w:tab/>
      </w:r>
      <w:r>
        <w:rPr>
          <w:rStyle w:val="HideTWBExt"/>
        </w:rPr>
        <w:t>&lt;NumAm&gt;</w:t>
      </w:r>
      <w:r>
        <w:t>212</w:t>
      </w:r>
      <w:r>
        <w:rPr>
          <w:rStyle w:val="HideTWBExt"/>
        </w:rPr>
        <w:t>&lt;/NumAm&gt;</w:t>
      </w:r>
    </w:p>
    <w:p>
      <w:pPr>
        <w:pStyle w:val="NormalBold"/>
      </w:pPr>
      <w:r>
        <w:rPr>
          <w:rStyle w:val="HideTWBExt"/>
          <w:b w:val="0"/>
        </w:rPr>
        <w:t>&lt;RepeatBlock-By&gt;</w:t>
      </w:r>
      <w:r>
        <w:rPr>
          <w:rStyle w:val="HideTWBExt"/>
          <w:b w:val="0"/>
        </w:rPr>
        <w:t>&lt;Members&gt;</w:t>
      </w:r>
      <w:r>
        <w:t>Antonio López-Istúriz White, Reinhold Lopatka</w:t>
      </w:r>
      <w:r>
        <w:rPr>
          <w:rStyle w:val="HideTWBExt"/>
          <w:b w:val="0"/>
        </w:rPr>
        <w:t>&lt;/Members&gt;</w:t>
      </w:r>
    </w:p>
    <w:p>
      <w:pPr>
        <w:pStyle w:val="NormalBold"/>
      </w:pPr>
      <w:r>
        <w:rPr>
          <w:rStyle w:val="HideTWBExt"/>
          <w:b w:val="0"/>
        </w:rPr>
        <w:t>&lt;/RepeatBlock-By&gt;</w:t>
      </w:r>
    </w:p>
    <w:p>
      <w:pPr>
        <w:pStyle w:val="NormalBold"/>
      </w:pPr>
      <w:r>
        <w:rPr>
          <w:rStyle w:val="HideTWBExt"/>
        </w:rPr>
        <w:t>&lt;DocAmend&gt;</w:t>
      </w:r>
      <w:r>
        <w:t>Forslag til beslutning</w:t>
      </w:r>
      <w:r>
        <w:rPr>
          <w:rStyle w:val="HideTWBExt"/>
        </w:rPr>
        <w:t>&lt;/DocAmend&gt;</w:t>
      </w:r>
    </w:p>
    <w:p>
      <w:pPr>
        <w:pStyle w:val="NormalBold"/>
      </w:pPr>
      <w:r>
        <w:rPr>
          <w:rStyle w:val="HideTWBExt"/>
        </w:rPr>
        <w:t>&lt;Article&gt;</w:t>
      </w:r>
      <w:r>
        <w:t>Punkt 33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Forslag til beslutning</w:t>
            </w:r>
          </w:p>
        </w:tc>
        <w:tc>
          <w:tcPr>
            <w:tcW w:w="4876" w:type="dxa"/>
            <w:tcBorders>
              <w:top w:val="nil"/>
              <w:left w:val="nil"/>
              <w:bottom w:val="nil"/>
              <w:right w:val="nil"/>
            </w:tcBorders>
          </w:tcPr>
          <w:p>
            <w:pPr>
              <w:pStyle w:val="AmColumnHeading"/>
            </w:pPr>
            <w:r>
              <w:t>Ændringsforslag</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33.</w:t>
            </w:r>
            <w:r>
              <w:tab/>
            </w:r>
            <w:r>
              <w:t xml:space="preserve">pålægger sin formand at </w:t>
            </w:r>
            <w:r>
              <w:rPr>
                <w:b/>
                <w:i/>
              </w:rPr>
              <w:t>fremsende</w:t>
            </w:r>
            <w:r>
              <w:t xml:space="preserve"> denne beslutning til Rådet </w:t>
            </w:r>
            <w:r>
              <w:rPr>
                <w:b/>
                <w:i/>
              </w:rPr>
              <w:t>og</w:t>
            </w:r>
            <w:r>
              <w:t xml:space="preserve"> Kommissionen.</w:t>
            </w:r>
          </w:p>
        </w:tc>
        <w:tc>
          <w:tcPr>
            <w:tcW w:w="4876" w:type="dxa"/>
            <w:tcBorders>
              <w:top w:val="nil"/>
              <w:left w:val="nil"/>
              <w:bottom w:val="nil"/>
              <w:right w:val="nil"/>
            </w:tcBorders>
          </w:tcPr>
          <w:p>
            <w:pPr>
              <w:pStyle w:val="Normal6a"/>
            </w:pPr>
            <w:r>
              <w:t>33.</w:t>
            </w:r>
            <w:r>
              <w:tab/>
            </w:r>
            <w:r>
              <w:t xml:space="preserve">pålægger sin formand at </w:t>
            </w:r>
            <w:r>
              <w:rPr>
                <w:b/>
                <w:i/>
              </w:rPr>
              <w:t>sende</w:t>
            </w:r>
            <w:r>
              <w:t xml:space="preserve"> denne beslutning til Rådet</w:t>
            </w:r>
            <w:r>
              <w:rPr>
                <w:b/>
                <w:i/>
              </w:rPr>
              <w:t>,</w:t>
            </w:r>
            <w:r>
              <w:t xml:space="preserve"> Kommissionen</w:t>
            </w:r>
            <w:r>
              <w:rPr>
                <w:b/>
                <w:i/>
              </w:rPr>
              <w:t>, næstformanden for Kommissionen/Unionens højtstående repræsentant for udenrigsanliggender og sikkerhedspolitik, H.M</w:t>
            </w:r>
            <w:r>
              <w:t xml:space="preserve">. </w:t>
            </w:r>
            <w:r>
              <w:rPr>
                <w:b/>
                <w:i/>
              </w:rPr>
              <w:t>kong Salman bin Abdulaziz al-Saud, H.K.H. kronprins Mohammad bin Salman al-Saud, Kongeriget Saudi-Arabiens regering samt Shura-rådet;</w:t>
            </w:r>
            <w:r>
              <w:t xml:space="preserve"> </w:t>
            </w:r>
            <w:r>
              <w:rPr>
                <w:b/>
                <w:i/>
              </w:rPr>
              <w:t>opfordrer til, at denne beslutning oversættes til arabisk.</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footerReference w:type="even" r:id="rId5"/>
      <w:footerReference w:type="default" r:id="rId6"/>
      <w:footerReference w:type="first" r:id="rId7"/>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776.795</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106</w:t>
    </w:r>
    <w:r>
      <w:fldChar w:fldCharType="end"/>
    </w:r>
    <w:r>
      <w:t>/</w:t>
    </w:r>
    <w:r>
      <w:fldChar w:fldCharType="begin"/>
    </w:r>
    <w:r>
      <w:instrText xml:space="preserve"> NUMPAGES </w:instrText>
    </w:r>
    <w:r>
      <w:fldChar w:fldCharType="separate"/>
    </w:r>
    <w:r>
      <w:t>106</w:t>
    </w:r>
    <w:r>
      <w:fldChar w:fldCharType="end"/>
    </w:r>
    <w:r>
      <w:tab/>
    </w:r>
    <w:r>
      <w:rPr>
        <w:rStyle w:val="HideTWBExt"/>
      </w:rPr>
      <w:t>&lt;PathFdR&gt;</w:t>
    </w:r>
    <w:r>
      <w:t>AM\1326564DA.docx</w:t>
    </w:r>
    <w:r>
      <w:rPr>
        <w:rStyle w:val="HideTWBExt"/>
      </w:rPr>
      <w:t>&lt;/PathFdR&gt;</w:t>
    </w:r>
  </w:p>
  <w:p>
    <w:pPr>
      <w:pStyle w:val="EPFooter2"/>
    </w:pPr>
    <w:r>
      <w:t>DA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AM\1326564DA.docx</w:t>
    </w:r>
    <w:r>
      <w:rPr>
        <w:rStyle w:val="HideTWBExt"/>
      </w:rPr>
      <w:t>&lt;/PathFdR&gt;</w:t>
    </w:r>
    <w:r>
      <w:tab/>
    </w:r>
    <w:r>
      <w:fldChar w:fldCharType="begin"/>
    </w:r>
    <w:r>
      <w:instrText xml:space="preserve"> PAGE </w:instrText>
    </w:r>
    <w:r>
      <w:fldChar w:fldCharType="separate"/>
    </w:r>
    <w:r>
      <w:t>105</w:t>
    </w:r>
    <w:r>
      <w:fldChar w:fldCharType="end"/>
    </w:r>
    <w:r>
      <w:t>/</w:t>
    </w:r>
    <w:r>
      <w:fldChar w:fldCharType="begin"/>
    </w:r>
    <w:r>
      <w:instrText xml:space="preserve"> NUMPAGES </w:instrText>
    </w:r>
    <w:r>
      <w:fldChar w:fldCharType="separate"/>
    </w:r>
    <w:r>
      <w:t>106</w:t>
    </w:r>
    <w:r>
      <w:fldChar w:fldCharType="end"/>
    </w:r>
    <w:r>
      <w:tab/>
    </w:r>
    <w:r>
      <w:t>PE</w:t>
    </w:r>
    <w:r>
      <w:rPr>
        <w:rStyle w:val="HideTWBExt"/>
      </w:rPr>
      <w:t>&lt;NoPE&gt;</w:t>
    </w:r>
    <w:r>
      <w:t>776.795</w:t>
    </w:r>
    <w:r>
      <w:rPr>
        <w:rStyle w:val="HideTWBExt"/>
      </w:rPr>
      <w:t>&lt;/NoPE&gt;</w:t>
    </w:r>
    <w:r>
      <w:rPr>
        <w:rStyle w:val="HideTWBExt"/>
      </w:rPr>
      <w:t>&lt;Version&gt;</w:t>
    </w:r>
    <w:r>
      <w:t>v01-00</w:t>
    </w:r>
    <w:r>
      <w:rPr>
        <w:rStyle w:val="HideTWBExt"/>
      </w:rPr>
      <w:t>&lt;/Version&gt;</w:t>
    </w:r>
  </w:p>
  <w:p>
    <w:pPr>
      <w:pStyle w:val="EPFooter2"/>
    </w:pPr>
    <w:r>
      <w:tab/>
    </w:r>
    <w:r>
      <w:tab/>
    </w:r>
    <w:r>
      <w:t>DA</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AM\1326564DA.docx</w:t>
    </w:r>
    <w:r>
      <w:rPr>
        <w:rStyle w:val="HideTWBExt"/>
      </w:rPr>
      <w:t>&lt;/PathFdR&gt;</w:t>
    </w:r>
    <w:r>
      <w:tab/>
    </w:r>
    <w:r>
      <w:tab/>
    </w:r>
    <w:r>
      <w:t>PE</w:t>
    </w:r>
    <w:r>
      <w:rPr>
        <w:rStyle w:val="HideTWBExt"/>
      </w:rPr>
      <w:t>&lt;NoPE&gt;</w:t>
    </w:r>
    <w:r>
      <w:t>776.795</w:t>
    </w:r>
    <w:r>
      <w:rPr>
        <w:rStyle w:val="HideTWBExt"/>
      </w:rPr>
      <w:t>&lt;/NoPE&gt;</w:t>
    </w:r>
    <w:r>
      <w:rPr>
        <w:rStyle w:val="HideTWBExt"/>
      </w:rPr>
      <w:t>&lt;Version&gt;</w:t>
    </w:r>
    <w:r>
      <w:t>v01-00</w:t>
    </w:r>
    <w:r>
      <w:rPr>
        <w:rStyle w:val="HideTWBExt"/>
      </w:rPr>
      <w:t>&lt;/Version&gt;</w:t>
    </w:r>
  </w:p>
  <w:p>
    <w:pPr>
      <w:pStyle w:val="EPFooter2"/>
    </w:pPr>
    <w:r>
      <w:t>DA</w:t>
    </w:r>
    <w:r>
      <w:tab/>
    </w:r>
    <w:r>
      <w:rPr>
        <w:rStyle w:val="EPFooter2Motto"/>
      </w:rPr>
      <w:t>Forenet i mangfoldighed</w:t>
    </w:r>
    <w:r>
      <w:tab/>
    </w:r>
    <w:r>
      <w:t>DA</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EPName">
    <w:name w:val="EPName"/>
    <w:basedOn w:val="Normal"/>
    <w:pPr>
      <w:widowControl w:val="0"/>
      <w:spacing w:before="80" w:after="80"/>
    </w:pPr>
    <w:rPr>
      <w:rFonts w:ascii="Arial Narrow" w:eastAsia="Arial" w:hAnsi="Arial Narrow" w:cs="Arial"/>
      <w:b/>
      <w:sz w:val="32"/>
    </w:rPr>
  </w:style>
  <w:style w:type="paragraph" w:customStyle="1" w:styleId="CoverNormal24a">
    <w:name w:val="CoverNormal24a"/>
    <w:basedOn w:val="Normal"/>
    <w:pPr>
      <w:widowControl w:val="0"/>
      <w:spacing w:after="480"/>
      <w:ind w:left="1416"/>
    </w:pPr>
  </w:style>
  <w:style w:type="paragraph" w:customStyle="1" w:styleId="CoverNormal">
    <w:name w:val="CoverNormal"/>
    <w:basedOn w:val="Normal"/>
    <w:pPr>
      <w:widowControl w:val="0"/>
      <w:ind w:left="1418"/>
    </w:pPr>
  </w:style>
  <w:style w:type="paragraph" w:customStyle="1" w:styleId="CoverReference">
    <w:name w:val="CoverReference"/>
    <w:basedOn w:val="Normal"/>
    <w:pPr>
      <w:widowControl w:val="0"/>
      <w:spacing w:before="1080"/>
      <w:jc w:val="right"/>
    </w:pPr>
    <w:rPr>
      <w:rFonts w:ascii="Arial" w:eastAsia="Arial" w:hAnsi="Arial" w:cs="Arial"/>
      <w:b/>
    </w:rPr>
  </w:style>
  <w:style w:type="paragraph" w:customStyle="1" w:styleId="CoverDocType">
    <w:name w:val="CoverDocType"/>
    <w:basedOn w:val="Normal"/>
    <w:pPr>
      <w:widowControl w:val="0"/>
      <w:ind w:left="1418"/>
    </w:pPr>
    <w:rPr>
      <w:rFonts w:ascii="Arial" w:hAnsi="Arial"/>
      <w:b/>
      <w:sz w:val="48"/>
    </w:rPr>
  </w:style>
  <w:style w:type="paragraph" w:customStyle="1" w:styleId="CoverDate">
    <w:name w:val="CoverDate"/>
    <w:basedOn w:val="Normal"/>
    <w:pPr>
      <w:widowControl w:val="0"/>
      <w:spacing w:before="240" w:after="1200"/>
    </w:pPr>
  </w:style>
  <w:style w:type="paragraph" w:customStyle="1" w:styleId="CoverDocType24a">
    <w:name w:val="CoverDocType24a"/>
    <w:basedOn w:val="Normal"/>
    <w:pPr>
      <w:widowControl w:val="0"/>
      <w:spacing w:after="480"/>
      <w:ind w:left="1416"/>
    </w:pPr>
    <w:rPr>
      <w:rFonts w:ascii="Arial" w:eastAsia="Arial" w:hAnsi="Arial" w:cs="Arial"/>
      <w:b/>
      <w:sz w:val="48"/>
    </w:rPr>
  </w:style>
  <w:style w:type="paragraph" w:customStyle="1" w:styleId="CoverBold">
    <w:name w:val="CoverBold"/>
    <w:basedOn w:val="Normal"/>
    <w:pPr>
      <w:widowControl w:val="0"/>
      <w:ind w:left="1416"/>
    </w:pPr>
    <w:rPr>
      <w:b/>
    </w:rPr>
  </w:style>
  <w:style w:type="paragraph" w:customStyle="1" w:styleId="EPBody">
    <w:name w:val="EPBody"/>
    <w:basedOn w:val="Normal"/>
    <w:pPr>
      <w:widowControl w:val="0"/>
      <w:jc w:val="center"/>
    </w:pPr>
    <w:rPr>
      <w:rFonts w:ascii="Arial" w:eastAsia="Arial" w:hAnsi="Arial" w:cs="Arial"/>
      <w:i/>
      <w:sz w:val="22"/>
    </w:rPr>
  </w:style>
  <w:style w:type="paragraph" w:customStyle="1" w:styleId="LineTop">
    <w:name w:val="LineTop"/>
    <w:basedOn w:val="Normal"/>
    <w:next w:val="Normal"/>
    <w:pPr>
      <w:widowControl w:val="0"/>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val="0"/>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val="0"/>
      <w:spacing w:after="80"/>
    </w:pPr>
    <w:rPr>
      <w:rFonts w:ascii="Arial" w:eastAsia="Arial" w:hAnsi="Arial" w:cs="Arial"/>
      <w:sz w:val="20"/>
    </w:rPr>
  </w:style>
  <w:style w:type="paragraph" w:customStyle="1" w:styleId="EPLogo">
    <w:name w:val="EPLogo"/>
    <w:basedOn w:val="Normal"/>
    <w:pPr>
      <w:widowControl w:val="0"/>
      <w:jc w:val="right"/>
    </w:pPr>
  </w:style>
  <w:style w:type="paragraph" w:customStyle="1" w:styleId="EPFooter">
    <w:name w:val="EPFooter"/>
    <w:basedOn w:val="Normal"/>
    <w:pPr>
      <w:widowControl w:val="0"/>
      <w:tabs>
        <w:tab w:val="center" w:pos="4534"/>
        <w:tab w:val="right" w:pos="9070"/>
      </w:tabs>
      <w:spacing w:before="240" w:after="240"/>
    </w:pPr>
    <w:rPr>
      <w:sz w:val="2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olumnHeading">
    <w:name w:val="AmColumnHeading"/>
    <w:basedOn w:val="Normal"/>
    <w:pPr>
      <w:widowControl w:val="0"/>
      <w:spacing w:after="240"/>
      <w:jc w:val="center"/>
    </w:pPr>
    <w:rPr>
      <w:i/>
    </w:rPr>
  </w:style>
  <w:style w:type="paragraph" w:customStyle="1" w:styleId="AmNumberTabs">
    <w:name w:val="AmNumberTabs"/>
    <w:basedOn w:val="Normal"/>
    <w:pPr>
      <w:widowControl w:val="0"/>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AmCrossRef">
    <w:name w:val="AmCrossRef"/>
    <w:basedOn w:val="Normal"/>
    <w:pPr>
      <w:widowControl w:val="0"/>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pPr>
      <w:widowControl w:val="0"/>
    </w:pPr>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PMissingStyle">
    <w:name w:val="P_MissingStyle"/>
    <w:basedOn w:val="Normal"/>
    <w:pPr>
      <w:widowControl w:val="0"/>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val="0"/>
      <w:spacing w:after="240"/>
    </w:pPr>
  </w:style>
  <w:style w:type="paragraph" w:customStyle="1" w:styleId="NormalBold12b">
    <w:name w:val="NormalBold12b"/>
    <w:basedOn w:val="Normal"/>
    <w:pPr>
      <w:widowControl w:val="0"/>
      <w:spacing w:before="240"/>
    </w:pPr>
    <w:rPr>
      <w:b/>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JustText">
    <w:name w:val="AmJustText"/>
    <w:basedOn w:val="Normal"/>
    <w:pPr>
      <w:widowControl w:val="0"/>
      <w:spacing w:after="240"/>
    </w:pPr>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106</Pages>
  <Words>19217</Words>
  <Characters>126175</Characters>
  <Application>Microsoft Office Word</Application>
  <DocSecurity>0</DocSecurity>
  <Lines>1</Lines>
  <Paragraphs>1889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1326564</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242125</vt:lpwstr>
  </property>
  <property fmtid="{D5CDD505-2E9C-101B-9397-08002B2CF9AE}" pid="7" name="dmxml.render.traceId">
    <vt:lpwstr>68cd2ffc5346717853625bc13fb27d16</vt:lpwstr>
  </property>
  <property fmtid="{D5CDD505-2E9C-101B-9397-08002B2CF9AE}" pid="8" name="FooterPath">
    <vt:lpwstr>AM\1326564DA.docx</vt:lpwstr>
  </property>
  <property fmtid="{D5CDD505-2E9C-101B-9397-08002B2CF9AE}" pid="9" name="PE Number">
    <vt:lpwstr>776.795</vt:lpwstr>
  </property>
  <property fmtid="{D5CDD505-2E9C-101B-9397-08002B2CF9AE}" pid="10" name="UID">
    <vt:lpwstr>eu.europa.europarl-DIN1-2025-0000164417_01.00-da-01.00_text-xml</vt:lpwstr>
  </property>
</Properties>
</file>