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2025/2082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10.9.2025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Hana Jalloul Muro</w:t>
      </w:r>
      <w:r>
        <w:rPr>
          <w:rStyle w:val="HideTWBExt"/>
        </w:rPr>
        <w:t>&lt;/Rapporteur&gt;</w:t>
      </w:r>
    </w:p>
    <w:p>
      <w:pPr>
        <w:pStyle w:val="CoverNormal24a"/>
      </w:pPr>
      <w:r>
        <w:rPr>
          <w:rStyle w:val="HideTWBExt"/>
        </w:rPr>
        <w:t>&lt;DocRefPE&gt;</w:t>
      </w:r>
      <w:r>
        <w:t>(PE775.425v01-00)</w:t>
      </w:r>
      <w:r>
        <w:rPr>
          <w:rStyle w:val="HideTWBExt"/>
        </w:rPr>
        <w:t>&lt;/DocRefPE&gt;</w:t>
      </w:r>
    </w:p>
    <w:p>
      <w:pPr>
        <w:pStyle w:val="CoverNormal"/>
      </w:pPr>
      <w:r>
        <w:rPr>
          <w:rStyle w:val="HideTWBExt"/>
        </w:rPr>
        <w:t>&lt;Titre&gt;</w:t>
      </w:r>
      <w:r>
        <w:t>Beziehungen zwischen der EU und Saudi-Arabien</w:t>
      </w:r>
      <w:r>
        <w:rPr>
          <w:rStyle w:val="HideTWBExt"/>
        </w:rPr>
        <w:t>&lt;/Titre&gt;</w:t>
      </w:r>
    </w:p>
    <w:p>
      <w:pPr>
        <w:pStyle w:val="CoverNormal24a"/>
      </w:pPr>
      <w:r>
        <w:rPr>
          <w:rStyle w:val="HideTWBExt"/>
        </w:rPr>
        <w:t>&lt;DocRef&gt;</w:t>
      </w:r>
      <w:r>
        <w:t>(2025/2082(INI))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früheren Entschließungen zu Saudi-Arabien, insbesondere die Entschließung vom 25. Oktober 2018 zur Tötung des Journalisten Jamal Khashoggi im saudi-arabischen Konsulat in Istanbul und die Entschließung vom 8. Juli 2021 zur Todesstrafe in Saudi-Arabien, insbesondere zu den Fällen Mustafa Haschim al-Darwisch und Abdullah al-Howaiti,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früheren Entschließungen, insbesondere die Entschließung vom 11. Februar 2021 zur humanitären und politischen Lage im Jemen und die Entschließung vom 8. Juli 2021 zur Todesstrafe in Saudi-Arabien, insbesondere zu den Fällen Mustafa Haschim al-Darwisch und Abdullah al-Howaiti,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Übereinkommen der Vereinten Nationen zur Beseitigung jeder Form von Diskriminierung der Frau (VN-Frauenrechtskonvention),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Leitlinien der EU zum Schutz von Menschenrechtsverteidigern,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globale Sanktionsregelung der EU im Bereich der Menschenrechte,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unter Hinweis auf die gemeinsame Erklärung vom Gipfeltreffen zwischen der </w:t>
            </w:r>
            <w:r>
              <w:rPr>
                <w:b/>
                <w:i/>
              </w:rPr>
              <w:t>Europäischen Union</w:t>
            </w:r>
            <w:r>
              <w:t xml:space="preserve"> und dem Golf-Kooperationsrat vom 16. Oktober 2024,</w:t>
            </w:r>
          </w:p>
        </w:tc>
        <w:tc>
          <w:tcPr>
            <w:tcW w:w="4876" w:type="dxa"/>
            <w:tcBorders>
              <w:top w:val="nil"/>
              <w:left w:val="nil"/>
              <w:bottom w:val="nil"/>
              <w:right w:val="nil"/>
            </w:tcBorders>
          </w:tcPr>
          <w:p>
            <w:pPr>
              <w:pStyle w:val="Normal6a"/>
            </w:pPr>
            <w:r>
              <w:t>–</w:t>
            </w:r>
            <w:r>
              <w:tab/>
            </w:r>
            <w:r>
              <w:t xml:space="preserve">unter Hinweis auf die gemeinsame Erklärung vom </w:t>
            </w:r>
            <w:r>
              <w:rPr>
                <w:b/>
                <w:i/>
              </w:rPr>
              <w:t>ersten</w:t>
            </w:r>
            <w:r>
              <w:t xml:space="preserve"> Gipfeltreffen zwischen der </w:t>
            </w:r>
            <w:r>
              <w:rPr>
                <w:b/>
                <w:i/>
              </w:rPr>
              <w:t>EU</w:t>
            </w:r>
            <w:r>
              <w:t xml:space="preserve"> und dem Golf-Kooperationsrat vom 16.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Kooperationsvereinbarung vom 3. Oktober 2021 zwischen dem EAD und dem Ministerium für auswärtige Angelegenheiten des Königreichs Saudi-Arabien,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Saudi-Arabien ein wichtiger bilateraler und regionaler Partner der EU ist;</w:t>
            </w:r>
          </w:p>
        </w:tc>
        <w:tc>
          <w:tcPr>
            <w:tcW w:w="4876" w:type="dxa"/>
            <w:tcBorders>
              <w:top w:val="nil"/>
              <w:left w:val="nil"/>
              <w:bottom w:val="nil"/>
              <w:right w:val="nil"/>
            </w:tcBorders>
          </w:tcPr>
          <w:p>
            <w:pPr>
              <w:pStyle w:val="Normal6a"/>
            </w:pPr>
            <w:r>
              <w:t>A.</w:t>
            </w:r>
            <w:r>
              <w:tab/>
            </w:r>
            <w:r>
              <w:t xml:space="preserve">in der Erwägung, dass Saudi-Arabien ein wichtiger bilateraler und regionaler Partner der EU ist; </w:t>
            </w:r>
            <w:r>
              <w:rPr>
                <w:b/>
                <w:i/>
              </w:rPr>
              <w:t>in der Erwägung, dass es wichtig wäre, die gemeinsamen Beziehungen zu einer strategischen Partnerschaft zu vertiefen, die darauf abzielt, die bilateralen Beziehungen zu stärken und die Zusammenarbeit in verschiedenen Bereichen, einschließlich Verteidigung, Kultur und Innovation, aber vor allem im Energiebereich,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Saudi-Arabien </w:t>
            </w:r>
            <w:r>
              <w:rPr>
                <w:b/>
                <w:i/>
              </w:rPr>
              <w:t>ein wichtiger bilateraler und regionaler</w:t>
            </w:r>
            <w:r>
              <w:t xml:space="preserve"> Partner der EU </w:t>
            </w:r>
            <w:r>
              <w:rPr>
                <w:b/>
                <w:i/>
              </w:rPr>
              <w:t>ist</w:t>
            </w:r>
            <w:r>
              <w:t>;</w:t>
            </w:r>
          </w:p>
        </w:tc>
        <w:tc>
          <w:tcPr>
            <w:tcW w:w="4876" w:type="dxa"/>
            <w:tcBorders>
              <w:top w:val="nil"/>
              <w:left w:val="nil"/>
              <w:bottom w:val="nil"/>
              <w:right w:val="nil"/>
            </w:tcBorders>
          </w:tcPr>
          <w:p>
            <w:pPr>
              <w:pStyle w:val="Normal6a"/>
            </w:pPr>
            <w:r>
              <w:t>A.</w:t>
            </w:r>
            <w:r>
              <w:tab/>
            </w:r>
            <w:r>
              <w:t xml:space="preserve">in der Erwägung, dass Saudi-Arabien </w:t>
            </w:r>
            <w:r>
              <w:rPr>
                <w:b/>
                <w:i/>
              </w:rPr>
              <w:t>das Potenzial hat, zu einem wichtigen bilateralen und regionalen</w:t>
            </w:r>
            <w:r>
              <w:t xml:space="preserve"> Partner der EU </w:t>
            </w:r>
            <w:r>
              <w:rPr>
                <w:b/>
                <w:i/>
              </w:rPr>
              <w:t>zu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Saudi-Arabien ein bedeutender weltweiter Öllieferant und ein Schlüsselakteur in der OPEC ist und dass Energieeinfuhren ein wesentlicher Bestandteil des Handels zwischen der EU und Saudi-Arabien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Saudi-Arabien und China ihre Beziehungen im Rahmen der Pläne „Vision 2030“ und der Initiative „Neue Seidenstraße“ in den letzten zehn Jahren vertieft haben;</w:t>
            </w:r>
            <w:r>
              <w:t xml:space="preserve"> </w:t>
            </w:r>
            <w:r>
              <w:rPr>
                <w:b/>
                <w:i/>
              </w:rPr>
              <w:t>in der Erwägung, dass China seit 2019 der wichtigste Käufer von Rohöl aus Saudi-Arabien ist;</w:t>
            </w:r>
            <w:r>
              <w:t xml:space="preserve"> </w:t>
            </w:r>
            <w:r>
              <w:rPr>
                <w:b/>
                <w:i/>
              </w:rPr>
              <w:t>in der Erwägung, dass Saudi-Arabien und China 2016 durch die Einrichtung eines hochrangigen gemeinsamen Ausschusses (High-Level Joint Committee – HLJC) sowie von Unterausschüssen ihre Zusammenarbeit in den Bereichen Außenpolitik, Sicherheit, Energie, Handel und Technologie intensiviert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Saudi-Arabien zum größten Empfänger von Investitionen im Rahmen der Initiative „Neue Seidenstraße“ geworden ist, darunter auch im Bereich der strategischen Infrastruktur wie Häfen und digitale Netze;</w:t>
            </w:r>
            <w:r>
              <w:t xml:space="preserve"> </w:t>
            </w:r>
            <w:r>
              <w:rPr>
                <w:b/>
                <w:i/>
              </w:rPr>
              <w:t>in der Erwägung, dass Chinas wachsender wirtschaftlicher Einfluss im Königreich eine Hebelwirkung entfalten könnte, die sich in politischem Einfluss niederschlagen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EU einer der wichtigsten Handelspartner Saudi-Arabiens ist, wobei Saudi-Arabien hauptsächlich Öl und petrochemische Erzeugnisse in die EU ausführt, während die EU hauptsächlich Maschinen, elektronische Ausrüstung, Chemikalien und Arzneimittel nach Saudi-Arabien ausführt;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Menschenrechtsorganisationen ernsthafte Besorgnis darüber zum Ausdruck gebracht haben, dass Saudi-Arabiens Public Investment Fund (PIF) Menschenrechtsverletzungen begünstigt und davon profitiert;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ernsthafte Bedenken hinsichtlich der Verbindungen des Public Investment Fund Saudi-Arabiens zu Menschenrechtsverletzungen geäußert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Saudi-Arabien seine Beziehungen zu Indien stärkt, insbesondere durch das Projekt des Wirtschaftskorridors Indien-Naher Osten-Europa (IMEC), das darauf abzielt, die Konnektivität zwischen Asien und Europa über die Arabische Halbinsel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Saudi-Arabien seine Rolle als regionaler Vermittler und internationaler Akteur ausweitet;</w:t>
            </w:r>
          </w:p>
        </w:tc>
        <w:tc>
          <w:tcPr>
            <w:tcW w:w="4876" w:type="dxa"/>
            <w:tcBorders>
              <w:top w:val="nil"/>
              <w:left w:val="nil"/>
              <w:bottom w:val="nil"/>
              <w:right w:val="nil"/>
            </w:tcBorders>
          </w:tcPr>
          <w:p>
            <w:pPr>
              <w:pStyle w:val="Normal6a"/>
            </w:pPr>
            <w:r>
              <w:t>C.</w:t>
            </w:r>
            <w:r>
              <w:tab/>
            </w:r>
            <w:r>
              <w:t xml:space="preserve">in der Erwägung, dass Saudi-Arabien seine Rolle als regionaler Vermittler und internationaler Akteur ausweitet </w:t>
            </w:r>
            <w:r>
              <w:rPr>
                <w:b/>
                <w:i/>
              </w:rPr>
              <w:t>und es von entscheidender Bedeutung ist, dass es dies unter uneingeschränkter Achtung und Förderung der Menschenrechte und des Völkerrechts tut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Saudi-Arabien seine Rolle als regionaler Vermittler und internationaler Akteur ausweitet;</w:t>
            </w:r>
          </w:p>
        </w:tc>
        <w:tc>
          <w:tcPr>
            <w:tcW w:w="4876" w:type="dxa"/>
            <w:tcBorders>
              <w:top w:val="nil"/>
              <w:left w:val="nil"/>
              <w:bottom w:val="nil"/>
              <w:right w:val="nil"/>
            </w:tcBorders>
          </w:tcPr>
          <w:p>
            <w:pPr>
              <w:pStyle w:val="Normal6a"/>
            </w:pPr>
            <w:r>
              <w:t>C.</w:t>
            </w:r>
            <w:r>
              <w:tab/>
            </w:r>
            <w:r>
              <w:t xml:space="preserve">in der Erwägung, dass Saudi-Arabien seine Rolle als regionaler Vermittler und internationaler Akteur ausweitet </w:t>
            </w:r>
            <w:r>
              <w:rPr>
                <w:b/>
                <w:i/>
              </w:rPr>
              <w:t>und es von entscheidender Bedeutung ist, dass es dies unter uneingeschränkter Achtung und Förderung der Menschenrechte und des Völkerrechts tut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Saudi-Arabien seine Rolle als regionaler Vermittler und </w:t>
            </w:r>
            <w:r>
              <w:rPr>
                <w:b/>
                <w:i/>
              </w:rPr>
              <w:t>internationaler</w:t>
            </w:r>
            <w:r>
              <w:t xml:space="preserve"> Akteur </w:t>
            </w:r>
            <w:r>
              <w:rPr>
                <w:b/>
                <w:i/>
              </w:rPr>
              <w:t>ausweitet</w:t>
            </w:r>
            <w:r>
              <w:t>;</w:t>
            </w:r>
          </w:p>
        </w:tc>
        <w:tc>
          <w:tcPr>
            <w:tcW w:w="4876" w:type="dxa"/>
            <w:tcBorders>
              <w:top w:val="nil"/>
              <w:left w:val="nil"/>
              <w:bottom w:val="nil"/>
              <w:right w:val="nil"/>
            </w:tcBorders>
          </w:tcPr>
          <w:p>
            <w:pPr>
              <w:pStyle w:val="Normal6a"/>
            </w:pPr>
            <w:r>
              <w:t>C.</w:t>
            </w:r>
            <w:r>
              <w:tab/>
            </w:r>
            <w:r>
              <w:t xml:space="preserve">in der Erwägung, dass Saudi-Arabien seine Rolle als </w:t>
            </w:r>
            <w:r>
              <w:rPr>
                <w:b/>
                <w:i/>
              </w:rPr>
              <w:t>vertrauenswürdiger</w:t>
            </w:r>
            <w:r>
              <w:t xml:space="preserve"> regionaler Vermittler und </w:t>
            </w:r>
            <w:r>
              <w:rPr>
                <w:b/>
                <w:i/>
              </w:rPr>
              <w:t>wichtiger globaler</w:t>
            </w:r>
            <w:r>
              <w:t xml:space="preserve"> Akteur </w:t>
            </w:r>
            <w:r>
              <w:rPr>
                <w:b/>
                <w:i/>
              </w:rPr>
              <w:t>weiter festigt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Saudi-Arabien im Jahr 2025 mit Stand vom 5. August mindestens 241 und im Jahr 2024 mindestens 345 Menschen hingerichtet hat;</w:t>
            </w:r>
            <w:r>
              <w:t xml:space="preserve"> </w:t>
            </w:r>
            <w:r>
              <w:rPr>
                <w:b/>
                <w:i/>
              </w:rPr>
              <w:t>in der Erwägung, dass zwischen November 2022 und Dezember 2024 mindestens 214 Menschen aufgrund Verurteilungen im Zusammenhang mit Drogendelikten hingerichtet wurden;</w:t>
            </w:r>
            <w:r>
              <w:t xml:space="preserve"> </w:t>
            </w:r>
            <w:r>
              <w:rPr>
                <w:b/>
                <w:i/>
              </w:rPr>
              <w:t>in der Erwägung, dass die Zahl der Hinrichtungen entgegen den wiederholten Zusagen der saudi-arabischen Staatsorgane in den letzten Jahren stetig gestiegen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russische „Schattenflotte“ von Öltankschiffen Berichten zufolge engere Verbindungen zwischen Russland und Saudi-Arabien aufgebaut hat, wodurch Russland dabei geholfen wird, sich den Sanktionen zu entziehen;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Saudi-Arabien den Dialog und die Zusammenarbeit mit der EU im Bereich der Menschenrechte verstärkt;</w:t>
            </w:r>
          </w:p>
        </w:tc>
        <w:tc>
          <w:tcPr>
            <w:tcW w:w="4876" w:type="dxa"/>
            <w:tcBorders>
              <w:top w:val="nil"/>
              <w:left w:val="nil"/>
              <w:bottom w:val="nil"/>
              <w:right w:val="nil"/>
            </w:tcBorders>
          </w:tcPr>
          <w:p>
            <w:pPr>
              <w:pStyle w:val="Normal6a"/>
            </w:pPr>
            <w:r>
              <w:t>D.</w:t>
            </w:r>
            <w:r>
              <w:tab/>
            </w:r>
            <w:r>
              <w:t xml:space="preserve">in der Erwägung, dass Saudi-Arabien den Dialog und die Zusammenarbeit mit der EU im Bereich der Menschenrechte verstärkt; </w:t>
            </w:r>
            <w:r>
              <w:rPr>
                <w:b/>
                <w:i/>
              </w:rPr>
              <w:t>in der Erwägung, dass nach wie vor viele Bedenken hinsichtlich der Menschenrechtsbilanz Saudi-Arabiens bestehen, insbesondere in Bezug auf die Rechte von Frauen, die Arbeitnehmerrechte und die Meinungsfreiheit, sowie hinsichtlich der Verstöße Saudi-Arabiens gegen internationale Menschenrechtsnormen;</w:t>
            </w:r>
            <w:r>
              <w:t xml:space="preserve"> </w:t>
            </w:r>
            <w:r>
              <w:rPr>
                <w:b/>
                <w:i/>
              </w:rPr>
              <w:t>in der Erwägung, dass das Strafrecht Saudi-Arabiens die freie Meinungsäußerung unter Strafe stellt;</w:t>
            </w:r>
            <w:r>
              <w:t xml:space="preserve"> </w:t>
            </w:r>
            <w:r>
              <w:rPr>
                <w:b/>
                <w:i/>
              </w:rPr>
              <w:t>in der Erwägung, dass die Staatsorgane Saudi-Arabiens in den letzten Jahren ihr brutales Vorgehen gegen Einzelpersonen, die Online-Räume nutzen, um ihre Ansichten zu äußern, verschärft haben und ihnen häufig eine faire rechtliche Vertretung, ein ordnungsgemäßes Verfahren und ein faires Gerichtsverfahren verweigert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Saudi-Arabien den Dialog und die Zusammenarbeit mit der EU </w:t>
            </w:r>
            <w:r>
              <w:rPr>
                <w:b/>
                <w:i/>
              </w:rPr>
              <w:t>im Bereich der Menschenrechte</w:t>
            </w:r>
            <w:r>
              <w:t xml:space="preserve"> verstärkt;</w:t>
            </w:r>
          </w:p>
        </w:tc>
        <w:tc>
          <w:tcPr>
            <w:tcW w:w="4876" w:type="dxa"/>
            <w:tcBorders>
              <w:top w:val="nil"/>
              <w:left w:val="nil"/>
              <w:bottom w:val="nil"/>
              <w:right w:val="nil"/>
            </w:tcBorders>
          </w:tcPr>
          <w:p>
            <w:pPr>
              <w:pStyle w:val="Normal6a"/>
            </w:pPr>
            <w:r>
              <w:t>D.</w:t>
            </w:r>
            <w:r>
              <w:tab/>
            </w:r>
            <w:r>
              <w:t>in der Erwägung, dass Saudi-Arabien den Dialog und die Zusammenarbeit mit der EU verstärkt;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der Ausschuss der Vereinten Nationen für die Beseitigung der Diskriminierung der Frau seine Besorgnis über tief verwurzelte diskriminierende Praktiken, die Schikanierung von Aktivistinnen und die weitreichenden Auswirkungen von Strafmaßnahmen, einschließlich der Anwendung der Todesstrafe, zum Ausdruck gebracht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das nächste Gipfeltreffen zwischen der EU und dem Golf-Kooperationsrat, das 2026 in Riad stattfinden soll, von entscheidender Bedeutung sein wird, um den Umfang der Beziehungen zwischen der EU und Saudi-Arabien weiter auszubauen und die Zusammenarbeit in wichtigen Fragen von gemeinsamem Interesse zu intensivieren;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Förderung der Achtung der Menschenrechte und des Völkerrechts in der Außenpolitik, einschließlich des Handels, eine vertragliche Verpflichtung der Europäischen Union ist, die in den Artikeln 3 und 21 EUV verankert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der Schutz der Menschenrechte eine vertragliche Verpflichtung für die Außenpolitik der EU, einschließlich des Handels, darstellt, die in den Artikeln 3 und 21 des Vertrags über die Europäische Union verankert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Förderung der Achtung der Menschenrechte und des Völkerrechts in der Außenpolitik, einschließlich des Handels, eine vertragliche Verpflichtung der Europäischen Union ist, die in den Artikeln 3 und 21 EUV verankert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Förderung der Achtung der Menschenrechte und des Völkerrechts in der Außenpolitik, einschließlich des Handels, eine vertragliche Verpflichtung der Europäischen Union ist, die in den Artikeln 3 und 21 EUV verankert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Saudi-Arabien zwei große internationale Veranstaltungen organisiert, die EXPO 2030 und die FIFA-Weltmeisterschaft 2034, für die eine enorme Zahl von Wanderarbeitnehmern benötigt wird, deren Rechte geachtet und gewahrt werden müssen;</w:t>
            </w:r>
            <w:r>
              <w:t xml:space="preserve"> </w:t>
            </w:r>
            <w:r>
              <w:rPr>
                <w:b/>
                <w:i/>
              </w:rPr>
              <w:t>in der Erwägung, dass Organisationen der Zivilgesellschaft eine grausame Behandlung von Wanderarbeitnehmern anprangern, die nur minimale oder gar keine Rechte haben;</w:t>
            </w:r>
            <w:r>
              <w:t xml:space="preserve"> </w:t>
            </w:r>
            <w:r>
              <w:rPr>
                <w:b/>
                <w:i/>
              </w:rPr>
              <w:t>in der Erwägung, dass die Staatsorgane Saudi-Arabiens Arbeitnehmer nicht angemessen vor vermeidbaren Todesfällen schützen, Vorfälle im Bereich der Sicherheit am Arbeitsplatz nicht untersuchen, arbeitsbedingte Todesfälle fälschlicherweise als „natürlich“ bezeichnen und es versäumen, für eine zeitnahe und angemessene Entschädigung zu sorgen; in der Erwägung, dass die Organisation und Ausrichtung dieser Veranstaltungen die Achtung der Menschenrechte durch Saudi-Arabien weiter verschlechtern wird;</w:t>
            </w:r>
            <w:r>
              <w:t xml:space="preserve"> </w:t>
            </w:r>
            <w:r>
              <w:rPr>
                <w:b/>
                <w:i/>
              </w:rPr>
              <w:t>in der Erwägung, dass für sie ein solider und umfassender Schutz geschaffen und ein Mindestlohn garantiert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Saudi-Arabien in jüngster Zeit die Sicherheits- und Wirtschaftsbeziehungen zu den Vereinigten Staaten vertieft und gleichzeitig eine Mitgliedschaft in der Vereinigung der BRICS-Staaten angestrebt hat, was seine doppelte Ausrichtung auf den westlichen und den multipolaren Block widerspiegelt;</w:t>
            </w:r>
            <w:r>
              <w:t xml:space="preserve"> </w:t>
            </w:r>
            <w:r>
              <w:rPr>
                <w:b/>
                <w:i/>
              </w:rPr>
              <w:t>in der Erwägung, dass dies neue Herausforderungen und Chancen für die strategische Autonomie der EU mit sich bringt;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hebt die positive Zusammenarbeit zwischen der EU und dem Golf-Kooperationsrat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Sicherheit, Handel, Energie, Klima, Forschung, Innovation, künstliche Intelligenz, Konnektivität, digitale Governance, Bildung, Kultur, Forschung, Jugend und direkte persönliche Kontakte ausgeschöpft werden soll;</w:t>
            </w:r>
          </w:p>
        </w:tc>
        <w:tc>
          <w:tcPr>
            <w:tcW w:w="4876" w:type="dxa"/>
            <w:tcBorders>
              <w:top w:val="nil"/>
              <w:left w:val="nil"/>
              <w:bottom w:val="nil"/>
              <w:right w:val="nil"/>
            </w:tcBorders>
          </w:tcPr>
          <w:p>
            <w:pPr>
              <w:pStyle w:val="Normal6a"/>
            </w:pPr>
            <w:r>
              <w:t>1.</w:t>
            </w:r>
            <w:r>
              <w:tab/>
            </w:r>
            <w:r>
              <w:t xml:space="preserve">hebt die positive Zusammenarbeit zwischen der EU und dem Golf-Kooperationsrat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Sicherheit, Handel, Energie, Klima, Forschung, Innovation, künstliche Intelligenz, Konnektivität, digitale Governance, Bildung, Kultur, Forschung, Jugend und direkte persönliche Kontakte </w:t>
            </w:r>
            <w:r>
              <w:rPr>
                <w:b/>
                <w:i/>
              </w:rPr>
              <w:t>sowie für die Sicherung dringend notwendiger Reformen in den Bereichen Menschenrechte und Arbeitnehmerrechte in den Ländern des Golf-Kooperationsrates</w:t>
            </w:r>
            <w:r>
              <w:t xml:space="preserve"> ausgeschöpft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hebt die positive Zusammenarbeit zwischen der EU und dem Golf-Kooperationsrat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Sicherheit, Handel, Energie, Klima, Forschung, Innovation, künstliche Intelligenz, Konnektivität, digitale Governance, Bildung, Kultur, Forschung, Jugend und direkte persönliche Kontakte ausgeschöpft werden soll;</w:t>
            </w:r>
          </w:p>
        </w:tc>
        <w:tc>
          <w:tcPr>
            <w:tcW w:w="4876" w:type="dxa"/>
            <w:tcBorders>
              <w:top w:val="nil"/>
              <w:left w:val="nil"/>
              <w:bottom w:val="nil"/>
              <w:right w:val="nil"/>
            </w:tcBorders>
          </w:tcPr>
          <w:p>
            <w:pPr>
              <w:pStyle w:val="Normal6a"/>
            </w:pPr>
            <w:r>
              <w:t>1.</w:t>
            </w:r>
            <w:r>
              <w:tab/>
            </w:r>
            <w:r>
              <w:t xml:space="preserve">hebt die positive Zusammenarbeit zwischen der EU und dem Golf-Kooperationsrat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Sicherheit, Handel, Energie, Klima, Forschung, Innovation, künstliche Intelligenz, Konnektivität, digitale Governance, Bildung, Kultur, Forschung, Jugend und direkte persönliche Kontakte </w:t>
            </w:r>
            <w:r>
              <w:rPr>
                <w:b/>
                <w:i/>
              </w:rPr>
              <w:t>sowie für die Sicherung dringend notwendiger Reformen in den Bereichen Menschenrechte und Arbeitnehmerrechte in den Ländern des Golf-Kooperationsrates</w:t>
            </w:r>
            <w:r>
              <w:t xml:space="preserve"> ausgeschöpft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hebt die positive Zusammenarbeit zwischen der EU und dem Golf-Kooperationsrat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w:t>
            </w:r>
            <w:r>
              <w:rPr>
                <w:b/>
                <w:i/>
              </w:rPr>
              <w:t>Sicherheit</w:t>
            </w:r>
            <w:r>
              <w:t>, Handel, Energie</w:t>
            </w:r>
            <w:r>
              <w:rPr>
                <w:b/>
                <w:i/>
              </w:rPr>
              <w:t>,</w:t>
            </w:r>
            <w:r>
              <w:t xml:space="preserve"> Klima, Forschung</w:t>
            </w:r>
            <w:r>
              <w:rPr>
                <w:b/>
                <w:i/>
              </w:rPr>
              <w:t>,</w:t>
            </w:r>
            <w:r>
              <w:t xml:space="preserve"> Innovation, künstliche Intelligenz, Konnektivität, digitale Governance, Bildung, Kultur, </w:t>
            </w:r>
            <w:r>
              <w:rPr>
                <w:b/>
                <w:i/>
              </w:rPr>
              <w:t>Forschung,</w:t>
            </w:r>
            <w:r>
              <w:t xml:space="preserve"> Jugend und direkte persönliche Kontakte ausgeschöpft werden soll;</w:t>
            </w:r>
          </w:p>
        </w:tc>
        <w:tc>
          <w:tcPr>
            <w:tcW w:w="4876" w:type="dxa"/>
            <w:tcBorders>
              <w:top w:val="nil"/>
              <w:left w:val="nil"/>
              <w:bottom w:val="nil"/>
              <w:right w:val="nil"/>
            </w:tcBorders>
          </w:tcPr>
          <w:p>
            <w:pPr>
              <w:pStyle w:val="Normal6a"/>
            </w:pPr>
            <w:r>
              <w:t>1.</w:t>
            </w:r>
            <w:r>
              <w:tab/>
            </w:r>
            <w:r>
              <w:t xml:space="preserve">hebt die positive Zusammenarbeit zwischen der EU und dem Golf-Kooperationsrat während des </w:t>
            </w:r>
            <w:r>
              <w:rPr>
                <w:b/>
                <w:i/>
              </w:rPr>
              <w:t>ersten</w:t>
            </w:r>
            <w:r>
              <w:t xml:space="preserve">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w:t>
            </w:r>
            <w:r>
              <w:rPr>
                <w:b/>
                <w:i/>
              </w:rPr>
              <w:t>Außen- und Sicherheitspolitik, Justiz und Strafverfolgung</w:t>
            </w:r>
            <w:r>
              <w:t xml:space="preserve">, Handel </w:t>
            </w:r>
            <w:r>
              <w:rPr>
                <w:b/>
                <w:i/>
              </w:rPr>
              <w:t>und Investitionen</w:t>
            </w:r>
            <w:r>
              <w:t xml:space="preserve">, Energie </w:t>
            </w:r>
            <w:r>
              <w:rPr>
                <w:b/>
                <w:i/>
              </w:rPr>
              <w:t>und</w:t>
            </w:r>
            <w:r>
              <w:t xml:space="preserve"> Klima</w:t>
            </w:r>
            <w:r>
              <w:rPr>
                <w:b/>
                <w:i/>
              </w:rPr>
              <w:t>, digitaler Wandel, Umwelt</w:t>
            </w:r>
            <w:r>
              <w:t xml:space="preserve">, Forschung </w:t>
            </w:r>
            <w:r>
              <w:rPr>
                <w:b/>
                <w:i/>
              </w:rPr>
              <w:t>und</w:t>
            </w:r>
            <w:r>
              <w:t xml:space="preserve"> Innovation, künstliche Intelligenz, Konnektivität, digitale Governance, Bildung, Kultur, Jugend und direkte persönliche Kontakte ausgeschöpft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hebt die positive Zusammenarbeit zwischen der EU und dem Golf-Kooperationsrat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Sicherheit, Handel, Energie, Klima, Forschung, Innovation, künstliche Intelligenz, Konnektivität, digitale Governance, Bildung, Kultur, Forschung, Jugend und direkte persönliche Kontakte ausgeschöpft werden soll;</w:t>
            </w:r>
          </w:p>
        </w:tc>
        <w:tc>
          <w:tcPr>
            <w:tcW w:w="4876" w:type="dxa"/>
            <w:tcBorders>
              <w:top w:val="nil"/>
              <w:left w:val="nil"/>
              <w:bottom w:val="nil"/>
              <w:right w:val="nil"/>
            </w:tcBorders>
          </w:tcPr>
          <w:p>
            <w:pPr>
              <w:pStyle w:val="Normal6a"/>
            </w:pPr>
            <w:r>
              <w:t>1.</w:t>
            </w:r>
            <w:r>
              <w:tab/>
            </w:r>
            <w:r>
              <w:t xml:space="preserve">hebt die positive Zusammenarbeit zwischen der EU und dem Golf-Kooperationsrat </w:t>
            </w:r>
            <w:r>
              <w:rPr>
                <w:b/>
                <w:i/>
              </w:rPr>
              <w:t>als zwei der führenden Akteure im erweiterten Mittelmeerraum</w:t>
            </w:r>
            <w:r>
              <w:t xml:space="preserve"> während des Gipfeltreffens zwischen der EU und dem Golf-Kooperationsrat hervor; bekräftigt, dass die EU bestrebt ist, die bilateralen Beziehungen zu jedem Partner des Golf-Kooperationsrates durch SPA zu stärken, mit denen das derzeitige Fehlen eines rechtsverbindlichen Rahmens für die bilateralen Beziehungen zwischen der EU und Saudi-Arabien behoben und das Potenzial für eine vertiefte und umfassendere Zusammenarbeit in Bereichen wie Sicherheit, Handel, Energie, Klima, Forschung, Innovation, künstliche Intelligenz, Konnektivität, digitale Governance, Bildung, Kultur, Forschung, Jugend und direkte persönliche Kontakte ausgeschöpft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bringt seine Unterstützung für den Beschluss des Rates zur Ermächtigung der Kommission und der Hohen Vertreterin zur Aufnahme von Verhandlungen über die Gründung einer strategischen Partnerschaft mit dem Königreich Saudi-Arabien zum Ausdruck;</w:t>
            </w:r>
            <w:r>
              <w:t xml:space="preserve"> </w:t>
            </w:r>
            <w:r>
              <w:rPr>
                <w:b/>
                <w:i/>
              </w:rPr>
              <w:t>stellt fest, dass diese Initiative eine entscheidende Gelegenheit bietet, die strategischen Interessen der Union voranzubringen, die regionale Stabilität zu fördern und die Zusammenarbeit in den Bereichen Energie und Sicherheit zu verbessern;</w:t>
            </w:r>
            <w:r>
              <w:t xml:space="preserve"> </w:t>
            </w:r>
            <w:r>
              <w:rPr>
                <w:b/>
                <w:i/>
              </w:rPr>
              <w:t>fordert ein starkes und aktives Engagement beider Parteien während des gesamten Verhandlungsprozesses, um für dessen raschen und rechtzeitigen Abschluss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betont, dass Saudi-Arabien zwar nach wie vor ein wichtiger globaler Akteur auf den Märkten für konventionelle Energie ist, aber auch einen ambitionierten Weg der Diversifizierung und Nachhaltigkeit eingeschlagen hat, mit weltweit führenden Investitionen im Bereich erneuerbare Energieträger, insbesondere in groß angelegte Solar- und Wasserstoffprojekte;</w:t>
            </w:r>
            <w:r>
              <w:t xml:space="preserve"> </w:t>
            </w:r>
            <w:r>
              <w:rPr>
                <w:b/>
                <w:i/>
              </w:rPr>
              <w:t>stellt fest, dass Saudi-Arabien nun zu den zehn größten Energiespeichermärkten der Welt gehört und damit seine Führungsrolle im Bereich der erneuerbaren Energieträger weiter ausgebaut hat</w:t>
            </w:r>
            <w:r>
              <w:rPr>
                <w:b/>
                <w:i/>
                <w:vertAlign w:val="superscript"/>
              </w:rPr>
              <w:t>1a</w:t>
            </w:r>
            <w:r>
              <w:rPr>
                <w:b/>
                <w:i/>
              </w:rPr>
              <w:t> ;</w:t>
            </w:r>
            <w:r>
              <w:t xml:space="preserve"> </w:t>
            </w:r>
            <w:r>
              <w:rPr>
                <w:b/>
                <w:i/>
              </w:rPr>
              <w:t>betont, dass eine engere Zusammenarbeit mit Saudi-Arabien für die EU das Potenzial bietet, die Energieversorgungssicherheit zu stärken und die Versorgungsquellen zu diversifizieren;</w:t>
            </w:r>
            <w:r>
              <w:t xml:space="preserve"> </w:t>
            </w:r>
            <w:r>
              <w:rPr>
                <w:b/>
                <w:i/>
              </w:rPr>
              <w:t>betont, dass die Nutzung des enormen Solarpotenzials Saudi-Arabiens in Verbindung mit den fortschrittlichen Technologien der EU im Bereich der erneuerbaren Energieträger gemeinsame Initiativen in den Bereichen grüner Wasserstoff, nachhaltige Kraftstoffe und Energieinfrastruktur der nächsten Generation ermöglichen kann, wodurch Innovationen gefördert und beide Partner als weltweit führende Akteure im Bereich der Partnerschaften für erneuerbare Energien positioniert werden</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https://www.moenergy.gov.sa/en/media-center/news/saudi-arabia-ranks-among-worlds-top-10-energy-storage-markets-advancing-leadership-renewable-energy.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https://www.weforum.org/publications/fostering-effective-energy-transition-2023/in-full/saudi-arabia/;</w:t>
            </w:r>
            <w:r>
              <w:t xml:space="preserve"> </w:t>
            </w:r>
            <w:r>
              <w:rPr>
                <w:b/>
                <w:i/>
              </w:rPr>
              <w:t>https://unfccc.int/sites/default/files/resource/KSA_BTR1_20250320-2.pdf.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hebt die Zusammenarbeit Saudi-Arabiens mit der EU im Bereich der Außen- und Sicherheitspolitik hervor;</w:t>
            </w:r>
          </w:p>
        </w:tc>
        <w:tc>
          <w:tcPr>
            <w:tcW w:w="4876" w:type="dxa"/>
            <w:tcBorders>
              <w:top w:val="nil"/>
              <w:left w:val="nil"/>
              <w:bottom w:val="nil"/>
              <w:right w:val="nil"/>
            </w:tcBorders>
          </w:tcPr>
          <w:p>
            <w:pPr>
              <w:pStyle w:val="Normal6a"/>
            </w:pPr>
            <w:r>
              <w:t>2.</w:t>
            </w:r>
            <w:r>
              <w:tab/>
            </w:r>
            <w:r>
              <w:t xml:space="preserve">hebt die Zusammenarbeit Saudi-Arabiens mit der EU im Bereich der Außen- und Sicherheitspolitik </w:t>
            </w:r>
            <w:r>
              <w:rPr>
                <w:b/>
                <w:i/>
              </w:rPr>
              <w:t>sowie bei der Bekämpfung von Radikalisierung und Terrorismus</w:t>
            </w:r>
            <w:r>
              <w:t xml:space="preserve"> hervor;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hebt die</w:t>
            </w:r>
            <w:r>
              <w:t xml:space="preserve"> Zusammenarbeit </w:t>
            </w:r>
            <w:r>
              <w:rPr>
                <w:b/>
                <w:i/>
              </w:rPr>
              <w:t>Saudi-Arabiens mit</w:t>
            </w:r>
            <w:r>
              <w:t xml:space="preserve"> der EU im Bereich der Außen- und Sicherheitspolitik </w:t>
            </w:r>
            <w:r>
              <w:rPr>
                <w:b/>
                <w:i/>
              </w:rPr>
              <w:t>hervor</w:t>
            </w:r>
            <w:r>
              <w:t>;</w:t>
            </w:r>
          </w:p>
        </w:tc>
        <w:tc>
          <w:tcPr>
            <w:tcW w:w="4876" w:type="dxa"/>
            <w:tcBorders>
              <w:top w:val="nil"/>
              <w:left w:val="nil"/>
              <w:bottom w:val="nil"/>
              <w:right w:val="nil"/>
            </w:tcBorders>
          </w:tcPr>
          <w:p>
            <w:pPr>
              <w:pStyle w:val="Normal6a"/>
            </w:pPr>
            <w:r>
              <w:t>2.</w:t>
            </w:r>
            <w:r>
              <w:tab/>
            </w:r>
            <w:r>
              <w:rPr>
                <w:b/>
                <w:i/>
              </w:rPr>
              <w:t>unterstreicht das hohe Maß an Übereinstimmung und</w:t>
            </w:r>
            <w:r>
              <w:t xml:space="preserve"> Zusammenarbeit </w:t>
            </w:r>
            <w:r>
              <w:rPr>
                <w:b/>
                <w:i/>
              </w:rPr>
              <w:t>zwischen Saudi-Arabien und</w:t>
            </w:r>
            <w:r>
              <w:t xml:space="preserve"> der EU im Bereich der Außen- und Sicherheitspolitik;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hebt die Zusammenarbeit Saudi-Arabiens mit der EU </w:t>
            </w:r>
            <w:r>
              <w:rPr>
                <w:b/>
                <w:i/>
              </w:rPr>
              <w:t>im Bereich der</w:t>
            </w:r>
            <w:r>
              <w:t xml:space="preserve"> Außen- und Sicherheitspolitik hervor;</w:t>
            </w:r>
          </w:p>
        </w:tc>
        <w:tc>
          <w:tcPr>
            <w:tcW w:w="4876" w:type="dxa"/>
            <w:tcBorders>
              <w:top w:val="nil"/>
              <w:left w:val="nil"/>
              <w:bottom w:val="nil"/>
              <w:right w:val="nil"/>
            </w:tcBorders>
          </w:tcPr>
          <w:p>
            <w:pPr>
              <w:pStyle w:val="Normal6a"/>
            </w:pPr>
            <w:r>
              <w:t>2.</w:t>
            </w:r>
            <w:r>
              <w:tab/>
            </w:r>
            <w:r>
              <w:t xml:space="preserve">hebt die Zusammenarbeit Saudi-Arabiens mit der EU </w:t>
            </w:r>
            <w:r>
              <w:rPr>
                <w:b/>
                <w:i/>
              </w:rPr>
              <w:t>in den Bereichen</w:t>
            </w:r>
            <w:r>
              <w:t xml:space="preserve"> Außen- und Sicherheitspolitik </w:t>
            </w:r>
            <w:r>
              <w:rPr>
                <w:b/>
                <w:i/>
              </w:rPr>
              <w:t>und Terrorismusbekämpfung</w:t>
            </w:r>
            <w:r>
              <w:t xml:space="preserve"> hervor;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t xml:space="preserve">begrüßt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 </w:t>
            </w:r>
            <w:r>
              <w:rPr>
                <w:b/>
                <w:i/>
              </w:rPr>
              <w:t>betont, dass diese Zusammenarbeit aber auf keinen Fall zur Übernahme europäischer Unternehmen in strategischen Sektoren führen darf, wie sich anhand der jüngsten Transaktionen des saudischen Staatsfonds gezeigt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begrüßt</w:t>
            </w:r>
            <w:r>
              <w:t xml:space="preserve">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rPr>
                <w:b/>
                <w:i/>
              </w:rPr>
              <w:t>nimmt</w:t>
            </w:r>
            <w:r>
              <w:t xml:space="preserve"> das Potenzial für eine weitere wirtschaftliche Zusammenarbeit zwischen der EU und Saudi-Arabien in den Bereichen nachhaltige Energie, kritische Rohstoffe, Informationstechnologie und Unternehmertum </w:t>
            </w:r>
            <w:r>
              <w:rPr>
                <w:b/>
                <w:i/>
              </w:rPr>
              <w:t>zur Kenntnis</w:t>
            </w:r>
            <w:r>
              <w:t xml:space="preserve"> und stellt fest, dass die wirtschaftliche Zusammenarbeit zwischen der EU und Saudi-Arabien der Eckpfeiler der bilateralen Beziehungen ist; </w:t>
            </w:r>
            <w:r>
              <w:rPr>
                <w:b/>
                <w:i/>
              </w:rPr>
              <w:t>bringt seine Besorgnis über die dokumentierten Verbindungen des PIF zu Menschenrechtsverletzungen zum Ausdruck und betont, dass Unternehmen bei der Prüfung von Wirtschaftstätigkeiten, bei denen der PIF direkt oder indirekt involviert ist, eine Sorgfaltsprüfung in Bezug auf die Menschenrechte durchführen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begrüßt</w:t>
            </w:r>
            <w:r>
              <w:t xml:space="preserve">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rPr>
                <w:b/>
                <w:i/>
              </w:rPr>
              <w:t>nimmt</w:t>
            </w:r>
            <w:r>
              <w:t xml:space="preserve"> das Potenzial für eine weitere wirtschaftliche Zusammenarbeit zwischen der EU und Saudi-Arabien in den Bereichen nachhaltige Energie, kritische Rohstoffe, Informationstechnologie und Unternehmertum </w:t>
            </w:r>
            <w:r>
              <w:rPr>
                <w:b/>
                <w:i/>
              </w:rPr>
              <w:t>zur Kenntnis</w:t>
            </w:r>
            <w:r>
              <w:t xml:space="preserve"> und stellt fest, dass die wirtschaftliche Zusammenarbeit zwischen der EU und Saudi-Arabien der Eckpfeiler der bilateralen Beziehungen ist; </w:t>
            </w:r>
            <w:r>
              <w:rPr>
                <w:b/>
                <w:i/>
              </w:rPr>
              <w:t>ist besorgt über die dokumentierten Verbindungen des PIF zu Menschenrechtsverletzungen und betont, dass bei der Prüfung von Wirtschafts- oder Geschäftsabschlüssen, bei denen der PIF direkt oder indirekt involviert ist, eine gründliche Sorgfaltsprüfung durchgeführt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t xml:space="preserve">begrüßt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 </w:t>
            </w:r>
            <w:r>
              <w:rPr>
                <w:b/>
                <w:i/>
              </w:rPr>
              <w:t>betont, dass bei der Prüfung von Wirtschafts- oder Geschäftsabschlüssen, bei denen der PIF direkt oder indirekt involviert ist, angesichts von Berichten über dessen Verbindungen zu Menschenrechtsverletzungen eine gründliche Sorgfaltspflichtprüfung erfolgen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t xml:space="preserve">begrüßt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 </w:t>
            </w:r>
            <w:r>
              <w:rPr>
                <w:b/>
                <w:i/>
              </w:rPr>
              <w:t>fordert eine verstärkte Zusammenarbeit zwischen der EU und Saudi-Arabien in diesen Bereichen;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begrüßt</w:t>
            </w:r>
            <w:r>
              <w:t xml:space="preserve">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rPr>
                <w:b/>
                <w:i/>
              </w:rPr>
              <w:t>unterstreicht</w:t>
            </w:r>
            <w:r>
              <w:t xml:space="preserve">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begrüßt das Potenzial</w:t>
            </w:r>
            <w:r>
              <w:t xml:space="preserve">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w:t>
            </w:r>
          </w:p>
        </w:tc>
        <w:tc>
          <w:tcPr>
            <w:tcW w:w="4876" w:type="dxa"/>
            <w:tcBorders>
              <w:top w:val="nil"/>
              <w:left w:val="nil"/>
              <w:bottom w:val="nil"/>
              <w:right w:val="nil"/>
            </w:tcBorders>
          </w:tcPr>
          <w:p>
            <w:pPr>
              <w:pStyle w:val="Normal6a"/>
            </w:pPr>
            <w:r>
              <w:t>3.</w:t>
            </w:r>
            <w:r>
              <w:tab/>
            </w:r>
            <w:r>
              <w:rPr>
                <w:b/>
                <w:i/>
              </w:rPr>
              <w:t>spricht sich</w:t>
            </w:r>
            <w:r>
              <w:t xml:space="preserve"> für eine weitere wirtschaftliche Zusammenarbeit zwischen der EU und Saudi-Arabien in den Bereichen nachhaltige Energie, kritische Rohstoffe, Informationstechnologie und Unternehmertum </w:t>
            </w:r>
            <w:r>
              <w:rPr>
                <w:b/>
                <w:i/>
              </w:rPr>
              <w:t>aus</w:t>
            </w:r>
            <w:r>
              <w:t xml:space="preserve"> und stellt fest, dass die wirtschaftliche Zusammenarbeit zwischen der EU und Saudi-Arabien der Eckpfeiler der bilateralen Beziehungen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stellt fest, dass Saudi-Arabien zu einem bedeutenden Partner bei der Bekämpfung illegaler Einwanderung und bei der Steuerung von Migrationsströmen aus dem Nahen Osten, Afrika, dem indischen Subkontinent und Zentralasien werden könnte;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eine Vertiefung der Zusammenarbeit zwischen der EU und Saudi-Arabien in den Bereichen Energie und Handel die strategische Autonomie der EU durch die Diversifizierung zuverlässiger Versorgungsquellen stärken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bekräftigt, dass die EU entschlossen ist, Saudi-Arabien in seinem Streben nach sozioökonomischer Diversifizierung und Reform, einschließlich der Förderung einer nachhaltigen Entwicklung, zu unterstützen;</w:t>
            </w:r>
          </w:p>
        </w:tc>
        <w:tc>
          <w:tcPr>
            <w:tcW w:w="4876" w:type="dxa"/>
            <w:tcBorders>
              <w:top w:val="nil"/>
              <w:left w:val="nil"/>
              <w:bottom w:val="nil"/>
              <w:right w:val="nil"/>
            </w:tcBorders>
          </w:tcPr>
          <w:p>
            <w:pPr>
              <w:pStyle w:val="Normal6a"/>
            </w:pPr>
            <w:r>
              <w:t>4.</w:t>
            </w:r>
            <w:r>
              <w:tab/>
            </w:r>
            <w:r>
              <w:t xml:space="preserve">bekräftigt, dass die EU entschlossen ist, Saudi-Arabien in seinem Streben nach sozioökonomischer Diversifizierung und Reform, einschließlich der Förderung einer nachhaltigen Entwicklung, </w:t>
            </w:r>
            <w:r>
              <w:rPr>
                <w:b/>
                <w:i/>
              </w:rPr>
              <w:t>durch die Diversifizierung seiner Energieversorgungsquellen, einschließlich nuklearer Energie,</w:t>
            </w:r>
            <w:r>
              <w:t xml:space="preserve"> zu unterstützen;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bekräftigt</w:t>
            </w:r>
            <w:r>
              <w:t>, dass die EU nach wie vor entschlossen ist, eine sichere und für beide Seiten vorteilhafte Vereinbarung für visumfreies Reisen mit den fünf verbleibenden Ländern des Golf-Kooperationsrates voranzubringen, um deren Gleichbehandlung sicherzustellen;</w:t>
            </w:r>
          </w:p>
        </w:tc>
        <w:tc>
          <w:tcPr>
            <w:tcW w:w="4876" w:type="dxa"/>
            <w:tcBorders>
              <w:top w:val="nil"/>
              <w:left w:val="nil"/>
              <w:bottom w:val="nil"/>
              <w:right w:val="nil"/>
            </w:tcBorders>
          </w:tcPr>
          <w:p>
            <w:pPr>
              <w:pStyle w:val="Normal6a"/>
            </w:pPr>
            <w:r>
              <w:t>5.</w:t>
            </w:r>
            <w:r>
              <w:tab/>
            </w:r>
            <w:r>
              <w:rPr>
                <w:b/>
                <w:i/>
              </w:rPr>
              <w:t>stellt fest</w:t>
            </w:r>
            <w:r>
              <w:t xml:space="preserve">, dass die EU nach wie vor entschlossen ist, eine sichere und für beide Seiten vorteilhafte Vereinbarung für visumfreies Reisen mit den fünf verbleibenden Ländern des Golf-Kooperationsrates voranzubringen, um deren Gleichbehandlung sicherzustellen; </w:t>
            </w:r>
            <w:r>
              <w:rPr>
                <w:b/>
                <w:i/>
              </w:rPr>
              <w:t>hebt die Risiken des visumfreien Reiseverkehrs hervor, wie etwa die Zunahme der Zahl der Asylanträge, nicht zuletzt im Falle nichtdemokratischer Länder wie Saudi-Arabien, sowie Sicherheitsrisiken im Zusammenhang mit Terrorismus und Extremismus;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bekräftigt, dass die EU nach wie vor entschlossen ist, eine sichere und für beide Seiten vorteilhafte Vereinbarung für visumfreies Reisen mit den fünf verbleibenden Ländern des Golf-Kooperationsrates voranzubringen, um deren Gleichbehandlung sicherzustellen;</w:t>
            </w:r>
          </w:p>
        </w:tc>
        <w:tc>
          <w:tcPr>
            <w:tcW w:w="4876" w:type="dxa"/>
            <w:tcBorders>
              <w:top w:val="nil"/>
              <w:left w:val="nil"/>
              <w:bottom w:val="nil"/>
              <w:right w:val="nil"/>
            </w:tcBorders>
          </w:tcPr>
          <w:p>
            <w:pPr>
              <w:pStyle w:val="Normal6a"/>
            </w:pPr>
            <w:r>
              <w:t>5.</w:t>
            </w:r>
            <w:r>
              <w:tab/>
            </w:r>
            <w:r>
              <w:t>bekräftigt, dass die EU nach wie vor entschlossen ist, eine sichere und für beide Seiten vorteilhafte Vereinbarung für visumfreies Reisen mit den fünf verbleibenden Ländern des Golf-Kooperationsrates voranzubringen, um deren Gleichbehandlung sicherzustellen</w:t>
            </w:r>
            <w:r>
              <w:rPr>
                <w:b/>
                <w:i/>
              </w:rPr>
              <w:t>,</w:t>
            </w:r>
            <w:r>
              <w:t xml:space="preserve"> </w:t>
            </w:r>
            <w:r>
              <w:rPr>
                <w:b/>
                <w:i/>
              </w:rPr>
              <w:t>was im Rahmen der neuen Strategie für eine EU-Visumpolitik bewertet werden könnte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bekräftigt, dass die EU nach wie vor entschlossen ist, eine sichere und für beide Seiten vorteilhafte</w:t>
            </w:r>
            <w:r>
              <w:t xml:space="preserve"> Vereinbarung für visumfreies Reisen mit den </w:t>
            </w:r>
            <w:r>
              <w:rPr>
                <w:b/>
                <w:i/>
              </w:rPr>
              <w:t>fünf verbleibenden</w:t>
            </w:r>
            <w:r>
              <w:t xml:space="preserve"> Ländern des Golf-Kooperationsrates </w:t>
            </w:r>
            <w:r>
              <w:rPr>
                <w:b/>
                <w:i/>
              </w:rPr>
              <w:t>voranzubringen, um deren Gleichbehandlung sicherzustellen</w:t>
            </w:r>
            <w:r>
              <w:t>;</w:t>
            </w:r>
          </w:p>
        </w:tc>
        <w:tc>
          <w:tcPr>
            <w:tcW w:w="4876" w:type="dxa"/>
            <w:tcBorders>
              <w:top w:val="nil"/>
              <w:left w:val="nil"/>
              <w:bottom w:val="nil"/>
              <w:right w:val="nil"/>
            </w:tcBorders>
          </w:tcPr>
          <w:p>
            <w:pPr>
              <w:pStyle w:val="Normal6a"/>
            </w:pPr>
            <w:r>
              <w:t>5.</w:t>
            </w:r>
            <w:r>
              <w:tab/>
            </w:r>
            <w:r>
              <w:rPr>
                <w:b/>
                <w:i/>
              </w:rPr>
              <w:t>betont, dass mögliche Gespräche über eine</w:t>
            </w:r>
            <w:r>
              <w:t xml:space="preserve"> Vereinbarung für visumfreies Reisen mit den Ländern des Golf-Kooperationsrates </w:t>
            </w:r>
            <w:r>
              <w:rPr>
                <w:b/>
                <w:i/>
              </w:rPr>
              <w:t>strikt an wirksame Garantien in den Bereichen Sicherheit, Kontrolle von Migrationsströmen in Richtung Union und Bekämpfung jeder Form von Einflussnahme aus dem Ausland geknüpft sein müssen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bekräftigt, dass die EU nach wie vor entschlossen ist, eine sichere und für beide Seiten vorteilhafte Vereinbarung für visumfreies Reisen mit </w:t>
            </w:r>
            <w:r>
              <w:rPr>
                <w:b/>
                <w:i/>
              </w:rPr>
              <w:t>den fünf verbleibenden Ländern des Golf-Kooperationsrates</w:t>
            </w:r>
            <w:r>
              <w:t xml:space="preserve"> voranzubringen</w:t>
            </w:r>
            <w:r>
              <w:rPr>
                <w:b/>
                <w:i/>
              </w:rPr>
              <w:t>, um deren Gleichbehandlung sicherzustellen</w:t>
            </w:r>
            <w:r>
              <w:t>;</w:t>
            </w:r>
          </w:p>
        </w:tc>
        <w:tc>
          <w:tcPr>
            <w:tcW w:w="4876" w:type="dxa"/>
            <w:tcBorders>
              <w:top w:val="nil"/>
              <w:left w:val="nil"/>
              <w:bottom w:val="nil"/>
              <w:right w:val="nil"/>
            </w:tcBorders>
          </w:tcPr>
          <w:p>
            <w:pPr>
              <w:pStyle w:val="Normal6a"/>
            </w:pPr>
            <w:r>
              <w:t>5.</w:t>
            </w:r>
            <w:r>
              <w:tab/>
            </w:r>
            <w:r>
              <w:t xml:space="preserve">bekräftigt, dass die EU nach wie vor entschlossen ist, eine sichere und für beide Seiten vorteilhafte Vereinbarung für visumfreies Reisen mit </w:t>
            </w:r>
            <w:r>
              <w:rPr>
                <w:b/>
                <w:i/>
              </w:rPr>
              <w:t>dem Königreich Saudi-Arabien</w:t>
            </w:r>
            <w:r>
              <w:t xml:space="preserve"> voranzubringen;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weist auf die große wirtschaftliche Bedeutung der saudi-arabischen Touristen für die Mitgliedstaaten der Europäischen Union hin, insbesondere bei der Unterstützung von Schlüsselsektoren wie dem Gastgewerbe, dem Einzelhandel und der Kulturindustrie;</w:t>
            </w:r>
            <w:r>
              <w:t xml:space="preserve"> </w:t>
            </w:r>
            <w:r>
              <w:rPr>
                <w:b/>
                <w:i/>
              </w:rPr>
              <w:t>betont, dass saudi-arabische Bürger keine Ursache für den Druck durch irreguläre Migration darstellen</w:t>
            </w:r>
            <w:r>
              <w:rPr>
                <w:b/>
                <w:i/>
                <w:vertAlign w:val="superscript"/>
              </w:rPr>
              <w:t>8a</w:t>
            </w:r>
            <w:r>
              <w:rPr>
                <w:b/>
                <w:i/>
              </w:rPr>
              <w:t>, und fordert daher die Einführung einer Befreiung von der Visumpflicht im Schengen-Raum, um den Tourismus zu unterstützen, den persönlichen Austausch zu verbessern und die wirtschaftlichen und kulturellen Beziehungen zwischen der EU und dem Königreich Saudi-Arabien weiter zu stärken;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https://home-affairs.ec.europa.eu/document/download/d22b298f-18db-48b1-bb53-cc4114bc40b3_en.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spricht sich für stärkere Partnerschaften zwischen Bildungs- und Forschungseinrichtungen aus der EU und Saudi-Arabien aus, unter anderem über Programme wie Erasmus Mundus und Horizont Europa;</w:t>
            </w:r>
            <w:r>
              <w:t xml:space="preserve"> </w:t>
            </w:r>
            <w:r>
              <w:rPr>
                <w:b/>
                <w:i/>
              </w:rPr>
              <w:t>betont, dass es wichtig ist, die notwendigen Voraussetzungen für eine verstärkte Mobilität von Studierenden zu schaffen;</w:t>
            </w:r>
            <w:r>
              <w:t xml:space="preserve"> </w:t>
            </w:r>
            <w:r>
              <w:rPr>
                <w:b/>
                <w:i/>
              </w:rPr>
              <w:t>betont, dass die Verbesserung der Austauschmöglichkeiten für junge Menschen erheblich dazu beitragen wird, die Beziehungen zwischen der EU, Saudi-Arabien und der Golfregion insgesamt zu festigen;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begrüßt die Tatsache, dass Saudi-Arabien die Muslimbruderschaft als terroristische Organisation eingestuft hat, sowie die jüngsten Bemühungen der Vereinigten Staaten, ähnliche Maßnahmen zu ergreifen;</w:t>
            </w:r>
            <w:r>
              <w:t xml:space="preserve"> </w:t>
            </w:r>
            <w:r>
              <w:rPr>
                <w:b/>
                <w:i/>
              </w:rPr>
              <w:t>fordert die EU und die Mitgliedstaaten auf, diesem Beispiel dringend zu folgen und die Muslimbruderschaft als terroristische Organisation einzustufen;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fordert die EU auf, die Zusammenarbeit in Regulierungsfragen weiter zu erleichtern, was Saudi-Arabien bei der Festlegung von Regeln und Verfahren für eine erfolgreiche Diversifizierung und Reform unterstützen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begrüßt die von den Vereinigten Staaten vermittelten Abraham-Abkommen und fordert Saudi-Arabien auf, ihnen unverzüglich beizutreten;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begrüßt die wachsende Bedeutung Saudi-Arabiens als diplomatischer Akteur</w:t>
            </w:r>
            <w:r>
              <w:rPr>
                <w:b/>
                <w:i/>
              </w:rPr>
              <w:t>, der zur internationalen</w:t>
            </w:r>
            <w:r>
              <w:t xml:space="preserve"> Stabilität </w:t>
            </w:r>
            <w:r>
              <w:rPr>
                <w:b/>
                <w:i/>
              </w:rPr>
              <w:t>beiträgt</w:t>
            </w:r>
            <w:r>
              <w:t xml:space="preserve">, insbesondere im Zusammenhang mit </w:t>
            </w:r>
            <w:r>
              <w:rPr>
                <w:b/>
                <w:i/>
              </w:rPr>
              <w:t>der Militäroperation Israels</w:t>
            </w:r>
            <w:r>
              <w:t xml:space="preserve"> im Gazastreifen sowie im </w:t>
            </w:r>
            <w:r>
              <w:rPr>
                <w:b/>
                <w:i/>
              </w:rPr>
              <w:t>Rahmen der</w:t>
            </w:r>
            <w:r>
              <w:t xml:space="preserve"> jüngsten Entwicklungen in Syrien, in Libanon, in Jemen, im Roten Meer und in Sudan;</w:t>
            </w:r>
          </w:p>
        </w:tc>
        <w:tc>
          <w:tcPr>
            <w:tcW w:w="4876" w:type="dxa"/>
            <w:tcBorders>
              <w:top w:val="nil"/>
              <w:left w:val="nil"/>
              <w:bottom w:val="nil"/>
              <w:right w:val="nil"/>
            </w:tcBorders>
          </w:tcPr>
          <w:p>
            <w:pPr>
              <w:pStyle w:val="Normal6a"/>
            </w:pPr>
            <w:r>
              <w:t>6.</w:t>
            </w:r>
            <w:r>
              <w:tab/>
            </w:r>
            <w:r>
              <w:t xml:space="preserve">begrüßt die wachsende Bedeutung Saudi-Arabiens als diplomatischer Akteur </w:t>
            </w:r>
            <w:r>
              <w:rPr>
                <w:b/>
                <w:i/>
              </w:rPr>
              <w:t>und seine bedeutenden Beiträge zur regionalen und globalen</w:t>
            </w:r>
            <w:r>
              <w:t xml:space="preserve"> Stabilität, insbesondere im Zusammenhang mit </w:t>
            </w:r>
            <w:r>
              <w:rPr>
                <w:b/>
                <w:i/>
              </w:rPr>
              <w:t>dem aktuellen Krieg</w:t>
            </w:r>
            <w:r>
              <w:t xml:space="preserve"> im Gazastreifen sowie im </w:t>
            </w:r>
            <w:r>
              <w:rPr>
                <w:b/>
                <w:i/>
              </w:rPr>
              <w:t>Hinblick auf die</w:t>
            </w:r>
            <w:r>
              <w:t xml:space="preserve"> jüngsten Entwicklungen in Syrien, in Libanon, in Jemen, im Roten Meer und in Sudan;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begrüßt die wachsende Bedeutung Saudi-Arabiens als diplomatischer Akteur, der zur internationalen Stabilität beiträgt, insbesondere im Zusammenhang mit der Militäroperation Israels im Gazastreifen sowie im Rahmen der jüngsten Entwicklungen in Syrien, in Libanon</w:t>
            </w:r>
            <w:r>
              <w:rPr>
                <w:b/>
                <w:i/>
              </w:rPr>
              <w:t>, in Jemen,</w:t>
            </w:r>
            <w:r>
              <w:t xml:space="preserve"> im Roten Meer </w:t>
            </w:r>
            <w:r>
              <w:rPr>
                <w:b/>
                <w:i/>
              </w:rPr>
              <w:t>und in Sudan</w:t>
            </w:r>
            <w:r>
              <w:t>;</w:t>
            </w:r>
          </w:p>
        </w:tc>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der Militäroperation Israels im Gazastreifen </w:t>
            </w:r>
            <w:r>
              <w:rPr>
                <w:b/>
                <w:i/>
              </w:rPr>
              <w:t>nach dem Terroranschlag der Hamas vom 7. Oktober, bei dem etwa 1 200 Menschen ums Leben kamen und bei denen mehr als 250 Geiseln genommen wurden,</w:t>
            </w:r>
            <w:r>
              <w:t xml:space="preserve"> sowie im Rahmen der jüngsten Entwicklungen in Syrien, in Libanon </w:t>
            </w:r>
            <w:r>
              <w:rPr>
                <w:b/>
                <w:i/>
              </w:rPr>
              <w:t>und</w:t>
            </w:r>
            <w:r>
              <w:t xml:space="preserve"> im Roten Meer;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w:t>
            </w:r>
            <w:r>
              <w:rPr>
                <w:b/>
                <w:i/>
              </w:rPr>
              <w:t>der Militäroperation Israels</w:t>
            </w:r>
            <w:r>
              <w:t xml:space="preserve"> im Gazastreifen sowie im Rahmen der jüngsten Entwicklungen in Syrien, in Libanon, in Jemen, im Roten Meer und in Sudan;</w:t>
            </w:r>
          </w:p>
        </w:tc>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w:t>
            </w:r>
            <w:r>
              <w:rPr>
                <w:b/>
                <w:i/>
              </w:rPr>
              <w:t>dem Krieg</w:t>
            </w:r>
            <w:r>
              <w:t> im Gazastreifen sowie im Rahmen der jüngsten Entwicklungen in Syrien, in Libanon, in Jemen, im Roten Meer und in Sudan</w:t>
            </w:r>
            <w:r>
              <w:rPr>
                <w:b/>
                <w:i/>
              </w:rPr>
              <w:t>, nicht zuletzt angesichts der steigenden Anzahl von Terroranschlägen in der Region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w:t>
            </w:r>
            <w:r>
              <w:rPr>
                <w:b/>
                <w:i/>
              </w:rPr>
              <w:t>im Zusammenhang mit der Militäroperation Israels</w:t>
            </w:r>
            <w:r>
              <w:t xml:space="preserve"> im Gazastreifen sowie im Rahmen der jüngsten Entwicklungen in Syrien, in Libanon, in Jemen, im Roten Meer und in Sudan;</w:t>
            </w:r>
          </w:p>
        </w:tc>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w:t>
            </w:r>
            <w:r>
              <w:rPr>
                <w:b/>
                <w:i/>
              </w:rPr>
              <w:t>vor dem Hintergrund zunehmender Beweise für einen von Israel begangenen Völkermord</w:t>
            </w:r>
            <w:r>
              <w:t xml:space="preserve"> im Gazastreifen sowie im Rahmen der jüngsten Entwicklungen in Syrien, in Libanon, in Jemen, im Roten Meer und in Sudan;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begrüßt</w:t>
            </w:r>
            <w:r>
              <w:t xml:space="preserve"> die wachsende Bedeutung Saudi-Arabiens als diplomatischer Akteur, der zur internationalen Stabilität beiträgt, insbesondere im Zusammenhang mit der Militäroperation Israels im Gazastreifen sowie im Rahmen der jüngsten Entwicklungen in Syrien, in Libanon, in Jemen, im Roten Meer und in Sudan;</w:t>
            </w:r>
          </w:p>
        </w:tc>
        <w:tc>
          <w:tcPr>
            <w:tcW w:w="4876" w:type="dxa"/>
            <w:tcBorders>
              <w:top w:val="nil"/>
              <w:left w:val="nil"/>
              <w:bottom w:val="nil"/>
              <w:right w:val="nil"/>
            </w:tcBorders>
          </w:tcPr>
          <w:p>
            <w:pPr>
              <w:pStyle w:val="Normal6a"/>
            </w:pPr>
            <w:r>
              <w:t>6.</w:t>
            </w:r>
            <w:r>
              <w:tab/>
            </w:r>
            <w:r>
              <w:rPr>
                <w:b/>
                <w:i/>
              </w:rPr>
              <w:t>betont</w:t>
            </w:r>
            <w:r>
              <w:t xml:space="preserve"> die wachsende Bedeutung Saudi-Arabiens als diplomatischer Akteur, der zur internationalen Stabilität beiträgt, insbesondere im Zusammenhang mit der Militäroperation Israels im Gazastreifen sowie im Rahmen der jüngsten Entwicklungen in Syrien, in Libanon, in Jemen, im Roten Meer und in Sudan;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w:t>
            </w:r>
            <w:r>
              <w:rPr>
                <w:b/>
                <w:i/>
              </w:rPr>
              <w:t>der Militäroperation Israels im Gazastreifen</w:t>
            </w:r>
            <w:r>
              <w:t xml:space="preserve"> sowie im Rahmen der jüngsten Entwicklungen in Syrien, in Libanon, in Jemen, im Roten Meer und in Sudan;</w:t>
            </w:r>
          </w:p>
        </w:tc>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w:t>
            </w:r>
            <w:r>
              <w:rPr>
                <w:b/>
                <w:i/>
              </w:rPr>
              <w:t>dem israelisch-palästinensischen Konflikt</w:t>
            </w:r>
            <w:r>
              <w:t xml:space="preserve"> sowie im Rahmen der jüngsten Entwicklungen in Syrien, in Libanon, in Jemen, im Roten Meer und in Sudan;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der </w:t>
            </w:r>
            <w:r>
              <w:rPr>
                <w:b/>
                <w:i/>
              </w:rPr>
              <w:t>Militäroperation Israels</w:t>
            </w:r>
            <w:r>
              <w:t xml:space="preserve"> im Gazastreifen sowie im Rahmen der jüngsten Entwicklungen in Syrien, in Libanon, in Jemen, im Roten Meer und in Sudan;</w:t>
            </w:r>
          </w:p>
        </w:tc>
        <w:tc>
          <w:tcPr>
            <w:tcW w:w="4876" w:type="dxa"/>
            <w:tcBorders>
              <w:top w:val="nil"/>
              <w:left w:val="nil"/>
              <w:bottom w:val="nil"/>
              <w:right w:val="nil"/>
            </w:tcBorders>
          </w:tcPr>
          <w:p>
            <w:pPr>
              <w:pStyle w:val="Normal6a"/>
            </w:pPr>
            <w:r>
              <w:t>6.</w:t>
            </w:r>
            <w:r>
              <w:tab/>
            </w:r>
            <w:r>
              <w:t xml:space="preserve">begrüßt die wachsende Bedeutung Saudi-Arabiens als diplomatischer Akteur, der zur internationalen Stabilität beiträgt, insbesondere im Zusammenhang mit der </w:t>
            </w:r>
            <w:r>
              <w:rPr>
                <w:b/>
                <w:i/>
              </w:rPr>
              <w:t>Krise</w:t>
            </w:r>
            <w:r>
              <w:t xml:space="preserve"> im Gazastreifen sowie im Rahmen der jüngsten Entwicklungen in Syrien, in Libanon, in Jemen, im Roten Meer und in Sudan;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würdigt die Bemühungen Saudi-Arabiens, bestimmter arabischer Staaten und Israels, die diplomatischen Beziehungen im Rahmen der Abraham-Abkommen zu normalisieren;</w:t>
            </w:r>
            <w:r>
              <w:t xml:space="preserve"> </w:t>
            </w:r>
            <w:r>
              <w:rPr>
                <w:b/>
                <w:i/>
              </w:rPr>
              <w:t>fordert die EU auf, Initiativen zu unterstützen, mit denen breiter regionaler und internationaler Rückhalt für eine bessere Zukunft der arabisch-israelischen Beziehungen geschaffen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die Außenpolitik Saudi-Arabiens von einer Kombination aus strategischen, religiösen, wirtschaftlichen und sicherheitspolitischen Faktoren beeinflusst wird, wobei die Hauptziele darin bestehen, Stabilität zu wahren, den regionalen Einfluss auszuweiten und die energiepolitischen und geopolitischen Interessen des Königreichs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eine verstärkte Zusammenarbeit mit Saudi-Arabien auch dazu dienen sollte, das gemeinsame Engagement für Frieden und Stabilität zu stärken und das multilaterale regelbasierte System vor systemischen Rivalen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w:t>
            </w:r>
          </w:p>
        </w:tc>
        <w:tc>
          <w:tcPr>
            <w:tcW w:w="4876" w:type="dxa"/>
            <w:tcBorders>
              <w:top w:val="nil"/>
              <w:left w:val="nil"/>
              <w:bottom w:val="nil"/>
              <w:right w:val="nil"/>
            </w:tcBorders>
          </w:tcPr>
          <w:p>
            <w:pPr>
              <w:pStyle w:val="Normal6a"/>
            </w:pPr>
            <w:r>
              <w:t>7.</w:t>
            </w:r>
            <w:r>
              <w:tab/>
            </w:r>
            <w:r>
              <w:t xml:space="preserve">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 </w:t>
            </w:r>
            <w:r>
              <w:rPr>
                <w:b/>
                <w:i/>
              </w:rPr>
              <w:t>betont, dass eine solche Zusammenarbeit auf einem echten und gemeinsamen Bekenntnis zur Achtung des Völkerrechts, einschließlich der Menschenrechte, des humanitären Völkerrechts und der Charta der Vereinten Nationen, beruhen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w:t>
            </w:r>
          </w:p>
        </w:tc>
        <w:tc>
          <w:tcPr>
            <w:tcW w:w="4876" w:type="dxa"/>
            <w:tcBorders>
              <w:top w:val="nil"/>
              <w:left w:val="nil"/>
              <w:bottom w:val="nil"/>
              <w:right w:val="nil"/>
            </w:tcBorders>
          </w:tcPr>
          <w:p>
            <w:pPr>
              <w:pStyle w:val="Normal6a"/>
            </w:pPr>
            <w:r>
              <w:t>7.</w:t>
            </w:r>
            <w:r>
              <w:tab/>
            </w:r>
            <w:r>
              <w:t xml:space="preserve">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 </w:t>
            </w:r>
            <w:r>
              <w:rPr>
                <w:b/>
                <w:i/>
              </w:rPr>
              <w:t>betont, dass eine solche Zusammenarbeit auf einer echten gemeinsamen Verpflichtung zur Achtung des Völkerrechts, einschließlich der Menschenrechte, des humanitären Völkerrechts und der Charta der Vereinten Nationen, beruhen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w:t>
            </w:r>
          </w:p>
        </w:tc>
        <w:tc>
          <w:tcPr>
            <w:tcW w:w="4876" w:type="dxa"/>
            <w:tcBorders>
              <w:top w:val="nil"/>
              <w:left w:val="nil"/>
              <w:bottom w:val="nil"/>
              <w:right w:val="nil"/>
            </w:tcBorders>
          </w:tcPr>
          <w:p>
            <w:pPr>
              <w:pStyle w:val="Normal6a"/>
            </w:pPr>
            <w:r>
              <w:t>7.</w:t>
            </w:r>
            <w:r>
              <w:tab/>
            </w:r>
            <w:r>
              <w:t xml:space="preserve">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 </w:t>
            </w:r>
            <w:r>
              <w:rPr>
                <w:b/>
                <w:i/>
              </w:rPr>
              <w:t>betont, dass eine solche Zusammenarbeit auf einem gemeinsamen Bekenntnis zur Achtung des Völkerrechts, einschließlich der Menschenrechte, des humanitären Völkerrechts und der Charta der Vereinten Nationen, beruhen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hebt die wichtige diplomatische Rolle Saudi-Arabiens hervor, insbesondere bei der Unterstützung der Deeskalation in Jemen, der Stärkung der maritimen Sicherheit im Roten Meer, der Ausrichtung von Gesprächen über die Ukraine und der Erleichterung des Dialogs über Sudan, wodurch ein konstruktiver Beitrag zur regionalen und internationalen Stabilität geleistet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fordert Saudi-Arabien auf,</w:t>
            </w:r>
            <w:r>
              <w:t xml:space="preserve"> die Zusammenarbeit zwischen der EU und Saudi-Arabien bei der Terrorismusbekämpfung und der Prävention von Radikalisierung </w:t>
            </w:r>
            <w:r>
              <w:rPr>
                <w:b/>
                <w:i/>
              </w:rPr>
              <w:t>fortzusetzen</w:t>
            </w:r>
            <w:r>
              <w:t>;</w:t>
            </w:r>
          </w:p>
        </w:tc>
        <w:tc>
          <w:tcPr>
            <w:tcW w:w="4876" w:type="dxa"/>
            <w:tcBorders>
              <w:top w:val="nil"/>
              <w:left w:val="nil"/>
              <w:bottom w:val="nil"/>
              <w:right w:val="nil"/>
            </w:tcBorders>
          </w:tcPr>
          <w:p>
            <w:pPr>
              <w:pStyle w:val="Normal6a"/>
            </w:pPr>
            <w:r>
              <w:t>8.</w:t>
            </w:r>
            <w:r>
              <w:tab/>
            </w:r>
            <w:r>
              <w:rPr>
                <w:b/>
                <w:i/>
              </w:rPr>
              <w:t>nimmt</w:t>
            </w:r>
            <w:r>
              <w:t xml:space="preserve"> die Zusammenarbeit zwischen der EU und Saudi-Arabien bei der Terrorismusbekämpfung und der Prävention von Radikalisierung </w:t>
            </w:r>
            <w:r>
              <w:rPr>
                <w:b/>
                <w:i/>
              </w:rPr>
              <w:t>zur Kenntnis, die im Einklang mit den internationalen Menschenrechtsnormen gestaltet werden muss</w:t>
            </w:r>
            <w:r>
              <w:t xml:space="preserve">; </w:t>
            </w:r>
            <w:r>
              <w:rPr>
                <w:b/>
                <w:i/>
              </w:rPr>
              <w:t>ist besorgt darüber, dass Saudi-Arabien Gesetze zur Terrorismusbekämpfung anwendet, um Aktivisten zum Schweigen zu bringen und abweichende Meinungen zu unterdrücken, was an den anhaltenden Festnahmen saudi-arabischer Bürger wegen Terrorismusvorwürfen aufgrund friedlicher Aktivitäten auf Social-Media-Plattformen deutlich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Saudi-Arabien auf, die Zusammenarbeit zwischen der EU und Saudi-Arabien bei der Terrorismusbekämpfung und der Prävention von Radikalisierung fortzusetzen;</w:t>
            </w:r>
          </w:p>
        </w:tc>
        <w:tc>
          <w:tcPr>
            <w:tcW w:w="4876" w:type="dxa"/>
            <w:tcBorders>
              <w:top w:val="nil"/>
              <w:left w:val="nil"/>
              <w:bottom w:val="nil"/>
              <w:right w:val="nil"/>
            </w:tcBorders>
          </w:tcPr>
          <w:p>
            <w:pPr>
              <w:pStyle w:val="Normal6a"/>
            </w:pPr>
            <w:r>
              <w:t>8.</w:t>
            </w:r>
            <w:r>
              <w:tab/>
            </w:r>
            <w:r>
              <w:t xml:space="preserve">fordert Saudi-Arabien auf, die Zusammenarbeit zwischen der EU und Saudi-Arabien bei der Terrorismusbekämpfung und der Prävention von Radikalisierung fortzusetzen; </w:t>
            </w:r>
            <w:r>
              <w:rPr>
                <w:b/>
                <w:i/>
              </w:rPr>
              <w:t>betont, dass im Rahmen jeder Zusammenarbeit bei der Bekämpfung von Terrorismus und Radikalisierung besondere Wachsamkeit im Hinblick die Verbreitung extremistischer wahhabitischer Lehren, die immer noch weitreichende Verbindungen zu Saudi-Arabien aufweisen, herrschen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Saudi-Arabien auf, die Zusammenarbeit zwischen der EU und Saudi-Arabien bei der Terrorismusbekämpfung und der Prävention von Radikalisierung fortzusetzen;</w:t>
            </w:r>
          </w:p>
        </w:tc>
        <w:tc>
          <w:tcPr>
            <w:tcW w:w="4876" w:type="dxa"/>
            <w:tcBorders>
              <w:top w:val="nil"/>
              <w:left w:val="nil"/>
              <w:bottom w:val="nil"/>
              <w:right w:val="nil"/>
            </w:tcBorders>
          </w:tcPr>
          <w:p>
            <w:pPr>
              <w:pStyle w:val="Normal6a"/>
            </w:pPr>
            <w:r>
              <w:t>8.</w:t>
            </w:r>
            <w:r>
              <w:tab/>
            </w:r>
            <w:r>
              <w:t>fordert Saudi-Arabien auf, die Zusammenarbeit zwischen der EU und Saudi-Arabien bei der Terrorismusbekämpfung und der Prävention von Radikalisierung fortzusetzen</w:t>
            </w:r>
            <w:r>
              <w:rPr>
                <w:b/>
                <w:i/>
              </w:rPr>
              <w:t>,</w:t>
            </w:r>
            <w:r>
              <w:t xml:space="preserve"> </w:t>
            </w:r>
            <w:r>
              <w:rPr>
                <w:b/>
                <w:i/>
              </w:rPr>
              <w:t>die im Einklang mit den internationalen Menschenrechtsnormen gestaltet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Saudi-Arabien auf, die Zusammenarbeit zwischen der EU und Saudi-Arabien bei der Terrorismusbekämpfung und der Prävention von Radikalisierung fortzusetzen;</w:t>
            </w:r>
          </w:p>
        </w:tc>
        <w:tc>
          <w:tcPr>
            <w:tcW w:w="4876" w:type="dxa"/>
            <w:tcBorders>
              <w:top w:val="nil"/>
              <w:left w:val="nil"/>
              <w:bottom w:val="nil"/>
              <w:right w:val="nil"/>
            </w:tcBorders>
          </w:tcPr>
          <w:p>
            <w:pPr>
              <w:pStyle w:val="Normal6a"/>
            </w:pPr>
            <w:r>
              <w:t>8.</w:t>
            </w:r>
            <w:r>
              <w:tab/>
            </w:r>
            <w:r>
              <w:t xml:space="preserve">fordert Saudi-Arabien auf, die Zusammenarbeit zwischen der EU und Saudi-Arabien bei der Terrorismusbekämpfung und der Prävention von Radikalisierung fortzusetzen; </w:t>
            </w:r>
            <w:r>
              <w:rPr>
                <w:b/>
                <w:i/>
              </w:rPr>
              <w:t>betont, dass eine weitreichende Harmonisierung zwischen der EU und Saudi-Arabien in diesen Bereichen von großer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Saudi-Arabien auf, die Zusammenarbeit zwischen der EU und Saudi-Arabien bei der Terrorismusbekämpfung und der Prävention von Radikalisierung fortzusetzen;</w:t>
            </w:r>
          </w:p>
        </w:tc>
        <w:tc>
          <w:tcPr>
            <w:tcW w:w="4876" w:type="dxa"/>
            <w:tcBorders>
              <w:top w:val="nil"/>
              <w:left w:val="nil"/>
              <w:bottom w:val="nil"/>
              <w:right w:val="nil"/>
            </w:tcBorders>
          </w:tcPr>
          <w:p>
            <w:pPr>
              <w:pStyle w:val="Normal6a"/>
            </w:pPr>
            <w:r>
              <w:t>8.</w:t>
            </w:r>
            <w:r>
              <w:tab/>
            </w:r>
            <w:r>
              <w:t>fordert Saudi-Arabien auf, die Zusammenarbeit zwischen der EU und Saudi-Arabien bei der Terrorismusbekämpfung und der Prävention von Radikalisierung fortzusetzen</w:t>
            </w:r>
            <w:r>
              <w:rPr>
                <w:b/>
                <w:i/>
              </w:rPr>
              <w:t>,</w:t>
            </w:r>
            <w:r>
              <w:t xml:space="preserve"> </w:t>
            </w:r>
            <w:r>
              <w:rPr>
                <w:b/>
                <w:i/>
              </w:rPr>
              <w:t>die im Einklang mit den internationalen Menschenrechtsnormen gestaltet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nimmt die Bemühungen Saudi-Arabiens um eine Deeskalation im Zusammenhang mit der israelischen Militäroperation im Gazastreifen, seine Unterstützung für humanitäre Hilfe und seine Forderungen nach einem Waffenstillstand und der Freilassung von Geiseln zur Kenntnis;</w:t>
            </w:r>
          </w:p>
        </w:tc>
        <w:tc>
          <w:tcPr>
            <w:tcW w:w="4876" w:type="dxa"/>
            <w:tcBorders>
              <w:top w:val="nil"/>
              <w:left w:val="nil"/>
              <w:bottom w:val="nil"/>
              <w:right w:val="nil"/>
            </w:tcBorders>
          </w:tcPr>
          <w:p>
            <w:pPr>
              <w:pStyle w:val="Normal6a"/>
            </w:pPr>
            <w:r>
              <w:t>9.</w:t>
            </w:r>
            <w:r>
              <w:tab/>
            </w:r>
            <w:r>
              <w:t xml:space="preserve">nimmt die Bemühungen Saudi-Arabiens um eine Deeskalation im Zusammenhang mit der israelischen Militäroperation im Gazastreifen, seine Unterstützung für humanitäre Hilfe und seine Forderungen nach einem Waffenstillstand und der Freilassung von Geiseln zur Kenntnis; </w:t>
            </w:r>
            <w:r>
              <w:rPr>
                <w:b/>
                <w:i/>
              </w:rPr>
              <w:t>bringt seine tiefe Besorgnis über die Gefahr einer weiteren militärischen Eskalation im Gazastreifen zum Ausdruck und protestiert gegen alle Verstöße gegen das Völkerrecht in diesem Konflikt, einschließlich aller Erklärungen zu beabsichtigten territorialen oder demografischen Veränderungen in diesem Gebiet;</w:t>
            </w:r>
            <w:r>
              <w:t xml:space="preserve"> </w:t>
            </w:r>
            <w:r>
              <w:rPr>
                <w:b/>
                <w:i/>
              </w:rPr>
              <w:t>fordert sofortige und wirksame internationale Maßnahmen, um die unerträgliche humanitäre Lage im Gazastreifen vor dem Hintergrund der von der israelischen Regierung verhängten Blockade, die verhindert, dass humanitäre Hilfe die unter unmenschlichen Bedingungen lebende Zivilbevölkerung erreicht, zu lindern;</w:t>
            </w:r>
            <w:r>
              <w:t xml:space="preserve"> </w:t>
            </w:r>
            <w:r>
              <w:rPr>
                <w:b/>
                <w:i/>
              </w:rPr>
              <w:t>fordert eine sofortige und dauerhafte Beendigung der Gewalt;</w:t>
            </w:r>
            <w:r>
              <w:t xml:space="preserve"> </w:t>
            </w:r>
            <w:r>
              <w:rPr>
                <w:b/>
                <w:i/>
              </w:rPr>
              <w:t>fordert die unverzügliche und bedingungslose Freilassung aller verbleibenden israelischen Geiseln;</w:t>
            </w:r>
            <w:r>
              <w:t xml:space="preserve"> </w:t>
            </w:r>
            <w:r>
              <w:rPr>
                <w:b/>
                <w:i/>
              </w:rPr>
              <w:t>fordert weiterhin proaktive diplomatische Bemühungen der EU, um auf einen dauerhaften Waffenstillstand hinzuarbeiten;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die Bemühungen Saudi-Arabiens um </w:t>
            </w:r>
            <w:r>
              <w:rPr>
                <w:b/>
                <w:i/>
              </w:rPr>
              <w:t>eine</w:t>
            </w:r>
            <w:r>
              <w:t xml:space="preserve"> Deeskalation im Zusammenhang mit </w:t>
            </w:r>
            <w:r>
              <w:rPr>
                <w:b/>
                <w:i/>
              </w:rPr>
              <w:t>der israelischen Militäroperation im Gazastreifen, seine</w:t>
            </w:r>
            <w:r>
              <w:t xml:space="preserve"> Unterstützung für humanitäre Hilfe </w:t>
            </w:r>
            <w:r>
              <w:rPr>
                <w:b/>
                <w:i/>
              </w:rPr>
              <w:t>und seine Forderungen nach einem Waffenstillstand und der</w:t>
            </w:r>
            <w:r>
              <w:t xml:space="preserve"> Freilassung </w:t>
            </w:r>
            <w:r>
              <w:rPr>
                <w:b/>
                <w:i/>
              </w:rPr>
              <w:t>von</w:t>
            </w:r>
            <w:r>
              <w:t xml:space="preserve"> Geiseln zur Kenntnis;</w:t>
            </w:r>
          </w:p>
        </w:tc>
        <w:tc>
          <w:tcPr>
            <w:tcW w:w="4876" w:type="dxa"/>
            <w:tcBorders>
              <w:top w:val="nil"/>
              <w:left w:val="nil"/>
              <w:bottom w:val="nil"/>
              <w:right w:val="nil"/>
            </w:tcBorders>
          </w:tcPr>
          <w:p>
            <w:pPr>
              <w:pStyle w:val="Normal6a"/>
            </w:pPr>
            <w:r>
              <w:t>9.</w:t>
            </w:r>
            <w:r>
              <w:tab/>
            </w:r>
            <w:r>
              <w:t xml:space="preserve">nimmt die Bemühungen Saudi-Arabiens um </w:t>
            </w:r>
            <w:r>
              <w:rPr>
                <w:b/>
                <w:i/>
              </w:rPr>
              <w:t>Stabilisierung des Nahen Ostens, um</w:t>
            </w:r>
            <w:r>
              <w:t xml:space="preserve"> Deeskalation im Zusammenhang mit </w:t>
            </w:r>
            <w:r>
              <w:rPr>
                <w:b/>
                <w:i/>
              </w:rPr>
              <w:t>dem Konflikt zwischen Israel und der Hamas, um</w:t>
            </w:r>
            <w:r>
              <w:t xml:space="preserve"> Unterstützung für humanitäre Hilfe</w:t>
            </w:r>
            <w:r>
              <w:rPr>
                <w:b/>
                <w:i/>
              </w:rPr>
              <w:t>, um</w:t>
            </w:r>
            <w:r>
              <w:t xml:space="preserve"> Freilassung </w:t>
            </w:r>
            <w:r>
              <w:rPr>
                <w:b/>
                <w:i/>
              </w:rPr>
              <w:t>aller noch im Gazastreifen festgehaltenen</w:t>
            </w:r>
            <w:r>
              <w:t xml:space="preserve"> Geiseln </w:t>
            </w:r>
            <w:r>
              <w:rPr>
                <w:b/>
                <w:i/>
              </w:rPr>
              <w:t>und um Beendigung des israelisch-palästinensischen Konflikts</w:t>
            </w:r>
            <w:r>
              <w:t xml:space="preserve"> zur Kenntnis; </w:t>
            </w:r>
            <w:r>
              <w:rPr>
                <w:b/>
                <w:i/>
              </w:rPr>
              <w:t>betont, dass Saudi-Arabien aufgrund seiner Glaubwürdigkeit als Friedensvermittler auch einen wertvollen Beitrag zu künftigen Bemühungen um die Stabilisierung der palästinensischen Gebiete leisten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die Bemühungen </w:t>
            </w:r>
            <w:r>
              <w:rPr>
                <w:b/>
                <w:i/>
              </w:rPr>
              <w:t>Saudi-Arabiens</w:t>
            </w:r>
            <w:r>
              <w:t xml:space="preserve"> um eine Deeskalation im Zusammenhang mit der israelischen Militäroperation im Gazastreifen, seine Unterstützung für humanitäre Hilfe und seine Forderungen nach einem Waffenstillstand und der Freilassung von Geiseln zur Kenntnis;</w:t>
            </w:r>
          </w:p>
        </w:tc>
        <w:tc>
          <w:tcPr>
            <w:tcW w:w="4876" w:type="dxa"/>
            <w:tcBorders>
              <w:top w:val="nil"/>
              <w:left w:val="nil"/>
              <w:bottom w:val="nil"/>
              <w:right w:val="nil"/>
            </w:tcBorders>
          </w:tcPr>
          <w:p>
            <w:pPr>
              <w:pStyle w:val="Normal6a"/>
            </w:pPr>
            <w:r>
              <w:t>9.</w:t>
            </w:r>
            <w:r>
              <w:tab/>
            </w:r>
            <w:r>
              <w:t xml:space="preserve">nimmt die </w:t>
            </w:r>
            <w:r>
              <w:rPr>
                <w:b/>
                <w:i/>
              </w:rPr>
              <w:t>Verurteilung des Angriffs der Hamas auf Israel am 7. Oktober durch Saudi-Arabien sowie dessen</w:t>
            </w:r>
            <w:r>
              <w:t xml:space="preserve"> Bemühungen um eine Deeskalation im Zusammenhang mit der israelischen Militäroperation im Gazastreifen, seine Unterstützung für humanitäre Hilfe und seine Forderungen nach einem Waffenstillstand und der Freilassung von Geiseln zur Kenntnis; </w:t>
            </w:r>
            <w:r>
              <w:rPr>
                <w:b/>
                <w:i/>
              </w:rPr>
              <w:t>begrüßt, dass sich Saudi-Arabien eindeutig zu der Erklärung der Liga der Arabischen Staaten bekannt hat, in der gefordert wurde, dass die Hamas die Waffen niederlegt, alle Geiseln freilässt und die Kontrolle über den Gazastreifen aufgibt;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nimmt die Bemühungen Saudi-Arabiens um eine Deeskalation im Zusammenhang mit der israelischen Militäroperation im Gazastreifen, seine Unterstützung für humanitäre Hilfe und seine Forderungen nach einem Waffenstillstand und der Freilassung von Geiseln zur Kenntnis;</w:t>
            </w:r>
          </w:p>
        </w:tc>
        <w:tc>
          <w:tcPr>
            <w:tcW w:w="4876" w:type="dxa"/>
            <w:tcBorders>
              <w:top w:val="nil"/>
              <w:left w:val="nil"/>
              <w:bottom w:val="nil"/>
              <w:right w:val="nil"/>
            </w:tcBorders>
          </w:tcPr>
          <w:p>
            <w:pPr>
              <w:pStyle w:val="Normal6a"/>
            </w:pPr>
            <w:r>
              <w:t>9.</w:t>
            </w:r>
            <w:r>
              <w:tab/>
            </w:r>
            <w:r>
              <w:t xml:space="preserve">nimmt die Bemühungen Saudi-Arabiens um eine Deeskalation im Zusammenhang mit der israelischen Militäroperation im Gazastreifen </w:t>
            </w:r>
            <w:r>
              <w:rPr>
                <w:b/>
                <w:i/>
              </w:rPr>
              <w:t>nach dem Terroranschlag der Hamas vom 7. Oktober, bei dem etwa 1 200 Menschen getötet wurden und mehr als 250 Geiseln genommen wurden</w:t>
            </w:r>
            <w:r>
              <w:t>, seine Unterstützung für humanitäre Hilfe und seine Forderungen nach einem Waffenstillstand und der Freilassung von Geiseln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nimmt</w:t>
            </w:r>
            <w:r>
              <w:t xml:space="preserve"> die Bemühungen Saudi-Arabiens </w:t>
            </w:r>
            <w:r>
              <w:rPr>
                <w:b/>
                <w:i/>
              </w:rPr>
              <w:t>um eine Deeskalation im Zusammenhang mit der israelischen Militäroperation im Gazastreifen</w:t>
            </w:r>
            <w:r>
              <w:t xml:space="preserve">, </w:t>
            </w:r>
            <w:r>
              <w:rPr>
                <w:b/>
                <w:i/>
              </w:rPr>
              <w:t>seine Unterstützung für</w:t>
            </w:r>
            <w:r>
              <w:t xml:space="preserve"> humanitäre Hilfe </w:t>
            </w:r>
            <w:r>
              <w:rPr>
                <w:b/>
                <w:i/>
              </w:rPr>
              <w:t>und seine Forderungen nach einem</w:t>
            </w:r>
            <w:r>
              <w:t xml:space="preserve"> Waffenstillstand </w:t>
            </w:r>
            <w:r>
              <w:rPr>
                <w:b/>
                <w:i/>
              </w:rPr>
              <w:t>und der Freilassung von</w:t>
            </w:r>
            <w:r>
              <w:t xml:space="preserve"> Geiseln </w:t>
            </w:r>
            <w:r>
              <w:rPr>
                <w:b/>
                <w:i/>
              </w:rPr>
              <w:t>zur Kenntnis</w:t>
            </w:r>
            <w:r>
              <w:t>;</w:t>
            </w:r>
          </w:p>
        </w:tc>
        <w:tc>
          <w:tcPr>
            <w:tcW w:w="4876" w:type="dxa"/>
            <w:tcBorders>
              <w:top w:val="nil"/>
              <w:left w:val="nil"/>
              <w:bottom w:val="nil"/>
              <w:right w:val="nil"/>
            </w:tcBorders>
          </w:tcPr>
          <w:p>
            <w:pPr>
              <w:pStyle w:val="Normal6a"/>
            </w:pPr>
            <w:r>
              <w:t>9.</w:t>
            </w:r>
            <w:r>
              <w:tab/>
            </w:r>
            <w:r>
              <w:rPr>
                <w:b/>
                <w:i/>
              </w:rPr>
              <w:t>begrüßt</w:t>
            </w:r>
            <w:r>
              <w:t xml:space="preserve"> die Bemühungen Saudi-Arabiens, humanitäre Hilfe </w:t>
            </w:r>
            <w:r>
              <w:rPr>
                <w:b/>
                <w:i/>
              </w:rPr>
              <w:t>zu leisten, einen dauerhaften</w:t>
            </w:r>
            <w:r>
              <w:t xml:space="preserve"> Waffenstillstand </w:t>
            </w:r>
            <w:r>
              <w:rPr>
                <w:b/>
                <w:i/>
              </w:rPr>
              <w:t>im Gazastreifen zu erreichen und alle von der Hamas festgehaltenen israelischen</w:t>
            </w:r>
            <w:r>
              <w:t xml:space="preserve"> Geiseln </w:t>
            </w:r>
            <w:r>
              <w:rPr>
                <w:b/>
                <w:i/>
              </w:rPr>
              <w:t>freizulassen;</w:t>
            </w:r>
            <w:r>
              <w:t xml:space="preserve"> </w:t>
            </w:r>
            <w:r>
              <w:rPr>
                <w:b/>
                <w:i/>
              </w:rPr>
              <w:t>würdigt das aktive Engagement Saudi-Arabiens für einen dauerhaften Frieden und eine Zweistaatenlösung im Einklang mit dem Völkerrecht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die Bemühungen Saudi-Arabiens um eine Deeskalation im Zusammenhang mit </w:t>
            </w:r>
            <w:r>
              <w:rPr>
                <w:b/>
                <w:i/>
              </w:rPr>
              <w:t>der israelischen Militäroperation</w:t>
            </w:r>
            <w:r>
              <w:t xml:space="preserve"> im Gazastreifen, seine Unterstützung für humanitäre Hilfe und seine Forderungen nach einem Waffenstillstand und der Freilassung von Geiseln zur Kenntnis;</w:t>
            </w:r>
          </w:p>
        </w:tc>
        <w:tc>
          <w:tcPr>
            <w:tcW w:w="4876" w:type="dxa"/>
            <w:tcBorders>
              <w:top w:val="nil"/>
              <w:left w:val="nil"/>
              <w:bottom w:val="nil"/>
              <w:right w:val="nil"/>
            </w:tcBorders>
          </w:tcPr>
          <w:p>
            <w:pPr>
              <w:pStyle w:val="Normal6a"/>
            </w:pPr>
            <w:r>
              <w:t>9.</w:t>
            </w:r>
            <w:r>
              <w:tab/>
            </w:r>
            <w:r>
              <w:t xml:space="preserve">nimmt die Bemühungen Saudi-Arabiens um eine Deeskalation im Zusammenhang mit </w:t>
            </w:r>
            <w:r>
              <w:rPr>
                <w:b/>
                <w:i/>
              </w:rPr>
              <w:t>den zunehmenden Beweisen für einen von Israel begangenen Völkermord</w:t>
            </w:r>
            <w:r>
              <w:t> im Gazastreifen, seine Unterstützung für humanitäre Hilfe und seine Forderungen nach einem Waffenstillstand und der Freilassung von Geiseln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die Bemühungen Saudi-Arabiens um eine Deeskalation im Zusammenhang mit der </w:t>
            </w:r>
            <w:r>
              <w:rPr>
                <w:b/>
                <w:i/>
              </w:rPr>
              <w:t>israelischen Militäroperation</w:t>
            </w:r>
            <w:r>
              <w:t xml:space="preserve"> im Gazastreifen, seine Unterstützung für humanitäre Hilfe und seine Forderungen nach einem Waffenstillstand und der Freilassung </w:t>
            </w:r>
            <w:r>
              <w:rPr>
                <w:b/>
                <w:i/>
              </w:rPr>
              <w:t>von</w:t>
            </w:r>
            <w:r>
              <w:t xml:space="preserve"> Geiseln zur Kenntnis;</w:t>
            </w:r>
          </w:p>
        </w:tc>
        <w:tc>
          <w:tcPr>
            <w:tcW w:w="4876" w:type="dxa"/>
            <w:tcBorders>
              <w:top w:val="nil"/>
              <w:left w:val="nil"/>
              <w:bottom w:val="nil"/>
              <w:right w:val="nil"/>
            </w:tcBorders>
          </w:tcPr>
          <w:p>
            <w:pPr>
              <w:pStyle w:val="Normal6a"/>
            </w:pPr>
            <w:r>
              <w:t>9.</w:t>
            </w:r>
            <w:r>
              <w:tab/>
            </w:r>
            <w:r>
              <w:t xml:space="preserve">nimmt die Bemühungen Saudi-Arabiens um eine Deeskalation im Zusammenhang mit der </w:t>
            </w:r>
            <w:r>
              <w:rPr>
                <w:b/>
                <w:i/>
              </w:rPr>
              <w:t>derzeitigen Krise</w:t>
            </w:r>
            <w:r>
              <w:t xml:space="preserve"> im Gazastreifen, seine Unterstützung für humanitäre Hilfe und seine Forderungen nach einem Waffenstillstand und der Freilassung </w:t>
            </w:r>
            <w:r>
              <w:rPr>
                <w:b/>
                <w:i/>
              </w:rPr>
              <w:t>der von der Hamas festgehaltenen</w:t>
            </w:r>
            <w:r>
              <w:t xml:space="preserve"> Geiseln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begrüßt die New Yorker Erklärung, die zum Abschluss der hochrangigen internationalen Konferenz für die friedliche Beilegung der Palästinafrage und die Umsetzung der Zweistaatenlösung, die vom 28. bis 30. Juli 2025 unter dem gemeinsamen Vorsitz Saudi-Arabiens und Frankreichs stattfand, abgegeben wurde;</w:t>
            </w:r>
            <w:r>
              <w:t xml:space="preserve"> </w:t>
            </w:r>
            <w:r>
              <w:rPr>
                <w:b/>
                <w:i/>
              </w:rPr>
              <w:t>bekräftigt das Engagement des Europäischen Parlaments für eine auf dem Verhandlungsweg erreichte Zweistaatenlösung auf der Grundlage der Grenzen von 1967, bei der Israel und Palästina als demokratische und souveräne Nachbarn mit Jerusalem als gemeinsamer Hauptstadt Seite an Seite in Frieden und Sicherheit leben, da dies der einzige gangbare Weg zu dauerhaftem Frieden und Stabilität im Nahen Osten ist;</w:t>
            </w:r>
            <w:r>
              <w:t xml:space="preserve"> </w:t>
            </w:r>
            <w:r>
              <w:rPr>
                <w:b/>
                <w:i/>
              </w:rPr>
              <w:t>bekräftigt, dass es keine Aussicht auf Frieden, Sicherheit und Stabilität im Gazastreifen sowie auf eine Aussöhnung zwischen der israelischen und der palästinensischen Bevölkerung geben kann, solange die Hamas im Gazastreifen eine Rolle spielt;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Saudi-Arabien auf, die Bemühungen um eine Normalisierung der Beziehungen zu Israel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würdigt den anhaltenden Einsatz Saudi-Arabiens für Syrien, einschließlich regionaler Konsultationen zur Stabilisierung und zum Wiederaufbau nach Konflikten; betont, dass es wichtig ist, die territoriale Integrität Syriens zu wahren;</w:t>
            </w:r>
          </w:p>
        </w:tc>
        <w:tc>
          <w:tcPr>
            <w:tcW w:w="4876" w:type="dxa"/>
            <w:tcBorders>
              <w:top w:val="nil"/>
              <w:left w:val="nil"/>
              <w:bottom w:val="nil"/>
              <w:right w:val="nil"/>
            </w:tcBorders>
          </w:tcPr>
          <w:p>
            <w:pPr>
              <w:pStyle w:val="Normal6a"/>
            </w:pPr>
            <w:r>
              <w:t>10.</w:t>
            </w:r>
            <w:r>
              <w:tab/>
            </w:r>
            <w:r>
              <w:t xml:space="preserve">würdigt den anhaltenden Einsatz Saudi-Arabiens für Syrien, einschließlich regionaler Konsultationen zur Stabilisierung und zum Wiederaufbau nach Konflikten; betont, dass es wichtig ist, die territoriale Integrität Syriens zu wahren; </w:t>
            </w:r>
            <w:r>
              <w:rPr>
                <w:b/>
                <w:i/>
              </w:rPr>
              <w:t>fordert eine verstärkte Zusammenarbeit zwischen der EU und Saudi-Arabien, um einen friedlichen und inklusiven Übergang in Syrien sicherzustellen und Christen und alle Minderheitengemeinschaften in Syrien zu schützen, indem ihre Sicherheit, ihre Religionsfreiheit und der Schutz ihres kulturellen Erbes gewährleistet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würdigt </w:t>
            </w:r>
            <w:r>
              <w:rPr>
                <w:b/>
                <w:i/>
              </w:rPr>
              <w:t>den anhaltenden Einsatz</w:t>
            </w:r>
            <w:r>
              <w:t xml:space="preserve"> Saudi-Arabiens </w:t>
            </w:r>
            <w:r>
              <w:rPr>
                <w:b/>
                <w:i/>
              </w:rPr>
              <w:t>für</w:t>
            </w:r>
            <w:r>
              <w:t xml:space="preserve"> Syrien, </w:t>
            </w:r>
            <w:r>
              <w:rPr>
                <w:b/>
                <w:i/>
              </w:rPr>
              <w:t>einschließlich regionaler</w:t>
            </w:r>
            <w:r>
              <w:t xml:space="preserve"> Konsultationen </w:t>
            </w:r>
            <w:r>
              <w:rPr>
                <w:b/>
                <w:i/>
              </w:rPr>
              <w:t>zur Stabilisierung und zum Wiederaufbau nach Konflikten</w:t>
            </w:r>
            <w:r>
              <w:t>; betont, dass es wichtig ist, die territoriale Integrität Syriens zu wahren;</w:t>
            </w:r>
          </w:p>
        </w:tc>
        <w:tc>
          <w:tcPr>
            <w:tcW w:w="4876" w:type="dxa"/>
            <w:tcBorders>
              <w:top w:val="nil"/>
              <w:left w:val="nil"/>
              <w:bottom w:val="nil"/>
              <w:right w:val="nil"/>
            </w:tcBorders>
          </w:tcPr>
          <w:p>
            <w:pPr>
              <w:pStyle w:val="Normal6a"/>
            </w:pPr>
            <w:r>
              <w:t>10.</w:t>
            </w:r>
            <w:r>
              <w:tab/>
            </w:r>
            <w:r>
              <w:t xml:space="preserve">würdigt </w:t>
            </w:r>
            <w:r>
              <w:rPr>
                <w:b/>
                <w:i/>
              </w:rPr>
              <w:t>die erheblichen diplomatischen und finanziellen Bemühungen</w:t>
            </w:r>
            <w:r>
              <w:t xml:space="preserve"> Saudi-Arabiens </w:t>
            </w:r>
            <w:r>
              <w:rPr>
                <w:b/>
                <w:i/>
              </w:rPr>
              <w:t>in</w:t>
            </w:r>
            <w:r>
              <w:t xml:space="preserve"> Syrien, </w:t>
            </w:r>
            <w:r>
              <w:rPr>
                <w:b/>
                <w:i/>
              </w:rPr>
              <w:t>unter anderem durch regionale</w:t>
            </w:r>
            <w:r>
              <w:t xml:space="preserve"> Konsultationen </w:t>
            </w:r>
            <w:r>
              <w:rPr>
                <w:b/>
                <w:i/>
              </w:rPr>
              <w:t>sowie umfassendere Stabilisierungs- und Wiederaufbaumaßnahmen;</w:t>
            </w:r>
            <w:r>
              <w:t xml:space="preserve"> </w:t>
            </w:r>
            <w:r>
              <w:rPr>
                <w:b/>
                <w:i/>
              </w:rPr>
              <w:t>fordert Saudi-Arabien und seine Partner in der Region auf, die syrische Übergangsregierung beim Aufbau einer dauerhaften und inklusiven politischen und sicherheitspolitischen Architektur zu unterstützen</w:t>
            </w:r>
            <w:r>
              <w:t xml:space="preserve">; betont, dass es wichtig ist, die </w:t>
            </w:r>
            <w:r>
              <w:rPr>
                <w:b/>
                <w:i/>
              </w:rPr>
              <w:t>Souveränität und</w:t>
            </w:r>
            <w:r>
              <w:t xml:space="preserve"> territoriale Integrität Syriens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würdigt</w:t>
            </w:r>
            <w:r>
              <w:t xml:space="preserve"> den anhaltenden Einsatz Saudi-Arabiens für Syrien, einschließlich regionaler Konsultationen zur Stabilisierung und zum Wiederaufbau nach Konflikten; betont, dass es wichtig ist, die territoriale Integrität Syriens zu wahren;</w:t>
            </w:r>
          </w:p>
        </w:tc>
        <w:tc>
          <w:tcPr>
            <w:tcW w:w="4876" w:type="dxa"/>
            <w:tcBorders>
              <w:top w:val="nil"/>
              <w:left w:val="nil"/>
              <w:bottom w:val="nil"/>
              <w:right w:val="nil"/>
            </w:tcBorders>
          </w:tcPr>
          <w:p>
            <w:pPr>
              <w:pStyle w:val="Normal6a"/>
            </w:pPr>
            <w:r>
              <w:t>10.</w:t>
            </w:r>
            <w:r>
              <w:tab/>
            </w:r>
            <w:r>
              <w:rPr>
                <w:b/>
                <w:i/>
              </w:rPr>
              <w:t>verweist auf</w:t>
            </w:r>
            <w:r>
              <w:t xml:space="preserve"> den anhaltenden Einsatz Saudi-Arabiens für Syrien, einschließlich regionaler Konsultationen zur Stabilisierung und zum Wiederaufbau nach Konflikten; betont, dass es wichtig ist, die territoriale Integrität Syriens zu wahren; </w:t>
            </w:r>
            <w:r>
              <w:rPr>
                <w:b/>
                <w:i/>
              </w:rPr>
              <w:t>weist darauf hin, dass die politische Ausrichtung des derzeitigen Regimes die regionale Sicherheit und die Lage von religiösen Minderheiten im Nahen Osten gefährdet;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Saudi-Arabien auf, die Mittel für das Hilfswerk der Vereinten Nationen für Palästinaflüchtlinge (UNRWA) aufzustocken, um dessen entscheidende Rolle bei der Bereitstellung humanitärer und wesentlicher Dienstleistungen für palästinensische Flüchtlinge zu unterstützen, insbesondere vor dem Hintergrund der israelischen Kampagne gegen das Hilfswerk, und um die Aussetzung der Beiträge einiger Geberländer auszugleichen;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bekräftigt die Unterstützung der EU für den politischen und sozioökonomischen Wiederaufbau Libanons und unterstreicht die Bedeutung der Zusammenarbeit zwischen der EU und Saudi-Arabien bei der Umsetzung der Resolution 1701 (2006) des Sicherheitsrats der Vereinten Nationen</w:t>
            </w:r>
            <w:r>
              <w:rPr>
                <w:b/>
                <w:i/>
              </w:rPr>
              <w:t>, der Unterstützung</w:t>
            </w:r>
            <w:r>
              <w:t xml:space="preserve"> der libanesischen </w:t>
            </w:r>
            <w:r>
              <w:rPr>
                <w:b/>
                <w:i/>
              </w:rPr>
              <w:t>Streitkräfte und der Förderung der Entwaffnung der</w:t>
            </w:r>
            <w:r>
              <w:t xml:space="preserve"> Hisbollah </w:t>
            </w:r>
            <w:r>
              <w:rPr>
                <w:b/>
                <w:i/>
              </w:rPr>
              <w:t>bei gleichzeitiger Verurteilung der Angriffe der israelischen Verteidigungskräfte</w:t>
            </w:r>
            <w:r>
              <w:t>;</w:t>
            </w:r>
          </w:p>
        </w:tc>
        <w:tc>
          <w:tcPr>
            <w:tcW w:w="4876" w:type="dxa"/>
            <w:tcBorders>
              <w:top w:val="nil"/>
              <w:left w:val="nil"/>
              <w:bottom w:val="nil"/>
              <w:right w:val="nil"/>
            </w:tcBorders>
          </w:tcPr>
          <w:p>
            <w:pPr>
              <w:pStyle w:val="Normal6a"/>
            </w:pPr>
            <w:r>
              <w:t>11.</w:t>
            </w:r>
            <w:r>
              <w:tab/>
            </w:r>
            <w:r>
              <w:t>bekräftigt die Unterstützung der EU für den politischen und sozioökonomischen Wiederaufbau Libanons und unterstreicht die Bedeutung der Zusammenarbeit zwischen der EU und Saudi-Arabien bei der Umsetzung der Resolution 1701 (2006) des Sicherheitsrats der Vereinten Nationen</w:t>
            </w:r>
            <w:r>
              <w:rPr>
                <w:b/>
                <w:i/>
              </w:rPr>
              <w:t>;</w:t>
            </w:r>
            <w:r>
              <w:t xml:space="preserve"> </w:t>
            </w:r>
            <w:r>
              <w:rPr>
                <w:b/>
                <w:i/>
              </w:rPr>
              <w:t>begrüßt die Bemühungen</w:t>
            </w:r>
            <w:r>
              <w:t xml:space="preserve"> der libanesischen </w:t>
            </w:r>
            <w:r>
              <w:rPr>
                <w:b/>
                <w:i/>
              </w:rPr>
              <w:t>Regierung und fordert, dass die</w:t>
            </w:r>
            <w:r>
              <w:t xml:space="preserve"> Hisbollah </w:t>
            </w:r>
            <w:r>
              <w:rPr>
                <w:b/>
                <w:i/>
              </w:rPr>
              <w:t>im Einklang mit dem jüngsten von den USA vermittelten Fahrplan bis Ende 2025 vollständig und bedingungslos entwaffnet wird</w:t>
            </w:r>
            <w:r>
              <w:t xml:space="preserve">; </w:t>
            </w:r>
            <w:r>
              <w:rPr>
                <w:b/>
                <w:i/>
              </w:rPr>
              <w:t>betont, dass es wichtig ist, die Souveränität und territoriale Integrität Libanons zu respektieren;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 bei gleichzeitiger Verurteilung der Angriffe der israelischen Verteidigungskräfte;</w:t>
            </w:r>
          </w:p>
        </w:tc>
        <w:tc>
          <w:tcPr>
            <w:tcW w:w="4876" w:type="dxa"/>
            <w:tcBorders>
              <w:top w:val="nil"/>
              <w:left w:val="nil"/>
              <w:bottom w:val="nil"/>
              <w:right w:val="nil"/>
            </w:tcBorders>
          </w:tcPr>
          <w:p>
            <w:pPr>
              <w:pStyle w:val="Normal6a"/>
            </w:pPr>
            <w:r>
              <w:t>11.</w:t>
            </w:r>
            <w:r>
              <w:tab/>
            </w:r>
            <w:r>
              <w:t xml:space="preserve">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 bei gleichzeitiger Verurteilung der Angriffe der israelischen Verteidigungskräfte </w:t>
            </w:r>
            <w:r>
              <w:rPr>
                <w:b/>
                <w:i/>
              </w:rPr>
              <w:t>auf die Friedenssicherungskräfte der Interimstruppe der Vereinten Nationen in Libanon (UNIFIL)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 </w:t>
            </w:r>
            <w:r>
              <w:rPr>
                <w:b/>
                <w:i/>
              </w:rPr>
              <w:t>bei gleichzeitiger Verurteilung der Angriffe der israelischen Verteidigungskräfte</w:t>
            </w:r>
            <w:r>
              <w:t>;</w:t>
            </w:r>
          </w:p>
        </w:tc>
        <w:tc>
          <w:tcPr>
            <w:tcW w:w="4876" w:type="dxa"/>
            <w:tcBorders>
              <w:top w:val="nil"/>
              <w:left w:val="nil"/>
              <w:bottom w:val="nil"/>
              <w:right w:val="nil"/>
            </w:tcBorders>
          </w:tcPr>
          <w:p>
            <w:pPr>
              <w:pStyle w:val="Normal6a"/>
            </w:pPr>
            <w:r>
              <w:t>11.</w:t>
            </w:r>
            <w:r>
              <w:tab/>
            </w:r>
            <w:r>
              <w:t>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 </w:t>
            </w:r>
            <w:r>
              <w:rPr>
                <w:b/>
                <w:i/>
              </w:rPr>
              <w:t>bei gleichzeitiger Verurteilung der Angriffe der israelischen Verteidigungskräfte</w:t>
            </w:r>
            <w:r>
              <w:t>;</w:t>
            </w:r>
          </w:p>
        </w:tc>
        <w:tc>
          <w:tcPr>
            <w:tcW w:w="4876" w:type="dxa"/>
            <w:tcBorders>
              <w:top w:val="nil"/>
              <w:left w:val="nil"/>
              <w:bottom w:val="nil"/>
              <w:right w:val="nil"/>
            </w:tcBorders>
          </w:tcPr>
          <w:p>
            <w:pPr>
              <w:pStyle w:val="Normal6a"/>
            </w:pPr>
            <w:r>
              <w:t>11.</w:t>
            </w:r>
            <w:r>
              <w:tab/>
            </w:r>
            <w:r>
              <w:t>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 </w:t>
            </w:r>
            <w:r>
              <w:rPr>
                <w:b/>
                <w:i/>
              </w:rPr>
              <w:t>bei gleichzeitiger Verurteilung der Angriffe der israelischen Verteidigungskräfte</w:t>
            </w:r>
            <w:r>
              <w:t>;</w:t>
            </w:r>
          </w:p>
        </w:tc>
        <w:tc>
          <w:tcPr>
            <w:tcW w:w="4876" w:type="dxa"/>
            <w:tcBorders>
              <w:top w:val="nil"/>
              <w:left w:val="nil"/>
              <w:bottom w:val="nil"/>
              <w:right w:val="nil"/>
            </w:tcBorders>
          </w:tcPr>
          <w:p>
            <w:pPr>
              <w:pStyle w:val="Normal6a"/>
            </w:pPr>
            <w:r>
              <w:t>11.</w:t>
            </w:r>
            <w:r>
              <w:tab/>
            </w:r>
            <w:r>
              <w:t>bekräftigt die Unterstützung der EU für den politischen und sozioökonomischen Wiederaufbau Libanons und unterstreicht die Bedeutung der Zusammenarbeit zwischen der EU und Saudi-Arabien bei der Umsetzung der Resolution 1701 (2006) des Sicherheitsrats der Vereinten Nationen, der Unterstützung der libanesischen Streitkräfte und der Förderung der Entwaffnung der Hisbollah;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erkennt den konstruktiven Ansatz Saudi-Arabiens inmitten der gegenwärtigen regionalen Spannungen durch seinen Weg zur Normalisierung der diplomatischen Beziehungen mit Iran an und hebt die gemeinsame Haltung der EU und Saudi-Arabiens gegenüber iranischen Stellvertretern und der Entwicklung eines iranischen Atomprogramms hervor;</w:t>
            </w:r>
          </w:p>
        </w:tc>
        <w:tc>
          <w:tcPr>
            <w:tcW w:w="4876" w:type="dxa"/>
            <w:tcBorders>
              <w:top w:val="nil"/>
              <w:left w:val="nil"/>
              <w:bottom w:val="nil"/>
              <w:right w:val="nil"/>
            </w:tcBorders>
          </w:tcPr>
          <w:p>
            <w:pPr>
              <w:pStyle w:val="Normal6a"/>
            </w:pPr>
            <w:r>
              <w:t>12.</w:t>
            </w:r>
            <w:r>
              <w:tab/>
            </w:r>
            <w:r>
              <w:t xml:space="preserve">erkennt den konstruktiven Ansatz Saudi-Arabiens inmitten der gegenwärtigen regionalen Spannungen durch seinen Weg zur Normalisierung der diplomatischen Beziehungen mit Iran an und hebt die gemeinsame Haltung der EU und Saudi-Arabiens gegenüber iranischen Stellvertretern und der Entwicklung eines iranischen Atomprogramms hervor; </w:t>
            </w:r>
            <w:r>
              <w:rPr>
                <w:b/>
                <w:i/>
              </w:rPr>
              <w:t>verurteilt in diesem Zusammenhang auch die Programme Irans für ballistische Raketen und für bewaffnete unbemannte Luftfahrzeuge (UAV);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erkennt den konstruktiven Ansatz</w:t>
            </w:r>
            <w:r>
              <w:t xml:space="preserve"> Saudi-Arabiens </w:t>
            </w:r>
            <w:r>
              <w:rPr>
                <w:b/>
                <w:i/>
              </w:rPr>
              <w:t>inmitten der gegenwärtigen</w:t>
            </w:r>
            <w:r>
              <w:t xml:space="preserve"> regionalen Spannungen </w:t>
            </w:r>
            <w:r>
              <w:rPr>
                <w:b/>
                <w:i/>
              </w:rPr>
              <w:t>durch seinen Weg zur</w:t>
            </w:r>
            <w:r>
              <w:t xml:space="preserve"> Normalisierung der diplomatischen Beziehungen mit Iran </w:t>
            </w:r>
            <w:r>
              <w:rPr>
                <w:b/>
                <w:i/>
              </w:rPr>
              <w:t>an und hebt</w:t>
            </w:r>
            <w:r>
              <w:t xml:space="preserve"> die </w:t>
            </w:r>
            <w:r>
              <w:rPr>
                <w:b/>
                <w:i/>
              </w:rPr>
              <w:t>gemeinsame Haltung der</w:t>
            </w:r>
            <w:r>
              <w:t xml:space="preserve"> EU und </w:t>
            </w:r>
            <w:r>
              <w:rPr>
                <w:b/>
                <w:i/>
              </w:rPr>
              <w:t>Saudi-Arabiens gegenüber iranischen Stellvertretern</w:t>
            </w:r>
            <w:r>
              <w:t xml:space="preserve"> und der </w:t>
            </w:r>
            <w:r>
              <w:rPr>
                <w:b/>
                <w:i/>
              </w:rPr>
              <w:t>Entwicklung eines</w:t>
            </w:r>
            <w:r>
              <w:t xml:space="preserve"> iranischen Atomprogramms </w:t>
            </w:r>
            <w:r>
              <w:rPr>
                <w:b/>
                <w:i/>
              </w:rPr>
              <w:t>hervor</w:t>
            </w:r>
            <w:r>
              <w:t>;</w:t>
            </w:r>
          </w:p>
        </w:tc>
        <w:tc>
          <w:tcPr>
            <w:tcW w:w="4876" w:type="dxa"/>
            <w:tcBorders>
              <w:top w:val="nil"/>
              <w:left w:val="nil"/>
              <w:bottom w:val="nil"/>
              <w:right w:val="nil"/>
            </w:tcBorders>
          </w:tcPr>
          <w:p>
            <w:pPr>
              <w:pStyle w:val="Normal6a"/>
            </w:pPr>
            <w:r>
              <w:t>12.</w:t>
            </w:r>
            <w:r>
              <w:tab/>
            </w:r>
            <w:r>
              <w:rPr>
                <w:b/>
                <w:i/>
              </w:rPr>
              <w:t>würdigt die konstruktive Rolle</w:t>
            </w:r>
            <w:r>
              <w:t xml:space="preserve"> Saudi-Arabiens </w:t>
            </w:r>
            <w:r>
              <w:rPr>
                <w:b/>
                <w:i/>
              </w:rPr>
              <w:t>angesichts der derzeitigen</w:t>
            </w:r>
            <w:r>
              <w:t xml:space="preserve"> regionalen Spannungen</w:t>
            </w:r>
            <w:r>
              <w:rPr>
                <w:b/>
                <w:i/>
              </w:rPr>
              <w:t>, der verstärkten Zusammenarbeit zwischen Saudi-Arabien und den Vereinigten Arabischen Emiraten und der schrittweisen</w:t>
            </w:r>
            <w:r>
              <w:t xml:space="preserve"> Normalisierung der diplomatischen Beziehungen mit Iran</w:t>
            </w:r>
            <w:r>
              <w:rPr>
                <w:b/>
                <w:i/>
              </w:rPr>
              <w:t>;</w:t>
            </w:r>
            <w:r>
              <w:t xml:space="preserve"> </w:t>
            </w:r>
            <w:r>
              <w:rPr>
                <w:b/>
                <w:i/>
              </w:rPr>
              <w:t>hebt hervor, dass sich</w:t>
            </w:r>
            <w:r>
              <w:t xml:space="preserve"> die EU und </w:t>
            </w:r>
            <w:r>
              <w:rPr>
                <w:b/>
                <w:i/>
              </w:rPr>
              <w:t>Saudi-Arabien bei der Eindämmung iranischer Stellvertreter</w:t>
            </w:r>
            <w:r>
              <w:t xml:space="preserve"> und der </w:t>
            </w:r>
            <w:r>
              <w:rPr>
                <w:b/>
                <w:i/>
              </w:rPr>
              <w:t>Unterbindung der Weiterentwicklung des</w:t>
            </w:r>
            <w:r>
              <w:t xml:space="preserve"> iranischen Atomprogramms </w:t>
            </w:r>
            <w:r>
              <w:rPr>
                <w:b/>
                <w:i/>
              </w:rPr>
              <w:t>einig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hebt die gemeinsame Priorität</w:t>
            </w:r>
            <w:r>
              <w:t xml:space="preserve"> der EU und Saudi-Arabiens </w:t>
            </w:r>
            <w:r>
              <w:rPr>
                <w:b/>
                <w:i/>
              </w:rPr>
              <w:t>hervor, einen dauerhaften Frieden in</w:t>
            </w:r>
            <w:r>
              <w:t xml:space="preserve"> Jemen </w:t>
            </w:r>
            <w:r>
              <w:rPr>
                <w:b/>
                <w:i/>
              </w:rPr>
              <w:t>zu schaffen, und würdigt das anhaltende Engagement Saudi-Arabiens für eine inklusive politische Lösung in Jemen</w:t>
            </w:r>
            <w:r>
              <w:t>;</w:t>
            </w:r>
          </w:p>
        </w:tc>
        <w:tc>
          <w:tcPr>
            <w:tcW w:w="4876" w:type="dxa"/>
            <w:tcBorders>
              <w:top w:val="nil"/>
              <w:left w:val="nil"/>
              <w:bottom w:val="nil"/>
              <w:right w:val="nil"/>
            </w:tcBorders>
          </w:tcPr>
          <w:p>
            <w:pPr>
              <w:pStyle w:val="Normal6a"/>
            </w:pPr>
            <w:r>
              <w:t>13.</w:t>
            </w:r>
            <w:r>
              <w:tab/>
            </w:r>
            <w:r>
              <w:rPr>
                <w:b/>
                <w:i/>
              </w:rPr>
              <w:t>betont, dass Saudi-Arabien seine Außenpolitik gegenüber Jemen von einer militärischen Intervention, die mindestens 375 000 Todesfälle – hauptsächlich durch Hunger aufgrund der Seeblockade Jemens durch Saudi-Arabien –, weitreichende Zerstörung und eine anhaltende humanitäre Krise verursacht hat, hin zu einer diplomatischen Lösung geändert hat, nachdem auf internationaler Ebene Druck ausgeübt wurde und es zu einer Annäherung zwischen Saudi-Arabiens und Iran gekommen ist;</w:t>
            </w:r>
            <w:r>
              <w:t xml:space="preserve"> </w:t>
            </w:r>
            <w:r>
              <w:rPr>
                <w:b/>
                <w:i/>
              </w:rPr>
              <w:t>fordert, dass die humanitäre Hilfe</w:t>
            </w:r>
            <w:r>
              <w:t xml:space="preserve"> der EU und Saudi-Arabiens </w:t>
            </w:r>
            <w:r>
              <w:rPr>
                <w:b/>
                <w:i/>
              </w:rPr>
              <w:t>für</w:t>
            </w:r>
            <w:r>
              <w:t xml:space="preserve"> Jemen </w:t>
            </w:r>
            <w:r>
              <w:rPr>
                <w:b/>
                <w:i/>
              </w:rPr>
              <w:t>aufgestockt wird und dass gemeinsame Anstrengungen unternommen werden, um gezielten Angriffen auf Hilfskräfte entgegenzuwirken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hebt die gemeinsame Priorität der EU und Saudi-Arabiens hervor, einen dauerhaften Frieden in Jemen zu schaffen, und würdigt das anhaltende Engagement Saudi-Arabiens für eine inklusive politische Lösung in Jemen;</w:t>
            </w:r>
          </w:p>
        </w:tc>
        <w:tc>
          <w:tcPr>
            <w:tcW w:w="4876" w:type="dxa"/>
            <w:tcBorders>
              <w:top w:val="nil"/>
              <w:left w:val="nil"/>
              <w:bottom w:val="nil"/>
              <w:right w:val="nil"/>
            </w:tcBorders>
          </w:tcPr>
          <w:p>
            <w:pPr>
              <w:pStyle w:val="Normal6a"/>
            </w:pPr>
            <w:r>
              <w:t>13.</w:t>
            </w:r>
            <w:r>
              <w:tab/>
            </w:r>
            <w:r>
              <w:t xml:space="preserve">hebt die gemeinsame Priorität der EU und Saudi-Arabiens hervor, einen dauerhaften Frieden in Jemen zu schaffen, und würdigt das anhaltende Engagement Saudi-Arabiens für eine inklusive politische Lösung in Jemen; </w:t>
            </w:r>
            <w:r>
              <w:rPr>
                <w:b/>
                <w:i/>
              </w:rPr>
              <w:t>fordert Saudi-Arabien auf, einen unabhängigen internationalen Untersuchungsmechanismus für Verstöße gegen das humanitäre Völkerrecht durch seine Streitkräfte zu unterstützen, einschließlich der Verstöße der von Saudi-Arabien und den VAE geführten Koalition in Jemen zwischen 2015 und 2022 und der Massenmorde an äthiopischen Migranten an der jemenitisch-saudischen Grenze zwischen März 2022 und Juni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Saudi-Arabien auf, einen unabhängigen gemeinsamen internationalen Untersuchungsmechanismus für Verstöße gegen das humanitäre Völkerrecht durch seine Streitkräfte zu unterstützen, einschließlich der Verstöße der von Saudi-Arabien und den VAE geführten Koalition in Jemen zwischen 2015 und 2022 und der Massenmorde an äthiopischen Migranten an der jemenitisch-saudischen Grenze, und betont, dass sichergestellt werden muss, dass den Opfern dieser Übergriffe Gerechtigkeit zuteil wird, auch durch angemessene Wiedergutmachung;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Saudi-Arabien auf, einen unabhängigen gemeinsamen internationalen Untersuchungsmechanismus für Verstöße gegen das humanitäre Völkerrecht durch seine Streitkräfte zu unterstützen, einschließlich der Verstöße der von Saudi-Arabien und den VAE geführten Koalition in Jemen zwischen 2015 und 2022 und der Massenmorde an äthiopischen Migranten an der jemenitisch-saudischen Grenze, und betont, dass sichergestellt werden muss, dass den Opfern dieser Übergriffe Gerechtigkeit zuteil wird, auch durch angemessene Wiedergutmachung;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betont, dass sich die EU unerschütterlich dafür einsetzt, den Schutz von Seeverkehrsrouten und internationalen Schifffahrtsrechten im Roten Meer sicherzustellen; hebt die nachrichtendienstliche Zusammenarbeit Saudi-Arabiens mit den EU-Mitgliedstaaten hervor, die an EUNAVFOR Aspides teilnehmen;</w:t>
            </w:r>
          </w:p>
        </w:tc>
        <w:tc>
          <w:tcPr>
            <w:tcW w:w="4876" w:type="dxa"/>
            <w:tcBorders>
              <w:top w:val="nil"/>
              <w:left w:val="nil"/>
              <w:bottom w:val="nil"/>
              <w:right w:val="nil"/>
            </w:tcBorders>
          </w:tcPr>
          <w:p>
            <w:pPr>
              <w:pStyle w:val="Normal6a"/>
            </w:pPr>
            <w:r>
              <w:t>15.</w:t>
            </w:r>
            <w:r>
              <w:tab/>
            </w:r>
            <w:r>
              <w:t xml:space="preserve">betont, dass sich die EU unerschütterlich dafür einsetzt, den Schutz von Seeverkehrsrouten und internationalen Schifffahrtsrechten im Roten Meer sicherzustellen; hebt die nachrichtendienstliche Zusammenarbeit Saudi-Arabiens mit den EU-Mitgliedstaaten hervor, die an EUNAVFOR Aspides teilnehmen; </w:t>
            </w:r>
            <w:r>
              <w:rPr>
                <w:b/>
                <w:i/>
              </w:rPr>
              <w:t>weist darauf hin, dass Saudi-Arabien und andere Golfstaaten eine Führungsrolle bei der Sicherung der Seeverkehrsrouten, die durch ihre Hoheitsgewässer verlaufen, spielen müssen;</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betont, dass sich die EU unerschütterlich dafür einsetzt, den Schutz von Seeverkehrsrouten und internationalen Schifffahrtsrechten im Roten Meer sicherzustellen; hebt </w:t>
            </w:r>
            <w:r>
              <w:rPr>
                <w:b/>
                <w:i/>
              </w:rPr>
              <w:t>die</w:t>
            </w:r>
            <w:r>
              <w:t xml:space="preserve"> nachrichtendienstliche Zusammenarbeit </w:t>
            </w:r>
            <w:r>
              <w:rPr>
                <w:b/>
                <w:i/>
              </w:rPr>
              <w:t>Saudi-Arabiens</w:t>
            </w:r>
            <w:r>
              <w:t xml:space="preserve"> mit den EU-Mitgliedstaaten </w:t>
            </w:r>
            <w:r>
              <w:rPr>
                <w:b/>
                <w:i/>
              </w:rPr>
              <w:t>hervor</w:t>
            </w:r>
            <w:r>
              <w:t>, die an EUNAVFOR Aspides teilnehmen;</w:t>
            </w:r>
          </w:p>
        </w:tc>
        <w:tc>
          <w:tcPr>
            <w:tcW w:w="4876" w:type="dxa"/>
            <w:tcBorders>
              <w:top w:val="nil"/>
              <w:left w:val="nil"/>
              <w:bottom w:val="nil"/>
              <w:right w:val="nil"/>
            </w:tcBorders>
          </w:tcPr>
          <w:p>
            <w:pPr>
              <w:pStyle w:val="Normal6a"/>
            </w:pPr>
            <w:r>
              <w:t>15.</w:t>
            </w:r>
            <w:r>
              <w:tab/>
            </w:r>
            <w:r>
              <w:t xml:space="preserve">betont, dass sich die EU unerschütterlich dafür einsetzt, den Schutz von Seeverkehrsrouten und internationalen Schifffahrtsrechten im Roten Meer sicherzustellen; hebt </w:t>
            </w:r>
            <w:r>
              <w:rPr>
                <w:b/>
                <w:i/>
              </w:rPr>
              <w:t>das Engagement Saudi-Arabiens für die maritime Sicherheit hervor und fordert eine engere politische und</w:t>
            </w:r>
            <w:r>
              <w:t xml:space="preserve"> nachrichtendienstliche Zusammenarbeit mit den EU-Mitgliedstaaten, die an EUNAVFOR Aspides teilnehmen;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betont, dass sich die EU unerschütterlich dafür einsetzt, den Schutz von Seeverkehrsrouten und internationalen Schifffahrtsrechten im Roten Meer sicherzustellen; hebt die nachrichtendienstliche Zusammenarbeit Saudi-Arabiens mit den EU-Mitgliedstaaten hervor</w:t>
            </w:r>
            <w:r>
              <w:rPr>
                <w:b/>
                <w:i/>
              </w:rPr>
              <w:t>, die an EUNAVFOR Aspides teilnehmen</w:t>
            </w:r>
            <w:r>
              <w:t>;</w:t>
            </w:r>
          </w:p>
        </w:tc>
        <w:tc>
          <w:tcPr>
            <w:tcW w:w="4876" w:type="dxa"/>
            <w:tcBorders>
              <w:top w:val="nil"/>
              <w:left w:val="nil"/>
              <w:bottom w:val="nil"/>
              <w:right w:val="nil"/>
            </w:tcBorders>
          </w:tcPr>
          <w:p>
            <w:pPr>
              <w:pStyle w:val="Normal6a"/>
            </w:pPr>
            <w:r>
              <w:t>15.</w:t>
            </w:r>
            <w:r>
              <w:tab/>
            </w:r>
            <w:r>
              <w:t xml:space="preserve">betont, dass sich die EU unerschütterlich dafür einsetzt, den Schutz von Seeverkehrsrouten und internationalen Schifffahrtsrechten im Roten Meer sicherzustellen; hebt die nachrichtendienstliche Zusammenarbeit Saudi-Arabiens mit </w:t>
            </w:r>
            <w:r>
              <w:rPr>
                <w:b/>
                <w:i/>
              </w:rPr>
              <w:t>EUNAVFOR Aspides und mit</w:t>
            </w:r>
            <w:r>
              <w:t xml:space="preserve"> den EU-Mitgliedstaaten </w:t>
            </w:r>
            <w:r>
              <w:rPr>
                <w:b/>
                <w:i/>
              </w:rPr>
              <w:t>allgemein</w:t>
            </w:r>
            <w:r>
              <w:t xml:space="preserve"> hervor;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begrüßt die Beteiligung Saudi-Arabiens an der Ausrichtung der Verhandlungen über einen Waffenstillstand in der Ukraine;</w:t>
            </w:r>
          </w:p>
        </w:tc>
        <w:tc>
          <w:tcPr>
            <w:tcW w:w="4876" w:type="dxa"/>
            <w:tcBorders>
              <w:top w:val="nil"/>
              <w:left w:val="nil"/>
              <w:bottom w:val="nil"/>
              <w:right w:val="nil"/>
            </w:tcBorders>
          </w:tcPr>
          <w:p>
            <w:pPr>
              <w:pStyle w:val="Normal6a"/>
            </w:pPr>
            <w:r>
              <w:t>16.</w:t>
            </w:r>
            <w:r>
              <w:tab/>
            </w:r>
            <w:r>
              <w:t xml:space="preserve">begrüßt die Beteiligung Saudi-Arabiens an der Ausrichtung der Verhandlungen über einen Waffenstillstand in der Ukraine; </w:t>
            </w:r>
            <w:r>
              <w:rPr>
                <w:b/>
                <w:i/>
              </w:rPr>
              <w:t>fordert Saudi-Arabien nachdrücklich auf, bei der Unterstützung der Sanktionen gegen die Russische Föderation enger mit seinen Partnern zusammenzuarbeiten und Maßnahmen zu ergreifen, um dazu beizutragen,den Aktivitäten der russischen Schattenflotte ein Ende zu 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nimmt die Zusage Saudi-Arabiens zur Kenntnis, 600 Mrd. USD in den Vereinigten Staaten zu investieren, einschließlich eines Verteidigungsabkommens und einer strategischen Zusammenarbeit bei neuen Technologien;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nimmt die Zusage Saudi-Arabiens zur Kenntnis, 600 Mrd. USD in den Vereinigten Staaten zu investieren, einschließlich eines Verteidigungsabkommens und einer strategischen Zusammenarbeit bei neuen Technologien;</w:t>
            </w:r>
          </w:p>
        </w:tc>
        <w:tc>
          <w:tcPr>
            <w:tcW w:w="4876" w:type="dxa"/>
            <w:tcBorders>
              <w:top w:val="nil"/>
              <w:left w:val="nil"/>
              <w:bottom w:val="nil"/>
              <w:right w:val="nil"/>
            </w:tcBorders>
          </w:tcPr>
          <w:p>
            <w:pPr>
              <w:pStyle w:val="Normal6a"/>
            </w:pPr>
            <w:r>
              <w:t>17.</w:t>
            </w:r>
            <w:r>
              <w:tab/>
            </w:r>
            <w:r>
              <w:t xml:space="preserve">nimmt die Zusage Saudi-Arabiens zur Kenntnis, 600 Mrd. USD in den Vereinigten Staaten zu investieren, einschließlich eines Verteidigungsabkommens und einer strategischen Zusammenarbeit bei neuen Technologien; </w:t>
            </w:r>
            <w:r>
              <w:rPr>
                <w:b/>
                <w:i/>
              </w:rPr>
              <w:t>betont, dass die EU ihre eigene strategische Autonomie bewahren und ihre wirtschaftlichen und technologischen Interessen angesichts dieser Entwicklung verteidigen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erkennt die Rolle Saudi-Arabiens </w:t>
            </w:r>
            <w:r>
              <w:rPr>
                <w:b/>
                <w:i/>
              </w:rPr>
              <w:t>in</w:t>
            </w:r>
            <w:r>
              <w:t xml:space="preserve"> der multilateralen Zusammenarbeit an, </w:t>
            </w:r>
            <w:r>
              <w:rPr>
                <w:b/>
                <w:i/>
              </w:rPr>
              <w:t>einschließlich seines wachsenden Engagements</w:t>
            </w:r>
            <w:r>
              <w:t xml:space="preserve"> in Afrika, insbesondere in der Sahelzone, und in Asien;</w:t>
            </w:r>
          </w:p>
        </w:tc>
        <w:tc>
          <w:tcPr>
            <w:tcW w:w="4876" w:type="dxa"/>
            <w:tcBorders>
              <w:top w:val="nil"/>
              <w:left w:val="nil"/>
              <w:bottom w:val="nil"/>
              <w:right w:val="nil"/>
            </w:tcBorders>
          </w:tcPr>
          <w:p>
            <w:pPr>
              <w:pStyle w:val="Normal6a"/>
            </w:pPr>
            <w:r>
              <w:t>18.</w:t>
            </w:r>
            <w:r>
              <w:tab/>
            </w:r>
            <w:r>
              <w:t xml:space="preserve">erkennt die Rolle Saudi-Arabiens </w:t>
            </w:r>
            <w:r>
              <w:rPr>
                <w:b/>
                <w:i/>
              </w:rPr>
              <w:t>bei der Förderung</w:t>
            </w:r>
            <w:r>
              <w:t xml:space="preserve"> der multilateralen Zusammenarbeit an, </w:t>
            </w:r>
            <w:r>
              <w:rPr>
                <w:b/>
                <w:i/>
              </w:rPr>
              <w:t>unter anderem durch sein wachsendes Engagement</w:t>
            </w:r>
            <w:r>
              <w:t xml:space="preserve"> in Afrika, insbesondere in der Sahelzone, und in Asien; </w:t>
            </w:r>
            <w:r>
              <w:rPr>
                <w:b/>
                <w:i/>
              </w:rPr>
              <w:t>fordert eine engere Koordinierung zwischen der EU und Saudi-Arabien bei der Zusammenarbeit im Energiebereich, der überregionalen Infrastrukturentwicklung, dem Aufbau von Kapazitäten, der Entwicklung des Humankapitals, Finanzinstrumenten und Investitionsmechanismen auf dem gesamten afrikanischen Kontinent;</w:t>
            </w:r>
            <w:r>
              <w:t xml:space="preserve"> </w:t>
            </w:r>
            <w:r>
              <w:rPr>
                <w:b/>
                <w:i/>
              </w:rPr>
              <w:t>betont, dass es wichtig ist, von Saudi-Arabien geführte Projekte in die EU-Rahmen, darunter die Global-Gateway-Initiative, zu integrieren;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stellt fest, dass Saudi-Arabien offiziell eingeladen wurde, Mitglied der BRICS-Ländergruppe zu werden;</w:t>
            </w:r>
          </w:p>
        </w:tc>
        <w:tc>
          <w:tcPr>
            <w:tcW w:w="4876" w:type="dxa"/>
            <w:tcBorders>
              <w:top w:val="nil"/>
              <w:left w:val="nil"/>
              <w:bottom w:val="nil"/>
              <w:right w:val="nil"/>
            </w:tcBorders>
          </w:tcPr>
          <w:p>
            <w:pPr>
              <w:pStyle w:val="Normal6a"/>
            </w:pPr>
            <w:r>
              <w:t>19.</w:t>
            </w:r>
            <w:r>
              <w:tab/>
            </w:r>
            <w:r>
              <w:t xml:space="preserve">stellt fest, dass Saudi-Arabien offiziell eingeladen wurde, Mitglied der BRICS-Ländergruppe zu werden; </w:t>
            </w:r>
            <w:r>
              <w:rPr>
                <w:b/>
                <w:i/>
              </w:rPr>
              <w:t>stellt fest, dass die Annäherung Saudi-Arabiens an die BRICS-Staaten einen Trend hin zu diversifizierten Bündnissen widerspiegelt, und fordert die EU auf, konstruktiv mit Saudi-Arabien in multilateralen Foren zusammenzuarbeiten, um gemeinsame Handels- und Investitionsinteressen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stellt fest, dass Saudi-Arabien offiziell eingeladen wurde, Mitglied der BRICS-Ländergruppe zu werden;</w:t>
            </w:r>
          </w:p>
        </w:tc>
        <w:tc>
          <w:tcPr>
            <w:tcW w:w="4876" w:type="dxa"/>
            <w:tcBorders>
              <w:top w:val="nil"/>
              <w:left w:val="nil"/>
              <w:bottom w:val="nil"/>
              <w:right w:val="nil"/>
            </w:tcBorders>
          </w:tcPr>
          <w:p>
            <w:pPr>
              <w:pStyle w:val="Normal6a"/>
            </w:pPr>
            <w:r>
              <w:t>19.</w:t>
            </w:r>
            <w:r>
              <w:tab/>
            </w:r>
            <w:r>
              <w:t xml:space="preserve">stellt </w:t>
            </w:r>
            <w:r>
              <w:rPr>
                <w:b/>
                <w:i/>
              </w:rPr>
              <w:t>mit Besorgnis</w:t>
            </w:r>
            <w:r>
              <w:t xml:space="preserve"> fest, dass Saudi-Arabien offiziell eingeladen wurde, Mitglied der BRICS-Ländergruppe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nimmt die Stärkung der bilateralen Beziehungen zwischen Saudi-Arabien und der Türkei zur Kenntnis, insbesondere in den Bereichen Sicherheit und Verteidigung;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nimmt die Stärkung der bilateralen Beziehungen zwischen Saudi-Arabien und der Türkei zur Kenntnis, insbesondere in den Bereichen Sicherheit und Verteidigung;</w:t>
            </w:r>
          </w:p>
        </w:tc>
        <w:tc>
          <w:tcPr>
            <w:tcW w:w="4876" w:type="dxa"/>
            <w:tcBorders>
              <w:top w:val="nil"/>
              <w:left w:val="nil"/>
              <w:bottom w:val="nil"/>
              <w:right w:val="nil"/>
            </w:tcBorders>
          </w:tcPr>
          <w:p>
            <w:pPr>
              <w:pStyle w:val="Normal6a"/>
            </w:pPr>
            <w:r>
              <w:t>20.</w:t>
            </w:r>
            <w:r>
              <w:tab/>
            </w:r>
            <w:r>
              <w:t xml:space="preserve">nimmt die Stärkung der bilateralen Beziehungen zwischen Saudi-Arabien und der Türkei zur Kenntnis, insbesondere in den Bereichen Sicherheit und Verteidigung; </w:t>
            </w:r>
            <w:r>
              <w:rPr>
                <w:b/>
                <w:i/>
              </w:rPr>
              <w:t>fordert Saudi-Arabien auf, diese Beziehungen zu nutzen, um die Türkei dazu zu bewegen, einen konstruktiven Beitrag zum Friedensprozess im Nahen Osten zu leisten, indem sie die Hamas als terroristische Organisation anerkennt und die politische, finanzielle und logistische Unterstützung beendet;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nimmt</w:t>
            </w:r>
            <w:r>
              <w:t xml:space="preserve"> die Stärkung der bilateralen Beziehungen zwischen Saudi-Arabien und der Türkei </w:t>
            </w:r>
            <w:r>
              <w:rPr>
                <w:b/>
                <w:i/>
              </w:rPr>
              <w:t>zur Kenntnis</w:t>
            </w:r>
            <w:r>
              <w:t>, insbesondere in den Bereichen Sicherheit und Verteidigung;</w:t>
            </w:r>
          </w:p>
        </w:tc>
        <w:tc>
          <w:tcPr>
            <w:tcW w:w="4876" w:type="dxa"/>
            <w:tcBorders>
              <w:top w:val="nil"/>
              <w:left w:val="nil"/>
              <w:bottom w:val="nil"/>
              <w:right w:val="nil"/>
            </w:tcBorders>
          </w:tcPr>
          <w:p>
            <w:pPr>
              <w:pStyle w:val="Normal6a"/>
            </w:pPr>
            <w:r>
              <w:t>20.</w:t>
            </w:r>
            <w:r>
              <w:tab/>
            </w:r>
            <w:r>
              <w:rPr>
                <w:b/>
                <w:i/>
              </w:rPr>
              <w:t>bedauert</w:t>
            </w:r>
            <w:r>
              <w:t xml:space="preserve"> die Stärkung der bilateralen Beziehungen zwischen Saudi-Arabien und der Türkei, insbesondere in den Bereichen Sicherheit und Verteidigung; </w:t>
            </w:r>
            <w:r>
              <w:rPr>
                <w:b/>
                <w:i/>
              </w:rPr>
              <w:t>weist darauf hin, dass die Türkei in Syrien den Wechsel zu einem brutalen Regime unterstützt hat, das wiederholt Übergriffe auf religiöse Minderheiten verübt;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nimmt die Stärkung der bilateralen Beziehungen zwischen Saudi-Arabien und der Türkei zur Kenntnis, insbesondere in den Bereichen Sicherheit und Verteidigung;</w:t>
            </w:r>
          </w:p>
        </w:tc>
        <w:tc>
          <w:tcPr>
            <w:tcW w:w="4876" w:type="dxa"/>
            <w:tcBorders>
              <w:top w:val="nil"/>
              <w:left w:val="nil"/>
              <w:bottom w:val="nil"/>
              <w:right w:val="nil"/>
            </w:tcBorders>
          </w:tcPr>
          <w:p>
            <w:pPr>
              <w:pStyle w:val="Normal6a"/>
            </w:pPr>
            <w:r>
              <w:t>20.</w:t>
            </w:r>
            <w:r>
              <w:tab/>
            </w:r>
            <w:r>
              <w:t xml:space="preserve">nimmt </w:t>
            </w:r>
            <w:r>
              <w:rPr>
                <w:b/>
                <w:i/>
              </w:rPr>
              <w:t>mit Besorgnis</w:t>
            </w:r>
            <w:r>
              <w:t xml:space="preserve"> die Stärkung der bilateralen Beziehungen zwischen Saudi-Arabien und der Türkei zur Kenntnis, insbesondere in den Bereichen Sicherheit und Verteidigung;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betont, dass Saudi-Arabien trotz der Entwicklung neuer Partnerschaften sicherstellen sollte, dass seine Politik weiterhin mit den Interessen und Werten seiner langjährigen Partner, insbesondere der EU und ihrer Mitgliedstaaten,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begrüßt die konsequente Haltung Saudi-Arabiens gegenüber der Muslimbruderschaft als terroristische Organisation und fordert die EU und ihre Mitgliedstaaten auf, diesem Beispiel zu folgen und die Muslimbruderschaft als terroristische Organisation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fordert das Königreich Saudi-Arabien auf, sich den Abraham-Abkommen anzuschließen, um die regionale Stabilität und die Normalisierung der Beziehungen zu Israel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begrüßt</w:t>
            </w:r>
            <w:r>
              <w:t xml:space="preserve"> die ehrgeizigen Pläne Saudi-Arabiens mit dem Titel „Vision 2030“, in denen konstruktive sozioökonomische Reformen zur Modernisierung des Landes und seiner Institutionen sowie zur Diversifizierung der Wirtschaft skizziert werden;</w:t>
            </w:r>
          </w:p>
        </w:tc>
        <w:tc>
          <w:tcPr>
            <w:tcW w:w="4876" w:type="dxa"/>
            <w:tcBorders>
              <w:top w:val="nil"/>
              <w:left w:val="nil"/>
              <w:bottom w:val="nil"/>
              <w:right w:val="nil"/>
            </w:tcBorders>
          </w:tcPr>
          <w:p>
            <w:pPr>
              <w:pStyle w:val="Normal6a"/>
            </w:pPr>
            <w:r>
              <w:t>21.</w:t>
            </w:r>
            <w:r>
              <w:tab/>
            </w:r>
            <w:r>
              <w:rPr>
                <w:b/>
                <w:i/>
              </w:rPr>
              <w:t>nimmt</w:t>
            </w:r>
            <w:r>
              <w:t xml:space="preserve"> die ehrgeizigen Pläne Saudi-Arabiens mit dem Titel „Vision 2030“ </w:t>
            </w:r>
            <w:r>
              <w:rPr>
                <w:b/>
                <w:i/>
              </w:rPr>
              <w:t>zur Kenntnis</w:t>
            </w:r>
            <w:r>
              <w:t>, in denen konstruktive sozioökonomische Reformen zur Modernisierung des Landes und seiner Institutionen sowie zur Diversifizierung der Wirtschaft skizziert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begrüßt den Ansatz des Königreichs Saudi-Arabien unter der Führung von König Salman bin Abdulaziz und Kronprinz und Premierminister Mohammed bin Salman al-Saud, Toleranz zu fördern und sich von einer restriktiven Religionspolitik abzuwenden;</w:t>
            </w:r>
            <w:r>
              <w:t xml:space="preserve"> </w:t>
            </w:r>
            <w:r>
              <w:rPr>
                <w:b/>
                <w:i/>
              </w:rPr>
              <w:t>stellt einen direkten Zusammenhang zwischen Toleranz und nachhaltigem Wirtschaftswachstum fest und betont, dass Offenheit und Inklusivität die Voraussetzungen für Innovation, Investitionen und sozialen Fortschritt schaffen;</w:t>
            </w:r>
            <w:r>
              <w:t xml:space="preserve"> </w:t>
            </w:r>
            <w:r>
              <w:rPr>
                <w:b/>
                <w:i/>
              </w:rPr>
              <w:t>ist der Ansicht, dass die laufenden Reformen Saudi-Arabiens ein wichtiges Beispiel für die gesamte Region darstellen und zeigen, wie Toleranz sowohl als Grundlage für Stabilität als auch als treibende Kraft für Wohlstand dienen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hebt das Engagement des Königreichs Saudi-Arabien für die Energiewende hervor und weist erneut auf seine Zusage hin, bis 2060 klimaneutral zu sein und bis 2030 50 % seines Stroms aus erneuerbaren Quellen zu erzeugen;</w:t>
            </w:r>
            <w:r>
              <w:t xml:space="preserve"> </w:t>
            </w:r>
            <w:r>
              <w:rPr>
                <w:b/>
                <w:i/>
              </w:rPr>
              <w:t>begrüßt in diesem Zusammenhang das Vorzeigeprojekt zur Erzeugung von vier Millionen Tonnen sauberem Wasserstoff pro Jahr bis 2030, mit dem Saudi-Arabien sein Bestreben unterstreicht, sich als weltweit führender Anbieter von sauberem Wasserstoff zu positionieren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https://www.sgi.gov.sa/saudi-global-climate-impact/.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fordert Saudi-Arabien auf, seine Energielandschaft umzugestalten und im Rahmen seiner Pläne „Vision 2030“ zu erneuerbaren Energiequellen und grünem Wasserstoff überzugehen;</w:t>
            </w:r>
            <w:r>
              <w:t xml:space="preserve"> </w:t>
            </w:r>
            <w:r>
              <w:rPr>
                <w:b/>
                <w:i/>
              </w:rPr>
              <w:t>stellt fest, dass die EU bereit ist, mit ihren saudi-arabischen Partnern bei Projekten zur Verwirklichung der Umweltziele beider Regionen zusammenzuarbeiten;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fordert Saudi-Arabien auf, seine Energielandschaft umzugestalten und im Rahmen seiner Pläne „Vision 2030“ zu erneuerbaren Energiequellen und grünem Wasserstoff überzugehen; stellt fest, dass die EU bereit ist, mit ihren saudi-arabischen Partnern bei Projekten zur Verwirklichung der Umweltziele beider Regionen zusammenzuarbeiten;</w:t>
            </w:r>
          </w:p>
        </w:tc>
        <w:tc>
          <w:tcPr>
            <w:tcW w:w="4876" w:type="dxa"/>
            <w:tcBorders>
              <w:top w:val="nil"/>
              <w:left w:val="nil"/>
              <w:bottom w:val="nil"/>
              <w:right w:val="nil"/>
            </w:tcBorders>
          </w:tcPr>
          <w:p>
            <w:pPr>
              <w:pStyle w:val="Normal6a"/>
            </w:pPr>
            <w:r>
              <w:t>22.</w:t>
            </w:r>
            <w:r>
              <w:tab/>
            </w:r>
            <w:r>
              <w:t xml:space="preserve">fordert Saudi-Arabien auf, seine Energielandschaft umzugestalten und im Rahmen seiner Pläne „Vision 2030“ zu erneuerbaren Energiequellen und grünem Wasserstoff überzugehen; </w:t>
            </w:r>
            <w:r>
              <w:rPr>
                <w:b/>
                <w:i/>
              </w:rPr>
              <w:t>unterstützt die von Fachleuten der Vereinten Nation an Saudi-Arabien gerichtete Forderung, seine Pläne zur Ausweitung der Rohölförderung sowie zur Erschließung weiterer Öl- und Gasvorkommen zur Steigerung der Förderkapazitäten zu stoppen, da diese Pläne – entgegen den eigenen Menschenrechtsverpflichtungen – zum Risiko einer Überschreitung des 1,5-Grad-CO</w:t>
            </w:r>
            <w:r>
              <w:rPr>
                <w:b/>
                <w:i/>
                <w:vertAlign w:val="subscript"/>
              </w:rPr>
              <w:t>2</w:t>
            </w:r>
            <w:r>
              <w:rPr>
                <w:b/>
                <w:i/>
              </w:rPr>
              <w:t>-Budgets und zu verstärkten klimawandelbedingten Auswirkungen auf die Menschenrechte beitragen;</w:t>
            </w:r>
            <w:r>
              <w:t xml:space="preserve"> </w:t>
            </w:r>
            <w:r>
              <w:rPr>
                <w:b/>
                <w:i/>
              </w:rPr>
              <w:t>fordert die Erdölfördergesellschaft Aramco nachdrücklich auf, wesentliche Informationen über ihre Gesamtemissionen und die Kohlenstoffintensität ihrer Rohölförderung zu veröffentlichen;</w:t>
            </w:r>
            <w:r>
              <w:t xml:space="preserve"> stellt fest, dass die EU bereit ist, mit ihren saudi-arabischen Partnern bei Projekten zur Verwirklichung der Umweltziele beider Regionen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fordert Saudi-Arabien auf, seine Energielandschaft umzugestalten und im Rahmen seiner Pläne „Vision 2030“ zu erneuerbaren Energiequellen und grünem Wasserstoff überzugehen; stellt fest, dass die EU bereit ist, mit ihren saudi-arabischen Partnern bei Projekten zur Verwirklichung der Umweltziele beider Regionen zusammenzuarbeiten;</w:t>
            </w:r>
          </w:p>
        </w:tc>
        <w:tc>
          <w:tcPr>
            <w:tcW w:w="4876" w:type="dxa"/>
            <w:tcBorders>
              <w:top w:val="nil"/>
              <w:left w:val="nil"/>
              <w:bottom w:val="nil"/>
              <w:right w:val="nil"/>
            </w:tcBorders>
          </w:tcPr>
          <w:p>
            <w:pPr>
              <w:pStyle w:val="Normal6a"/>
            </w:pPr>
            <w:r>
              <w:t>22.</w:t>
            </w:r>
            <w:r>
              <w:tab/>
            </w:r>
            <w:r>
              <w:t xml:space="preserve">fordert Saudi-Arabien auf, seine Energielandschaft umzugestalten und im Rahmen seiner Pläne „Vision 2030“ zu erneuerbaren Energiequellen und grünem Wasserstoff überzugehen; </w:t>
            </w:r>
            <w:r>
              <w:rPr>
                <w:b/>
                <w:i/>
              </w:rPr>
              <w:t>unterstützt die von Fachleuten der Vereinten Nation an Saudi-Arabien gerichtete Forderung, seine Pläne zur Ausweitung der Rohölförderung sowie zur Erschließung weiterer Öl- und Gasvorkommen zur Steigerung der Förderkapazitäten zu stoppen, da diese Pläne – entgegen den eigenen Menschenrechtsverpflichtungen – zum Risiko einer Überschreitung des 1,5-Grad-CO</w:t>
            </w:r>
            <w:r>
              <w:rPr>
                <w:b/>
                <w:i/>
                <w:vertAlign w:val="subscript"/>
              </w:rPr>
              <w:t>2</w:t>
            </w:r>
            <w:r>
              <w:rPr>
                <w:b/>
                <w:i/>
              </w:rPr>
              <w:t>-Budgets und zu verstärkten klimawandelbedingten Auswirkungen auf die Menschenrechte beitragen;</w:t>
            </w:r>
            <w:r>
              <w:t xml:space="preserve"> </w:t>
            </w:r>
            <w:r>
              <w:rPr>
                <w:b/>
                <w:i/>
              </w:rPr>
              <w:t>fordert die Erdölfördergesellschaft Aramco nachdrücklich auf, wesentliche Informationen über ihre Gesamtemissionen und die Kohlenstoffintensität ihrer Rohölförderung zu veröffentlichen;</w:t>
            </w:r>
            <w:r>
              <w:t xml:space="preserve"> stellt fest, dass die EU bereit ist, mit ihren saudi-arabischen Partnern bei Projekten zur Verwirklichung der Umweltziele beider Regionen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fordert Saudi-Arabien auf, seine Energielandschaft umzugestalten und im Rahmen seiner Pläne „Vision 2030“ zu erneuerbaren Energiequellen und grünem Wasserstoff überzugehen; stellt fest, dass die EU bereit ist, mit ihren saudi-arabischen Partnern bei Projekten zur Verwirklichung der Umweltziele beider Regionen zusammenzuarbeiten;</w:t>
            </w:r>
          </w:p>
        </w:tc>
        <w:tc>
          <w:tcPr>
            <w:tcW w:w="4876" w:type="dxa"/>
            <w:tcBorders>
              <w:top w:val="nil"/>
              <w:left w:val="nil"/>
              <w:bottom w:val="nil"/>
              <w:right w:val="nil"/>
            </w:tcBorders>
          </w:tcPr>
          <w:p>
            <w:pPr>
              <w:pStyle w:val="Normal6a"/>
            </w:pPr>
            <w:r>
              <w:t>22.</w:t>
            </w:r>
            <w:r>
              <w:tab/>
            </w:r>
            <w:r>
              <w:t xml:space="preserve">fordert Saudi-Arabien auf, seine Energielandschaft umzugestalten und im Rahmen seiner Pläne „Vision 2030“ zu erneuerbaren Energiequellen und grünem Wasserstoff überzugehen; </w:t>
            </w:r>
            <w:r>
              <w:rPr>
                <w:b/>
                <w:i/>
              </w:rPr>
              <w:t>unterstützt die von Fachleuten der Vereinten Nation an Saudi-Arabien gerichtete Forderung, seine Pläne zur Ausweitung der Rohölförderung zu stoppen, da diese mit den Verpflichtungen aus dem Pariser Abkommen unvereinbar wären;</w:t>
            </w:r>
            <w:r>
              <w:t xml:space="preserve"> stellt fest, dass die EU bereit ist, mit ihren saudi-arabischen Partnern bei Projekten zur Verwirklichung der Umweltziele beider Regionen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Saudi-Arabien auf, seine Energielandschaft umzugestalten und </w:t>
            </w:r>
            <w:r>
              <w:rPr>
                <w:b/>
                <w:i/>
              </w:rPr>
              <w:t>im Rahmen seiner Pläne „Vision 2030“</w:t>
            </w:r>
            <w:r>
              <w:t xml:space="preserve"> zu erneuerbaren Energiequellen </w:t>
            </w:r>
            <w:r>
              <w:rPr>
                <w:b/>
                <w:i/>
              </w:rPr>
              <w:t>und grünem Wasserstoff</w:t>
            </w:r>
            <w:r>
              <w:t xml:space="preserve"> überzugehen</w:t>
            </w:r>
            <w:r>
              <w:rPr>
                <w:b/>
                <w:i/>
              </w:rPr>
              <w:t>;</w:t>
            </w:r>
            <w:r>
              <w:t xml:space="preserve"> </w:t>
            </w:r>
            <w:r>
              <w:rPr>
                <w:b/>
                <w:i/>
              </w:rPr>
              <w:t>stellt fest, dass die EU bereit ist, mit ihren saudi-arabischen Partnern bei Projekten zur Verwirklichung der Umweltziele beider Regionen zusammenzuarbeiten</w:t>
            </w:r>
            <w:r>
              <w:t>;</w:t>
            </w:r>
          </w:p>
        </w:tc>
        <w:tc>
          <w:tcPr>
            <w:tcW w:w="4876" w:type="dxa"/>
            <w:tcBorders>
              <w:top w:val="nil"/>
              <w:left w:val="nil"/>
              <w:bottom w:val="nil"/>
              <w:right w:val="nil"/>
            </w:tcBorders>
          </w:tcPr>
          <w:p>
            <w:pPr>
              <w:pStyle w:val="Normal6a"/>
            </w:pPr>
            <w:r>
              <w:t>22.</w:t>
            </w:r>
            <w:r>
              <w:tab/>
            </w:r>
            <w:r>
              <w:t>fordert Saudi-Arabien auf, seine Energielandschaft umzugestalten und zu erneuerbaren Energiequellen überzugehen</w:t>
            </w:r>
            <w:r>
              <w:rPr>
                <w:b/>
                <w:i/>
              </w:rPr>
              <w:t>, wozu Kernkraft zählt, eine Technologie, mit der die Mitgliedstaaten der Union sowohl in technologischer als auch geschäftlicher Hinsicht vollkommen vertraut sind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unterstreicht die Rolle Saudi-Arabiens als zunehmend wichtiger Akteur in den Mineralienlieferketten sowie seine Bemühungen, sich an internationalen bewährten Verfahren auszurichten;</w:t>
            </w:r>
            <w:r>
              <w:t xml:space="preserve"> </w:t>
            </w:r>
            <w:r>
              <w:rPr>
                <w:b/>
                <w:i/>
              </w:rPr>
              <w:t>betont, dass die Ausweitung der Zusammenarbeit zwischen der EU und Saudi-Arabien in diesem Bereich von entscheidender Bedeutung sein wird, um die Risikominderungsstrategie der EU und ihr Bestreben nach Diversifizierung ihrer Rohstoffversorgung weiter zu festigen;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bedauert, dass Saudi-Arabien zwar angekündigt hat, bis 2030 die Hälfte seines Stroms aus erneuerbaren Quellen zu erzeugen, bisher jedoch keine Maßnahmen ergriffen hat, die zu einer wesentlichen Senkung seiner Treibhausgasemissionen und einer Verringerung seiner Abhängigkeit von fossilen Brennstoffen führen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stellt mit Besorgnis fest, dass sich Saudi-Arabien bei der COP29 gegen globale Verpflichtungen zum Ausstieg aus fossilen Brennstoffen ausgesprochen hat und damit die Verwirklichung der Ziele des Pariser Abkommens untergräbt;</w:t>
            </w:r>
            <w:r>
              <w:t xml:space="preserve"> </w:t>
            </w:r>
            <w:r>
              <w:rPr>
                <w:b/>
                <w:i/>
              </w:rPr>
              <w:t>betont, dass die Zusammenarbeit zwischen der EU und Saudi-Arabien an glaubwürdige Klimaschutzpläne mit verbindlichen Umsetzungsmaßnahmen geknüpft sein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nimmt zur Kenntnis, dass Saudi-Arabien </w:t>
            </w:r>
            <w:r>
              <w:rPr>
                <w:b/>
                <w:i/>
              </w:rPr>
              <w:t>erhebliche</w:t>
            </w:r>
            <w:r>
              <w:t xml:space="preserve"> Fortschritte bei der Bekämpfung seiner hohen Jugendarbeitslosenquote erzielt hat, die von 35,01 % im Jahr 2006 auf 16 % im Jahr 2023 gesunken ist; empfiehlt Saudi-Arabien, dieses Thema weiterhin prioritär zu behandeln;</w:t>
            </w:r>
          </w:p>
        </w:tc>
        <w:tc>
          <w:tcPr>
            <w:tcW w:w="4876" w:type="dxa"/>
            <w:tcBorders>
              <w:top w:val="nil"/>
              <w:left w:val="nil"/>
              <w:bottom w:val="nil"/>
              <w:right w:val="nil"/>
            </w:tcBorders>
          </w:tcPr>
          <w:p>
            <w:pPr>
              <w:pStyle w:val="Normal6a"/>
            </w:pPr>
            <w:r>
              <w:t>23.</w:t>
            </w:r>
            <w:r>
              <w:tab/>
            </w:r>
            <w:r>
              <w:t>nimmt zur Kenntnis, dass Saudi-Arabien Fortschritte bei der Bekämpfung seiner hohen Jugendarbeitslosenquote erzielt hat, die von 35,01 % im Jahr 2006 auf 16 % im Jahr 2023 gesunken ist; empfiehlt Saudi-Arabien, dieses Thema weiterhin prioritär zu behandeln;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lobt die positiven Reformen der Lehrpläne in Saudi-Arabien, insbesondere die Entfernung antisemitischer und antichristlicher Inhalte;</w:t>
            </w:r>
            <w:r>
              <w:t xml:space="preserve"> </w:t>
            </w:r>
            <w:r>
              <w:rPr>
                <w:b/>
                <w:i/>
              </w:rPr>
              <w:t>fordert Saudi-Arabien auf, diese Reformen weiterzuführen;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hebt die erheblichen Fortschritte hervor, die Saudi-Arabien bei der Stärkung der Rolle der Frau erzielt hat, da die Erwerbsbeteiligung von Frauen auf 36 % gestiegen ist und Frauen das Recht gewährt wurde, ohne männliche Vormundschaft Auto zu fahren und zu reisen;</w:t>
            </w:r>
          </w:p>
        </w:tc>
        <w:tc>
          <w:tcPr>
            <w:tcW w:w="4876" w:type="dxa"/>
            <w:tcBorders>
              <w:top w:val="nil"/>
              <w:left w:val="nil"/>
              <w:bottom w:val="nil"/>
              <w:right w:val="nil"/>
            </w:tcBorders>
          </w:tcPr>
          <w:p>
            <w:pPr>
              <w:pStyle w:val="Normal6a"/>
            </w:pPr>
            <w:r>
              <w:t>24.</w:t>
            </w:r>
            <w:r>
              <w:tab/>
            </w:r>
            <w:r>
              <w:t xml:space="preserve">hebt die erheblichen Fortschritte hervor, die Saudi-Arabien bei der Stärkung der Rolle der Frau erzielt hat, da die Erwerbsbeteiligung von Frauen auf 36 % gestiegen ist und Frauen das Recht gewährt wurde, ohne männliche Vormundschaft Auto zu fahren und zu reisen; </w:t>
            </w:r>
            <w:r>
              <w:rPr>
                <w:b/>
                <w:i/>
              </w:rPr>
              <w:t>weist jedoch darauf hin, dass mehrere saudi-arabische Frauenrechtsaktivistinnen weiterhin in Saudi-Arabien inhaftiert sind oder ihnen strenge Beschränkungen auferlegt wurden;</w:t>
            </w:r>
            <w:r>
              <w:t xml:space="preserve"> </w:t>
            </w:r>
            <w:r>
              <w:rPr>
                <w:b/>
                <w:i/>
              </w:rPr>
              <w:t>fordert die staatlichen Stellen Saudi-Arabiens auf, Manahel al-Otaibi und Salma al-Schehab freizulassen und die gegen Ludschain al-Hathlul, Mariam al-Otaibi und Fawsia al-Otaibi verhängten Reiseverbote und administrativen Einschränkungen aufzuheben;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hebt die </w:t>
            </w:r>
            <w:r>
              <w:rPr>
                <w:b/>
                <w:i/>
              </w:rPr>
              <w:t>erheblichen</w:t>
            </w:r>
            <w:r>
              <w:t xml:space="preserve"> Fortschritte hervor, die Saudi-Arabien </w:t>
            </w:r>
            <w:r>
              <w:rPr>
                <w:b/>
                <w:i/>
              </w:rPr>
              <w:t>bei der Stärkung der Rolle der Frau</w:t>
            </w:r>
            <w:r>
              <w:t xml:space="preserve"> erzielt hat, da die Erwerbsbeteiligung von Frauen auf 36 % gestiegen ist und Frauen das Recht gewährt wurde, ohne </w:t>
            </w:r>
            <w:r>
              <w:rPr>
                <w:b/>
                <w:i/>
              </w:rPr>
              <w:t>männliche Vormundschaft</w:t>
            </w:r>
            <w:r>
              <w:t xml:space="preserve"> Auto zu fahren und zu reisen;</w:t>
            </w:r>
          </w:p>
        </w:tc>
        <w:tc>
          <w:tcPr>
            <w:tcW w:w="4876" w:type="dxa"/>
            <w:tcBorders>
              <w:top w:val="nil"/>
              <w:left w:val="nil"/>
              <w:bottom w:val="nil"/>
              <w:right w:val="nil"/>
            </w:tcBorders>
          </w:tcPr>
          <w:p>
            <w:pPr>
              <w:pStyle w:val="Normal6a"/>
            </w:pPr>
            <w:r>
              <w:t>24.</w:t>
            </w:r>
            <w:r>
              <w:tab/>
            </w:r>
            <w:r>
              <w:t xml:space="preserve">hebt die Fortschritte hervor, die Saudi-Arabien </w:t>
            </w:r>
            <w:r>
              <w:rPr>
                <w:b/>
                <w:i/>
              </w:rPr>
              <w:t>im Hinblick auf die Frauenrechte</w:t>
            </w:r>
            <w:r>
              <w:t xml:space="preserve"> erzielt hat, da die Erwerbsbeteiligung von Frauen auf 36 % gestiegen ist und Frauen das Recht gewährt wurde, ohne </w:t>
            </w:r>
            <w:r>
              <w:rPr>
                <w:b/>
                <w:i/>
              </w:rPr>
              <w:t>Erlaubnis eines männlichen Vormunds</w:t>
            </w:r>
            <w:r>
              <w:t xml:space="preserve"> Auto zu fahren und zu reisen; </w:t>
            </w:r>
            <w:r>
              <w:rPr>
                <w:b/>
                <w:i/>
              </w:rPr>
              <w:t>stellt fest, dass weiterhin erhebliche Herausforderungen bestehen, unter anderem im Personenstandsrecht, insbesondere in Bezug auf Kinderheirat, Vergewaltigung in der Ehe und Diskriminierung von Frauen in den Bereichen Ehe, Scheidung, Sorgerecht, Erbschaft und Eigentumsrechte;</w:t>
            </w:r>
            <w:r>
              <w:t xml:space="preserve"> </w:t>
            </w:r>
            <w:r>
              <w:rPr>
                <w:b/>
                <w:i/>
              </w:rPr>
              <w:t>prangert die Lage saudi-arabischer Frauenrechtsaktivistinnen an, die sich für das Recht auf Autofahren und die Abschaffung des Systems der männlichen Vormundschaft eingesetzt haben und weiterhin von den staatlichen Stellen Saudi-Arabiens mit Reiseverboten bestraft und ins Visier 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hebt die erheblichen Fortschritte hervor, die Saudi-Arabien bei der Stärkung der Rolle der Frau erzielt hat, da die Erwerbsbeteiligung von Frauen auf 36 % gestiegen ist und Frauen das Recht gewährt wurde, ohne männliche Vormundschaft Auto zu fahren und zu reisen;</w:t>
            </w:r>
          </w:p>
        </w:tc>
        <w:tc>
          <w:tcPr>
            <w:tcW w:w="4876" w:type="dxa"/>
            <w:tcBorders>
              <w:top w:val="nil"/>
              <w:left w:val="nil"/>
              <w:bottom w:val="nil"/>
              <w:right w:val="nil"/>
            </w:tcBorders>
          </w:tcPr>
          <w:p>
            <w:pPr>
              <w:pStyle w:val="Normal6a"/>
            </w:pPr>
            <w:r>
              <w:t>24.</w:t>
            </w:r>
            <w:r>
              <w:tab/>
            </w:r>
            <w:r>
              <w:t>hebt die erheblichen Fortschritte hervor, die Saudi-Arabien bei der Stärkung der Rolle der Frau erzielt hat, da die Erwerbsbeteiligung von Frauen auf 36 % gestiegen ist und Frauen das Recht gewährt wurde, ohne männliche Vormundschaft Auto zu fahren und zu reisen</w:t>
            </w:r>
            <w:r>
              <w:rPr>
                <w:b/>
                <w:i/>
              </w:rPr>
              <w:t>, stellt jedoch fest, dass weiterhin erhebliche Herausforderungen bestehen, unter anderem im Personenstandsrecht, insbesondere in Bezug auf Kinderheirat, Vergewaltigung in der Ehe und Diskriminierung von Frauen in den Bereichen Ehe, Scheidung, Sorgerecht, Erbschaft und Eigentumsrechte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hebt die erheblichen Fortschritte hervor, die Saudi-Arabien bei der Stärkung der Rolle der Frau erzielt hat, da die Erwerbsbeteiligung von Frauen auf 36 % gestiegen ist und Frauen das Recht gewährt wurde, ohne männliche Vormundschaft Auto zu fahren und zu reisen;</w:t>
            </w:r>
          </w:p>
        </w:tc>
        <w:tc>
          <w:tcPr>
            <w:tcW w:w="4876" w:type="dxa"/>
            <w:tcBorders>
              <w:top w:val="nil"/>
              <w:left w:val="nil"/>
              <w:bottom w:val="nil"/>
              <w:right w:val="nil"/>
            </w:tcBorders>
          </w:tcPr>
          <w:p>
            <w:pPr>
              <w:pStyle w:val="Normal6a"/>
            </w:pPr>
            <w:r>
              <w:t>24.</w:t>
            </w:r>
            <w:r>
              <w:tab/>
            </w:r>
            <w:r>
              <w:t>hebt die erheblichen Fortschritte hervor, die Saudi-Arabien bei der Stärkung der Rolle der Frau erzielt hat, da die Erwerbsbeteiligung von Frauen auf 36 % gestiegen ist und Frauen das Recht gewährt wurde, ohne männliche Vormundschaft Auto zu fahren und zu reisen</w:t>
            </w:r>
            <w:r>
              <w:rPr>
                <w:b/>
                <w:i/>
              </w:rPr>
              <w:t>, stellt jedoch fest, dass weiterhin erhebliche Herausforderungen bestehen, unter anderem im Personenstandsrecht, insbesondere in Bezug auf Kinderheirat, Vergewaltigung in der Ehe und Diskriminierung von Frauen in den Bereichen Ehe, Scheidung, Sorgerecht, Erbschaft und Eigentumsrechte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hebt</w:t>
            </w:r>
            <w:r>
              <w:t xml:space="preserve"> die erheblichen Fortschritte </w:t>
            </w:r>
            <w:r>
              <w:rPr>
                <w:b/>
                <w:i/>
              </w:rPr>
              <w:t>hervor</w:t>
            </w:r>
            <w:r>
              <w:t>, die Saudi-Arabien bei der Stärkung der Rolle der Frau erzielt hat, da die Erwerbsbeteiligung von Frauen auf 36 % gestiegen ist und Frauen das Recht gewährt wurde, ohne männliche Vormundschaft Auto zu fahren und zu reisen;</w:t>
            </w:r>
          </w:p>
        </w:tc>
        <w:tc>
          <w:tcPr>
            <w:tcW w:w="4876" w:type="dxa"/>
            <w:tcBorders>
              <w:top w:val="nil"/>
              <w:left w:val="nil"/>
              <w:bottom w:val="nil"/>
              <w:right w:val="nil"/>
            </w:tcBorders>
          </w:tcPr>
          <w:p>
            <w:pPr>
              <w:pStyle w:val="Normal6a"/>
            </w:pPr>
            <w:r>
              <w:t>24.</w:t>
            </w:r>
            <w:r>
              <w:tab/>
            </w:r>
            <w:r>
              <w:rPr>
                <w:b/>
                <w:i/>
              </w:rPr>
              <w:t>nimmt</w:t>
            </w:r>
            <w:r>
              <w:t xml:space="preserve"> die erheblichen Fortschritte </w:t>
            </w:r>
            <w:r>
              <w:rPr>
                <w:b/>
                <w:i/>
              </w:rPr>
              <w:t>zur Kenntnis</w:t>
            </w:r>
            <w:r>
              <w:t>, die Saudi-Arabien bei der Stärkung der Rolle der Frau erzielt hat, da die Erwerbsbeteiligung von Frauen auf 36 % gestiegen ist und Frauen das Recht gewährt wurde, ohne männliche Vormundschaft Auto zu fahren und zu reisen;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hebt die </w:t>
            </w:r>
            <w:r>
              <w:rPr>
                <w:b/>
                <w:i/>
              </w:rPr>
              <w:t>erheblichen</w:t>
            </w:r>
            <w:r>
              <w:t xml:space="preserve"> Fortschritte hervor, die Saudi-Arabien bei der Stärkung der Rolle der Frau erzielt hat, da die Erwerbsbeteiligung von Frauen auf 36 % gestiegen ist und Frauen das Recht gewährt wurde, ohne männliche Vormundschaft Auto zu fahren und zu reisen;</w:t>
            </w:r>
          </w:p>
        </w:tc>
        <w:tc>
          <w:tcPr>
            <w:tcW w:w="4876" w:type="dxa"/>
            <w:tcBorders>
              <w:top w:val="nil"/>
              <w:left w:val="nil"/>
              <w:bottom w:val="nil"/>
              <w:right w:val="nil"/>
            </w:tcBorders>
          </w:tcPr>
          <w:p>
            <w:pPr>
              <w:pStyle w:val="Normal6a"/>
            </w:pPr>
            <w:r>
              <w:t>24.</w:t>
            </w:r>
            <w:r>
              <w:tab/>
            </w:r>
            <w:r>
              <w:t>hebt die Fortschritte hervor, die Saudi-Arabien bei der Stärkung der Rolle der Frau erzielt hat, da die Erwerbsbeteiligung von Frauen auf 36 % gestiegen ist und Frauen das Recht gewährt wurde, ohne männliche Vormundschaft Auto zu fahren und zu 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p>
        </w:tc>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r>
              <w:rPr>
                <w:b/>
                <w:i/>
              </w:rPr>
              <w:t>, und äußert seine tiefe Besorgnis darüber, dass trotz angekündigter Reformen Wanderarbeitnehmer im Rahmen des Kafala-Systems weiterhin weit verbreiteten missbräuchlichen Praktiken ausgesetzt sind, von denen einige möglicherweise Zwangsarbeit gleichkommen</w:t>
            </w:r>
            <w:r>
              <w:t xml:space="preserve">; </w:t>
            </w:r>
            <w:r>
              <w:rPr>
                <w:b/>
                <w:i/>
              </w:rPr>
              <w:t>würdigt die im Rahmen der Arbeitsreforminitiative durchgeführten Reformen, fordert Saudi-Arabien jedoch gleichzeitig nachdrücklich auf, das Kafala-System in Recht und Praxis vollständig abzuschaffen, indem die Kontrolle der Arbeitgeber über die Mobilität der Arbeitnehmer – auch in Bezug auf Ausreise und Arbeitsplatzwechsel – aufgehoben wird, das Recht der Arbeitnehmer auf Streik, Tarifverhandlungen und Vereinigungsfreiheit garantiert wird, der Vertreibung von Einwohnern vorgebeugt und der Unterdrückung von Menschenrechtsverteidigern im Zusammenhang mit diesen Ereignissen ein Ende gesetzt wird;</w:t>
            </w:r>
            <w:r>
              <w:t xml:space="preserve"> </w:t>
            </w:r>
            <w:r>
              <w:rPr>
                <w:b/>
                <w:i/>
              </w:rPr>
              <w:t>fordert Saudi-Arabien auf, dafür zu sorgen, dass alle Wanderarbeitnehmer, auch Hausangestellte, Zugang zur Justiz und zu wirksamen Mechanismen haben, damit ausbeuterische Arbeitgeber zur Rechenschaft gezogen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p>
        </w:tc>
        <w:tc>
          <w:tcPr>
            <w:tcW w:w="4876" w:type="dxa"/>
            <w:tcBorders>
              <w:top w:val="nil"/>
              <w:left w:val="nil"/>
              <w:bottom w:val="nil"/>
              <w:right w:val="nil"/>
            </w:tcBorders>
          </w:tcPr>
          <w:p>
            <w:pPr>
              <w:pStyle w:val="Normal6a"/>
            </w:pPr>
            <w:r>
              <w:t>25.</w:t>
            </w:r>
            <w:r>
              <w:tab/>
            </w:r>
            <w:r>
              <w:t xml:space="preserve">stellt fest, dass Saudi-Arabien im Vorfeld der EXPO 2030 und der FIFA-Weltmeisterschaft 2034 eine Reihe ehrgeiziger Infrastrukturprojekte auf den Weg gebracht hat; </w:t>
            </w:r>
            <w:r>
              <w:rPr>
                <w:b/>
                <w:i/>
              </w:rPr>
              <w:t>ist zutiefst besorgt über die hohe Zahl der Todesfälle unter Migranten bei Arbeitsunfällen in Saudi-Arabien;</w:t>
            </w:r>
            <w:r>
              <w:t xml:space="preserve"> </w:t>
            </w:r>
            <w:r>
              <w:rPr>
                <w:b/>
                <w:i/>
              </w:rPr>
              <w:t>fordert Saudi-Arabien auf, das Kafala-System abzuschaffen und das Streikrecht, das Recht auf Tarifverhandlungen und das Recht auf Vereinigungsfreiheit zu gewährleisten;</w:t>
            </w:r>
            <w:r>
              <w:t xml:space="preserve"> </w:t>
            </w:r>
            <w:r>
              <w:rPr>
                <w:b/>
                <w:i/>
              </w:rPr>
              <w:t>fordert Saudi-Arabien nachdrücklich auf, sämtliche für Wanderarbeitnehmer geltenden Verpflichtungen, die Zustimmung ihres Arbeitgebers einzuholen, um das Land zu verlassen und den Arbeitsplatz zu wechseln, abzuschaffen;</w:t>
            </w:r>
            <w:r>
              <w:t xml:space="preserve"> </w:t>
            </w:r>
            <w:r>
              <w:rPr>
                <w:b/>
                <w:i/>
              </w:rPr>
              <w:t>ist besorgt, dass die Weltmeisterschaft eher zum „Sportswashing“ genutzt wird, anstatt als echte Chance, notwendige Arbeitsrechtsreformen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p>
        </w:tc>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r>
              <w:rPr>
                <w:b/>
                <w:i/>
              </w:rPr>
              <w:t>, und ist ernsthaft besorgt über Berichte, wonach Wanderarbeitnehmer trotz angekündigter Reformen im Rahmen des Kafala-Systems weit verbreiteten missbräuchlichen Praktiken ausgesetzt sind, von denen einige möglicherweise Zwangsarbeit gleichkommen, und fordert Saudi-Arabien auf, das System abzuschaffen und das Streikrecht, das Recht auf Tarifverhandlungen und das Recht auf Vereinigungsfreiheit zu gewährleisten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p>
        </w:tc>
        <w:tc>
          <w:tcPr>
            <w:tcW w:w="4876" w:type="dxa"/>
            <w:tcBorders>
              <w:top w:val="nil"/>
              <w:left w:val="nil"/>
              <w:bottom w:val="nil"/>
              <w:right w:val="nil"/>
            </w:tcBorders>
          </w:tcPr>
          <w:p>
            <w:pPr>
              <w:pStyle w:val="Normal6a"/>
            </w:pPr>
            <w:r>
              <w:t>25.</w:t>
            </w:r>
            <w:r>
              <w:tab/>
            </w:r>
            <w:r>
              <w:t xml:space="preserve">stellt fest, dass Saudi-Arabien im Vorfeld der EXPO 2030 und der FIFA-Weltmeisterschaft 2034 eine Reihe ehrgeiziger Infrastrukturprojekte auf den Weg gebracht hat; </w:t>
            </w:r>
            <w:r>
              <w:rPr>
                <w:b/>
                <w:i/>
              </w:rPr>
              <w:t>vertraut auf die Fähigkeit der Regierung, das Recht der Arbeitnehmer auf Vereinigungsfreiheit zu garantieren;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p>
        </w:tc>
        <w:tc>
          <w:tcPr>
            <w:tcW w:w="4876" w:type="dxa"/>
            <w:tcBorders>
              <w:top w:val="nil"/>
              <w:left w:val="nil"/>
              <w:bottom w:val="nil"/>
              <w:right w:val="nil"/>
            </w:tcBorders>
          </w:tcPr>
          <w:p>
            <w:pPr>
              <w:pStyle w:val="Normal6a"/>
            </w:pPr>
            <w:r>
              <w:t>25.</w:t>
            </w:r>
            <w:r>
              <w:tab/>
            </w:r>
            <w:r>
              <w:t>stellt fest, dass Saudi-Arabien im Vorfeld der EXPO 2030 und der FIFA-Weltmeisterschaft 2034 eine Reihe ehrgeiziger Infrastrukturprojekte auf den Weg gebracht hat</w:t>
            </w:r>
            <w:r>
              <w:rPr>
                <w:b/>
                <w:i/>
              </w:rPr>
              <w:t>, und betont, dass hinsichtlich des Umgangs mit Arbeitnehmern sowie ihrer Rechte weiterhin viele Bedenken bestehen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Saudi-Arabien nachdrücklich auf, in der Zwischenzeit sämtliche für Wanderarbeitnehmer geltenden Verpflichtungen, die Zustimmung ihres Arbeitgebers einzuholen, um das Land zu verlassen und den Arbeitsplatz zu wechseln, abzuschaffen;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Saudi-Arabien nachdrücklich auf, in der Zwischenzeit sämtliche für Wanderarbeitnehmer geltenden Verpflichtungen, die Zustimmung ihres Arbeitgebers einzuholen, um das Land zu verlassen und den Arbeitsplatz zu wechseln, abzuschaffen;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fordert Saudi-Arabien nachdrücklich auf, die Sorgfaltspflicht sowie die Überwachung von Personalvermittlungsagenturen zu verstärken, um sicherzustellen, dass diese für alle Kosten und Gebühren im Zusammenhang mit der Anwerbung von Arbeitskräften aufkommen, und einen Fonds einzurichten, aus dem Arbeitnehmern Vermittlungsgebühren erstattet werden können, die ihnen unrechtmäßigerweise auferlegt wurden;</w:t>
            </w:r>
            <w:r>
              <w:t xml:space="preserve"> </w:t>
            </w:r>
            <w:r>
              <w:rPr>
                <w:b/>
                <w:i/>
              </w:rPr>
              <w:t>fordert Saudi-Arabien auf, einen diskriminierungsfreien existenzsichernden Mindestlohn einzuführen und den Zugang zu Rechtsbehelfen für alle Formen des Lohndiebstahls an Wanderarbeitnehmern zu gewährleisten, damit Arbeitnehmer, die nicht bezahlt wurden, ihre ausstehenden Löhne und Leistungen erhalten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fordert Saudi-Arabien nachdrücklich auf, die Sorgfaltspflicht sowie die Überwachung von Personalvermittlungsagenturen zu verstärken, um sicherzustellen, dass diese für alle Kosten und Gebühren im Zusammenhang mit der Anwerbung von Arbeitskräften aufkommen, und einen Fonds einzurichten, aus dem Arbeitnehmern Vermittlungsgebühren erstattet werden können, die ihnen unrechtmäßigerweise auferlegt wurden;</w:t>
            </w:r>
            <w:r>
              <w:t xml:space="preserve"> </w:t>
            </w:r>
            <w:r>
              <w:rPr>
                <w:b/>
                <w:i/>
              </w:rPr>
              <w:t>fordert, einen diskriminierungsfreien existenzsichernden Mindestlohn einzuführen und den Zugang zu Rechtsbehelfen für alle Formen des Lohndiebstahls an Wanderarbeitnehmern zu gewährleisten, damit Arbeitnehmer, die nicht bezahlt wurden, ihre ausstehenden Löhne und Leistungen erhalten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würdigt die Gelegenheit für eine Zusammenarbeit zwischen der EU und Saudi-Arabien bei der Initiative für den Wirtschaftskorridor Indien-Naher Osten-Europa, die Investitionen in Stromkabel, Untersee-Telekommunikations- und Datenkabel sowie Pipelines für grünen Wasserstoff voranbringen dürfte;</w:t>
            </w:r>
          </w:p>
        </w:tc>
        <w:tc>
          <w:tcPr>
            <w:tcW w:w="4876" w:type="dxa"/>
            <w:tcBorders>
              <w:top w:val="nil"/>
              <w:left w:val="nil"/>
              <w:bottom w:val="nil"/>
              <w:right w:val="nil"/>
            </w:tcBorders>
          </w:tcPr>
          <w:p>
            <w:pPr>
              <w:pStyle w:val="Normal6a"/>
            </w:pPr>
            <w:r>
              <w:t>26.</w:t>
            </w:r>
            <w:r>
              <w:tab/>
            </w:r>
            <w:r>
              <w:t xml:space="preserve">würdigt die Gelegenheit für eine Zusammenarbeit zwischen der EU und Saudi-Arabien </w:t>
            </w:r>
            <w:r>
              <w:rPr>
                <w:b/>
                <w:i/>
              </w:rPr>
              <w:t>im Rahmen der strategischen Partnerschaft zwischen der EU und dem Golf-Kooperationsrat und der Global-Gateway-Initiative der EU</w:t>
            </w:r>
            <w:r>
              <w:t xml:space="preserve"> bei der Initiative für den Wirtschaftskorridor Indien-Naher Osten-Europa, die Investitionen in Stromkabel, Untersee-Telekommunikations- und Datenkabel sowie Pipelines für grünen Wasserstoff voranbringen dürfte</w:t>
            </w:r>
            <w:r>
              <w:rPr>
                <w:b/>
                <w:i/>
              </w:rPr>
              <w:t>, und begrüßt die Beteiligung der USA</w:t>
            </w:r>
            <w:r>
              <w:t xml:space="preserve">; </w:t>
            </w:r>
            <w:r>
              <w:rPr>
                <w:b/>
                <w:i/>
              </w:rPr>
              <w:t>fordert nachdrücklich, dass die Finanzierungslücke beim Wirtschaftskorridor Indien-Naher Osten-Europa (IMEC) mit Investitionen der EU, der USA und der Golfstaaten geschlossen wird und eine nachhaltige Infrastrukturentwicklung gefördert wird;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würdigt die Gelegenheit für eine Zusammenarbeit zwischen der EU und Saudi-Arabien bei der Initiative für den Wirtschaftskorridor Indien-Naher Osten-Europa, die Investitionen in Stromkabel, Untersee-Telekommunikations- und Datenkabel sowie Pipelines für grünen Wasserstoff voranbringen dürfte;</w:t>
            </w:r>
          </w:p>
        </w:tc>
        <w:tc>
          <w:tcPr>
            <w:tcW w:w="4876" w:type="dxa"/>
            <w:tcBorders>
              <w:top w:val="nil"/>
              <w:left w:val="nil"/>
              <w:bottom w:val="nil"/>
              <w:right w:val="nil"/>
            </w:tcBorders>
          </w:tcPr>
          <w:p>
            <w:pPr>
              <w:pStyle w:val="Normal6a"/>
            </w:pPr>
            <w:r>
              <w:t>26.</w:t>
            </w:r>
            <w:r>
              <w:tab/>
            </w:r>
            <w:r>
              <w:t>würdigt die Gelegenheit für eine Zusammenarbeit zwischen der EU und Saudi-Arabien bei der Initiative für den Wirtschaftskorridor Indien-Naher Osten-Europa, die Investitionen in Stromkabel, Untersee-Telekommunikations- und Datenkabel sowie Pipelines für grünen Wasserstoff voranbringen dürfte</w:t>
            </w:r>
            <w:r>
              <w:rPr>
                <w:b/>
                <w:i/>
              </w:rPr>
              <w:t>, weist jedoch darauf hin, dass in Absprache mit den relevanten Rechtsträgern wie unabhängigen Gewerkschaften und anderen Interessenträgern und in Übereinstimmung mit den Leitprinzipien der Vereinten Nationen für Wirtschaft und Menschenrechte eine Strategie für die Sorgfaltspflicht im Bereich der Menschenrechte entwickelt und umgesetzt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würdigt die Gelegenheit für eine Zusammenarbeit zwischen der EU und Saudi-Arabien bei der Initiative für den Wirtschaftskorridor Indien-Naher Osten-Europa, die Investitionen in Stromkabel, Untersee-Telekommunikations- und Datenkabel sowie Pipelines für grünen Wasserstoff voranbringen dürfte;</w:t>
            </w:r>
          </w:p>
        </w:tc>
        <w:tc>
          <w:tcPr>
            <w:tcW w:w="4876" w:type="dxa"/>
            <w:tcBorders>
              <w:top w:val="nil"/>
              <w:left w:val="nil"/>
              <w:bottom w:val="nil"/>
              <w:right w:val="nil"/>
            </w:tcBorders>
          </w:tcPr>
          <w:p>
            <w:pPr>
              <w:pStyle w:val="Normal6a"/>
            </w:pPr>
            <w:r>
              <w:t>26.</w:t>
            </w:r>
            <w:r>
              <w:tab/>
            </w:r>
            <w:r>
              <w:t xml:space="preserve">würdigt die Gelegenheit für eine Zusammenarbeit zwischen der EU und Saudi-Arabien bei der Initiative für den Wirtschaftskorridor Indien-Naher Osten-Europa, die Investitionen in Stromkabel, Untersee-Telekommunikations- und Datenkabel sowie Pipelines für grünen Wasserstoff voranbringen dürfte; </w:t>
            </w:r>
            <w:r>
              <w:rPr>
                <w:b/>
                <w:i/>
              </w:rPr>
              <w:t>bewertet sein Potenzial, die EU durch multimodale Verkehrsverbindungen zu vernetzen;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würdigt die Gelegenheit für eine Zusammenarbeit zwischen der EU und Saudi-Arabien bei der Initiative für den Wirtschaftskorridor Indien-Naher Osten-Europa, die Investitionen in Stromkabel, Untersee-Telekommunikations- und Datenkabel sowie Pipelines für grünen Wasserstoff voranbringen dürfte;</w:t>
            </w:r>
          </w:p>
        </w:tc>
        <w:tc>
          <w:tcPr>
            <w:tcW w:w="4876" w:type="dxa"/>
            <w:tcBorders>
              <w:top w:val="nil"/>
              <w:left w:val="nil"/>
              <w:bottom w:val="nil"/>
              <w:right w:val="nil"/>
            </w:tcBorders>
          </w:tcPr>
          <w:p>
            <w:pPr>
              <w:pStyle w:val="Normal6a"/>
            </w:pPr>
            <w:r>
              <w:t>26.</w:t>
            </w:r>
            <w:r>
              <w:tab/>
            </w:r>
            <w:r>
              <w:t xml:space="preserve">würdigt die Gelegenheit für </w:t>
            </w:r>
            <w:r>
              <w:rPr>
                <w:b/>
                <w:i/>
              </w:rPr>
              <w:t>und die konvergierenden Interessen in Bezug auf</w:t>
            </w:r>
            <w:r>
              <w:t xml:space="preserve"> eine Zusammenarbeit zwischen der EU und Saudi-Arabien bei der Initiative für den Wirtschaftskorridor Indien-Naher Osten-Europa, die Investitionen in Stromkabel, Untersee-Telekommunikations- und Datenkabel sowie Pipelines für grünen Wasserstoff voranbringen dürfte;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unterstreicht die strategische Bedeutung des Wirtschaftskorridors Indien-Naher Osten-Europa als transformativer Motor für regionale Konnektivität, wirtschaftliche Integration und geopolitische Zusammenarbeit;</w:t>
            </w:r>
            <w:r>
              <w:t xml:space="preserve"> </w:t>
            </w:r>
            <w:r>
              <w:rPr>
                <w:b/>
                <w:i/>
              </w:rPr>
              <w:t>weist darauf hin, dass das Potenzial besteht, die Zusammenarbeit im Bereich der strategischen digitalen Infrastruktur auszuweiten, auch über diversifizierte und sichere Datenwege, die die Golfstaaten und Europa verbinden, wobei das gemeinsame Ziel darin besteht, die digitale Widerstandsfähigkeit Europas, die Datensicherheit und die Konnektivität mit Asien und Afrika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würdigt die anhaltenden Bemühungen der europäischen Handelskammer im Königreich Saudi-Arabien zur Förderung der Zusammenarbeit zwischen europäischen Unternehmen und Saudi-Arabien im Bereich der Transport- und Logistikinfrastruktur;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w:t>
            </w:r>
            <w:r>
              <w:rPr>
                <w:b/>
                <w:i/>
              </w:rPr>
              <w:t>sowie eine stärkere Kontrolle</w:t>
            </w:r>
            <w:r>
              <w:t xml:space="preserve">; begrüßt die Menschenrechtsdialoge zwischen der EU und dem Königreich Saudi-Arabien unter der Leitung der Menschenrechtskommission Saudi-Arabiens und der Europäischen Kommission, wobei der vierte Dialog im Dezember 2024 in Riad stattfand; </w:t>
            </w:r>
            <w:r>
              <w:rPr>
                <w:b/>
                <w:i/>
              </w:rPr>
              <w:t>betont, dass dieser und alle anderen Menschenrechtsdialoge der EU darauf abzielen sollten, konkrete, messbare und zeitgebundene Fortschritte im Bereich der Menschenrechte zu erzielen, einschließlich Menschenrechtsreformen, der Beendigung missbräuchlicher Praktiken, der Gewährleistung der Rechenschaftspflicht im Fall missbräuchlicher Handlungen und der Freilassung zu Unrecht inhaftierter Personen;</w:t>
            </w:r>
            <w:r>
              <w:t xml:space="preserve"> </w:t>
            </w:r>
            <w:r>
              <w:rPr>
                <w:b/>
                <w:i/>
              </w:rPr>
              <w:t>erinnert daran, dass die Zusammenarbeit zwischen der EU und Saudi-Arabien im Bereich der Menschenrechte nicht nur auf den Menschenrechtsdialog beschränkt sein darf, sondern gemäß Artikel 21 EUV in allen Beziehungen zwischen der EU und Saudi-Arabien gestärkt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 </w:t>
            </w:r>
            <w:r>
              <w:rPr>
                <w:b/>
                <w:i/>
              </w:rPr>
              <w:t>stellt fest, dass die Gespräche ein breites Spektrum von Menschenrechtsfragen abdeckten, darunter Frauenrechte und die Rechte schutzbedürftiger Gruppen, Rechtsstaatlichkeit, das Recht auf ein faires Verfahren, die Todesstrafe, Meinungs-, Versammlungs- und Vereinigungsfreiheit, Menschenhandel, wirtschaftliche, soziale und kulturelle Rechte sowie die bilaterale Zusammenarbeit zwischen der EU und Saudi-Arabien und Aktivitäten in multilateralen Menschenrechtsforen;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p>
        </w:tc>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r>
              <w:rPr>
                <w:b/>
                <w:i/>
              </w:rPr>
              <w:t>, und betont, dass dieser und alle anderen Menschenrechtsdialoge der EU darauf abzielen sollten, konkrete, messbare und zeitgebundene Fortschritte im Bereich der Menschenrechte zu erzielen, einschließlich Menschenrechtsreformen, der Beendigung missbräuchlicher Praktiken, der Gewährleistung der Rechenschaftspflicht im Fall missbräuchlicher Handlungen und der Freilassung zu Unrecht inhaftierter Personen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 </w:t>
            </w:r>
            <w:r>
              <w:rPr>
                <w:b/>
                <w:i/>
              </w:rPr>
              <w:t>betont, dass Menschenrechtsdialoge eine wichtige Plattform für den Austausch über Standpunkte zu den internationalen Menschenrechten und der Stärkung der multilateralen Zusammenarbeit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 </w:t>
            </w:r>
            <w:r>
              <w:rPr>
                <w:b/>
                <w:i/>
              </w:rPr>
              <w:t>betont, dass diese Menschenrechtsdialoge darauf abzielen sollten, konkrete, messbare und zeitgebundene Fortschritte im Bereich der Menschenrechte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begrüßt die Menschenrechtsdialoge zwischen der EU und dem Königreich Saudi-Arabien unter der Leitung der Menschenrechtskommission Saudi-Arabiens und der Europäischen Kommission, wobei der vierte Dialog im Dezember 2024 in Riad stattfand; </w:t>
            </w:r>
            <w:r>
              <w:rPr>
                <w:b/>
                <w:i/>
              </w:rPr>
              <w:t>betont, dass dieser und alle weiteren Menschenrechtsdialoge darauf abzielen sollten, konkrete, messbare und zeitgebundene Fortschritte im Bereich der Menschenrechte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begrüßt die Menschenrechtsdialoge zwischen der EU und dem Königreich Saudi-Arabien unter der Leitung der Menschenrechtskommission Saudi-Arabiens und der </w:t>
            </w:r>
            <w:r>
              <w:rPr>
                <w:b/>
                <w:i/>
              </w:rPr>
              <w:t>Europäischen Kommission</w:t>
            </w:r>
            <w:r>
              <w:t>, wobei der vierte Dialog im Dezember 2024 in Riad stattfand;</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Bereich der Menschenrechte; begrüßt die Menschenrechtsdialoge zwischen der EU und dem Königreich Saudi-Arabien unter der Leitung der Menschenrechtskommission Saudi-Arabiens und der </w:t>
            </w:r>
            <w:r>
              <w:rPr>
                <w:b/>
                <w:i/>
              </w:rPr>
              <w:t>EU-Sonderbeauftragten für Menschenrechte</w:t>
            </w:r>
            <w:r>
              <w:t>, wobei der vierte Dialog im Dezember 2024 in Riad stattfand;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eine engere Zusammenarbeit zwischen der EU und Saudi-Arabien im </w:t>
            </w:r>
            <w:r>
              <w:rPr>
                <w:b/>
                <w:i/>
              </w:rPr>
              <w:t>Bereich der Menschenrechte;</w:t>
            </w:r>
            <w:r>
              <w:t xml:space="preserve"> </w:t>
            </w:r>
            <w:r>
              <w:rPr>
                <w:b/>
                <w:i/>
              </w:rPr>
              <w:t>begrüßt die Menschenrechtsdialoge zwischen der EU und dem Königreich Saudi-Arabien unter der Leitung der Menschenrechtskommission Saudi-Arabiens und der Europäischen Kommission, wobei der vierte Dialog im Dezember 2024 in Riad stattfand</w:t>
            </w:r>
            <w:r>
              <w:t>;</w:t>
            </w:r>
          </w:p>
        </w:tc>
        <w:tc>
          <w:tcPr>
            <w:tcW w:w="4876" w:type="dxa"/>
            <w:tcBorders>
              <w:top w:val="nil"/>
              <w:left w:val="nil"/>
              <w:bottom w:val="nil"/>
              <w:right w:val="nil"/>
            </w:tcBorders>
          </w:tcPr>
          <w:p>
            <w:pPr>
              <w:pStyle w:val="Normal6a"/>
            </w:pPr>
            <w:r>
              <w:t>27.</w:t>
            </w:r>
            <w:r>
              <w:tab/>
            </w:r>
            <w:r>
              <w:t xml:space="preserve">fordert eine engere Zusammenarbeit zwischen der EU und Saudi-Arabien im </w:t>
            </w:r>
            <w:r>
              <w:rPr>
                <w:b/>
                <w:i/>
              </w:rPr>
              <w:t>Hinblick auf die gemeinsamen Interessen in den Bereichen Sicherheit, regionale Stabilität, Bekämpfung illegaler Einwanderung und wirtschaftliche Zusammenarbeit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verlangt die sofortige und bedingungslose Freilassung aller Menschenrechtsverteidiger, Frauenrechtsverteidiger, friedlichen Kritiker und Aktivisten;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die Einrichtung eines strukturierten Überwachungsmechanismus der EU mit klaren Benchmarks, Zeitplänen und Konsequenzen für den Fall ausbleibender Fortschritte bei den Menschenrechtsreformen in Saudi-Arabien;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nimmt die bemerkenswerten sozialen Reformen zur Kenntnis, </w:t>
            </w:r>
            <w:r>
              <w:rPr>
                <w:b/>
                <w:i/>
              </w:rPr>
              <w:t>die Saudi-Arabien umgesetzt hat, wie die neuen Zivilrechtsgesetze,</w:t>
            </w:r>
            <w:r>
              <w:t xml:space="preserve"> Fortschritte </w:t>
            </w:r>
            <w:r>
              <w:rPr>
                <w:b/>
                <w:i/>
              </w:rPr>
              <w:t>bei der Stärkung der Rolle der Frau, die Ausarbeitung eines Strafgesetzbuchs, die Verbesserung des Systems der Wanderarbeitnehmer in Kafala und die Umsetzung neuer Vorschriften für Arbeitnehmer</w:t>
            </w:r>
            <w:r>
              <w:t>;</w:t>
            </w:r>
          </w:p>
        </w:tc>
        <w:tc>
          <w:tcPr>
            <w:tcW w:w="4876" w:type="dxa"/>
            <w:tcBorders>
              <w:top w:val="nil"/>
              <w:left w:val="nil"/>
              <w:bottom w:val="nil"/>
              <w:right w:val="nil"/>
            </w:tcBorders>
          </w:tcPr>
          <w:p>
            <w:pPr>
              <w:pStyle w:val="Normal6a"/>
            </w:pPr>
            <w:r>
              <w:t>28.</w:t>
            </w:r>
            <w:r>
              <w:tab/>
            </w:r>
            <w:r>
              <w:t xml:space="preserve">nimmt die bemerkenswerten sozialen Reformen zur Kenntnis, </w:t>
            </w:r>
            <w:r>
              <w:rPr>
                <w:b/>
                <w:i/>
              </w:rPr>
              <w:t>betont jedoch, dass weitere Schritte erforderlich sind, um die angestrebten</w:t>
            </w:r>
            <w:r>
              <w:t xml:space="preserve"> Fortschritte </w:t>
            </w:r>
            <w:r>
              <w:rPr>
                <w:b/>
                <w:i/>
              </w:rPr>
              <w:t>voranzutreiben und zu festigen, unter anderem indem sichergestellt wird, dass im neuen Strafgesetzbuch Kinderheirat und Vergewaltigung in der Ehe unter Strafe gestellt werden und das Recht auf freie Meinungsäußerung, Versammlungs- und Vereinigungsfreiheit entkriminalisiert wird;</w:t>
            </w:r>
            <w:r>
              <w:t xml:space="preserve"> </w:t>
            </w:r>
            <w:r>
              <w:rPr>
                <w:b/>
                <w:i/>
              </w:rPr>
              <w:t>ist nach wie vor besorgt über die vorherrschende Diskriminierung in Recht und Praxis, unter anderem gegenüber Frauen und Wanderarbeitnehmern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nimmt die </w:t>
            </w:r>
            <w:r>
              <w:rPr>
                <w:b/>
                <w:i/>
              </w:rPr>
              <w:t>bemerkenswerten</w:t>
            </w:r>
            <w:r>
              <w:t xml:space="preserve"> sozialen Reformen zur Kenntnis, die Saudi-Arabien umgesetzt hat, wie die neuen Zivilrechtsgesetze, Fortschritte bei der Stärkung der Rolle der Frau, die Ausarbeitung eines Strafgesetzbuchs, die Verbesserung des </w:t>
            </w:r>
            <w:r>
              <w:rPr>
                <w:b/>
                <w:i/>
              </w:rPr>
              <w:t>Systems der</w:t>
            </w:r>
            <w:r>
              <w:t xml:space="preserve"> Wanderarbeitnehmer </w:t>
            </w:r>
            <w:r>
              <w:rPr>
                <w:b/>
                <w:i/>
              </w:rPr>
              <w:t>in Kafala</w:t>
            </w:r>
            <w:r>
              <w:t xml:space="preserve"> und die Umsetzung neuer Vorschriften für Arbeitnehmer;</w:t>
            </w:r>
          </w:p>
        </w:tc>
        <w:tc>
          <w:tcPr>
            <w:tcW w:w="4876" w:type="dxa"/>
            <w:tcBorders>
              <w:top w:val="nil"/>
              <w:left w:val="nil"/>
              <w:bottom w:val="nil"/>
              <w:right w:val="nil"/>
            </w:tcBorders>
          </w:tcPr>
          <w:p>
            <w:pPr>
              <w:pStyle w:val="Normal6a"/>
            </w:pPr>
            <w:r>
              <w:t>28.</w:t>
            </w:r>
            <w:r>
              <w:tab/>
            </w:r>
            <w:r>
              <w:t xml:space="preserve">nimmt die sozialen Reformen zur Kenntnis, die Saudi-Arabien umgesetzt hat, wie die neuen Zivilrechtsgesetze, Fortschritte bei der Stärkung der Rolle der Frau, die Ausarbeitung eines Strafgesetzbuchs, die Verbesserung des </w:t>
            </w:r>
            <w:r>
              <w:rPr>
                <w:b/>
                <w:i/>
              </w:rPr>
              <w:t>Kafala-Systems für</w:t>
            </w:r>
            <w:r>
              <w:t xml:space="preserve"> Wanderarbeitnehmer und die Umsetzung neuer Vorschriften für Arbeitnehmer; </w:t>
            </w:r>
            <w:r>
              <w:rPr>
                <w:b/>
                <w:i/>
              </w:rPr>
              <w:t>stellt jedoch fest, dass das Rechtssystem Saudi-Arabiens durch eine doppelte Problematik gekennzeichnet ist, da es kein umfassendes Strafgesetzbuch gibt und die Gesetze vage definiert und restriktiv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nimmt die bemerkenswerten sozialen Reformen zur Kenntnis, die Saudi-Arabien umgesetzt hat, wie die neuen Zivilrechtsgesetze</w:t>
            </w:r>
            <w:r>
              <w:rPr>
                <w:b/>
                <w:i/>
              </w:rPr>
              <w:t>,</w:t>
            </w:r>
            <w:r>
              <w:t xml:space="preserve"> Fortschritte bei der Stärkung der Rolle der Frau</w:t>
            </w:r>
            <w:r>
              <w:rPr>
                <w:b/>
                <w:i/>
              </w:rPr>
              <w:t>, die Ausarbeitung eines Strafgesetzbuchs, die Verbesserung des Systems der Wanderarbeitnehmer in Kafala und die Umsetzung neuer Vorschriften für Arbeitnehmer</w:t>
            </w:r>
            <w:r>
              <w:t>;</w:t>
            </w:r>
          </w:p>
        </w:tc>
        <w:tc>
          <w:tcPr>
            <w:tcW w:w="4876" w:type="dxa"/>
            <w:tcBorders>
              <w:top w:val="nil"/>
              <w:left w:val="nil"/>
              <w:bottom w:val="nil"/>
              <w:right w:val="nil"/>
            </w:tcBorders>
          </w:tcPr>
          <w:p>
            <w:pPr>
              <w:pStyle w:val="Normal6a"/>
            </w:pPr>
            <w:r>
              <w:t>28.</w:t>
            </w:r>
            <w:r>
              <w:tab/>
            </w:r>
            <w:r>
              <w:t xml:space="preserve">nimmt die bemerkenswerten sozialen Reformen zur Kenntnis, die Saudi-Arabien umgesetzt hat, wie die neuen Zivilrechtsgesetze </w:t>
            </w:r>
            <w:r>
              <w:rPr>
                <w:b/>
                <w:i/>
              </w:rPr>
              <w:t>sowie</w:t>
            </w:r>
            <w:r>
              <w:t xml:space="preserve"> Fortschritte bei der Stärkung der Rolle der Frau;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nimmt die bemerkenswerten sozialen Reformen zur Kenntnis, die Saudi-Arabien umgesetzt hat, wie die neuen Zivilrechtsgesetze, Fortschritte bei der Stärkung der Rolle der Frau, die Ausarbeitung eines Strafgesetzbuchs, die </w:t>
            </w:r>
            <w:r>
              <w:rPr>
                <w:b/>
                <w:i/>
              </w:rPr>
              <w:t>Verbesserung des Systems der Wanderarbeitnehmer in</w:t>
            </w:r>
            <w:r>
              <w:t xml:space="preserve"> Kafala und die Umsetzung neuer Vorschriften für Arbeitnehmer;</w:t>
            </w:r>
          </w:p>
        </w:tc>
        <w:tc>
          <w:tcPr>
            <w:tcW w:w="4876" w:type="dxa"/>
            <w:tcBorders>
              <w:top w:val="nil"/>
              <w:left w:val="nil"/>
              <w:bottom w:val="nil"/>
              <w:right w:val="nil"/>
            </w:tcBorders>
          </w:tcPr>
          <w:p>
            <w:pPr>
              <w:pStyle w:val="Normal6a"/>
            </w:pPr>
            <w:r>
              <w:t>28.</w:t>
            </w:r>
            <w:r>
              <w:tab/>
            </w:r>
            <w:r>
              <w:t xml:space="preserve">nimmt die bemerkenswerten sozialen Reformen zur Kenntnis, die Saudi-Arabien umgesetzt hat, wie die neuen Zivilrechtsgesetze, Fortschritte bei der Stärkung der Rolle der Frau, die Ausarbeitung eines Strafgesetzbuchs, die </w:t>
            </w:r>
            <w:r>
              <w:rPr>
                <w:b/>
                <w:i/>
              </w:rPr>
              <w:t>Verbesserungen im Hinblick auf die Reform des Bürgschaftsystems („</w:t>
            </w:r>
            <w:r>
              <w:t>Kafala</w:t>
            </w:r>
            <w:r>
              <w:rPr>
                <w:b/>
                <w:i/>
              </w:rPr>
              <w:t>“)</w:t>
            </w:r>
            <w:r>
              <w:t xml:space="preserve"> und die Umsetzung neuer Vorschriften für Arbeitnehmer;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nimmt die </w:t>
            </w:r>
            <w:r>
              <w:rPr>
                <w:b/>
                <w:i/>
              </w:rPr>
              <w:t>bemerkenswerten</w:t>
            </w:r>
            <w:r>
              <w:t xml:space="preserve"> sozialen Reformen zur Kenntnis, die Saudi-Arabien umgesetzt hat, wie die neuen Zivilrechtsgesetze, Fortschritte bei der Stärkung der Rolle der Frau, die Ausarbeitung eines Strafgesetzbuchs, die Verbesserung des </w:t>
            </w:r>
            <w:r>
              <w:rPr>
                <w:b/>
                <w:i/>
              </w:rPr>
              <w:t>Systems der</w:t>
            </w:r>
            <w:r>
              <w:t xml:space="preserve"> Wanderarbeitnehmer </w:t>
            </w:r>
            <w:r>
              <w:rPr>
                <w:b/>
                <w:i/>
              </w:rPr>
              <w:t>in Kafala</w:t>
            </w:r>
            <w:r>
              <w:t xml:space="preserve"> und die Umsetzung neuer Vorschriften für Arbeitnehmer;</w:t>
            </w:r>
          </w:p>
        </w:tc>
        <w:tc>
          <w:tcPr>
            <w:tcW w:w="4876" w:type="dxa"/>
            <w:tcBorders>
              <w:top w:val="nil"/>
              <w:left w:val="nil"/>
              <w:bottom w:val="nil"/>
              <w:right w:val="nil"/>
            </w:tcBorders>
          </w:tcPr>
          <w:p>
            <w:pPr>
              <w:pStyle w:val="Normal6a"/>
            </w:pPr>
            <w:r>
              <w:t>28.</w:t>
            </w:r>
            <w:r>
              <w:tab/>
            </w:r>
            <w:r>
              <w:t xml:space="preserve">nimmt die sozialen Reformen zur Kenntnis, die Saudi-Arabien umgesetzt hat, wie die neuen Zivilrechtsgesetze, Fortschritte bei der Stärkung der Rolle der Frau, die Ausarbeitung eines Strafgesetzbuchs, die Verbesserung des </w:t>
            </w:r>
            <w:r>
              <w:rPr>
                <w:b/>
                <w:i/>
              </w:rPr>
              <w:t>Kafala-Systems für</w:t>
            </w:r>
            <w:r>
              <w:t xml:space="preserve"> Wanderarbeitnehmer und die Umsetzung neuer Vorschriften für Arbeitnehmer;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nimmt die bemerkenswerten sozialen Reformen zur Kenntnis, die Saudi-Arabien umgesetzt hat, wie die neuen Zivilrechtsgesetze, </w:t>
            </w:r>
            <w:r>
              <w:rPr>
                <w:b/>
                <w:i/>
              </w:rPr>
              <w:t>Fortschritte</w:t>
            </w:r>
            <w:r>
              <w:t xml:space="preserve"> bei der Stärkung der Rolle der Frau, die Ausarbeitung eines Strafgesetzbuchs, die Verbesserung des </w:t>
            </w:r>
            <w:r>
              <w:rPr>
                <w:b/>
                <w:i/>
              </w:rPr>
              <w:t>Systems der</w:t>
            </w:r>
            <w:r>
              <w:t xml:space="preserve"> Wanderarbeitnehmer </w:t>
            </w:r>
            <w:r>
              <w:rPr>
                <w:b/>
                <w:i/>
              </w:rPr>
              <w:t>in Kafala</w:t>
            </w:r>
            <w:r>
              <w:t xml:space="preserve"> und die Umsetzung neuer </w:t>
            </w:r>
            <w:r>
              <w:rPr>
                <w:b/>
                <w:i/>
              </w:rPr>
              <w:t>Vorschriften für Arbeitnehmer</w:t>
            </w:r>
            <w:r>
              <w:t>;</w:t>
            </w:r>
          </w:p>
        </w:tc>
        <w:tc>
          <w:tcPr>
            <w:tcW w:w="4876" w:type="dxa"/>
            <w:tcBorders>
              <w:top w:val="nil"/>
              <w:left w:val="nil"/>
              <w:bottom w:val="nil"/>
              <w:right w:val="nil"/>
            </w:tcBorders>
          </w:tcPr>
          <w:p>
            <w:pPr>
              <w:pStyle w:val="Normal6a"/>
            </w:pPr>
            <w:r>
              <w:t>28.</w:t>
            </w:r>
            <w:r>
              <w:tab/>
            </w:r>
            <w:r>
              <w:t xml:space="preserve">nimmt die bemerkenswerten sozialen Reformen zur Kenntnis, die Saudi-Arabien umgesetzt hat, wie die neuen Zivilrechtsgesetze, </w:t>
            </w:r>
            <w:r>
              <w:rPr>
                <w:b/>
                <w:i/>
              </w:rPr>
              <w:t>den Fortschritt</w:t>
            </w:r>
            <w:r>
              <w:t xml:space="preserve"> bei der Stärkung der Rolle der Frau, die Ausarbeitung eines Strafgesetzbuchs, die Verbesserung des </w:t>
            </w:r>
            <w:r>
              <w:rPr>
                <w:b/>
                <w:i/>
              </w:rPr>
              <w:t>Kafala-Systems für</w:t>
            </w:r>
            <w:r>
              <w:t xml:space="preserve"> Wanderarbeitnehmer und die Umsetzung neuer </w:t>
            </w:r>
            <w:r>
              <w:rPr>
                <w:b/>
                <w:i/>
              </w:rPr>
              <w:t>Arbeitsvorschriften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nimmt die Arbeit Saudi-Arabiens an einem Entwurf für ein Strafgesetzbuch zur Kenntnis, weist jedoch nachdrücklich darauf hin, dass in dem Gesetzentwurf Angaben von Menschenrechtsorganisationen zufolge Äußerungen unter Strafe gestellt werden, die gemäß internationalem Recht geschützt sind, und dass Frauen und Mädchen nicht vor allen Formen geschlechtsspezifischer Gewalt geschützt werden;</w:t>
            </w:r>
            <w:r>
              <w:t xml:space="preserve"> </w:t>
            </w:r>
            <w:r>
              <w:rPr>
                <w:b/>
                <w:i/>
              </w:rPr>
              <w:t>fordert die staatlichen Stellen Saudi-Arabiens nachdrücklich auf, den Entwurf des Strafgesetzbuches vor seiner Verabschiedung im Einklang mit den internationalen Verpflichtungen des Landes entsprechend zu ändern und sicherzustellen, dass Frauen und Mädchen vor allen Formen geschlechtsspezifischer Gewalt geschützt werden, indem der Begriff des „Ehrenmords“ aus dem Rechtsvokabular gestrichen wird, ein angemessener Schutz vor Belästigung und häuslicher Gewalt gewährleistet wird, Vergewaltigung in der Ehe unter Strafe gestellt wird sowie eine konstruktive Konsultation der Zivilgesellschaft, auch von Menschenrechtsverteidigerinnen, in der Entwurfsphase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hebt hervor, dass sich die Erwerbsbeteiligung von Frauen in Saudi-Arabien seit 2017 mehr als verdoppelt hat und nun bei 37 % liegt</w:t>
            </w:r>
            <w:r>
              <w:rPr>
                <w:b/>
                <w:i/>
                <w:vertAlign w:val="superscript"/>
              </w:rPr>
              <w:t>2a</w:t>
            </w:r>
            <w:r>
              <w:rPr>
                <w:b/>
                <w:i/>
              </w:rPr>
              <w:t>;</w:t>
            </w:r>
            <w:r>
              <w:t xml:space="preserve"> </w:t>
            </w:r>
            <w:r>
              <w:rPr>
                <w:b/>
                <w:i/>
              </w:rPr>
              <w:t>weist darauf hin, dass inzwischen 45 % der KMU und 17 % aller Unternehmen in Saudi-Arabien Frauen gehören;</w:t>
            </w:r>
            <w:r>
              <w:t xml:space="preserve"> </w:t>
            </w:r>
            <w:r>
              <w:rPr>
                <w:b/>
                <w:i/>
              </w:rPr>
              <w:t>ist der Ansicht, dass diese Entwicklungen auf die seit 2018 eingeführten Rechtsreformen zurückgehen, darunter die Aufhebung des Fahrverbots</w:t>
            </w:r>
            <w:r>
              <w:rPr>
                <w:b/>
                <w:i/>
                <w:vertAlign w:val="superscript"/>
              </w:rPr>
              <w:t>3a</w:t>
            </w:r>
            <w:r>
              <w:rPr>
                <w:b/>
                <w:i/>
              </w:rPr>
              <w:t>, die Verabschiedung eines Gesetzes gegen Belästigung und neue Vorschriften zum Personenstand, mit denen das Mindestheiratsalter auf 18 Jahre angehoben und die Autonomie von Frauen gestärkt wurde;</w:t>
            </w:r>
            <w:r>
              <w:t xml:space="preserve"> </w:t>
            </w:r>
            <w:r>
              <w:rPr>
                <w:b/>
                <w:i/>
              </w:rPr>
              <w:t>beglückwünscht Saudi-Arabien zu diesen Errungenschaften und fordert das Land auf, die Reformen zur weiteren Förderung der Rechte der Frauen und ihrer Teilhabe am öffentlichen Leben fortzusetzen;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https://genderdata.worldbank.org/en/economies/saudi-arabia#:~:text=In%20Saudi%20Arabia%2C%20the%20labor,labor%20force%20participation%20has%20increased.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https://www.weforum.org/stories/2018/06/saudi-women-take-victory-lap-as-driving-ban-ends/.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weist auf die mangelnde Religionsfreiheit in Saudi-Arabien – insbesondere für Christen – hin;</w:t>
            </w:r>
            <w:r>
              <w:t xml:space="preserve"> </w:t>
            </w:r>
            <w:r>
              <w:rPr>
                <w:b/>
                <w:i/>
              </w:rPr>
              <w:t>verweist erneut darauf, dass Saudi-Arabien oft als das Land klassifiziert wird, in dem christliche Minderheit weltweit am zweitstärksten verfolgt werden;</w:t>
            </w:r>
            <w:r>
              <w:t xml:space="preserve"> </w:t>
            </w:r>
            <w:r>
              <w:rPr>
                <w:b/>
                <w:i/>
              </w:rPr>
              <w:t>fordert die saudischen Behörden auf, das derzeit bestehende Einreiseverbot für Mitglieder des Klerus aufzuheben;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nimmt die Anliegen der schiitischen Minderheit in Saudi-Arabien zur Kenntnis und fordert die staatlichen Stellen auf, dafür zu sorgen, dass sie im Land Gleichbehandlung und Chancengleichheit genießen;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lobt Saudi-Arabien dafür, dass es bislang sechs Frauen zu Botschafterinnen ernannt hat, was einen wichtigen Schritt zur Stärkung der Rolle der Frau darstellt, und betont, dass dies nur der Anfang weiterer Fortschritte bei der Förderung der Vertretung und Führungsrolle von Frauen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begrüßt die Freilassung des Sacharow-Preisträgers von 2015 Raif Badawi im März 2022, fordert die staatlichen Stellen Saudi-Arabiens jedoch auf, die im auferlegten äußerst restriktiven Reise- und Kommunikationsverbote aufzuheben, damit er seine Familie wiedersehen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würdigt die zunehmende Beteiligung der Zivilgesellschaft im Königreich mit über 5 400 eingetragenen Vereinigungen und Organisationen und fordert weitere Maßnahmen, um diesen positiven Trend zu unterstützen und fortzusetzen;</w:t>
            </w:r>
          </w:p>
        </w:tc>
        <w:tc>
          <w:tcPr>
            <w:tcW w:w="4876" w:type="dxa"/>
            <w:tcBorders>
              <w:top w:val="nil"/>
              <w:left w:val="nil"/>
              <w:bottom w:val="nil"/>
              <w:right w:val="nil"/>
            </w:tcBorders>
          </w:tcPr>
          <w:p>
            <w:pPr>
              <w:pStyle w:val="Normal6a"/>
            </w:pPr>
            <w:r>
              <w:t>29.</w:t>
            </w:r>
            <w:r>
              <w:tab/>
            </w:r>
            <w:r>
              <w:t xml:space="preserve">würdigt die zunehmende Beteiligung der Zivilgesellschaft im Königreich mit über 5 400 eingetragenen Vereinigungen und Organisationen und fordert weitere Maßnahmen, um diesen positiven Trend zu unterstützen und fortzusetzen; </w:t>
            </w:r>
            <w:r>
              <w:rPr>
                <w:b/>
                <w:i/>
              </w:rPr>
              <w:t>ist jedoch besorgt darüber, dass friedliche Aktivisten und normale Bürger, die ihr in den internationalen Menschenrechtsnormen verankertes Recht auf freie Meinungsäußerung – sowohl online als auch offline – ausüben, zunehmend ins Visier genommen werden und willkürlich inhaftiert werden;</w:t>
            </w:r>
            <w:r>
              <w:t xml:space="preserve"> </w:t>
            </w:r>
            <w:r>
              <w:rPr>
                <w:b/>
                <w:i/>
              </w:rPr>
              <w:t>fordert Saudi-Arabien auf, die Definition von Terrorismus im Einklang mit internationalen Standards zu überarbeiten, unter anderem durch die Änderung der Gesetze zur Bekämpfung von Cyberkriminalität und Terrorismus, um sicherzustellen, dass die Nutzung sozialer Medien für die friedliche Meinungsäußerung nicht unter Strafe gestellt wird;</w:t>
            </w:r>
            <w:r>
              <w:t xml:space="preserve"> </w:t>
            </w:r>
            <w:r>
              <w:rPr>
                <w:b/>
                <w:i/>
              </w:rPr>
              <w:t>erinnert daran, dass der Sacharow-Preis des Europäischen Parlaments im Jahr 2015 dem saudi-arabischen Blogger Raif Badawi verliehen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würdigt die zunehmende Beteiligung der</w:t>
            </w:r>
            <w:r>
              <w:t xml:space="preserve"> Zivilgesellschaft </w:t>
            </w:r>
            <w:r>
              <w:rPr>
                <w:b/>
                <w:i/>
              </w:rPr>
              <w:t>im Königreich mit über 5 400 eingetragenen</w:t>
            </w:r>
            <w:r>
              <w:t xml:space="preserve"> Vereinigungen und Organisationen </w:t>
            </w:r>
            <w:r>
              <w:rPr>
                <w:b/>
                <w:i/>
              </w:rPr>
              <w:t>und</w:t>
            </w:r>
            <w:r>
              <w:t xml:space="preserve"> fordert </w:t>
            </w:r>
            <w:r>
              <w:rPr>
                <w:b/>
                <w:i/>
              </w:rPr>
              <w:t>weitere Maßnahmen, um diesen positiven Trend zu unterstützen und fortzusetzen</w:t>
            </w:r>
            <w:r>
              <w:t>;</w:t>
            </w:r>
          </w:p>
        </w:tc>
        <w:tc>
          <w:tcPr>
            <w:tcW w:w="4876" w:type="dxa"/>
            <w:tcBorders>
              <w:top w:val="nil"/>
              <w:left w:val="nil"/>
              <w:bottom w:val="nil"/>
              <w:right w:val="nil"/>
            </w:tcBorders>
          </w:tcPr>
          <w:p>
            <w:pPr>
              <w:pStyle w:val="Normal6a"/>
            </w:pPr>
            <w:r>
              <w:t>29.</w:t>
            </w:r>
            <w:r>
              <w:tab/>
            </w:r>
            <w:r>
              <w:rPr>
                <w:b/>
                <w:i/>
              </w:rPr>
              <w:t>weist nachdrücklich auf die umfassende Unterdrückung der unabhängigen</w:t>
            </w:r>
            <w:r>
              <w:t xml:space="preserve"> Zivilgesellschaft </w:t>
            </w:r>
            <w:r>
              <w:rPr>
                <w:b/>
                <w:i/>
              </w:rPr>
              <w:t>Saudi-Arabiens und die willkürliche Inhaftierung von friedlichen Abweichlern, öffentlich tätigen Intellektuellen, Menschenrechtsverteidigern und Aktivisten hin;</w:t>
            </w:r>
            <w:r>
              <w:t xml:space="preserve"> </w:t>
            </w:r>
            <w:r>
              <w:rPr>
                <w:b/>
                <w:i/>
              </w:rPr>
              <w:t>stellt fest, dass zwar über 5 400</w:t>
            </w:r>
            <w:r>
              <w:t xml:space="preserve"> Vereinigungen und Organisationen </w:t>
            </w:r>
            <w:r>
              <w:rPr>
                <w:b/>
                <w:i/>
              </w:rPr>
              <w:t>in dem Königreich registriert sind, die Gründung und die Tätigkeit unabhängiger nichtstaatlicher Menschenrechtsorganisationen sowie unabhängige Beobachtungstätigkeiten jedoch verboten sind;</w:t>
            </w:r>
            <w:r>
              <w:t xml:space="preserve"> fordert </w:t>
            </w:r>
            <w:r>
              <w:rPr>
                <w:b/>
                <w:i/>
              </w:rPr>
              <w:t>Saudi-Arabien nachdrücklich auf, das Vereinigungsgesetz zu ändern, um es vollständig mit dem Völkerrecht und internationalen Standards in Einklang zu bringen und die Gründung unabhängiger Menschenrechtsorganisationen und Gewerkschaften zu ermöglichen</w:t>
            </w:r>
            <w:r>
              <w:t xml:space="preserve">; </w:t>
            </w:r>
            <w:r>
              <w:rPr>
                <w:b/>
                <w:i/>
              </w:rPr>
              <w:t>fordert Saudi-Arabien auf, den willkürlichen Festnahmen und Inhaftierungen von Menschenrechtsverteidigern, Wissenschaftlern und Geistlichen wegen der Ausübung ihres Rechts auf freie Meinungsäußerung und Vereinigungsfreiheit ein Ende zu setzen und dafür Sorge zu tragen, dass das Recht auf freie Meinungsäußerung im künftigen Strafgesetzbuch geschützt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würdigt die zunehmende Beteiligung der Zivilgesellschaft im Königreich mit über 5 400 eingetragenen Vereinigungen und Organisationen und fordert weitere Maßnahmen, um diesen positiven Trend zu unterstützen und fortzusetzen;</w:t>
            </w:r>
          </w:p>
        </w:tc>
        <w:tc>
          <w:tcPr>
            <w:tcW w:w="4876" w:type="dxa"/>
            <w:tcBorders>
              <w:top w:val="nil"/>
              <w:left w:val="nil"/>
              <w:bottom w:val="nil"/>
              <w:right w:val="nil"/>
            </w:tcBorders>
          </w:tcPr>
          <w:p>
            <w:pPr>
              <w:pStyle w:val="Normal6a"/>
            </w:pPr>
            <w:r>
              <w:t>29.</w:t>
            </w:r>
            <w:r>
              <w:tab/>
            </w:r>
            <w:r>
              <w:t xml:space="preserve">würdigt die zunehmende Beteiligung der Zivilgesellschaft im Königreich mit über 5 400 eingetragenen Vereinigungen und Organisationen und fordert weitere Maßnahmen, um diesen positiven Trend zu unterstützen und fortzusetzen; </w:t>
            </w:r>
            <w:r>
              <w:rPr>
                <w:b/>
                <w:i/>
              </w:rPr>
              <w:t>fordert, dass die Meinungsfreiheit geschützt wird, und fordert Saudi-Arabien auf, die wirksame Teilhabe internationaler Menschenrechtsorganisationen vor Ort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würdigt die zunehmende Beteiligung der</w:t>
            </w:r>
            <w:r>
              <w:t xml:space="preserve"> Zivilgesellschaft </w:t>
            </w:r>
            <w:r>
              <w:rPr>
                <w:b/>
                <w:i/>
              </w:rPr>
              <w:t>im Königreich mit</w:t>
            </w:r>
            <w:r>
              <w:t xml:space="preserve"> über 5 400 </w:t>
            </w:r>
            <w:r>
              <w:rPr>
                <w:b/>
                <w:i/>
              </w:rPr>
              <w:t>eingetragenen</w:t>
            </w:r>
            <w:r>
              <w:t xml:space="preserve"> Vereinigungen und Organisationen </w:t>
            </w:r>
            <w:r>
              <w:rPr>
                <w:b/>
                <w:i/>
              </w:rPr>
              <w:t>und fordert weitere Maßnahmen, um diesen positiven Trend zu unterstützen und fortzusetzen</w:t>
            </w:r>
            <w:r>
              <w:t>;</w:t>
            </w:r>
          </w:p>
        </w:tc>
        <w:tc>
          <w:tcPr>
            <w:tcW w:w="4876" w:type="dxa"/>
            <w:tcBorders>
              <w:top w:val="nil"/>
              <w:left w:val="nil"/>
              <w:bottom w:val="nil"/>
              <w:right w:val="nil"/>
            </w:tcBorders>
          </w:tcPr>
          <w:p>
            <w:pPr>
              <w:pStyle w:val="Normal6a"/>
            </w:pPr>
            <w:r>
              <w:t>29.</w:t>
            </w:r>
            <w:r>
              <w:tab/>
            </w:r>
            <w:r>
              <w:rPr>
                <w:b/>
                <w:i/>
              </w:rPr>
              <w:t>weist nachdrücklich auf die anhaltende Unterdrückung der unabhängigen</w:t>
            </w:r>
            <w:r>
              <w:t xml:space="preserve"> Zivilgesellschaft </w:t>
            </w:r>
            <w:r>
              <w:rPr>
                <w:b/>
                <w:i/>
              </w:rPr>
              <w:t>Saudi-Arabiens und die willkürliche Inhaftierung von friedlichen Abweichlern, öffentlich tätigen Intellektuellen, Menschenrechtsverteidigern und Aktivisten hin;</w:t>
            </w:r>
            <w:r>
              <w:t xml:space="preserve"> </w:t>
            </w:r>
            <w:r>
              <w:rPr>
                <w:b/>
                <w:i/>
              </w:rPr>
              <w:t>stellt fest, dass es</w:t>
            </w:r>
            <w:r>
              <w:t xml:space="preserve"> über 5 400 </w:t>
            </w:r>
            <w:r>
              <w:rPr>
                <w:b/>
                <w:i/>
              </w:rPr>
              <w:t>eingetragene</w:t>
            </w:r>
            <w:r>
              <w:t xml:space="preserve"> Vereinigungen und Organisationen </w:t>
            </w:r>
            <w:r>
              <w:rPr>
                <w:b/>
                <w:i/>
              </w:rPr>
              <w:t>in dem Land gibt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würdigt die zunehmende Beteiligung der Zivilgesellschaft im Königreich mit über 5 400 eingetragenen Vereinigungen und Organisationen und fordert weitere Maßnahmen, um diesen positiven Trend zu unterstützen und fortzusetzen;</w:t>
            </w:r>
          </w:p>
        </w:tc>
        <w:tc>
          <w:tcPr>
            <w:tcW w:w="4876" w:type="dxa"/>
            <w:tcBorders>
              <w:top w:val="nil"/>
              <w:left w:val="nil"/>
              <w:bottom w:val="nil"/>
              <w:right w:val="nil"/>
            </w:tcBorders>
          </w:tcPr>
          <w:p>
            <w:pPr>
              <w:pStyle w:val="Normal6a"/>
            </w:pPr>
            <w:r>
              <w:t>29.</w:t>
            </w:r>
            <w:r>
              <w:tab/>
            </w:r>
            <w:r>
              <w:t xml:space="preserve">würdigt die zunehmende Beteiligung der </w:t>
            </w:r>
            <w:r>
              <w:rPr>
                <w:b/>
                <w:i/>
              </w:rPr>
              <w:t>saudi-arabischen</w:t>
            </w:r>
            <w:r>
              <w:t xml:space="preserve"> Zivilgesellschaft im Königreich mit über 5 400 eingetragenen Vereinigungen und Organisationen und fordert weitere Maßnahmen, um diesen positiven Trend zu unterstützen und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nimmt die bedeutenden Fortschritte bei der Stärkung der Beteiligung von Frauen am öffentlichen Leben anerkennend zur Kenntnis, wobei Frauen nun 41 % der Staatsbediensteten – auch auf hochrangigen diplomatischen Posten – und 20 % der Mitglieder des Shura-Rates ausmachen;</w:t>
            </w:r>
            <w:r>
              <w:rPr>
                <w:b/>
                <w:i/>
                <w:vertAlign w:val="superscript"/>
              </w:rPr>
              <w:t>2a</w:t>
            </w:r>
            <w:r>
              <w:t xml:space="preserve"> </w:t>
            </w:r>
            <w:r>
              <w:rPr>
                <w:b/>
                <w:i/>
              </w:rPr>
              <w:t>hebt darüber hinaus den historischen Meilenstein vom Mai 2023 hervor, als die Astronautin Rayyanah Barnawi als erste saudische und arabisch-muslimische Frau ins All flog, was sinnbildlich für das Engagement des Königreichs für die Stärkung der Rolle der Frau, Innovation und das Überwinden von Barrieren steht</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https://data.ipu.org/parliament/SA/SA-LC01/data-on-women/.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https://sites.ungeneva.org/not-a-womans-job/2024/en/permanent-missions/rayanna-barnawi.html.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Saudi-Arabien nachdrücklich auf, unabhängigen Menschenrechtsbeobachtern zu gestatten, in das Land zu reisen, und fordert regelmäßige unabhängige Berichte zum Menschenrechtskontext mit klaren Maßstäben für Fortschritte bei der Menschenrechtslage in Saudi-Arabien;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Saudi-Arabien nachdrücklich auf, unabhängigen Menschenrechtsbeobachtern zu gestatten, in das Land zu reisen, und fordert regelmäßige unabhängige Berichte zum Menschenrechtskontext mit klaren Maßstäben für Fortschritte bei der Menschenrechtslage in Saudi-Arabien;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Saudi-Arabien nachdrücklich auf, unabhängigen Menschenrechtsbeobachtern zu gestatten, in das Land zu 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fordert die sofortige Freilassung von Personen, die wegen der friedlichen Ausübung ihrer Rechte inhaftiert wurden, insbesondere bedeutende Aktivisten, Wissenschaftler und Geistliche;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p>
        </w:tc>
        <w:tc>
          <w:tcPr>
            <w:tcW w:w="4876" w:type="dxa"/>
            <w:tcBorders>
              <w:top w:val="nil"/>
              <w:left w:val="nil"/>
              <w:bottom w:val="nil"/>
              <w:right w:val="nil"/>
            </w:tcBorders>
          </w:tcPr>
          <w:p>
            <w:pPr>
              <w:pStyle w:val="Normal6a"/>
            </w:pPr>
            <w:r>
              <w:t>30.</w:t>
            </w:r>
            <w:r>
              <w:tab/>
            </w:r>
            <w:r>
              <w:t>nimmt die Menschenrechtsstrategie Saudi-Arabiens für die FIFA-Weltmeisterschaft 2034 zur Kenntnis</w:t>
            </w:r>
            <w:r>
              <w:rPr>
                <w:b/>
                <w:i/>
              </w:rPr>
              <w:t>, bedauert jedoch, dass einige der schwerwiegendsten Gefährdungen für die Menschenrechte, wie Ausbeutung und Missbrauch von Arbeitskräften, Unterdrückung von Freiheiten und Verletzungen des Rechts auf Privatsphäre durch Massenüberwachung, nicht substanziell angegangen, ja nicht einmal erwähnt werden</w:t>
            </w:r>
            <w:r>
              <w:t>;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r>
              <w:rPr>
                <w:b/>
                <w:i/>
              </w:rPr>
              <w:t>, um angemessene Arbeitsbedingungen für alle Arbeitskräfte zu gewährleisten, insbesondere im Hinblick auf evidenzbasierte Hitzeschutzmaßnahmen, pünktliche und vollständige Bezahlung und im Todesfall die Gewährleistung einer ordnungsgemäßen Untersuchung sowie einer Entschädigung für die Familien der Verstorbenen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p>
        </w:tc>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r>
              <w:rPr>
                <w:b/>
                <w:i/>
              </w:rPr>
              <w:t>, um sicherzustellen, dass alle Todesfälle von Wanderarbeitnehmern, unabhängig von der offensichtlichen Ursache, dem Zeitpunkt und dem Ort, ordnungsgemäß untersucht werden und die Familien der verstorbenen Arbeitnehmer eine gerechte und zeitnahe Entschädigung erhalten</w:t>
            </w:r>
            <w:r>
              <w:t xml:space="preserve"> </w:t>
            </w:r>
            <w:r>
              <w:rPr>
                <w:b/>
                <w:i/>
              </w:rPr>
              <w:t>und dass evidenzbasierte Hitzeschutzmaßnahmen ergriffen werden und alle Arbeitnehmer pünktlich und vollständig bezahlt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p>
        </w:tc>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r>
              <w:rPr>
                <w:b/>
                <w:i/>
              </w:rPr>
              <w:t>, um sicherzustellen, dass alle Todesfälle von Wanderarbeitnehmern ordnungsgemäß untersucht werden und die Familien der verstorbenen Arbeitnehmer eine gerechte und zeitnahe Entschädigung erhalten und dass evidenzbasierte Hitzeschutzmaßnahmen ergriffen werden und alle Arbeitnehmer pünktlich und vollständig bezahlt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p>
        </w:tc>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r>
              <w:rPr>
                <w:b/>
                <w:i/>
              </w:rPr>
              <w:t>,</w:t>
            </w:r>
            <w:r>
              <w:t xml:space="preserve"> </w:t>
            </w:r>
            <w:r>
              <w:rPr>
                <w:b/>
                <w:i/>
              </w:rPr>
              <w:t>um sicherzustellen, dass alle Unfälle und Todesfälle von Wanderarbeitnehmern, unabhängig von der offensichtlichen Ursache, dem Zeitpunkt und dem Ort, ordnungsgemäß untersucht werden und die Familien der verstorbenen Arbeitnehmer eine gerechte und zeitnahe Entschädigung 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insbesondere im Vorfeld der EXPO 2030 und des Turniers;</w:t>
            </w:r>
          </w:p>
        </w:tc>
        <w:tc>
          <w:tcPr>
            <w:tcW w:w="4876" w:type="dxa"/>
            <w:tcBorders>
              <w:top w:val="nil"/>
              <w:left w:val="nil"/>
              <w:bottom w:val="nil"/>
              <w:right w:val="nil"/>
            </w:tcBorders>
          </w:tcPr>
          <w:p>
            <w:pPr>
              <w:pStyle w:val="Normal6a"/>
            </w:pPr>
            <w:r>
              <w:t>30.</w:t>
            </w:r>
            <w:r>
              <w:tab/>
            </w:r>
            <w:r>
              <w:t xml:space="preserve">nimmt die Menschenrechtsstrategie Saudi-Arabiens für die FIFA-Weltmeisterschaft 2034 zur Kenntnis; bekräftigt die Bereitschaft der EU, laufende Menschenrechts- und Arbeitsreformen zu unterstützen; fordert eine verstärkte Zusammenarbeit mit den Vereinten Nationen und der Internationalen Arbeitsorganisation im Bereich der Rechte von Wanderarbeitnehmern, </w:t>
            </w:r>
            <w:r>
              <w:rPr>
                <w:b/>
                <w:i/>
              </w:rPr>
              <w:t>um weitere umfassende und integrative Arbeitsreformen im Einklang mit internationalen Standards voranzutreiben,</w:t>
            </w:r>
            <w:r>
              <w:t xml:space="preserve"> insbesondere im Vorfeld der EXPO 2030 und des Turniers;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fordert Saudi-Arabien auf, die laufenden Gesetzesreformen umzusetzen, um die Transparenz der Justiz zu verbessern und unbefristete Haftstrafen zu verhindern, damit die Transparenz der Gerichtsverfahren gewährleistet ist;</w:t>
            </w:r>
            <w:r>
              <w:t xml:space="preserve"> </w:t>
            </w:r>
            <w:r>
              <w:rPr>
                <w:b/>
                <w:i/>
              </w:rPr>
              <w:t>fordert Saudi-Arabien auf, die Strafgerichte zu reformieren, um sicherzustellen, dass sie für alle Angeklagten ein faires Verfahren durchführen, auf Richtlinien beruhende gerechte Urteile für Straftaten fällen, Gerichtsakten veröffentlichen und Angeklagte vor willkürlicher Inhaftierung und Misshandlung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betont, dass die Meinungsfreiheit stark eingeschränkt ist, und weist darauf hin, dass das Internet nach wie vor streng überwacht wird und kritische Beiträge in den sozialen Medien zu Festnahmen führen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bekräftigt die grundsätzliche Zusage der EU, mit Saudi-Arabien auf </w:t>
            </w:r>
            <w:r>
              <w:rPr>
                <w:b/>
                <w:i/>
              </w:rPr>
              <w:t>die Abschaffung der Todesstrafe</w:t>
            </w:r>
            <w:r>
              <w:t xml:space="preserve"> hinzuarbeiten;</w:t>
            </w:r>
          </w:p>
        </w:tc>
        <w:tc>
          <w:tcPr>
            <w:tcW w:w="4876" w:type="dxa"/>
            <w:tcBorders>
              <w:top w:val="nil"/>
              <w:left w:val="nil"/>
              <w:bottom w:val="nil"/>
              <w:right w:val="nil"/>
            </w:tcBorders>
          </w:tcPr>
          <w:p>
            <w:pPr>
              <w:pStyle w:val="Normal6a"/>
            </w:pPr>
            <w:r>
              <w:t>31.</w:t>
            </w:r>
            <w:r>
              <w:tab/>
            </w:r>
            <w:r>
              <w:rPr>
                <w:b/>
                <w:i/>
              </w:rPr>
              <w:t>bekräftigt, dass es die Anwendung der Todesstrafe zu jeder Zeit und unter allen Umständen entschieden und unmissverständlich ablehnt;</w:t>
            </w:r>
            <w:r>
              <w:t xml:space="preserve"> </w:t>
            </w:r>
            <w:r>
              <w:rPr>
                <w:b/>
                <w:i/>
              </w:rPr>
              <w:t>äußert seine Besorgnis über die Anwendung der Todesstrafe in Saudi-Arabien, die im Jahr 2024 dramatisch zugenommen hat und mit mehr als 345 Hinrichtungen ein beispielloses Ausmaß erreicht hat;</w:t>
            </w:r>
            <w:r>
              <w:t xml:space="preserve"> </w:t>
            </w:r>
            <w:r>
              <w:rPr>
                <w:b/>
                <w:i/>
              </w:rPr>
              <w:t>fordert Saudi-Arabien auf, ein Moratorium für die Vollstreckung von Todesurteilen zu verhängen, wobei das Ziel darin besteht, die Todesstrafe abzuschaffen, und</w:t>
            </w:r>
            <w:r>
              <w:t xml:space="preserve"> bekräftigt die grundsätzliche Zusage der EU, mit Saudi-Arabien auf </w:t>
            </w:r>
            <w:r>
              <w:rPr>
                <w:b/>
                <w:i/>
              </w:rPr>
              <w:t>dieses Ziel</w:t>
            </w:r>
            <w:r>
              <w:t xml:space="preserve"> hinzuarbeiten;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bekräftigt </w:t>
            </w:r>
            <w:r>
              <w:rPr>
                <w:b/>
                <w:i/>
              </w:rPr>
              <w:t>die grundsätzliche Zusage</w:t>
            </w:r>
            <w:r>
              <w:t xml:space="preserve"> der EU</w:t>
            </w:r>
            <w:r>
              <w:rPr>
                <w:b/>
                <w:i/>
              </w:rPr>
              <w:t>, mit</w:t>
            </w:r>
            <w:r>
              <w:t xml:space="preserve"> Saudi-Arabien </w:t>
            </w:r>
            <w:r>
              <w:rPr>
                <w:b/>
                <w:i/>
              </w:rPr>
              <w:t>auf die Abschaffung der Todesstrafe hinzuarbeiten</w:t>
            </w:r>
            <w:r>
              <w:t>;</w:t>
            </w:r>
          </w:p>
        </w:tc>
        <w:tc>
          <w:tcPr>
            <w:tcW w:w="4876" w:type="dxa"/>
            <w:tcBorders>
              <w:top w:val="nil"/>
              <w:left w:val="nil"/>
              <w:bottom w:val="nil"/>
              <w:right w:val="nil"/>
            </w:tcBorders>
          </w:tcPr>
          <w:p>
            <w:pPr>
              <w:pStyle w:val="Normal6a"/>
            </w:pPr>
            <w:r>
              <w:t>31.</w:t>
            </w:r>
            <w:r>
              <w:tab/>
            </w:r>
            <w:r>
              <w:t xml:space="preserve">bekräftigt </w:t>
            </w:r>
            <w:r>
              <w:rPr>
                <w:b/>
                <w:i/>
              </w:rPr>
              <w:t>den grundsätzlichen Standpunkt</w:t>
            </w:r>
            <w:r>
              <w:t xml:space="preserve"> der EU </w:t>
            </w:r>
            <w:r>
              <w:rPr>
                <w:b/>
                <w:i/>
              </w:rPr>
              <w:t>gegen die Todesstrafe fordert</w:t>
            </w:r>
            <w:r>
              <w:t xml:space="preserve"> Saudi-Arabien </w:t>
            </w:r>
            <w:r>
              <w:rPr>
                <w:b/>
                <w:i/>
              </w:rPr>
              <w:t>nachdrücklich auf, unverzüglich ein Moratorium für Todesurteile und Hinrichtungen zu verhängen, insbesondere im Fall von Personen, die wegen Verbrechen, die sie als Kinder begangen haben, in der Todeszelle sitzen, wobei das Ziel darin besteht, diese Praxis vollständig abzuschaffen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bekräftigt </w:t>
            </w:r>
            <w:r>
              <w:rPr>
                <w:b/>
                <w:i/>
              </w:rPr>
              <w:t>die grundsätzliche Zusage</w:t>
            </w:r>
            <w:r>
              <w:t xml:space="preserve"> der EU</w:t>
            </w:r>
            <w:r>
              <w:rPr>
                <w:b/>
                <w:i/>
              </w:rPr>
              <w:t>, mit</w:t>
            </w:r>
            <w:r>
              <w:t xml:space="preserve"> Saudi-Arabien </w:t>
            </w:r>
            <w:r>
              <w:rPr>
                <w:b/>
                <w:i/>
              </w:rPr>
              <w:t>auf die Abschaffung der</w:t>
            </w:r>
            <w:r>
              <w:t xml:space="preserve"> Todesstrafe </w:t>
            </w:r>
            <w:r>
              <w:rPr>
                <w:b/>
                <w:i/>
              </w:rPr>
              <w:t>hinzuarbeiten</w:t>
            </w:r>
            <w:r>
              <w:t>;</w:t>
            </w:r>
          </w:p>
        </w:tc>
        <w:tc>
          <w:tcPr>
            <w:tcW w:w="4876" w:type="dxa"/>
            <w:tcBorders>
              <w:top w:val="nil"/>
              <w:left w:val="nil"/>
              <w:bottom w:val="nil"/>
              <w:right w:val="nil"/>
            </w:tcBorders>
          </w:tcPr>
          <w:p>
            <w:pPr>
              <w:pStyle w:val="Normal6a"/>
            </w:pPr>
            <w:r>
              <w:t>31.</w:t>
            </w:r>
            <w:r>
              <w:tab/>
            </w:r>
            <w:r>
              <w:t>bekräftigt </w:t>
            </w:r>
            <w:r>
              <w:rPr>
                <w:b/>
                <w:i/>
              </w:rPr>
              <w:t>den grundsätzlichen Standpunkt</w:t>
            </w:r>
            <w:r>
              <w:t> der EU</w:t>
            </w:r>
            <w:r>
              <w:rPr>
                <w:b/>
                <w:i/>
              </w:rPr>
              <w:t> gegen die Todesstrafe fordert</w:t>
            </w:r>
            <w:r>
              <w:t> Saudi-Arabien </w:t>
            </w:r>
            <w:r>
              <w:rPr>
                <w:b/>
                <w:i/>
              </w:rPr>
              <w:t>nachdrücklich auf, unverzüglich ein Moratorium für Todesurteile und Hinrichtungen zu verhängen und bei den Personen zu beginnen, die wegen Verbrechen, die sie als Minderjährige begangen haben, in der Todeszelle sitzen, wobei das Ziel darin besteht, die</w:t>
            </w:r>
            <w:r>
              <w:t xml:space="preserve"> Todesstrafe </w:t>
            </w:r>
            <w:r>
              <w:rPr>
                <w:b/>
                <w:i/>
              </w:rPr>
              <w:t>vollständig abzuschaffen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bekräftigt die grundsätzliche Zusage der EU, mit Saudi-Arabien auf die Abschaffung der Todesstrafe hinzuarbeiten;</w:t>
            </w:r>
          </w:p>
        </w:tc>
        <w:tc>
          <w:tcPr>
            <w:tcW w:w="4876" w:type="dxa"/>
            <w:tcBorders>
              <w:top w:val="nil"/>
              <w:left w:val="nil"/>
              <w:bottom w:val="nil"/>
              <w:right w:val="nil"/>
            </w:tcBorders>
          </w:tcPr>
          <w:p>
            <w:pPr>
              <w:pStyle w:val="Normal6a"/>
            </w:pPr>
            <w:r>
              <w:t>31.</w:t>
            </w:r>
            <w:r>
              <w:tab/>
            </w:r>
            <w:r>
              <w:t>bekräftigt die grundsätzliche Zusage der EU, mit Saudi-Arabien auf die Abschaffung der Todesstrafe hinzuarbeiten</w:t>
            </w:r>
            <w:r>
              <w:rPr>
                <w:b/>
                <w:i/>
              </w:rPr>
              <w:t>,</w:t>
            </w:r>
            <w:r>
              <w:t xml:space="preserve"> </w:t>
            </w:r>
            <w:r>
              <w:rPr>
                <w:b/>
                <w:i/>
              </w:rPr>
              <w:t>wobei die Möglichkeit besteht, ein Moratorium für Todesurteile und Hinrichtungen zu verhängen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bekräftigt die grundsätzliche Zusage der EU, mit Saudi-Arabien auf die Abschaffung der Todesstrafe hinzuarbeiten;</w:t>
            </w:r>
          </w:p>
        </w:tc>
        <w:tc>
          <w:tcPr>
            <w:tcW w:w="4876" w:type="dxa"/>
            <w:tcBorders>
              <w:top w:val="nil"/>
              <w:left w:val="nil"/>
              <w:bottom w:val="nil"/>
              <w:right w:val="nil"/>
            </w:tcBorders>
          </w:tcPr>
          <w:p>
            <w:pPr>
              <w:pStyle w:val="Normal6a"/>
            </w:pPr>
            <w:r>
              <w:t>31.</w:t>
            </w:r>
            <w:r>
              <w:tab/>
            </w:r>
            <w:r>
              <w:t>bekräftigt die grundsätzliche Zusage der EU, mit Saudi-Arabien auf die Abschaffung der Todesstrafe hinzuarbeiten</w:t>
            </w:r>
            <w:r>
              <w:rPr>
                <w:b/>
                <w:i/>
              </w:rPr>
              <w:t>, und weist nachdrücklich darauf hin, dass nach wie vor öffentliche Hinrichtungen durchgeführt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bekräftigt die grundsätzliche Zusage der EU, mit Saudi-Arabien auf die Abschaffung der Todesstrafe hinzuarbeiten;</w:t>
            </w:r>
          </w:p>
        </w:tc>
        <w:tc>
          <w:tcPr>
            <w:tcW w:w="4876" w:type="dxa"/>
            <w:tcBorders>
              <w:top w:val="nil"/>
              <w:left w:val="nil"/>
              <w:bottom w:val="nil"/>
              <w:right w:val="nil"/>
            </w:tcBorders>
          </w:tcPr>
          <w:p>
            <w:pPr>
              <w:pStyle w:val="Normal6a"/>
            </w:pPr>
            <w:r>
              <w:t>31.</w:t>
            </w:r>
            <w:r>
              <w:tab/>
            </w:r>
            <w:r>
              <w:t xml:space="preserve">bekräftigt die grundsätzliche Zusage der EU, mit Saudi-Arabien auf die Abschaffung der Todesstrafe </w:t>
            </w:r>
            <w:r>
              <w:rPr>
                <w:b/>
                <w:i/>
              </w:rPr>
              <w:t>und von Körperstrafen</w:t>
            </w:r>
            <w:r>
              <w:t xml:space="preserve"> hinzuarbeiten;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ist zutiefst besorgt angesichts der alarmierenden Zunahme der Anwendung der Todesstrafe in Saudi-Arabien, wo im Jahr 2024 mindestens 345 Hinrichtungen durchgeführt wurden, die höchste Zahl in der jüngeren Geschichte des Königreichs, und allein in der ersten Hälfte des Jahres 2025 über 180 weitere Hinrichtungen, wodurch das Land auf dem Weg ist, die bisherige Höchstzahl zu übertreffen;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bekräftigt die grundsätzliche Zusage der EU, mit Saudi-Arabien auf die Abschaffung der Todesstrafe hinzuarbeiten,</w:t>
            </w:r>
            <w:r>
              <w:t xml:space="preserve"> </w:t>
            </w:r>
            <w:r>
              <w:rPr>
                <w:b/>
                <w:i/>
              </w:rPr>
              <w:t>wobei die Möglichkeit besteht, ein Moratorium für Todesurteile und Hinrichtungen zu verhängen,</w:t>
            </w:r>
            <w:r>
              <w:t xml:space="preserve"> </w:t>
            </w:r>
            <w:r>
              <w:rPr>
                <w:b/>
                <w:i/>
              </w:rPr>
              <w:t>wobei dem Umstand Rechnung getragen werden muss, dass die Zahl der Hinrichtungen in dem Königreich zugenommen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fordert die Entkriminalisierung gleichgeschlechtlicher Handlungen;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verurteilt die fortgesetzte Anwendung der Todesstrafe bei Straftaten, bei denen es sich nicht um Straftaten gegen das Leben handelt, insbesondere für Drogendelikte, und fordert Saudi-Arabien auf, im Einklang mit internationalen Menschenrechtsstandards unverzüglich ein Moratorium für Hinrichtungen wegen solcher Straftaten zu verhängen;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31c.</w:t>
            </w:r>
            <w:r>
              <w:tab/>
            </w:r>
            <w:r>
              <w:rPr>
                <w:b/>
                <w:i/>
              </w:rPr>
              <w:t>ist zutiefst besorgt darüber, dass mehr als die Hälfte aller Hinrichtungen im Jahr 2025 ausländische Staatsangehörige betrafen, von denen viele wegen nicht gegen das Leben gerichteter Drogendelikte zum Tode verurteilt wurden, und das oftmals nach Verfahren, die nicht den internationalen Standards für faire Gerichtsverfahren entsprachen;</w:t>
            </w:r>
            <w:r>
              <w:t xml:space="preserve"> </w:t>
            </w:r>
            <w:r>
              <w:rPr>
                <w:b/>
                <w:i/>
              </w:rPr>
              <w:t>weist erneut darauf hin, dass die Anwendung der Todesstrafe in solchen Fällen einen Verstoß gegen die internationalen Menschenrechtsnormen darstellt, wonach die Todesstrafe nur für schwerste Verbrechen verhängt werden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31d.</w:t>
            </w:r>
            <w:r>
              <w:tab/>
            </w:r>
            <w:r>
              <w:rPr>
                <w:b/>
                <w:i/>
              </w:rPr>
              <w:t>verurteilt die fortdauernde Inhaftierung von Personen, die wegen Straftaten, die sie als Minderjährige begangen haben, zum Tode verurteilt wurden, darunter Abdullah al-Howaiti, Abdullah al-Darasi und Jussuf al-Manassif, und fordert die staatlichen Stellen Saudi-Arabiens auf, die gegen sie verhängten Todesurteile im Einklang mit den Verpflichtungen des Königreichs nach dem Völkerrecht und seinem Königlichen Erlass von 2020 aufzuheben;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31e.</w:t>
            </w:r>
            <w:r>
              <w:tab/>
            </w:r>
            <w:r>
              <w:rPr>
                <w:b/>
                <w:i/>
              </w:rPr>
              <w:t>verurteilt aufs Schärfste die Hinrichtung des saudi-arabischen Journalisten Turki bin Abdulasis al-Dschassir nach einem geheimen Prozess sowie die anhaltende Verfolgung friedlicher Reformer und religiöser Persönlichkeiten wie Hassan al-Maliki und Salman al-Odah, denen die Todesstrafe droht, obwohl sie lediglich ihr Recht auf freie Meinungsäußerung ausgebübt haben;</w:t>
            </w:r>
            <w:r>
              <w:t xml:space="preserve"> </w:t>
            </w:r>
            <w:r>
              <w:rPr>
                <w:b/>
                <w:i/>
              </w:rPr>
              <w:t>fordert Saudi-Arabien auf, alle Personen, die wegen der friedlichen Ausübung ihrer Menschenrechte inhaftiert sind, unverzüglich und bedingungslos freizulassen;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fordert Saudi-Arabien auf, alle einschlägigen internationalen Menschenrechtsübereinkommen zu ratifizieren;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fordert Saudi-Arabien auf, alle einschlägigen internationalen </w:t>
            </w:r>
            <w:r>
              <w:rPr>
                <w:b/>
                <w:i/>
              </w:rPr>
              <w:t>Menschenrechtsübereinkommen</w:t>
            </w:r>
            <w:r>
              <w:t xml:space="preserve"> zu ratifizieren;</w:t>
            </w:r>
          </w:p>
        </w:tc>
        <w:tc>
          <w:tcPr>
            <w:tcW w:w="4876" w:type="dxa"/>
            <w:tcBorders>
              <w:top w:val="nil"/>
              <w:left w:val="nil"/>
              <w:bottom w:val="nil"/>
              <w:right w:val="nil"/>
            </w:tcBorders>
          </w:tcPr>
          <w:p>
            <w:pPr>
              <w:pStyle w:val="Normal6a"/>
            </w:pPr>
            <w:r>
              <w:t>32.</w:t>
            </w:r>
            <w:r>
              <w:tab/>
            </w:r>
            <w:r>
              <w:t xml:space="preserve">fordert Saudi-Arabien auf, alle einschlägigen internationalen </w:t>
            </w:r>
            <w:r>
              <w:rPr>
                <w:b/>
                <w:i/>
              </w:rPr>
              <w:t>Menschenrechts- und Arbeitsrechtsübereinkommen</w:t>
            </w:r>
            <w:r>
              <w:t xml:space="preserve"> zu ratifizieren</w:t>
            </w:r>
            <w:r>
              <w:rPr>
                <w:b/>
                <w:i/>
              </w:rPr>
              <w:t>, darunter den Internationalen Pakt über bürgerliche und politische Rechte, das Übereinkommen gegen Folter, den Internationalen Pakt über wirtschaftliche, soziale und kulturelle Rechte (IPWSKR), das IAO-Übereinkommen über menschenwürdige Arbeit für Hausangestellte, die Internationale Konvention zum Schutz der Rechte aller Wanderarbeitnehmer und ihrer Familienangehörigen, das IAO-Übereinkommen über die Vereinigungsfreiheit der Arbeitnehmer und den Schutz des Streikrechts, und seine innerstaatlichen Rechtsvorschriften mit den internationalen Standards in Einklang zu bringen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fordert Saudi-Arabien auf, alle einschlägigen internationalen Menschenrechtsübereinkommen zu ratifizieren;</w:t>
            </w:r>
          </w:p>
        </w:tc>
        <w:tc>
          <w:tcPr>
            <w:tcW w:w="4876" w:type="dxa"/>
            <w:tcBorders>
              <w:top w:val="nil"/>
              <w:left w:val="nil"/>
              <w:bottom w:val="nil"/>
              <w:right w:val="nil"/>
            </w:tcBorders>
          </w:tcPr>
          <w:p>
            <w:pPr>
              <w:pStyle w:val="Normal6a"/>
            </w:pPr>
            <w:r>
              <w:t>32.</w:t>
            </w:r>
            <w:r>
              <w:tab/>
            </w:r>
            <w:r>
              <w:t xml:space="preserve">fordert Saudi-Arabien auf, alle einschlägigen internationalen Menschenrechtsübereinkommen zu ratifizieren; </w:t>
            </w:r>
            <w:r>
              <w:rPr>
                <w:b/>
                <w:i/>
              </w:rPr>
              <w:t>fordert Saudi-Arabien auf, dafür Sorge zu tragen, dass alle bestehenden und neuen Rechtsvorschriften, einschließlich des Strafgesetzbuchs, den internationalen Menschenrechtsstandards entsprechen, und unterstreicht die Bedeutung einer engen Zusammenarbeit mit dem System der Vereinten Nationen und der unabhängigen Zivilgesellschaft;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fordert Saudi-Arabien auf, alle </w:t>
            </w:r>
            <w:r>
              <w:rPr>
                <w:b/>
                <w:i/>
              </w:rPr>
              <w:t>einschlägigen</w:t>
            </w:r>
            <w:r>
              <w:t xml:space="preserve"> internationalen Menschenrechtsübereinkommen zu ratifizieren;</w:t>
            </w:r>
          </w:p>
        </w:tc>
        <w:tc>
          <w:tcPr>
            <w:tcW w:w="4876" w:type="dxa"/>
            <w:tcBorders>
              <w:top w:val="nil"/>
              <w:left w:val="nil"/>
              <w:bottom w:val="nil"/>
              <w:right w:val="nil"/>
            </w:tcBorders>
          </w:tcPr>
          <w:p>
            <w:pPr>
              <w:pStyle w:val="Normal6a"/>
            </w:pPr>
            <w:r>
              <w:t>32.</w:t>
            </w:r>
            <w:r>
              <w:tab/>
            </w:r>
            <w:r>
              <w:t xml:space="preserve">fordert Saudi-Arabien auf, alle </w:t>
            </w:r>
            <w:r>
              <w:rPr>
                <w:b/>
                <w:i/>
              </w:rPr>
              <w:t>zentralen</w:t>
            </w:r>
            <w:r>
              <w:t xml:space="preserve"> internationalen Menschenrechtsübereinkommen zu ratifizieren;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fordert die EU und die Mitgliedstaaten nachdrücklich auf, die Ratifizierung eines bilateralen Partnerschaftsabkommens mit Saudi-Arabien von Fortschritten im Bereich der Menschenrechte abhängig zu machen, insbesondere von der Ratifizierung der wichtigsten Menschenrechts- und Arbeitsrechtsübereinkommen durch Saudi-Arabien, der Freilassung zu Unrecht inhaftierter Personen und Reformen im Bereich der Menschen- und Arbeitsrechte, die erforderlich sind, um internationalen Standards zu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fordert die EU und die Mitgliedstaaten nachdrücklich auf, im Hinblick auf Fortschritte bei den Verhandlungen über ein bilaterales Partnerschaftsabkommen und dessen Ratifizierung menschenrechtsbezogene Auflagen festzulegen, insbesondere die Ratifizierung der wichtigsten Menschenrechts- und Arbeitsrechtsübereinkommen durch Saudi-Arabien, die Freilassung zu Unrecht inhaftierter Personen und die Durchführung der Reformen im Bereich der Menschen- und Arbeitsrechte, die erforderlich sind, um internationalen Standards zu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fordert die EU und die Mitgliedstaaten nachdrücklich auf, im Hinblick auf Fortschritte bei den Verhandlungen über ein bilaterales Partnerschaftsabkommen und dessen Ratifizierung menschenrechtsbezogene Auflagen festzulegen, insbesondere – aber nicht nur – im Hinblick auf die Ratifizierung der wichtigsten Menschenrechts- und Arbeitsrechtsübereinkommen durch Saudi-Arabien sowie die Freilassung zu Unrecht inhaftierter Personen;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beauftragt seine Präsidentin, diese Entschließung dem Rat </w:t>
            </w:r>
            <w:r>
              <w:rPr>
                <w:b/>
                <w:i/>
              </w:rPr>
              <w:t>und</w:t>
            </w:r>
            <w:r>
              <w:t xml:space="preserve"> der Kommission zu übermitteln.</w:t>
            </w:r>
          </w:p>
        </w:tc>
        <w:tc>
          <w:tcPr>
            <w:tcW w:w="4876" w:type="dxa"/>
            <w:tcBorders>
              <w:top w:val="nil"/>
              <w:left w:val="nil"/>
              <w:bottom w:val="nil"/>
              <w:right w:val="nil"/>
            </w:tcBorders>
          </w:tcPr>
          <w:p>
            <w:pPr>
              <w:pStyle w:val="Normal6a"/>
            </w:pPr>
            <w:r>
              <w:t>33.</w:t>
            </w:r>
            <w:r>
              <w:tab/>
            </w:r>
            <w:r>
              <w:t>beauftragt seine Präsidentin, diese Entschließung dem Rat</w:t>
            </w:r>
            <w:r>
              <w:rPr>
                <w:b/>
                <w:i/>
              </w:rPr>
              <w:t>, der Kommission, der Vizepräsidentin</w:t>
            </w:r>
            <w:r>
              <w:t xml:space="preserve"> der Kommission </w:t>
            </w:r>
            <w:r>
              <w:rPr>
                <w:b/>
                <w:i/>
              </w:rPr>
              <w:t>und Hohen Vertreterin der Union für Außen- und Sicherheitspolitik sowie Seiner Majestät König Salman bin Abdulaziz al-Saud, Kronprinz Mohammed bin Salman al-Saud, der Regierung des Königreichs Saudi-Arabien und dem Schura-Rat</w:t>
            </w:r>
            <w:r>
              <w:t xml:space="preserve"> zu übermitteln</w:t>
            </w:r>
            <w:r>
              <w:rPr>
                <w:b/>
                <w:i/>
              </w:rPr>
              <w:t>;</w:t>
            </w:r>
            <w:r>
              <w:t xml:space="preserve"> </w:t>
            </w:r>
            <w:r>
              <w:rPr>
                <w:b/>
                <w:i/>
              </w:rPr>
              <w:t>fordert, dass diese Entschließung ins Arabische übersetzt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776.795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112</w:t>
    </w:r>
    <w:r>
      <w:fldChar w:fldCharType="end"/>
    </w:r>
    <w:r>
      <w:t>/</w:t>
    </w:r>
    <w:r>
      <w:fldChar w:fldCharType="begin"/>
    </w:r>
    <w:r>
      <w:instrText xml:space="preserve"> NUMPAGES </w:instrText>
    </w:r>
    <w:r>
      <w:fldChar w:fldCharType="separate"/>
    </w:r>
    <w:r>
      <w:t>112</w:t>
    </w:r>
    <w:r>
      <w:fldChar w:fldCharType="end"/>
    </w:r>
    <w:r>
      <w:tab/>
    </w:r>
    <w:r>
      <w:rPr>
        <w:rStyle w:val="HideTWBExt"/>
      </w:rPr>
      <w:t>&lt;PathFdR&gt;</w:t>
    </w:r>
    <w:r>
      <w:t>AM\1326564DE.docx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AM\1326564DE.docx</w:t>
    </w:r>
    <w:r>
      <w:rPr>
        <w:rStyle w:val="HideTWBExt"/>
      </w:rPr>
      <w:t>&lt;/PathFdR&gt;</w:t>
    </w:r>
    <w:r>
      <w:tab/>
    </w:r>
    <w:r>
      <w:fldChar w:fldCharType="begin"/>
    </w:r>
    <w:r>
      <w:instrText xml:space="preserve"> PAGE </w:instrText>
    </w:r>
    <w:r>
      <w:fldChar w:fldCharType="separate"/>
    </w:r>
    <w:r>
      <w:t>111</w:t>
    </w:r>
    <w:r>
      <w:fldChar w:fldCharType="end"/>
    </w:r>
    <w:r>
      <w:t>/</w:t>
    </w:r>
    <w:r>
      <w:fldChar w:fldCharType="begin"/>
    </w:r>
    <w:r>
      <w:instrText xml:space="preserve"> NUMPAGES </w:instrText>
    </w:r>
    <w:r>
      <w:fldChar w:fldCharType="separate"/>
    </w:r>
    <w:r>
      <w:t>112</w:t>
    </w:r>
    <w:r>
      <w:fldChar w:fldCharType="end"/>
    </w:r>
    <w:r>
      <w:tab/>
    </w:r>
    <w:r>
      <w:t>PE</w:t>
    </w:r>
    <w:r>
      <w:rPr>
        <w:rStyle w:val="HideTWBExt"/>
      </w:rPr>
      <w:t>&lt;NoPE&gt;</w:t>
    </w:r>
    <w:r>
      <w:t>776.795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AM\1326564DE.docx</w:t>
    </w:r>
    <w:r>
      <w:rPr>
        <w:rStyle w:val="HideTWBExt"/>
      </w:rPr>
      <w:t>&lt;/PathFdR&gt;</w:t>
    </w:r>
    <w:r>
      <w:tab/>
    </w:r>
    <w:r>
      <w:tab/>
    </w:r>
    <w:r>
      <w:t>PE</w:t>
    </w:r>
    <w:r>
      <w:rPr>
        <w:rStyle w:val="HideTWBExt"/>
      </w:rPr>
      <w:t>&lt;NoPE&gt;</w:t>
    </w:r>
    <w:r>
      <w:t>776.795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112</Pages>
  <Words>19375</Words>
  <Characters>138196</Characters>
  <Application>Microsoft Office Word</Application>
  <DocSecurity>0</DocSecurity>
  <Lines>1</Lines>
  <Paragraphs>1889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1326564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245745</vt:lpwstr>
  </property>
  <property fmtid="{D5CDD505-2E9C-101B-9397-08002B2CF9AE}" pid="7" name="dmxml.render.traceId">
    <vt:lpwstr>68d4f958e49b485ac9e04da38e70d6d9</vt:lpwstr>
  </property>
  <property fmtid="{D5CDD505-2E9C-101B-9397-08002B2CF9AE}" pid="8" name="FooterPath">
    <vt:lpwstr>AM\1326564DE.docx</vt:lpwstr>
  </property>
  <property fmtid="{D5CDD505-2E9C-101B-9397-08002B2CF9AE}" pid="9" name="PE Number">
    <vt:lpwstr>776.795</vt:lpwstr>
  </property>
  <property fmtid="{D5CDD505-2E9C-101B-9397-08002B2CF9AE}" pid="10" name="UID">
    <vt:lpwstr>eu.europa.europarl-DIN1-2025-0000164417_01.00-de-01.00_text-xml</vt:lpwstr>
  </property>
</Properties>
</file>