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Väliskomisjon</w:t>
      </w:r>
      <w:r>
        <w:rPr>
          <w:rStyle w:val="HideTWBExt"/>
        </w:rPr>
        <w:t>&lt;/Commission&gt;</w:t>
      </w:r>
    </w:p>
    <w:p>
      <w:pPr>
        <w:pStyle w:val="LineBottom"/>
      </w:pPr>
      <w:r>
        <w:t xml:space="preserve"> </w:t>
      </w:r>
    </w:p>
    <w:p>
      <w:pPr>
        <w:pStyle w:val="CoverReference"/>
      </w:pPr>
      <w:r>
        <w:rPr>
          <w:rStyle w:val="HideTWBExt"/>
        </w:rPr>
        <w:t>&lt;RefProc&gt;</w:t>
      </w:r>
      <w:r>
        <w:t>2025/2082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{10/09/2025}</w:t>
      </w:r>
      <w:r>
        <w:t>10.9.2025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212</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Hana Jalloul Muro</w:t>
      </w:r>
      <w:r>
        <w:rPr>
          <w:rStyle w:val="HideTWBExt"/>
        </w:rPr>
        <w:t>&lt;/Rapporteur&gt;</w:t>
      </w:r>
    </w:p>
    <w:p>
      <w:pPr>
        <w:pStyle w:val="CoverNormal24a"/>
      </w:pPr>
      <w:r>
        <w:rPr>
          <w:rStyle w:val="HideTWBExt"/>
        </w:rPr>
        <w:t>&lt;DocRefPE&gt;</w:t>
      </w:r>
      <w:r>
        <w:t>(PE775.425v01-00)</w:t>
      </w:r>
      <w:r>
        <w:rPr>
          <w:rStyle w:val="HideTWBExt"/>
        </w:rPr>
        <w:t>&lt;/DocRefPE&gt;</w:t>
      </w:r>
    </w:p>
    <w:p>
      <w:pPr>
        <w:pStyle w:val="CoverNormal"/>
      </w:pPr>
      <w:r>
        <w:rPr>
          <w:rStyle w:val="HideTWBExt"/>
        </w:rPr>
        <w:t>&lt;Titre&gt;</w:t>
      </w:r>
      <w:r>
        <w:t>ELi ja Saudi Araabia vahelised suhted</w:t>
      </w:r>
      <w:r>
        <w:rPr>
          <w:rStyle w:val="HideTWBExt"/>
        </w:rPr>
        <w:t>&lt;/Titre&gt;</w:t>
      </w:r>
    </w:p>
    <w:p>
      <w:pPr>
        <w:pStyle w:val="CoverNormal24a"/>
      </w:pPr>
      <w:r>
        <w:rPr>
          <w:rStyle w:val="HideTWBExt"/>
        </w:rPr>
        <w:t>&lt;DocRef&gt;</w:t>
      </w:r>
      <w:r>
        <w:t>(2025/2082(INI))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varasemaid resolutsioone Saudi Araabia kohta, eelkõige 25. oktoobri 2018. aasta resolutsiooni ajakirjaniku Jamal Khashoggi tapmise kohta Saudi Araabia konsulaadis Istanbulis, 8. juuli 2021. aasta resolutsiooni surmanuhtluse kohta Saudi Araabias, eelkõige Mustafa Hashem al-Darwishi ja Abdullah al-Howaiti juhtumite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varasemaid resolutsioone, eelkõige 11. veebruari 2021. aasta resolutsiooni humanitaar- ja poliitilise olukorra kohta Jeemenis ning 8. juuli 2021. aasta resolutsiooni surmanuhtluse kohta Saudi Araabias, eelkõige Mustafa Hashem al-Darwishi ja Abdullah al-Howaiti juhtumite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konventsiooni naiste diskrimineerimise kõigi vormide likvideerimise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ELi suuniseid inimõiguste kaitsjate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kogu maailmas rakendatavat inimõiguste rikkujate vastast ELi sanktsioonirežiimi;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võttes arvesse </w:t>
            </w:r>
            <w:r>
              <w:rPr>
                <w:b/>
                <w:i/>
              </w:rPr>
              <w:t>Euroopa Liidu</w:t>
            </w:r>
            <w:r>
              <w:t xml:space="preserve"> ja Pärsia lahe koostöönõukogu 16. oktoobri 2024. aasta tippkohtumise ühisavaldust,</w:t>
            </w:r>
          </w:p>
        </w:tc>
        <w:tc>
          <w:tcPr>
            <w:tcW w:w="4876" w:type="dxa"/>
            <w:tcBorders>
              <w:top w:val="nil"/>
              <w:left w:val="nil"/>
              <w:bottom w:val="nil"/>
              <w:right w:val="nil"/>
            </w:tcBorders>
          </w:tcPr>
          <w:p>
            <w:pPr>
              <w:pStyle w:val="Normal6a"/>
            </w:pPr>
            <w:r>
              <w:t>–</w:t>
            </w:r>
            <w:r>
              <w:tab/>
            </w:r>
            <w:r>
              <w:t>võttes arvesse </w:t>
            </w:r>
            <w:r>
              <w:rPr>
                <w:b/>
                <w:i/>
              </w:rPr>
              <w:t>ELi</w:t>
            </w:r>
            <w:r>
              <w:t xml:space="preserve"> ja Pärsia lahe koostöönõukogu 16. oktoobri 2024. aasta </w:t>
            </w:r>
            <w:r>
              <w:rPr>
                <w:b/>
                <w:i/>
              </w:rPr>
              <w:t>esimese</w:t>
            </w:r>
            <w:r>
              <w:t xml:space="preserve"> tippkohtumise ühisavaldust,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välisteenistuse ja Saudi Araabia Kuningriigi välisministeeriumi 3. oktoobri 2021. aasta koostöökokkulepet,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Saudi Araabia on ELi oluline kahepoolne ja piirkondlik partner;</w:t>
            </w:r>
          </w:p>
        </w:tc>
        <w:tc>
          <w:tcPr>
            <w:tcW w:w="4876" w:type="dxa"/>
            <w:tcBorders>
              <w:top w:val="nil"/>
              <w:left w:val="nil"/>
              <w:bottom w:val="nil"/>
              <w:right w:val="nil"/>
            </w:tcBorders>
          </w:tcPr>
          <w:p>
            <w:pPr>
              <w:pStyle w:val="Normal6a"/>
            </w:pPr>
            <w:r>
              <w:t>A.</w:t>
            </w:r>
            <w:r>
              <w:tab/>
            </w:r>
            <w:r>
              <w:t xml:space="preserve">arvestades, et Saudi Araabia on ELi oluline kahepoolne ja piirkondlik partner; </w:t>
            </w:r>
            <w:r>
              <w:rPr>
                <w:b/>
                <w:i/>
              </w:rPr>
              <w:t>arvestades, et oluline oleks süvendada meie suhteid strateegilise partnerluse suunas, mille eesmärk on tugevdada kahepoolseid suhteid ja edendada koostööd eri sektorites, sealhulgas kaitse-, kultuuri- ja innovatsioonivaldkonnas, kuid eelkõige energeetikas;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Saudi </w:t>
            </w:r>
            <w:r>
              <w:rPr>
                <w:b/>
                <w:i/>
              </w:rPr>
              <w:t>Araabia on ELi oluline kahepoolne ja piirkondlik partner</w:t>
            </w:r>
            <w:r>
              <w:t>;</w:t>
            </w:r>
          </w:p>
        </w:tc>
        <w:tc>
          <w:tcPr>
            <w:tcW w:w="4876" w:type="dxa"/>
            <w:tcBorders>
              <w:top w:val="nil"/>
              <w:left w:val="nil"/>
              <w:bottom w:val="nil"/>
              <w:right w:val="nil"/>
            </w:tcBorders>
          </w:tcPr>
          <w:p>
            <w:pPr>
              <w:pStyle w:val="Normal6a"/>
            </w:pPr>
            <w:r>
              <w:t>A.</w:t>
            </w:r>
            <w:r>
              <w:tab/>
            </w:r>
            <w:r>
              <w:t xml:space="preserve">arvestades, et Saudi </w:t>
            </w:r>
            <w:r>
              <w:rPr>
                <w:b/>
                <w:i/>
              </w:rPr>
              <w:t>Araabial on võimalus saada ELi oluliseks kahepoolseks ja piirkondlikuks partneriks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Saudi Araabia on oluline ülemaailmne naftatarnija ja OPECi oluline osaline ning et energiaimport on ELi ja Saudi Araabia kaubanduse oluline 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viimase kümne aasta jooksul on Saudi Araabia ja Hiina süvendanud sidemeid 2030. aasta visiooni ja algatuse „Üks vöönd, üks tee“ raames;</w:t>
            </w:r>
            <w:r>
              <w:t xml:space="preserve"> </w:t>
            </w:r>
            <w:r>
              <w:rPr>
                <w:b/>
                <w:i/>
              </w:rPr>
              <w:t>arvestades, et Hiina on olnud Saudi Araabia toornafta peamine ostja alates 2019. aastast;</w:t>
            </w:r>
            <w:r>
              <w:t xml:space="preserve"> </w:t>
            </w:r>
            <w:r>
              <w:rPr>
                <w:b/>
                <w:i/>
              </w:rPr>
              <w:t>arvestades, et Saudi Araabia ja Hiina tõhustasid koostööd välispoliitika, julgeoleku, energeetika, kaubanduse ja tehnoloogia valdkonnas, luues 2016. aastal kõrgetasemelise ühiskomitee ja allkomiteed;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Saudi Araabiast on saanud Hiina algatuse „Üks vöönd, üks tee“ investeeringute suurim saaja, sealhulgas investeeringud strateegilistesse taristutesse, nagu sadamad ja digivõrgud;</w:t>
            </w:r>
            <w:r>
              <w:t xml:space="preserve"> </w:t>
            </w:r>
            <w:r>
              <w:rPr>
                <w:b/>
                <w:i/>
              </w:rPr>
              <w:t>arvestades, et Hiina kasvav majanduslik jalajälg kuningriigis võib anda talle mõjuvõimu, mida saab muuta poliitiliseks mõjuks;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EL on üks Saudi Araabia peamisi kaubanduspartnereid ning Saudi Araabia ekspordib ELi peamiselt nafta- ja naftakeemiatooteid, samal ajal kui EL ekspordib Saudi Araabiasse peamiselt masinaid, elektroonikaseadmeid, kemikaale ja ravimeid;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inimõiguste organisatsioonid on väljendanud tõsist muret Saudi Araabia avaliku investeerimisfondi (PIF) poolse inimõiguste rikkumiste hõlbustamise ja neist kasu saamise pärast;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on väljendatud tõsist muret Saudi Araabia avaliku investeerimisfondi (PIF) seoste pärast inimõiguste rikkumistega;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Saudi Araabia tugevdab suhteid Indiaga, eelkõige India – Lähis-Ida – Euroopa majanduskoridori (IMEC) projekti kaudu, mille eesmärk on parandada Araabia poolsaare kaudu Aasia ja Euroopa vahelist ühenduvust;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Saudi Araabia laiendab oma rolli piirkondliku vahendaja ja rahvusvahelise osalejana;</w:t>
            </w:r>
          </w:p>
        </w:tc>
        <w:tc>
          <w:tcPr>
            <w:tcW w:w="4876" w:type="dxa"/>
            <w:tcBorders>
              <w:top w:val="nil"/>
              <w:left w:val="nil"/>
              <w:bottom w:val="nil"/>
              <w:right w:val="nil"/>
            </w:tcBorders>
          </w:tcPr>
          <w:p>
            <w:pPr>
              <w:pStyle w:val="Normal6a"/>
            </w:pPr>
            <w:r>
              <w:t>C.</w:t>
            </w:r>
            <w:r>
              <w:tab/>
            </w:r>
            <w:r>
              <w:t xml:space="preserve">arvestades, et Saudi Araabia laiendab oma rolli piirkondliku vahendaja ja rahvusvahelise osalejana </w:t>
            </w:r>
            <w:r>
              <w:rPr>
                <w:b/>
                <w:i/>
              </w:rPr>
              <w:t>ning on väga oluline, et Saudi Araabia teeks seda inimõigusi ja rahvusvahelist õigust täielikult järgides ja edendades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Saudi Araabia laiendab oma rolli piirkondliku vahendaja ja rahvusvahelise osalejana;</w:t>
            </w:r>
          </w:p>
        </w:tc>
        <w:tc>
          <w:tcPr>
            <w:tcW w:w="4876" w:type="dxa"/>
            <w:tcBorders>
              <w:top w:val="nil"/>
              <w:left w:val="nil"/>
              <w:bottom w:val="nil"/>
              <w:right w:val="nil"/>
            </w:tcBorders>
          </w:tcPr>
          <w:p>
            <w:pPr>
              <w:pStyle w:val="Normal6a"/>
            </w:pPr>
            <w:r>
              <w:t>C.</w:t>
            </w:r>
            <w:r>
              <w:tab/>
            </w:r>
            <w:r>
              <w:t xml:space="preserve">arvestades, et Saudi Araabia laiendab oma rolli piirkondliku vahendaja ja rahvusvahelise osalejana </w:t>
            </w:r>
            <w:r>
              <w:rPr>
                <w:b/>
                <w:i/>
              </w:rPr>
              <w:t>ning on väga oluline, et Saudi Araabia teeks seda inimõigusi ja rahvusvahelist õigust täielikult järgides ja edendades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Saudi Araabia </w:t>
            </w:r>
            <w:r>
              <w:rPr>
                <w:b/>
                <w:i/>
              </w:rPr>
              <w:t>laiendab oma rolli</w:t>
            </w:r>
            <w:r>
              <w:t xml:space="preserve"> piirkondliku vahendaja ja </w:t>
            </w:r>
            <w:r>
              <w:rPr>
                <w:b/>
                <w:i/>
              </w:rPr>
              <w:t>rahvusvahelise</w:t>
            </w:r>
            <w:r>
              <w:t xml:space="preserve"> osalejana;</w:t>
            </w:r>
          </w:p>
        </w:tc>
        <w:tc>
          <w:tcPr>
            <w:tcW w:w="4876" w:type="dxa"/>
            <w:tcBorders>
              <w:top w:val="nil"/>
              <w:left w:val="nil"/>
              <w:bottom w:val="nil"/>
              <w:right w:val="nil"/>
            </w:tcBorders>
          </w:tcPr>
          <w:p>
            <w:pPr>
              <w:pStyle w:val="Normal6a"/>
            </w:pPr>
            <w:r>
              <w:t>C.</w:t>
            </w:r>
            <w:r>
              <w:tab/>
            </w:r>
            <w:r>
              <w:t xml:space="preserve">arvestades, et Saudi Araabia </w:t>
            </w:r>
            <w:r>
              <w:rPr>
                <w:b/>
                <w:i/>
              </w:rPr>
              <w:t>tugevdab veelgi oma staatust usaldusväärse</w:t>
            </w:r>
            <w:r>
              <w:t xml:space="preserve"> piirkondliku vahendaja ja </w:t>
            </w:r>
            <w:r>
              <w:rPr>
                <w:b/>
                <w:i/>
              </w:rPr>
              <w:t>peamise ülemaailmse</w:t>
            </w:r>
            <w:r>
              <w:t xml:space="preserve"> osalejana;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Saudi Araabia on 2025. aasta 5. augusti seisuga hukanud vähemalt 241 inimest ja 2024. aastal 345 inimest;</w:t>
            </w:r>
            <w:r>
              <w:t xml:space="preserve"> </w:t>
            </w:r>
            <w:r>
              <w:rPr>
                <w:b/>
                <w:i/>
              </w:rPr>
              <w:t>arvestades, et 2022. aasta novembrist kuni 2024. aasta detsembrini hukati uimastitega seotud süüdimõistvate kohtuotsuste eest vähemalt 214 inimest;</w:t>
            </w:r>
            <w:r>
              <w:t xml:space="preserve"> </w:t>
            </w:r>
            <w:r>
              <w:rPr>
                <w:b/>
                <w:i/>
              </w:rPr>
              <w:t>arvestades, et hukkamiste koguarv on vastupidiselt Saudi Araabia ametivõimude korduvatele lubadustele viimastel aastatel pidevalt kasvanud;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on teateid Venemaa naftatankerite varilaevastiku kohta, mis loob tihedamad sidemed Venemaa ja Saudi Araabia vahel, aidates seeläbi Venemaal sanktsioonidest kõrvale hoida;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Saudi Araabia tõhustab ELiga dialoogi ja koostööd inimõiguste valdkonnas;</w:t>
            </w:r>
          </w:p>
        </w:tc>
        <w:tc>
          <w:tcPr>
            <w:tcW w:w="4876" w:type="dxa"/>
            <w:tcBorders>
              <w:top w:val="nil"/>
              <w:left w:val="nil"/>
              <w:bottom w:val="nil"/>
              <w:right w:val="nil"/>
            </w:tcBorders>
          </w:tcPr>
          <w:p>
            <w:pPr>
              <w:pStyle w:val="Normal6a"/>
            </w:pPr>
            <w:r>
              <w:t>D.</w:t>
            </w:r>
            <w:r>
              <w:tab/>
            </w:r>
            <w:r>
              <w:t xml:space="preserve">arvestades, et Saudi Araabia tõhustab ELiga dialoogi ja koostööd inimõiguste valdkonnas; </w:t>
            </w:r>
            <w:r>
              <w:rPr>
                <w:b/>
                <w:i/>
              </w:rPr>
              <w:t>arvestades, et Saudi Araabia inimõiguste, eelkõige naiste õiguste, töötajate õiguste ja sõnavabaduse ning Saudi Araabia rahvusvaheliste inimõigusi käsitlevate õigusaktide rikkumise vallas on endiselt palju probleeme;</w:t>
            </w:r>
            <w:r>
              <w:t xml:space="preserve"> </w:t>
            </w:r>
            <w:r>
              <w:rPr>
                <w:b/>
                <w:i/>
              </w:rPr>
              <w:t>arvestades, et Saudi Araabia karistusseadustikuga kriminaliseeritakse sõnavabadus;</w:t>
            </w:r>
            <w:r>
              <w:t xml:space="preserve"> </w:t>
            </w:r>
            <w:r>
              <w:rPr>
                <w:b/>
                <w:i/>
              </w:rPr>
              <w:t>arvestades, et viimastel aastatel on Saudi Araabia ametivõimud on järsult suurendanud veebiruumi oma arvamuse avaldamiseks kasutavate inimeste jõhkrat mahasurumist, keeldudes sageli andmast neile õiglast õiguslikku esindamist, nõuetekohast menetlust ja kohtuprotsessi;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Saudi Araabia tõhustab ELiga dialoogi ja koostööd </w:t>
            </w:r>
            <w:r>
              <w:rPr>
                <w:b/>
                <w:i/>
              </w:rPr>
              <w:t>inimõiguste valdkonnas</w:t>
            </w:r>
            <w:r>
              <w:t>;</w:t>
            </w:r>
          </w:p>
        </w:tc>
        <w:tc>
          <w:tcPr>
            <w:tcW w:w="4876" w:type="dxa"/>
            <w:tcBorders>
              <w:top w:val="nil"/>
              <w:left w:val="nil"/>
              <w:bottom w:val="nil"/>
              <w:right w:val="nil"/>
            </w:tcBorders>
          </w:tcPr>
          <w:p>
            <w:pPr>
              <w:pStyle w:val="Normal6a"/>
            </w:pPr>
            <w:r>
              <w:t>D.</w:t>
            </w:r>
            <w:r>
              <w:tab/>
            </w:r>
            <w:r>
              <w:t>arvestades, et Saudi Araabia tõhustab ELiga dialoogi ja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ÜRO naiste diskrimineerimise likvideerimise komitee (CEDAW) on väljendanud muret juurdunud diskrimineerivate tavade, naisaktivistide ahistamise ja karistusmeetmete, sealhulgas surmanuhtluse kasutamise laiema mõju pärast;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järgmine ELi ja Pärsia lahe koostöönõukogu tippkohtumine, mis peaks toimuma 2026. aastal Ar-Riyādhis, on keskse tähtsusega, et veelgi laiendada ELi ja Saudi suhete ulatust ning tõhustada koostööd vastastikust huvi pakkuvates olulistes küsimustes;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inimõiguste ja rahvusvahelise õiguse austamise edendamine välispoliitikas, sealhulgas kaubanduses, on Euroopa Liidu aluslepingust tulenev kohustus, mis on sätestatud ELi lepingu artiklites 3 ja 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inimõiguste kaitse on aluslepingust tulenev kohustus ELi välispoliitika, sealhulgas kaubanduse jaoks, nagu on sätestatud Euroopa Liidu lepingu artiklites 3 ja 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inimõiguste ja rahvusvahelise õiguse austamise edendamine välispoliitikas, sealhulgas kaubanduses, on Euroopa Liidu aluslepingust tulenev kohustus, mis on sätestatud ELi lepingu artiklites 3 ja 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inimõiguste ja rahvusvahelise õiguse austamise edendamine välispoliitikas, sealhulgas kaubanduses, on Euroopa Liidu aluslepingust tulenev kohustus, mis on sätestatud ELi lepingu artiklites 3 ja 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arvestades, et Saudi Araabia korraldab kaks suurt rahvusvahelist üritust – EXPO 2030 ja 2034. aasta FIFA maailmameistrivõistlused, mis nõuavad tohutut hulka võõrtöötajaid, kelle õigusi tuleb austada ja kaitsta;</w:t>
            </w:r>
            <w:r>
              <w:t xml:space="preserve"> </w:t>
            </w:r>
            <w:r>
              <w:rPr>
                <w:b/>
                <w:i/>
              </w:rPr>
              <w:t>arvestades, et kodanikuühiskonna organisatsioonid mõistavad hukka minimaalsete või puuduvate õigustega võõrtöötajate julma kohtlemise;</w:t>
            </w:r>
            <w:r>
              <w:t xml:space="preserve"> </w:t>
            </w:r>
            <w:r>
              <w:rPr>
                <w:b/>
                <w:i/>
              </w:rPr>
              <w:t>arvestades, et Saudi Araabia ametivõimud ei suuda töötajaid piisavalt kaitsta välditavate surmajuhtumite eest, uurida tööohutusega seotud vahejuhtumeid, liigitades tööga seotud surmajuhtumeid ekslikult „loomulikeks“, ning tagada õigeaegseid ja piisavaid hüvitisi; arvestades, et nende ürituste korraldamine ja läbiviimine kahjustab veelgi inimõiguste austamist Saudi Araabias;</w:t>
            </w:r>
            <w:r>
              <w:t xml:space="preserve"> </w:t>
            </w:r>
            <w:r>
              <w:rPr>
                <w:b/>
                <w:i/>
              </w:rPr>
              <w:t>arvestades, et võõrtöötajatele tuleks kehtestada tugev ja terviklik kaitse ning tagada miinimumpalk;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arvestades, et Saudi Araabia on viimasel ajal süvendanud julgeoleku- ja majandussidemeid Ameerika Ühendriikidega, püüdes samal ajal saada BRICS-riikide liikmeks, kajastades oma kahekordset kooskõla nii lääne- kui ka multipolaarsete blokkidega;</w:t>
            </w:r>
            <w:r>
              <w:t xml:space="preserve"> </w:t>
            </w:r>
            <w:r>
              <w:rPr>
                <w:b/>
                <w:i/>
              </w:rPr>
              <w:t>arvestades, et see tekitab ELi strateegilisele autonoomiale uusi probleeme ja võimalusi;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ELi ja Pärsia lahe koostöönõukogu positiivset koostööd ELi ja Pärsia lahe koostöönõukogu tippkohtumisel; kinnitab, et ELi eesmärk on tugevdada kahepoolseid sidemeid iga Pärsia lahe koostöönõukogu partneriga strateegilise partnerluslepingu kaudu, mis lahendaks ELi ja Saudi Araabia vahelise kahepoolsete suhete õiguslikult siduva raamistiku puudumise, vallandades tihedama ja laiema koostöö potentsiaali sellistes valdkondades nagu julgeolek, kaubandus, energeetika, kliima, teadusuuringud, innovatsioon, tehisintellekt, ühenduvus, digivalitsus, haridus, kultuur, teadusuuringud, noored ja inimestevahelised kontaktid;</w:t>
            </w:r>
          </w:p>
        </w:tc>
        <w:tc>
          <w:tcPr>
            <w:tcW w:w="4876" w:type="dxa"/>
            <w:tcBorders>
              <w:top w:val="nil"/>
              <w:left w:val="nil"/>
              <w:bottom w:val="nil"/>
              <w:right w:val="nil"/>
            </w:tcBorders>
          </w:tcPr>
          <w:p>
            <w:pPr>
              <w:pStyle w:val="Normal6a"/>
            </w:pPr>
            <w:r>
              <w:t>1.</w:t>
            </w:r>
            <w:r>
              <w:tab/>
            </w:r>
            <w:r>
              <w:t xml:space="preserve">rõhutab ELi ja Pärsia lahe koostöönõukogu positiivset koostööd ELi ja Pärsia lahe koostöönõukogu tippkohtumisel; kinnitab, et ELi eesmärk on tugevdada kahepoolseid sidemeid iga Pärsia lahe koostöönõukogu partneriga strateegilise partnerluslepingu kaudu, mis lahendaks ELi ja Saudi Araabia vahelise kahepoolsete suhete õiguslikult siduva raamistiku puudumise, vallandades tihedama ja laiema koostöö potentsiaali sellistes valdkondades nagu julgeolek, kaubandus, energeetika, kliima, teadusuuringud, innovatsioon, tehisintellekt, ühenduvus, digivalitsus, haridus, kultuur, teadusuuringud, noored ja inimestevahelised kontaktid </w:t>
            </w:r>
            <w:r>
              <w:rPr>
                <w:b/>
                <w:i/>
              </w:rPr>
              <w:t>ning hädavajalike inimõiguste ja töötajate õiguste reformide tagamine Pärsia lahe koostöönõukogu riikides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ELi ja Pärsia lahe koostöönõukogu positiivset koostööd ELi ja Pärsia lahe koostöönõukogu tippkohtumisel; kinnitab, et ELi eesmärk on tugevdada kahepoolseid sidemeid iga Pärsia lahe koostöönõukogu partneriga strateegilise partnerluslepingu kaudu, mis lahendaks ELi ja Saudi Araabia vahelise kahepoolsete suhete õiguslikult siduva raamistiku puudumise, vallandades tihedama ja laiema koostöö potentsiaali sellistes valdkondades nagu julgeolek, kaubandus, energeetika, kliima, teadusuuringud, innovatsioon, tehisintellekt, ühenduvus, digivalitsus, haridus, kultuur, teadusuuringud, noored ja inimestevahelised kontaktid;</w:t>
            </w:r>
          </w:p>
        </w:tc>
        <w:tc>
          <w:tcPr>
            <w:tcW w:w="4876" w:type="dxa"/>
            <w:tcBorders>
              <w:top w:val="nil"/>
              <w:left w:val="nil"/>
              <w:bottom w:val="nil"/>
              <w:right w:val="nil"/>
            </w:tcBorders>
          </w:tcPr>
          <w:p>
            <w:pPr>
              <w:pStyle w:val="Normal6a"/>
            </w:pPr>
            <w:r>
              <w:t>1.</w:t>
            </w:r>
            <w:r>
              <w:tab/>
            </w:r>
            <w:r>
              <w:t xml:space="preserve">rõhutab ELi ja Pärsia lahe koostöönõukogu positiivset koostööd ELi ja Pärsia lahe koostöönõukogu tippkohtumisel; kinnitab, et ELi eesmärk on tugevdada kahepoolseid sidemeid iga Pärsia lahe koostöönõukogu partneriga strateegilise partnerluslepingu kaudu, mis lahendaks ELi ja Saudi Araabia vahelise kahepoolsete suhete õiguslikult siduva raamistiku puudumise, vallandades tihedama ja laiema koostöö potentsiaali sellistes valdkondades nagu julgeolek, kaubandus, energeetika, kliima, teadusuuringud, innovatsioon, tehisintellekt, ühenduvus, digivalitsus, haridus, kultuur, teadusuuringud, noored ja inimestevahelised kontaktid </w:t>
            </w:r>
            <w:r>
              <w:rPr>
                <w:b/>
                <w:i/>
              </w:rPr>
              <w:t>ning hädavajalike inimõiguste ja töötajate õiguste reformide tagamine Pärsia lahe koostöönõukogu riikides</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rõhutab ELi ja Pärsia lahe koostöönõukogu positiivset koostööd ELi ja Pärsia lahe koostöönõukogu tippkohtumisel; kinnitab, et ELi eesmärk on tugevdada kahepoolseid sidemeid iga Pärsia lahe koostöönõukogu partneriga strateegilise partnerluslepingu kaudu, mis lahendaks ELi ja Saudi Araabia vahelise kahepoolsete suhete õiguslikult siduva raamistiku puudumise, vallandades </w:t>
            </w:r>
            <w:r>
              <w:rPr>
                <w:b/>
                <w:i/>
              </w:rPr>
              <w:t>tihedama ja laiema koostöö potentsiaali</w:t>
            </w:r>
            <w:r>
              <w:t xml:space="preserve"> sellistes valdkondades nagu </w:t>
            </w:r>
            <w:r>
              <w:rPr>
                <w:b/>
                <w:i/>
              </w:rPr>
              <w:t>julgeolek</w:t>
            </w:r>
            <w:r>
              <w:t>, kaubandus</w:t>
            </w:r>
            <w:r>
              <w:rPr>
                <w:b/>
                <w:i/>
              </w:rPr>
              <w:t>, energeetika,</w:t>
            </w:r>
            <w:r>
              <w:t xml:space="preserve"> kliima, teadusuuringud</w:t>
            </w:r>
            <w:r>
              <w:rPr>
                <w:b/>
                <w:i/>
              </w:rPr>
              <w:t>,</w:t>
            </w:r>
            <w:r>
              <w:t xml:space="preserve"> innovatsioon, tehisintellekt, </w:t>
            </w:r>
            <w:r>
              <w:rPr>
                <w:b/>
                <w:i/>
              </w:rPr>
              <w:t>ühenduvus, digivalitsus</w:t>
            </w:r>
            <w:r>
              <w:t>, haridus, kultuur</w:t>
            </w:r>
            <w:r>
              <w:rPr>
                <w:b/>
                <w:i/>
              </w:rPr>
              <w:t>, teadusuuringud</w:t>
            </w:r>
            <w:r>
              <w:t>, noored ja inimestevahelised kontaktid;</w:t>
            </w:r>
          </w:p>
        </w:tc>
        <w:tc>
          <w:tcPr>
            <w:tcW w:w="4876" w:type="dxa"/>
            <w:tcBorders>
              <w:top w:val="nil"/>
              <w:left w:val="nil"/>
              <w:bottom w:val="nil"/>
              <w:right w:val="nil"/>
            </w:tcBorders>
          </w:tcPr>
          <w:p>
            <w:pPr>
              <w:pStyle w:val="Normal6a"/>
            </w:pPr>
            <w:r>
              <w:t>1.</w:t>
            </w:r>
            <w:r>
              <w:tab/>
            </w:r>
            <w:r>
              <w:t xml:space="preserve">rõhutab ELi ja Pärsia lahe koostöönõukogu positiivset koostööd ELi ja Pärsia lahe koostöönõukogu </w:t>
            </w:r>
            <w:r>
              <w:rPr>
                <w:b/>
                <w:i/>
              </w:rPr>
              <w:t>esimesel</w:t>
            </w:r>
            <w:r>
              <w:t xml:space="preserve"> tippkohtumisel; kinnitab, et ELi eesmärk on tugevdada kahepoolseid sidemeid iga Pärsia lahe koostöönõukogu partneriga strateegilise partnerluslepingu kaudu, mis lahendaks ELi ja Saudi Araabia vahelise kahepoolsete suhete õiguslikult siduva raamistiku puudumise, vallandades </w:t>
            </w:r>
            <w:r>
              <w:rPr>
                <w:b/>
                <w:i/>
              </w:rPr>
              <w:t>võimaluse süvendada laiemat koostööd</w:t>
            </w:r>
            <w:r>
              <w:t xml:space="preserve"> sellistes valdkondades nagu </w:t>
            </w:r>
            <w:r>
              <w:rPr>
                <w:b/>
                <w:i/>
              </w:rPr>
              <w:t>välis- ja julgeolekupoliitika, õigus- ja õiguskaitseasutused</w:t>
            </w:r>
            <w:r>
              <w:t xml:space="preserve">, kaubandus </w:t>
            </w:r>
            <w:r>
              <w:rPr>
                <w:b/>
                <w:i/>
              </w:rPr>
              <w:t>ja investeeringud, energia ja</w:t>
            </w:r>
            <w:r>
              <w:t xml:space="preserve"> kliima</w:t>
            </w:r>
            <w:r>
              <w:rPr>
                <w:b/>
                <w:i/>
              </w:rPr>
              <w:t>, digiüleminek, keskkond</w:t>
            </w:r>
            <w:r>
              <w:t xml:space="preserve">, teadusuuringud </w:t>
            </w:r>
            <w:r>
              <w:rPr>
                <w:b/>
                <w:i/>
              </w:rPr>
              <w:t>ja</w:t>
            </w:r>
            <w:r>
              <w:t xml:space="preserve"> innovatsioon, tehisintellekt, </w:t>
            </w:r>
            <w:r>
              <w:rPr>
                <w:b/>
                <w:i/>
              </w:rPr>
              <w:t>ühendatus, digitaalne juhtimine</w:t>
            </w:r>
            <w:r>
              <w:t>, haridus, kultuur, noored ja inimestevahelised kontaktid;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ELi ja Pärsia lahe koostöönõukogu positiivset koostööd ELi ja Pärsia lahe koostöönõukogu tippkohtumisel; kinnitab, et ELi eesmärk on tugevdada kahepoolseid sidemeid iga Pärsia lahe koostöönõukogu partneriga strateegilise partnerluslepingu kaudu, mis lahendaks ELi ja Saudi Araabia vahelise kahepoolsete suhete õiguslikult siduva raamistiku puudumise, vallandades tihedama ja laiema koostöö potentsiaali sellistes valdkondades nagu julgeolek, kaubandus, energeetika, kliima, teadusuuringud, innovatsioon, tehisintellekt, ühenduvus, digivalitsus, haridus, kultuur, teadusuuringud, noored ja inimestevahelised kontaktid;</w:t>
            </w:r>
          </w:p>
        </w:tc>
        <w:tc>
          <w:tcPr>
            <w:tcW w:w="4876" w:type="dxa"/>
            <w:tcBorders>
              <w:top w:val="nil"/>
              <w:left w:val="nil"/>
              <w:bottom w:val="nil"/>
              <w:right w:val="nil"/>
            </w:tcBorders>
          </w:tcPr>
          <w:p>
            <w:pPr>
              <w:pStyle w:val="Normal6a"/>
            </w:pPr>
            <w:r>
              <w:t>1.</w:t>
            </w:r>
            <w:r>
              <w:tab/>
            </w:r>
            <w:r>
              <w:t xml:space="preserve">rõhutab ELi ja Pärsia lahe koostöönõukogu </w:t>
            </w:r>
            <w:r>
              <w:rPr>
                <w:b/>
                <w:i/>
              </w:rPr>
              <w:t>kui Vahemere laienenud piirkonna kahe juhtiva osaleja</w:t>
            </w:r>
            <w:r>
              <w:t xml:space="preserve"> positiivset koostööd ELi ja Pärsia lahe koostöönõukogu tippkohtumisel; kinnitab, et ELi eesmärk on tugevdada kahepoolseid sidemeid iga Pärsia lahe koostöönõukogu partneriga strateegilise partnerluslepingu kaudu, mis lahendaks ELi ja Saudi Araabia vahelise kahepoolsete suhete õiguslikult siduva raamistiku puudumise, vallandades tihedama ja laiema koostöö potentsiaali sellistes valdkondades nagu julgeolek, kaubandus, energeetika, kliima, teadusuuringud, innovatsioon, tehisintellekt, ühenduvus, digivalitsus, haridus, kultuur, teadusuuringud, noored ja inimestevahelised kontaktid;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väljendab toetust nõukogu otsusele, millega antakse Euroopa Komisjonile ja kõrgele esindajale luba alustada Saudi Araabia Kuningriigiga läbirääkimisi strateegilise partnerluse loomiseks;</w:t>
            </w:r>
            <w:r>
              <w:t xml:space="preserve"> </w:t>
            </w:r>
            <w:r>
              <w:rPr>
                <w:b/>
                <w:i/>
              </w:rPr>
              <w:t>tunnistab, et see algatus annab olulise võimaluse edendada liidu strateegilisi huve, edendada piirkondlikku stabiilsust ning tõhustada koostööd energia ja julgeoleku valdkonnas;</w:t>
            </w:r>
            <w:r>
              <w:t xml:space="preserve"> </w:t>
            </w:r>
            <w:r>
              <w:rPr>
                <w:b/>
                <w:i/>
              </w:rPr>
              <w:t>nõuab mõlema poole tugevat ja aktiivset osalemist kogu läbirääkimisprotsessi vältel, et tagada läbirääkimiste kiire ja õigeaegne lõpuleviimine;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rõhutab, et kuigi Saudi Araabia on endiselt peamine ülemaailmne osaleja tavapärastel energiaturgudel, on ta asunud ka ambitsioonikale mitmekesistamise ja kestlikkuse teele, tehes maailmas juhtivaid investeeringuid taastuvenergiasse, eelkõige suuremahulistesse päikeseenergia- ja vesinikuprojektidesse;</w:t>
            </w:r>
            <w:r>
              <w:t xml:space="preserve"> </w:t>
            </w:r>
            <w:r>
              <w:rPr>
                <w:b/>
                <w:i/>
              </w:rPr>
              <w:t>märgib, et Saudi Araabia on nüüd üks maailma kümnest suurimast energia salvestamise turust, edendades veelgi oma juhtpositsiooni taastuvenergia valdkonnas</w:t>
            </w:r>
            <w:r>
              <w:rPr>
                <w:b/>
                <w:i/>
                <w:vertAlign w:val="superscript"/>
              </w:rPr>
              <w:t>1a</w:t>
            </w:r>
            <w:r>
              <w:rPr>
                <w:b/>
                <w:i/>
              </w:rPr>
              <w:t>;</w:t>
            </w:r>
            <w:r>
              <w:t xml:space="preserve"> </w:t>
            </w:r>
            <w:r>
              <w:rPr>
                <w:b/>
                <w:i/>
              </w:rPr>
              <w:t>rõhutab, et ELi jaoks pakub tihedam koostöö Saudi Araabiaga potentsiaali energiajulgeoleku tugevdamiseks ja tarneallikate mitmekesistamiseks;</w:t>
            </w:r>
            <w:r>
              <w:t xml:space="preserve"> </w:t>
            </w:r>
            <w:r>
              <w:rPr>
                <w:b/>
                <w:i/>
              </w:rPr>
              <w:t>rõhutab, et Saudi Araabia tohutu päikeseenergiapotentsiaali ärakasutamine koos ELi kõrgetasemelise taastuvenergiatehnoloogiaga võib võimaldada ühisalgatusi keskkonnahoidliku vesiniku, säästvate kütuste ja järgmise põlvkonna energiataristu valdkonnas, edendades seeläbi innovatsiooni ja seades mõlemad partnerid taastuvenergia partnerlustes ülemaailmseteks liidriteks</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https://www.moenergy.gov.sa/en/media-center/news/saudi-arabia-ranks-among-worlds-top-10-energy-storage-markets-advancing-leadership-renewable-energy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https://www.weforum.org/publications/fostering-effective-energy-transition-2023/in-full/saudi-arabia/;</w:t>
            </w:r>
            <w:r>
              <w:t xml:space="preserve"> </w:t>
            </w:r>
            <w:r>
              <w:rPr>
                <w:b/>
                <w:i/>
              </w:rPr>
              <w:t>https://unfccc.int/sites/default/files/resource/KSA_BTR1_20250320-2.pdf;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rõhutab Saudi Araabia koostööd ELiga välis- ja julgeolekupoliitika valdkonnas;</w:t>
            </w:r>
          </w:p>
        </w:tc>
        <w:tc>
          <w:tcPr>
            <w:tcW w:w="4876" w:type="dxa"/>
            <w:tcBorders>
              <w:top w:val="nil"/>
              <w:left w:val="nil"/>
              <w:bottom w:val="nil"/>
              <w:right w:val="nil"/>
            </w:tcBorders>
          </w:tcPr>
          <w:p>
            <w:pPr>
              <w:pStyle w:val="Normal6a"/>
            </w:pPr>
            <w:r>
              <w:t>2.</w:t>
            </w:r>
            <w:r>
              <w:tab/>
            </w:r>
            <w:r>
              <w:t>rõhutab Saudi Araabia koostööd ELiga välis- ja julgeolekupoliitika valdkonnas</w:t>
            </w:r>
            <w:r>
              <w:rPr>
                <w:b/>
                <w:i/>
              </w:rPr>
              <w:t>, samuti radikaliseerumise ja terrorismivastase võitluse vastandumist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rõhutab Saudi Araabia </w:t>
            </w:r>
            <w:r>
              <w:rPr>
                <w:b/>
                <w:i/>
              </w:rPr>
              <w:t>koostööd ELiga</w:t>
            </w:r>
            <w:r>
              <w:t xml:space="preserve"> välis- ja julgeolekupoliitika valdkonnas;</w:t>
            </w:r>
          </w:p>
        </w:tc>
        <w:tc>
          <w:tcPr>
            <w:tcW w:w="4876" w:type="dxa"/>
            <w:tcBorders>
              <w:top w:val="nil"/>
              <w:left w:val="nil"/>
              <w:bottom w:val="nil"/>
              <w:right w:val="nil"/>
            </w:tcBorders>
          </w:tcPr>
          <w:p>
            <w:pPr>
              <w:pStyle w:val="Normal6a"/>
            </w:pPr>
            <w:r>
              <w:t>2.</w:t>
            </w:r>
            <w:r>
              <w:tab/>
            </w:r>
            <w:r>
              <w:t xml:space="preserve">rõhutab Saudi Araabia </w:t>
            </w:r>
            <w:r>
              <w:rPr>
                <w:b/>
                <w:i/>
              </w:rPr>
              <w:t>ja ELi vahelise kooskõlastamise ja koostöö kõrget taset</w:t>
            </w:r>
            <w:r>
              <w:t xml:space="preserve"> välis- ja julgeolekupoliitika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rõhutab Saudi Araabia koostööd ELiga välis- ja julgeolekupoliitika valdkonnas;</w:t>
            </w:r>
          </w:p>
        </w:tc>
        <w:tc>
          <w:tcPr>
            <w:tcW w:w="4876" w:type="dxa"/>
            <w:tcBorders>
              <w:top w:val="nil"/>
              <w:left w:val="nil"/>
              <w:bottom w:val="nil"/>
              <w:right w:val="nil"/>
            </w:tcBorders>
          </w:tcPr>
          <w:p>
            <w:pPr>
              <w:pStyle w:val="Normal6a"/>
            </w:pPr>
            <w:r>
              <w:t>2.</w:t>
            </w:r>
            <w:r>
              <w:tab/>
            </w:r>
            <w:r>
              <w:t xml:space="preserve">rõhutab Saudi Araabia koostööd ELiga välis- ja julgeolekupoliitika </w:t>
            </w:r>
            <w:r>
              <w:rPr>
                <w:b/>
                <w:i/>
              </w:rPr>
              <w:t>ning terrorismivastase võitluse</w:t>
            </w:r>
            <w:r>
              <w:t xml:space="preserv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väljendab heameelt ELi ja Saudi Araabia edasise majanduskoostöö potentsiaali üle kestliku energia, kriitiliste toormete, infotehnoloogia ja ettevõtluse valdkonnas, märkides, et ELi ja Saudi Araabia vaheline majanduskoostöö on kahepoolsete suhete nurgakivi;</w:t>
            </w:r>
          </w:p>
        </w:tc>
        <w:tc>
          <w:tcPr>
            <w:tcW w:w="4876" w:type="dxa"/>
            <w:tcBorders>
              <w:top w:val="nil"/>
              <w:left w:val="nil"/>
              <w:bottom w:val="nil"/>
              <w:right w:val="nil"/>
            </w:tcBorders>
          </w:tcPr>
          <w:p>
            <w:pPr>
              <w:pStyle w:val="Normal6a"/>
            </w:pPr>
            <w:r>
              <w:t>3.</w:t>
            </w:r>
            <w:r>
              <w:tab/>
            </w:r>
            <w:r>
              <w:t xml:space="preserve">väljendab heameelt ELi ja Saudi Araabia edasise majanduskoostöö potentsiaali üle kestliku energia, kriitiliste toormete, infotehnoloogia ja ettevõtluse valdkonnas, märkides, et ELi ja Saudi Araabia vaheline majanduskoostöö on kahepoolsete suhete nurgakivi; </w:t>
            </w:r>
            <w:r>
              <w:rPr>
                <w:b/>
                <w:i/>
              </w:rPr>
              <w:t>rõhutab, et see koostöö ei tohi siiski viia strateegilistes sektorites tegutsevate ELi ettevõtete ülevõtmiseni, mille näiteks on Saudi Araabia riikliku fondi hiljutine tegevus;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väljendab heameelt</w:t>
            </w:r>
            <w:r>
              <w:t xml:space="preserve"> ELi ja Saudi Araabia edasise majanduskoostöö potentsiaali </w:t>
            </w:r>
            <w:r>
              <w:rPr>
                <w:b/>
                <w:i/>
              </w:rPr>
              <w:t>üle</w:t>
            </w:r>
            <w:r>
              <w:t xml:space="preserve"> kestliku energia, kriitiliste toormete, infotehnoloogia ja ettevõtluse valdkonnas, märkides, et ELi ja Saudi Araabia vaheline majanduskoostöö on kahepoolsete suhete nurgakivi;</w:t>
            </w:r>
          </w:p>
        </w:tc>
        <w:tc>
          <w:tcPr>
            <w:tcW w:w="4876" w:type="dxa"/>
            <w:tcBorders>
              <w:top w:val="nil"/>
              <w:left w:val="nil"/>
              <w:bottom w:val="nil"/>
              <w:right w:val="nil"/>
            </w:tcBorders>
          </w:tcPr>
          <w:p>
            <w:pPr>
              <w:pStyle w:val="Normal6a"/>
            </w:pPr>
            <w:r>
              <w:t>3.</w:t>
            </w:r>
            <w:r>
              <w:tab/>
            </w:r>
            <w:r>
              <w:rPr>
                <w:b/>
                <w:i/>
              </w:rPr>
              <w:t>võtab teadmiseks</w:t>
            </w:r>
            <w:r>
              <w:t xml:space="preserve"> ELi ja Saudi Araabia edasise majanduskoostöö potentsiaali kestliku energia, kriitiliste toormete, infotehnoloogia ja ettevõtluse valdkonnas, märkides, et ELi ja Saudi Araabia vaheline majanduskoostöö on kahepoolsete suhete nurgakivi; </w:t>
            </w:r>
            <w:r>
              <w:rPr>
                <w:b/>
                <w:i/>
              </w:rPr>
              <w:t>väljendab muret ELi finantshuvide kaitse dokumenteeritud seoste pärast inimõiguste rikkumistega ning rõhutab, et ettevõtjad peaksid täitma inimõigustega seotud hoolsuskohustust, kui nad kaaluvad otseselt või kaudselt finantshuvide kaitsega seotud majandustegevust;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väljendab heameelt</w:t>
            </w:r>
            <w:r>
              <w:t xml:space="preserve"> ELi ja Saudi Araabia edasise majanduskoostöö potentsiaali </w:t>
            </w:r>
            <w:r>
              <w:rPr>
                <w:b/>
                <w:i/>
              </w:rPr>
              <w:t>üle</w:t>
            </w:r>
            <w:r>
              <w:t xml:space="preserve"> kestliku energia, kriitiliste toormete, infotehnoloogia ja ettevõtluse valdkonnas, märkides, et ELi ja Saudi Araabia vaheline majanduskoostöö on kahepoolsete suhete nurgakivi;</w:t>
            </w:r>
          </w:p>
        </w:tc>
        <w:tc>
          <w:tcPr>
            <w:tcW w:w="4876" w:type="dxa"/>
            <w:tcBorders>
              <w:top w:val="nil"/>
              <w:left w:val="nil"/>
              <w:bottom w:val="nil"/>
              <w:right w:val="nil"/>
            </w:tcBorders>
          </w:tcPr>
          <w:p>
            <w:pPr>
              <w:pStyle w:val="Normal6a"/>
            </w:pPr>
            <w:r>
              <w:t>3.</w:t>
            </w:r>
            <w:r>
              <w:tab/>
            </w:r>
            <w:r>
              <w:rPr>
                <w:b/>
                <w:i/>
              </w:rPr>
              <w:t>võtab teadmiseks</w:t>
            </w:r>
            <w:r>
              <w:t xml:space="preserve"> ELi ja Saudi Araabia edasise majanduskoostöö potentsiaali kestliku energia, kriitiliste toormete, infotehnoloogia ja ettevõtluse valdkonnas, märkides, et ELi ja Saudi Araabia vaheline majanduskoostöö on kahepoolsete suhete nurgakivi; </w:t>
            </w:r>
            <w:r>
              <w:rPr>
                <w:b/>
                <w:i/>
              </w:rPr>
              <w:t>väljendab muret Saudi Araabia avaliku investeerimisfondi (PIF) dokumenteeritud seoste pärast inimõiguste rikkumistega ning rõhutab, et selle fondiga otseselt või kaudselt seotud majandus- või äritehingute kaalumisel tuleb rakendada põhjalikku hoolsuskohustust;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väljendab heameelt ELi ja Saudi Araabia edasise majanduskoostöö potentsiaali üle kestliku energia, kriitiliste toormete, infotehnoloogia ja ettevõtluse valdkonnas, märkides, et ELi ja Saudi Araabia vaheline majanduskoostöö on kahepoolsete suhete nurgakivi;</w:t>
            </w:r>
          </w:p>
        </w:tc>
        <w:tc>
          <w:tcPr>
            <w:tcW w:w="4876" w:type="dxa"/>
            <w:tcBorders>
              <w:top w:val="nil"/>
              <w:left w:val="nil"/>
              <w:bottom w:val="nil"/>
              <w:right w:val="nil"/>
            </w:tcBorders>
          </w:tcPr>
          <w:p>
            <w:pPr>
              <w:pStyle w:val="Normal6a"/>
            </w:pPr>
            <w:r>
              <w:t>3.</w:t>
            </w:r>
            <w:r>
              <w:tab/>
            </w:r>
            <w:r>
              <w:t xml:space="preserve">väljendab heameelt ELi ja Saudi Araabia edasise majanduskoostöö potentsiaali üle kestliku energia, kriitiliste toormete, infotehnoloogia ja ettevõtluse valdkonnas, märkides, et ELi ja Saudi Araabia vaheline majanduskoostöö on kahepoolsete suhete nurgakivi; </w:t>
            </w:r>
            <w:r>
              <w:rPr>
                <w:b/>
                <w:i/>
              </w:rPr>
              <w:t>rõhutab, et kui kaalutakse majandus- või äritehinguid, millesse on otseselt või kaudselt kaasatud avaliku sektori investeerimisfond, tuleb rakendada põhjalikku hoolsuskohustust, võttes arvesse aruandeid selle fondi seoste kohta inimõiguste rikkumistega;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väljendab heameelt ELi ja Saudi Araabia edasise majanduskoostöö potentsiaali üle kestliku energia, kriitiliste toormete, infotehnoloogia ja ettevõtluse valdkonnas, märkides, et ELi ja Saudi Araabia vaheline majanduskoostöö on kahepoolsete suhete nurgakivi;</w:t>
            </w:r>
          </w:p>
        </w:tc>
        <w:tc>
          <w:tcPr>
            <w:tcW w:w="4876" w:type="dxa"/>
            <w:tcBorders>
              <w:top w:val="nil"/>
              <w:left w:val="nil"/>
              <w:bottom w:val="nil"/>
              <w:right w:val="nil"/>
            </w:tcBorders>
          </w:tcPr>
          <w:p>
            <w:pPr>
              <w:pStyle w:val="Normal6a"/>
            </w:pPr>
            <w:r>
              <w:t>3.</w:t>
            </w:r>
            <w:r>
              <w:tab/>
            </w:r>
            <w:r>
              <w:t xml:space="preserve">väljendab heameelt ELi ja Saudi Araabia edasise majanduskoostöö potentsiaali üle kestliku energia, kriitiliste toormete, infotehnoloogia ja ettevõtluse valdkonnas, märkides, et ELi ja Saudi Araabia vaheline majanduskoostöö on kahepoolsete suhete nurgakivi; </w:t>
            </w:r>
            <w:r>
              <w:rPr>
                <w:b/>
                <w:i/>
              </w:rPr>
              <w:t>nõuab, et nendes valdkondades suurendataks ELi ja Saudi-Araabia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väljendab heameelt</w:t>
            </w:r>
            <w:r>
              <w:t xml:space="preserve"> ELi ja Saudi Araabia edasise majanduskoostöö potentsiaali </w:t>
            </w:r>
            <w:r>
              <w:rPr>
                <w:b/>
                <w:i/>
              </w:rPr>
              <w:t>üle</w:t>
            </w:r>
            <w:r>
              <w:t xml:space="preserve"> kestliku energia, kriitiliste toormete, infotehnoloogia ja ettevõtluse valdkonnas, märkides, et ELi ja Saudi Araabia vaheline majanduskoostöö on kahepoolsete suhete nurgakivi;</w:t>
            </w:r>
          </w:p>
        </w:tc>
        <w:tc>
          <w:tcPr>
            <w:tcW w:w="4876" w:type="dxa"/>
            <w:tcBorders>
              <w:top w:val="nil"/>
              <w:left w:val="nil"/>
              <w:bottom w:val="nil"/>
              <w:right w:val="nil"/>
            </w:tcBorders>
          </w:tcPr>
          <w:p>
            <w:pPr>
              <w:pStyle w:val="Normal6a"/>
            </w:pPr>
            <w:r>
              <w:t>3.</w:t>
            </w:r>
            <w:r>
              <w:tab/>
            </w:r>
            <w:r>
              <w:rPr>
                <w:b/>
                <w:i/>
              </w:rPr>
              <w:t>tõstab esile</w:t>
            </w:r>
            <w:r>
              <w:t xml:space="preserve"> ELi ja Saudi Araabia edasise majanduskoostöö potentsiaali kestliku energia, kriitiliste toormete, infotehnoloogia ja ettevõtluse valdkonnas, märkides, et ELi ja Saudi Araabia vaheline majanduskoostöö on kahepoolsete suhete nurgakivi;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väljendab heameelt</w:t>
            </w:r>
            <w:r>
              <w:t xml:space="preserve"> ELi ja Saudi Araabia </w:t>
            </w:r>
            <w:r>
              <w:rPr>
                <w:b/>
                <w:i/>
              </w:rPr>
              <w:t>edasise majanduskoostöö potentsiaali üle</w:t>
            </w:r>
            <w:r>
              <w:t xml:space="preserve"> kestliku energia, kriitiliste toormete, infotehnoloogia ja ettevõtluse valdkonnas, märkides, et ELi ja Saudi Araabia vaheline majanduskoostöö on kahepoolsete suhete nurgakivi;</w:t>
            </w:r>
          </w:p>
        </w:tc>
        <w:tc>
          <w:tcPr>
            <w:tcW w:w="4876" w:type="dxa"/>
            <w:tcBorders>
              <w:top w:val="nil"/>
              <w:left w:val="nil"/>
              <w:bottom w:val="nil"/>
              <w:right w:val="nil"/>
            </w:tcBorders>
          </w:tcPr>
          <w:p>
            <w:pPr>
              <w:pStyle w:val="Normal6a"/>
            </w:pPr>
            <w:r>
              <w:t>3.</w:t>
            </w:r>
            <w:r>
              <w:tab/>
            </w:r>
            <w:r>
              <w:rPr>
                <w:b/>
                <w:i/>
              </w:rPr>
              <w:t>ergutab</w:t>
            </w:r>
            <w:r>
              <w:t xml:space="preserve"> ELi ja Saudi Araabia </w:t>
            </w:r>
            <w:r>
              <w:rPr>
                <w:b/>
                <w:i/>
              </w:rPr>
              <w:t>edasist majanduskoostööd</w:t>
            </w:r>
            <w:r>
              <w:t xml:space="preserve"> kestliku energia, kriitiliste toormete, infotehnoloogia ja ettevõtluse valdkonnas, märkides, et ELi ja Saudi Araabia vaheline majanduskoostöö on kahepoolsete suhete nurgakivi;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märgib, et Saudi Araabiast võiks saada peamine partner ebaseadusliku sisserände vastu võitlemisel ning Lähis-Idast, Aafrikast, India subkontinendilt ja Kesk-Aasiast lähtuvate rändevoogude haldamisel;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rõhutab, et ELi ja Saudi-Araabia koostöö süvendamine energia ja kaubanduse valdkonnas peaks suurendama ELi strateegilist autonoomiat, mitmekesistades usaldusväärseid tarneallikaid;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kinnitab veel kord, et EL on pühendunud Saudi Araabia sotsiaal-majandusliku mitmekesistamise ja reformide, sealhulgas kestliku arengu edendamise toetamisele;</w:t>
            </w:r>
          </w:p>
        </w:tc>
        <w:tc>
          <w:tcPr>
            <w:tcW w:w="4876" w:type="dxa"/>
            <w:tcBorders>
              <w:top w:val="nil"/>
              <w:left w:val="nil"/>
              <w:bottom w:val="nil"/>
              <w:right w:val="nil"/>
            </w:tcBorders>
          </w:tcPr>
          <w:p>
            <w:pPr>
              <w:pStyle w:val="Normal6a"/>
            </w:pPr>
            <w:r>
              <w:t>4.</w:t>
            </w:r>
            <w:r>
              <w:tab/>
            </w:r>
            <w:r>
              <w:t xml:space="preserve">kinnitab veel kord, et EL on pühendunud Saudi Araabia sotsiaal-majandusliku mitmekesistamise ja reformide, sealhulgas kestliku arengu edendamise toetamisele </w:t>
            </w:r>
            <w:r>
              <w:rPr>
                <w:b/>
                <w:i/>
              </w:rPr>
              <w:t>selle energiaallikate mitmekesistamise, sealhulgas tuumaenergia kaudu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kinnitab veel kord</w:t>
            </w:r>
            <w:r>
              <w:t>, et EL on jätkuvalt pühendunud turvalise ja vastastikku kasuliku viisavaba reisimise korra edendamisele Pärsia lahe koostöönõukogu viie ülejäänud riigiga, et tagada nende võrdne kohtlemine;</w:t>
            </w:r>
          </w:p>
        </w:tc>
        <w:tc>
          <w:tcPr>
            <w:tcW w:w="4876" w:type="dxa"/>
            <w:tcBorders>
              <w:top w:val="nil"/>
              <w:left w:val="nil"/>
              <w:bottom w:val="nil"/>
              <w:right w:val="nil"/>
            </w:tcBorders>
          </w:tcPr>
          <w:p>
            <w:pPr>
              <w:pStyle w:val="Normal6a"/>
            </w:pPr>
            <w:r>
              <w:t>5.</w:t>
            </w:r>
            <w:r>
              <w:tab/>
            </w:r>
            <w:r>
              <w:rPr>
                <w:b/>
                <w:i/>
              </w:rPr>
              <w:t>märgib</w:t>
            </w:r>
            <w:r>
              <w:t xml:space="preserve">, et EL on jätkuvalt pühendunud turvalise ja vastastikku kasuliku viisavaba reisimise korra edendamisele Pärsia lahe koostöönõukogu viie ülejäänud riigiga, et tagada nende võrdne kohtlemine; </w:t>
            </w:r>
            <w:r>
              <w:rPr>
                <w:b/>
                <w:i/>
              </w:rPr>
              <w:t>rõhutab ohtusid, mida viisavaba reisimine kaasa toob, näiteks varjupaigataotluste arvu suurenemine, eelkõige pidades silmas selliseid mittedemokraatlikke riike nagu Saudi Araabia, ning terrorismi ja äärmuslusega seotud julgeolekuohud;</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kinnitab veel kord, et EL on jätkuvalt pühendunud turvalise ja vastastikku kasuliku viisavaba reisimise korra edendamisele Pärsia lahe koostöönõukogu viie ülejäänud riigiga, et tagada nende võrdne kohtlemine;</w:t>
            </w:r>
          </w:p>
        </w:tc>
        <w:tc>
          <w:tcPr>
            <w:tcW w:w="4876" w:type="dxa"/>
            <w:tcBorders>
              <w:top w:val="nil"/>
              <w:left w:val="nil"/>
              <w:bottom w:val="nil"/>
              <w:right w:val="nil"/>
            </w:tcBorders>
          </w:tcPr>
          <w:p>
            <w:pPr>
              <w:pStyle w:val="Normal6a"/>
            </w:pPr>
            <w:r>
              <w:t>5.</w:t>
            </w:r>
            <w:r>
              <w:tab/>
            </w:r>
            <w:r>
              <w:t xml:space="preserve">kinnitab veel kord, et EL on jätkuvalt pühendunud turvalise ja vastastikku kasuliku viisavaba reisimise korra edendamisele Pärsia lahe koostöönõukogu viie ülejäänud riigiga, et tagada nende võrdne kohtlemine; </w:t>
            </w:r>
            <w:r>
              <w:rPr>
                <w:b/>
                <w:i/>
              </w:rPr>
              <w:t>mida võiks hinnata uue ELi viisastrateegia kontekstis;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kinnitab veel kord, et EL on jätkuvalt pühendunud turvalise ja vastastikku kasuliku</w:t>
            </w:r>
            <w:r>
              <w:t xml:space="preserve"> viisavaba reisimise korra </w:t>
            </w:r>
            <w:r>
              <w:rPr>
                <w:b/>
                <w:i/>
              </w:rPr>
              <w:t>edendamisele</w:t>
            </w:r>
            <w:r>
              <w:t xml:space="preserve"> Pärsia lahe koostöönõukogu </w:t>
            </w:r>
            <w:r>
              <w:rPr>
                <w:b/>
                <w:i/>
              </w:rPr>
              <w:t>viie ülejäänud riigiga, et tagada nende võrdne kohtlemine</w:t>
            </w:r>
            <w:r>
              <w:t>;</w:t>
            </w:r>
          </w:p>
        </w:tc>
        <w:tc>
          <w:tcPr>
            <w:tcW w:w="4876" w:type="dxa"/>
            <w:tcBorders>
              <w:top w:val="nil"/>
              <w:left w:val="nil"/>
              <w:bottom w:val="nil"/>
              <w:right w:val="nil"/>
            </w:tcBorders>
          </w:tcPr>
          <w:p>
            <w:pPr>
              <w:pStyle w:val="Normal6a"/>
            </w:pPr>
            <w:r>
              <w:t>5.</w:t>
            </w:r>
            <w:r>
              <w:tab/>
            </w:r>
            <w:r>
              <w:rPr>
                <w:b/>
                <w:i/>
              </w:rPr>
              <w:t>rõhutab, et mis tahes arutelu</w:t>
            </w:r>
            <w:r>
              <w:t xml:space="preserve"> viisavaba reisimise korra </w:t>
            </w:r>
            <w:r>
              <w:rPr>
                <w:b/>
                <w:i/>
              </w:rPr>
              <w:t>üle</w:t>
            </w:r>
            <w:r>
              <w:t xml:space="preserve"> Pärsia lahe koostöönõukogu </w:t>
            </w:r>
            <w:r>
              <w:rPr>
                <w:b/>
                <w:i/>
              </w:rPr>
              <w:t>riikidega peab rangelt sõltuma tõhusatest julgeolekutagatistest, liitu suunduva rände haldamisest ja välissekkumise vastu võitlemise meetmetest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kinnitab veel kord, et EL on jätkuvalt pühendunud turvalise ja vastastikku kasuliku viisavaba reisimise korra edendamisele </w:t>
            </w:r>
            <w:r>
              <w:rPr>
                <w:b/>
                <w:i/>
              </w:rPr>
              <w:t>Pärsia lahe koostöönõukogu viie ülejäänud riigiga, et tagada nende võrdne kohtlemine</w:t>
            </w:r>
            <w:r>
              <w:t>;</w:t>
            </w:r>
          </w:p>
        </w:tc>
        <w:tc>
          <w:tcPr>
            <w:tcW w:w="4876" w:type="dxa"/>
            <w:tcBorders>
              <w:top w:val="nil"/>
              <w:left w:val="nil"/>
              <w:bottom w:val="nil"/>
              <w:right w:val="nil"/>
            </w:tcBorders>
          </w:tcPr>
          <w:p>
            <w:pPr>
              <w:pStyle w:val="Normal6a"/>
            </w:pPr>
            <w:r>
              <w:t>5.</w:t>
            </w:r>
            <w:r>
              <w:tab/>
            </w:r>
            <w:r>
              <w:t xml:space="preserve">kinnitab veel kord, et EL on jätkuvalt pühendunud turvalise ja vastastikku kasuliku viisavaba reisimise korra edendamisele </w:t>
            </w:r>
            <w:r>
              <w:rPr>
                <w:b/>
                <w:i/>
              </w:rPr>
              <w:t>Saudi Araabia Kuningriigiga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märgib Saudi-Araabia turistide märkimisväärset majanduslikku tähtsust Euroopa Liidu liikmesriikide jaoks, eelkõige selliste oluliste sektorite toetamisel nagu majutus, jaekaubandus ja kultuuritööstus;</w:t>
            </w:r>
            <w:r>
              <w:t xml:space="preserve"> </w:t>
            </w:r>
            <w:r>
              <w:rPr>
                <w:b/>
                <w:i/>
              </w:rPr>
              <w:t>rõhutab, et Saudi Araabia kodanikud ei kujuta endast ebaseadusliku rände</w:t>
            </w:r>
            <w:r>
              <w:rPr>
                <w:b/>
                <w:i/>
                <w:vertAlign w:val="superscript"/>
              </w:rPr>
              <w:t>8a</w:t>
            </w:r>
            <w:r>
              <w:t xml:space="preserve"> </w:t>
            </w:r>
            <w:r>
              <w:rPr>
                <w:b/>
                <w:i/>
              </w:rPr>
              <w:t>surve allikat, ning nõuab seetõttu Schengeni viisavabaduse kehtestamist, et hõlbustada turismi, edendada inimestevahelist suhtlust ning veelgi tugevdada majandus- ja kultuurisidemeid ELi ja Saudi Araabia Kuningriigi vahel;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https://home-affairs.ec.europa.eu/document/download/d22b298f-18db-48b1-bb53-cc4114bc40b3_en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ergutab tugevamaid partnerlusi ELi ja Saudi Araabia haridus- ja teadusasutuste vahel, sealhulgas programmide nagu Erasmus Mundus ja „Euroopa horisont“ kaudu;</w:t>
            </w:r>
            <w:r>
              <w:t xml:space="preserve"> </w:t>
            </w:r>
            <w:r>
              <w:rPr>
                <w:b/>
                <w:i/>
              </w:rPr>
              <w:t>rõhutab, kui oluline on luua vajalikud tingimused üliõpilaste liikuvuse suurendamiseks;</w:t>
            </w:r>
            <w:r>
              <w:t xml:space="preserve"> </w:t>
            </w:r>
            <w:r>
              <w:rPr>
                <w:b/>
                <w:i/>
              </w:rPr>
              <w:t>rõhutab, et noorte vahetusvõimaluste suurendamine aitab märkimisväärselt kaasa ELi, Saudi Araabia ja Pärsia lahe piirkonna kui terviku vaheliste suhete tugevdamisele;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väljendab heameelt selle üle, et Saudi Araabia on tunnistanud Moslemi Vennaskonna terroriorganisatsiooniks, ning tunneb heameelt Ameerika Ühendriikide hiljutiste jõupingutuste üle võtta sarnaseid meetmeid;</w:t>
            </w:r>
            <w:r>
              <w:t xml:space="preserve"> </w:t>
            </w:r>
            <w:r>
              <w:rPr>
                <w:b/>
                <w:i/>
              </w:rPr>
              <w:t>kutsub ELi ja liikmesriike üles seda poliitikat kiiresti järgima ja liigitama Moslemi Vennaskonna terroriorganisatsiooniks;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nõuab, et EL hõlbustaks veelgi regulatiivset koostööd, mis aitab Saudi Araabial kehtestada norme ja menetlusi edukaks mitmekesistamiseks ja reformimiseks;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väljendab heameelt Ameerika Ühendriikide vahendatud Aabrahami lepingute üle ja kutsub Saudi Araabiat üles nendega viivitamata ühinema;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väljendab heameelt Saudi Araabia kasvava tähtsuse üle diplomaatilise osalejana</w:t>
            </w:r>
            <w:r>
              <w:rPr>
                <w:b/>
                <w:i/>
              </w:rPr>
              <w:t>, kes aitab kaasa rahvusvahelisele stabiilsusele</w:t>
            </w:r>
            <w:r>
              <w:t xml:space="preserve">, eelkõige </w:t>
            </w:r>
            <w:r>
              <w:rPr>
                <w:b/>
                <w:i/>
              </w:rPr>
              <w:t>pidades silmas Iisraeli sõjalist operatsiooni</w:t>
            </w:r>
            <w:r>
              <w:t xml:space="preserve"> Gazas ning </w:t>
            </w:r>
            <w:r>
              <w:rPr>
                <w:b/>
                <w:i/>
              </w:rPr>
              <w:t>hiljutisi sündmusi</w:t>
            </w:r>
            <w:r>
              <w:t xml:space="preserve"> Süürias, Liibanonis, Jeemenis, Punasel merel ja Sudaanis;</w:t>
            </w:r>
          </w:p>
        </w:tc>
        <w:tc>
          <w:tcPr>
            <w:tcW w:w="4876" w:type="dxa"/>
            <w:tcBorders>
              <w:top w:val="nil"/>
              <w:left w:val="nil"/>
              <w:bottom w:val="nil"/>
              <w:right w:val="nil"/>
            </w:tcBorders>
          </w:tcPr>
          <w:p>
            <w:pPr>
              <w:pStyle w:val="Normal6a"/>
            </w:pPr>
            <w:r>
              <w:t>6.</w:t>
            </w:r>
            <w:r>
              <w:tab/>
            </w:r>
            <w:r>
              <w:t xml:space="preserve">väljendab heameelt Saudi Araabia kasvava tähtsuse üle diplomaatilise osalejana </w:t>
            </w:r>
            <w:r>
              <w:rPr>
                <w:b/>
                <w:i/>
              </w:rPr>
              <w:t>ning tema märkimisväärse panuse üle piirkondlikku ja ülemaailmsesse stabiilsusesse</w:t>
            </w:r>
            <w:r>
              <w:t xml:space="preserve">, eelkõige </w:t>
            </w:r>
            <w:r>
              <w:rPr>
                <w:b/>
                <w:i/>
              </w:rPr>
              <w:t>seoses praeguse sõjaga</w:t>
            </w:r>
            <w:r>
              <w:t xml:space="preserve"> Gazas ning </w:t>
            </w:r>
            <w:r>
              <w:rPr>
                <w:b/>
                <w:i/>
              </w:rPr>
              <w:t>hiljutiste arengutega</w:t>
            </w:r>
            <w:r>
              <w:t xml:space="preserve"> Süürias, Liibanonis, Jeemenis, Punasel merel ja Sudaanis;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väljendab heameelt Saudi Araabia kasvava tähtsuse üle diplomaatilise osalejana, kes aitab kaasa rahvusvahelisele stabiilsusele, eelkõige pidades silmas Iisraeli sõjalist operatsiooni Gazas </w:t>
            </w:r>
            <w:r>
              <w:rPr>
                <w:b/>
                <w:i/>
              </w:rPr>
              <w:t>ning hiljutisi sündmusi</w:t>
            </w:r>
            <w:r>
              <w:t xml:space="preserve"> Süürias, Liibanonis</w:t>
            </w:r>
            <w:r>
              <w:rPr>
                <w:b/>
                <w:i/>
              </w:rPr>
              <w:t>, Jeemenis,</w:t>
            </w:r>
            <w:r>
              <w:t xml:space="preserve"> Punasel merel </w:t>
            </w:r>
            <w:r>
              <w:rPr>
                <w:b/>
                <w:i/>
              </w:rPr>
              <w:t>ja Sudaanis</w:t>
            </w:r>
            <w:r>
              <w:t>;</w:t>
            </w:r>
          </w:p>
        </w:tc>
        <w:tc>
          <w:tcPr>
            <w:tcW w:w="4876" w:type="dxa"/>
            <w:tcBorders>
              <w:top w:val="nil"/>
              <w:left w:val="nil"/>
              <w:bottom w:val="nil"/>
              <w:right w:val="nil"/>
            </w:tcBorders>
          </w:tcPr>
          <w:p>
            <w:pPr>
              <w:pStyle w:val="Normal6a"/>
            </w:pPr>
            <w:r>
              <w:t>6.</w:t>
            </w:r>
            <w:r>
              <w:tab/>
            </w:r>
            <w:r>
              <w:t>väljendab heameelt Saudi Araabia kasvava tähtsuse üle diplomaatilise osalejana, kes aitab kaasa rahvusvahelisele stabiilsusele, eelkõige pidades silmas Iisraeli sõjalist operatsiooni Gazas </w:t>
            </w:r>
            <w:r>
              <w:rPr>
                <w:b/>
                <w:i/>
              </w:rPr>
              <w:t>pärast 7. oktoobril toimunud Hamasi terrorirünnakut, milles hukkus ligikaudu 1200 inimest ja mille tulemusel võeti üle 250 pantvangi, samuti hiljutiste sündmuste ajal</w:t>
            </w:r>
            <w:r>
              <w:t xml:space="preserve"> Süürias, Liibanonis </w:t>
            </w:r>
            <w:r>
              <w:rPr>
                <w:b/>
                <w:i/>
              </w:rPr>
              <w:t>ja</w:t>
            </w:r>
            <w:r>
              <w:t xml:space="preserve"> Punasel merel;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väljendab heameelt Saudi Araabia kasvava tähtsuse üle diplomaatilise osalejana, kes aitab kaasa rahvusvahelisele stabiilsusele, eelkõige pidades silmas </w:t>
            </w:r>
            <w:r>
              <w:rPr>
                <w:b/>
                <w:i/>
              </w:rPr>
              <w:t>Iisraeli sõjalist operatsiooni</w:t>
            </w:r>
            <w:r>
              <w:t xml:space="preserve"> Gazas ning hiljutisi sündmusi Süürias, Liibanonis, Jeemenis, Punasel merel ja Sudaanis;</w:t>
            </w:r>
          </w:p>
        </w:tc>
        <w:tc>
          <w:tcPr>
            <w:tcW w:w="4876" w:type="dxa"/>
            <w:tcBorders>
              <w:top w:val="nil"/>
              <w:left w:val="nil"/>
              <w:bottom w:val="nil"/>
              <w:right w:val="nil"/>
            </w:tcBorders>
          </w:tcPr>
          <w:p>
            <w:pPr>
              <w:pStyle w:val="Normal6a"/>
            </w:pPr>
            <w:r>
              <w:t>6.</w:t>
            </w:r>
            <w:r>
              <w:tab/>
            </w:r>
            <w:r>
              <w:t xml:space="preserve">väljendab heameelt Saudi Araabia kasvava tähtsuse üle diplomaatilise osalejana, kes aitab kaasa rahvusvahelisele stabiilsusele, eelkõige pidades silmas </w:t>
            </w:r>
            <w:r>
              <w:rPr>
                <w:b/>
                <w:i/>
              </w:rPr>
              <w:t>sõda</w:t>
            </w:r>
            <w:r>
              <w:t xml:space="preserve"> Gazas ning hiljutisi sündmusi Süürias, Liibanonis, Jeemenis, Punasel merel ja Sudaanis </w:t>
            </w:r>
            <w:r>
              <w:rPr>
                <w:b/>
                <w:i/>
              </w:rPr>
              <w:t>ning eriti arvestades terrorirünnakute sagenemist piirkonnas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väljendab heameelt Saudi Araabia kasvava tähtsuse üle diplomaatilise osalejana, kes aitab kaasa rahvusvahelisele stabiilsusele, eelkõige </w:t>
            </w:r>
            <w:r>
              <w:rPr>
                <w:b/>
                <w:i/>
              </w:rPr>
              <w:t>pidades silmas</w:t>
            </w:r>
            <w:r>
              <w:t xml:space="preserve"> Iisraeli </w:t>
            </w:r>
            <w:r>
              <w:rPr>
                <w:b/>
                <w:i/>
              </w:rPr>
              <w:t>sõjalist operatsiooni</w:t>
            </w:r>
            <w:r>
              <w:t xml:space="preserve"> Gazas ning </w:t>
            </w:r>
            <w:r>
              <w:rPr>
                <w:b/>
                <w:i/>
              </w:rPr>
              <w:t>hiljutisi sündmusi</w:t>
            </w:r>
            <w:r>
              <w:t xml:space="preserve"> Süürias, Liibanonis, Jeemenis, Punasel merel ja Sudaanis;</w:t>
            </w:r>
          </w:p>
        </w:tc>
        <w:tc>
          <w:tcPr>
            <w:tcW w:w="4876" w:type="dxa"/>
            <w:tcBorders>
              <w:top w:val="nil"/>
              <w:left w:val="nil"/>
              <w:bottom w:val="nil"/>
              <w:right w:val="nil"/>
            </w:tcBorders>
          </w:tcPr>
          <w:p>
            <w:pPr>
              <w:pStyle w:val="Normal6a"/>
            </w:pPr>
            <w:r>
              <w:t>6.</w:t>
            </w:r>
            <w:r>
              <w:tab/>
            </w:r>
            <w:r>
              <w:t xml:space="preserve">väljendab heameelt Saudi Araabia kasvava tähtsuse üle diplomaatilise osalejana, kes aitab kaasa rahvusvahelisele stabiilsusele, eelkõige </w:t>
            </w:r>
            <w:r>
              <w:rPr>
                <w:b/>
                <w:i/>
              </w:rPr>
              <w:t>seoses kasvavate tõenditega</w:t>
            </w:r>
            <w:r>
              <w:t xml:space="preserve"> Iisraeli </w:t>
            </w:r>
            <w:r>
              <w:rPr>
                <w:b/>
                <w:i/>
              </w:rPr>
              <w:t>poolt genotsiidi toimepanemise kohta</w:t>
            </w:r>
            <w:r>
              <w:t xml:space="preserve"> Gazas ning </w:t>
            </w:r>
            <w:r>
              <w:rPr>
                <w:b/>
                <w:i/>
              </w:rPr>
              <w:t>hiljutiste sündmustega</w:t>
            </w:r>
            <w:r>
              <w:t xml:space="preserve"> Süürias, Liibanonis, Jeemenis, Punasel merel ja Sudaanis;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väljendab heameelt</w:t>
            </w:r>
            <w:r>
              <w:t xml:space="preserve"> Saudi Araabia </w:t>
            </w:r>
            <w:r>
              <w:rPr>
                <w:b/>
                <w:i/>
              </w:rPr>
              <w:t>kasvava tähtsuse üle</w:t>
            </w:r>
            <w:r>
              <w:t xml:space="preserve"> diplomaatilise osalejana, kes aitab kaasa rahvusvahelisele stabiilsusele, eelkõige pidades silmas Iisraeli sõjalist operatsiooni Gazas ning hiljutisi sündmusi Süürias, Liibanonis, Jeemenis, Punasel merel ja Sudaanis;</w:t>
            </w:r>
          </w:p>
        </w:tc>
        <w:tc>
          <w:tcPr>
            <w:tcW w:w="4876" w:type="dxa"/>
            <w:tcBorders>
              <w:top w:val="nil"/>
              <w:left w:val="nil"/>
              <w:bottom w:val="nil"/>
              <w:right w:val="nil"/>
            </w:tcBorders>
          </w:tcPr>
          <w:p>
            <w:pPr>
              <w:pStyle w:val="Normal6a"/>
            </w:pPr>
            <w:r>
              <w:t>6.</w:t>
            </w:r>
            <w:r>
              <w:tab/>
            </w:r>
            <w:r>
              <w:rPr>
                <w:b/>
                <w:i/>
              </w:rPr>
              <w:t>rõhutab</w:t>
            </w:r>
            <w:r>
              <w:t xml:space="preserve"> Saudi Araabia </w:t>
            </w:r>
            <w:r>
              <w:rPr>
                <w:b/>
                <w:i/>
              </w:rPr>
              <w:t>kasvavat tähtsust</w:t>
            </w:r>
            <w:r>
              <w:t xml:space="preserve"> diplomaatilise osalejana, kes aitab kaasa rahvusvahelisele stabiilsusele, eelkõige pidades silmas Iisraeli sõjalist operatsiooni Gazas ning hiljutisi sündmusi Süürias, Liibanonis, Jeemenis, Punasel merel ja Sudaanis;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väljendab heameelt Saudi Araabia kasvava tähtsuse üle diplomaatilise osalejana, kes aitab kaasa rahvusvahelisele stabiilsusele, eelkõige pidades silmas </w:t>
            </w:r>
            <w:r>
              <w:rPr>
                <w:b/>
                <w:i/>
              </w:rPr>
              <w:t>Iisraeli sõjalist operatsiooni Gazas</w:t>
            </w:r>
            <w:r>
              <w:t xml:space="preserve"> ning hiljutisi sündmusi Süürias, Liibanonis, Jeemenis, Punasel merel ja Sudaanis;</w:t>
            </w:r>
          </w:p>
        </w:tc>
        <w:tc>
          <w:tcPr>
            <w:tcW w:w="4876" w:type="dxa"/>
            <w:tcBorders>
              <w:top w:val="nil"/>
              <w:left w:val="nil"/>
              <w:bottom w:val="nil"/>
              <w:right w:val="nil"/>
            </w:tcBorders>
          </w:tcPr>
          <w:p>
            <w:pPr>
              <w:pStyle w:val="Normal6a"/>
            </w:pPr>
            <w:r>
              <w:t>6.</w:t>
            </w:r>
            <w:r>
              <w:tab/>
            </w:r>
            <w:r>
              <w:t>väljendab heameelt Saudi Araabia kasvava tähtsuse üle diplomaatilise osalejana, kes aitab kaasa rahvusvahelisele stabiilsusele, eelkõige pidades silmas </w:t>
            </w:r>
            <w:r>
              <w:rPr>
                <w:b/>
                <w:i/>
              </w:rPr>
              <w:t>Iisraeli-Palestiina konflikti</w:t>
            </w:r>
            <w:r>
              <w:t xml:space="preserve"> ning hiljutisi sündmusi Süürias, Liibanonis, Jeemenis, Punasel merel ja Sudaanis;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väljendab heameelt Saudi Araabia kasvava tähtsuse üle diplomaatilise osalejana, kes aitab kaasa rahvusvahelisele stabiilsusele, eelkõige pidades silmas </w:t>
            </w:r>
            <w:r>
              <w:rPr>
                <w:b/>
                <w:i/>
              </w:rPr>
              <w:t>Iisraeli sõjalist operatsiooni Gazas</w:t>
            </w:r>
            <w:r>
              <w:t xml:space="preserve"> ning hiljutisi sündmusi Süürias, Liibanonis, Jeemenis, Punasel merel ja Sudaanis;</w:t>
            </w:r>
          </w:p>
        </w:tc>
        <w:tc>
          <w:tcPr>
            <w:tcW w:w="4876" w:type="dxa"/>
            <w:tcBorders>
              <w:top w:val="nil"/>
              <w:left w:val="nil"/>
              <w:bottom w:val="nil"/>
              <w:right w:val="nil"/>
            </w:tcBorders>
          </w:tcPr>
          <w:p>
            <w:pPr>
              <w:pStyle w:val="Normal6a"/>
            </w:pPr>
            <w:r>
              <w:t>6.</w:t>
            </w:r>
            <w:r>
              <w:tab/>
            </w:r>
            <w:r>
              <w:t xml:space="preserve">väljendab heameelt Saudi Araabia kasvava tähtsuse üle diplomaatilise osalejana, kes aitab kaasa rahvusvahelisele stabiilsusele, eelkõige pidades silmas </w:t>
            </w:r>
            <w:r>
              <w:rPr>
                <w:b/>
                <w:i/>
              </w:rPr>
              <w:t>Gaza kriisi</w:t>
            </w:r>
            <w:r>
              <w:t xml:space="preserve"> ning hiljutisi sündmusi Süürias, Liibanonis, Jeemenis, Punasel merel ja Sudaanis;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tunnustab Iisraeli ja teatavate Araabia riikide jõupingutusi diplomaatiliste suhete normaliseerimiseks Aabrahami lepingute alusel;</w:t>
            </w:r>
            <w:r>
              <w:t xml:space="preserve"> </w:t>
            </w:r>
            <w:r>
              <w:rPr>
                <w:b/>
                <w:i/>
              </w:rPr>
              <w:t>kutsub ELi üles toetama algatusi, mille eesmärk on luua laiapõhjaline piirkondlik ja rahvusvaheline toetus Araabia maailma ja Iisraeli suhete parandamiseks tulevikus;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rõhutab, et Saudi Araabia välispoliitikat mõjutab strateegiliste, usuliste, majanduslike ja julgeolekutegurite kombinatsioon, mille peamine eesmärk on säilitada stabiilsus, laiendada riigi piirkondlikku mõju ning kaitsta kuningriigi energia- ja geopoliitilisi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rõhutab, et tõhustatud koostöö Saudi Araabiaga peaks samuti aitama tugevdada ühiseid kohustusi rahu ja stabiilsuse saavutamiseks ning kaitsta mitmepoolset reeglitel põhinevat süsteemi süsteemsete konkurentide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nõuab tugevamat välis- ja julgeolekukoostööd, võttes arvesse piirkondlikke eskalatsioone; rõhutab, et nii ühisteatises strateegilise partnerluse kohta Pärsia lahe riikidega kui ka tulevases strateegilise partnerluse lepingus nõutakse tihedamat koostööd poliitika- ja julgeolekuvaldkonnas;</w:t>
            </w:r>
          </w:p>
        </w:tc>
        <w:tc>
          <w:tcPr>
            <w:tcW w:w="4876" w:type="dxa"/>
            <w:tcBorders>
              <w:top w:val="nil"/>
              <w:left w:val="nil"/>
              <w:bottom w:val="nil"/>
              <w:right w:val="nil"/>
            </w:tcBorders>
          </w:tcPr>
          <w:p>
            <w:pPr>
              <w:pStyle w:val="Normal6a"/>
            </w:pPr>
            <w:r>
              <w:t>7.</w:t>
            </w:r>
            <w:r>
              <w:tab/>
            </w:r>
            <w:r>
              <w:t xml:space="preserve">nõuab tugevamat välis- ja julgeolekukoostööd, võttes arvesse piirkondlikke eskalatsioone; rõhutab, et nii ühisteatises strateegilise partnerluse kohta Pärsia lahe riikidega kui ka tulevases strateegilise partnerluse lepingus nõutakse tihedamat koostööd poliitika- ja julgeolekuvaldkonnas; </w:t>
            </w:r>
            <w:r>
              <w:rPr>
                <w:b/>
                <w:i/>
              </w:rPr>
              <w:t>rõhutab, et selline koostöö peab põhinema tõelisel ja ühisel pühendumisel rahvusvahelise õiguse, sealhulgas inimõiguste, rahvusvahelise humanitaarõiguse ja ÜRO põhikirja austamisele;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nõuab tugevamat välis- ja julgeolekukoostööd, võttes arvesse piirkondlikke eskalatsioone; rõhutab, et nii ühisteatises strateegilise partnerluse kohta Pärsia lahe riikidega kui ka tulevases strateegilise partnerluse lepingus nõutakse tihedamat koostööd poliitika- ja julgeolekuvaldkonnas;</w:t>
            </w:r>
          </w:p>
        </w:tc>
        <w:tc>
          <w:tcPr>
            <w:tcW w:w="4876" w:type="dxa"/>
            <w:tcBorders>
              <w:top w:val="nil"/>
              <w:left w:val="nil"/>
              <w:bottom w:val="nil"/>
              <w:right w:val="nil"/>
            </w:tcBorders>
          </w:tcPr>
          <w:p>
            <w:pPr>
              <w:pStyle w:val="Normal6a"/>
            </w:pPr>
            <w:r>
              <w:t>7.</w:t>
            </w:r>
            <w:r>
              <w:tab/>
            </w:r>
            <w:r>
              <w:t xml:space="preserve">nõuab tugevamat välis- ja julgeolekukoostööd, võttes arvesse piirkondlikke eskalatsioone; rõhutab, et nii ühisteatises strateegilise partnerluse kohta Pärsia lahe riikidega kui ka tulevases strateegilise partnerluse lepingus nõutakse tihedamat koostööd poliitika- ja julgeolekuvaldkonnas; </w:t>
            </w:r>
            <w:r>
              <w:rPr>
                <w:b/>
                <w:i/>
              </w:rPr>
              <w:t>rõhutab, et selline koostöö peab põhinema tõeliselt ühisel kohustusel austada rahvusvahelist õigust, sealhulgas inimõigusi, rahvusvahelist humanitaarõigust ja ÜRO põhikirja;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nõuab tugevamat välis- ja julgeolekukoostööd, võttes arvesse piirkondlikke eskalatsioone; rõhutab, et nii ühisteatises strateegilise partnerluse kohta Pärsia lahe riikidega kui ka tulevases strateegilise partnerluse lepingus nõutakse tihedamat koostööd poliitika- ja julgeolekuvaldkonnas;</w:t>
            </w:r>
          </w:p>
        </w:tc>
        <w:tc>
          <w:tcPr>
            <w:tcW w:w="4876" w:type="dxa"/>
            <w:tcBorders>
              <w:top w:val="nil"/>
              <w:left w:val="nil"/>
              <w:bottom w:val="nil"/>
              <w:right w:val="nil"/>
            </w:tcBorders>
          </w:tcPr>
          <w:p>
            <w:pPr>
              <w:pStyle w:val="Normal6a"/>
            </w:pPr>
            <w:r>
              <w:t>7.</w:t>
            </w:r>
            <w:r>
              <w:tab/>
            </w:r>
            <w:r>
              <w:t xml:space="preserve">nõuab tugevamat välis- ja julgeolekukoostööd, võttes arvesse piirkondlikke eskalatsioone; rõhutab, et nii ühisteatises strateegilise partnerluse kohta Pärsia lahe riikidega kui ka tulevases strateegilise partnerluse lepingus nõutakse tihedamat koostööd poliitika- ja julgeolekuvaldkonnas; </w:t>
            </w:r>
            <w:r>
              <w:rPr>
                <w:b/>
                <w:i/>
              </w:rPr>
              <w:t>rõhutab, et selline koostöö peab põhinema tõelisel ja ühisel pühendumisel rahvusvahelise õiguse, sealhulgas inimõiguste, rahvusvahelise humanitaarõiguse ja ÜRO põhikirja austamisele;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Saudi Araabia olulist diplomaatilist rolli, eelkõige pingete leevendamise toetamisel Jeemenis, meresõidu turvalisuse suurendamisel Punasel merel, Ukraina üle peetavate kõneluste korraldamisel ja Sudaani käsitleva dialoogi hõlbustamisel, aidates seeläbi konstruktiivselt kaasa piirkondlikule ja rahvusvahelisele stabiilsusele;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kutsub Saudi Araabiat üles jätkama</w:t>
            </w:r>
            <w:r>
              <w:t xml:space="preserve"> ELi ja Saudi Araabia </w:t>
            </w:r>
            <w:r>
              <w:rPr>
                <w:b/>
                <w:i/>
              </w:rPr>
              <w:t>koostööd</w:t>
            </w:r>
            <w:r>
              <w:t xml:space="preserve"> terrorismivastases võitluses ja radikaliseerumise ennetamisel;</w:t>
            </w:r>
          </w:p>
        </w:tc>
        <w:tc>
          <w:tcPr>
            <w:tcW w:w="4876" w:type="dxa"/>
            <w:tcBorders>
              <w:top w:val="nil"/>
              <w:left w:val="nil"/>
              <w:bottom w:val="nil"/>
              <w:right w:val="nil"/>
            </w:tcBorders>
          </w:tcPr>
          <w:p>
            <w:pPr>
              <w:pStyle w:val="Normal6a"/>
            </w:pPr>
            <w:r>
              <w:t>8.</w:t>
            </w:r>
            <w:r>
              <w:tab/>
            </w:r>
            <w:r>
              <w:rPr>
                <w:b/>
                <w:i/>
              </w:rPr>
              <w:t>võtab teadmiseks</w:t>
            </w:r>
            <w:r>
              <w:t xml:space="preserve"> ELi ja Saudi Araabia </w:t>
            </w:r>
            <w:r>
              <w:rPr>
                <w:b/>
                <w:i/>
              </w:rPr>
              <w:t>koostöö</w:t>
            </w:r>
            <w:r>
              <w:t xml:space="preserve"> terrorismivastases võitluses ja radikaliseerumise ennetamisel</w:t>
            </w:r>
            <w:r>
              <w:rPr>
                <w:b/>
                <w:i/>
              </w:rPr>
              <w:t>, mis peab toimuma kooskõlas rahvusvaheliste inimõiguste standarditega</w:t>
            </w:r>
            <w:r>
              <w:t xml:space="preserve">; </w:t>
            </w:r>
            <w:r>
              <w:rPr>
                <w:b/>
                <w:i/>
              </w:rPr>
              <w:t>väljendab muret selle pärast, et Saudi Araabia kasutab terrorismivastaseid seadusi aktivistide vaigistamiseks ja teisitimõtlemise mahasurumiseks, nagu näitavad Saudi Araabia kodanike jätkuvad vahistamised terrorismis süüdistatuna rahumeelses sotsiaalmeediategevuses osalemise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kutsub Saudi Araabiat üles jätkama ELi ja Saudi Araabia koostööd terrorismivastases võitluses ja radikaliseerumise ennetamisel;</w:t>
            </w:r>
          </w:p>
        </w:tc>
        <w:tc>
          <w:tcPr>
            <w:tcW w:w="4876" w:type="dxa"/>
            <w:tcBorders>
              <w:top w:val="nil"/>
              <w:left w:val="nil"/>
              <w:bottom w:val="nil"/>
              <w:right w:val="nil"/>
            </w:tcBorders>
          </w:tcPr>
          <w:p>
            <w:pPr>
              <w:pStyle w:val="Normal6a"/>
            </w:pPr>
            <w:r>
              <w:t>8.</w:t>
            </w:r>
            <w:r>
              <w:tab/>
            </w:r>
            <w:r>
              <w:t xml:space="preserve">kutsub Saudi Araabiat üles jätkama ELi ja Saudi Araabia koostööd terrorismivastases võitluses ja radikaliseerumise ennetamisel; </w:t>
            </w:r>
            <w:r>
              <w:rPr>
                <w:b/>
                <w:i/>
              </w:rPr>
              <w:t>rõhutab, et igasugune koostöö terrorismi ja radikaliseerumise vastu võitlemisel peab hõlmama erimeetmeid, et jälgida vahhabismist ajendatud ekstremistlike doktriinide levikut, mis on endiselt laialdaselt seotud Saudi Araabiaga;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kutsub Saudi Araabiat üles jätkama ELi ja Saudi Araabia koostööd terrorismivastases võitluses ja radikaliseerumise ennetamisel;</w:t>
            </w:r>
          </w:p>
        </w:tc>
        <w:tc>
          <w:tcPr>
            <w:tcW w:w="4876" w:type="dxa"/>
            <w:tcBorders>
              <w:top w:val="nil"/>
              <w:left w:val="nil"/>
              <w:bottom w:val="nil"/>
              <w:right w:val="nil"/>
            </w:tcBorders>
          </w:tcPr>
          <w:p>
            <w:pPr>
              <w:pStyle w:val="Normal6a"/>
            </w:pPr>
            <w:r>
              <w:t>8.</w:t>
            </w:r>
            <w:r>
              <w:tab/>
            </w:r>
            <w:r>
              <w:t>kutsub Saudi Araabiat üles jätkama ELi ja Saudi Araabia koostööd terrorismivastases võitluses ja radikaliseerumise ennetamisel</w:t>
            </w:r>
            <w:r>
              <w:rPr>
                <w:b/>
                <w:i/>
              </w:rPr>
              <w:t>,</w:t>
            </w:r>
            <w:r>
              <w:t xml:space="preserve"> </w:t>
            </w:r>
            <w:r>
              <w:rPr>
                <w:b/>
                <w:i/>
              </w:rPr>
              <w:t>mida tuleb teha kooskõlas rahvusvaheliste inimõiguste standarditega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kutsub Saudi Araabiat üles jätkama ELi ja Saudi Araabia koostööd terrorismivastases võitluses ja radikaliseerumise ennetamisel;</w:t>
            </w:r>
          </w:p>
        </w:tc>
        <w:tc>
          <w:tcPr>
            <w:tcW w:w="4876" w:type="dxa"/>
            <w:tcBorders>
              <w:top w:val="nil"/>
              <w:left w:val="nil"/>
              <w:bottom w:val="nil"/>
              <w:right w:val="nil"/>
            </w:tcBorders>
          </w:tcPr>
          <w:p>
            <w:pPr>
              <w:pStyle w:val="Normal6a"/>
            </w:pPr>
            <w:r>
              <w:t>8.</w:t>
            </w:r>
            <w:r>
              <w:tab/>
            </w:r>
            <w:r>
              <w:t xml:space="preserve">kutsub Saudi Araabiat üles jätkama ELi ja Saudi Araabia koostööd terrorismivastases võitluses ja radikaliseerumise ennetamisel; </w:t>
            </w:r>
            <w:r>
              <w:rPr>
                <w:b/>
                <w:i/>
              </w:rPr>
              <w:t>rõhutab, kui oluline on ulatuslik ELi ja Saudi Araabia õigusaktide vastavusse viimine nendes valdkondades;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kutsub Saudi Araabiat üles jätkama ELi ja Saudi Araabia koostööd terrorismivastases võitluses ja radikaliseerumise ennetamisel;</w:t>
            </w:r>
          </w:p>
        </w:tc>
        <w:tc>
          <w:tcPr>
            <w:tcW w:w="4876" w:type="dxa"/>
            <w:tcBorders>
              <w:top w:val="nil"/>
              <w:left w:val="nil"/>
              <w:bottom w:val="nil"/>
              <w:right w:val="nil"/>
            </w:tcBorders>
          </w:tcPr>
          <w:p>
            <w:pPr>
              <w:pStyle w:val="Normal6a"/>
            </w:pPr>
            <w:r>
              <w:t>8.</w:t>
            </w:r>
            <w:r>
              <w:tab/>
            </w:r>
            <w:r>
              <w:t>kutsub Saudi Araabiat üles jätkama ELi ja Saudi Araabia koostööd terrorismivastases võitluses ja radikaliseerumise ennetamisel</w:t>
            </w:r>
            <w:r>
              <w:rPr>
                <w:b/>
                <w:i/>
              </w:rPr>
              <w:t>,</w:t>
            </w:r>
            <w:r>
              <w:t xml:space="preserve"> </w:t>
            </w:r>
            <w:r>
              <w:rPr>
                <w:b/>
                <w:i/>
              </w:rPr>
              <w:t>mida tuleb teha kooskõlas rahvusvaheliste inimõiguste standarditega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tunnustab Saudi Araabia pingutusi, et soodustada pingete leevendamist seoses Iisraeli sõjalise operatsiooniga Gazas, Saudi Araabia toetust humanitaarabile ning tema nõudeid kehtestada relvarahu ja vabastada pantvangid;</w:t>
            </w:r>
          </w:p>
        </w:tc>
        <w:tc>
          <w:tcPr>
            <w:tcW w:w="4876" w:type="dxa"/>
            <w:tcBorders>
              <w:top w:val="nil"/>
              <w:left w:val="nil"/>
              <w:bottom w:val="nil"/>
              <w:right w:val="nil"/>
            </w:tcBorders>
          </w:tcPr>
          <w:p>
            <w:pPr>
              <w:pStyle w:val="Normal6a"/>
            </w:pPr>
            <w:r>
              <w:t>9.</w:t>
            </w:r>
            <w:r>
              <w:tab/>
            </w:r>
            <w:r>
              <w:t xml:space="preserve">tunnustab Saudi Araabia pingutusi, et soodustada pingete leevendamist seoses Iisraeli sõjalise operatsiooniga Gazas, Saudi Araabia toetust humanitaarabile ning tema nõudeid kehtestada relvarahu ja vabastada pantvangid; </w:t>
            </w:r>
            <w:r>
              <w:rPr>
                <w:b/>
                <w:i/>
              </w:rPr>
              <w:t>väljendab sügavat muret sõjategevuse edasise eskaleerumise ohu pärast Gaza sektoris ning protesteerib kõigi rahvusvahelise õiguse rikkumiste vastu selles konfliktis, sealhulgas kõigi avalduste vastu, milles nähakse ette piirkonnas toimuvad territoriaalsed või demograafilised muutused;</w:t>
            </w:r>
            <w:r>
              <w:t xml:space="preserve"> </w:t>
            </w:r>
            <w:r>
              <w:rPr>
                <w:b/>
                <w:i/>
              </w:rPr>
              <w:t>nõuab viivitamatuid ja tõhusaid rahvusvahelisi meetmeid, et leevendada vastuvõetamatut humanitaarolukorda Gazas Iisraeli valitsuse kehtestatud blokaadi taustal, mis takistab humanitaarabi jõudmist ebainimlikes tingimustes elava tsiviilelanikkonnani;</w:t>
            </w:r>
            <w:r>
              <w:t xml:space="preserve"> </w:t>
            </w:r>
            <w:r>
              <w:rPr>
                <w:b/>
                <w:i/>
              </w:rPr>
              <w:t>nõuab vägivalla viivitamatut ja püsivat lõpetamist;</w:t>
            </w:r>
            <w:r>
              <w:t xml:space="preserve"> </w:t>
            </w:r>
            <w:r>
              <w:rPr>
                <w:b/>
                <w:i/>
              </w:rPr>
              <w:t>nõuab kõigi Iisraeli pantvangide viivitamatut ja tingimusteta vabastamist;</w:t>
            </w:r>
            <w:r>
              <w:t xml:space="preserve"> </w:t>
            </w:r>
            <w:r>
              <w:rPr>
                <w:b/>
                <w:i/>
              </w:rPr>
              <w:t>nõuab jätkuvalt ennetavaid ELi diplomaatilisi jõupingutusi, et teha tööd püsiva relvarahu saavutamiseks;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tunnustab Saudi Araabia pingutusi</w:t>
            </w:r>
            <w:r>
              <w:rPr>
                <w:b/>
                <w:i/>
              </w:rPr>
              <w:t>, et soodustada</w:t>
            </w:r>
            <w:r>
              <w:t xml:space="preserve"> pingete </w:t>
            </w:r>
            <w:r>
              <w:rPr>
                <w:b/>
                <w:i/>
              </w:rPr>
              <w:t>leevendamist seoses Iisraeli sõjalise operatsiooniga</w:t>
            </w:r>
            <w:r>
              <w:t xml:space="preserve"> Gazas, Saudi Araabia </w:t>
            </w:r>
            <w:r>
              <w:rPr>
                <w:b/>
                <w:i/>
              </w:rPr>
              <w:t>toetust humanitaarabile ning tema nõudeid kehtestada relvarahu ja vabastada pantvangid</w:t>
            </w:r>
            <w:r>
              <w:t>;</w:t>
            </w:r>
          </w:p>
        </w:tc>
        <w:tc>
          <w:tcPr>
            <w:tcW w:w="4876" w:type="dxa"/>
            <w:tcBorders>
              <w:top w:val="nil"/>
              <w:left w:val="nil"/>
              <w:bottom w:val="nil"/>
              <w:right w:val="nil"/>
            </w:tcBorders>
          </w:tcPr>
          <w:p>
            <w:pPr>
              <w:pStyle w:val="Normal6a"/>
            </w:pPr>
            <w:r>
              <w:t>9.</w:t>
            </w:r>
            <w:r>
              <w:tab/>
            </w:r>
            <w:r>
              <w:t xml:space="preserve">tunnustab Saudi Araabia pingutusi </w:t>
            </w:r>
            <w:r>
              <w:rPr>
                <w:b/>
                <w:i/>
              </w:rPr>
              <w:t>Lähis-Ida stabiliseerimisel, Iisraeli-Hamasi konfliktiga seotud</w:t>
            </w:r>
            <w:r>
              <w:t xml:space="preserve"> pingete </w:t>
            </w:r>
            <w:r>
              <w:rPr>
                <w:b/>
                <w:i/>
              </w:rPr>
              <w:t>leevendamisel, humanitaarabi toetamisel, kõigi</w:t>
            </w:r>
            <w:r>
              <w:t xml:space="preserve"> Gazas </w:t>
            </w:r>
            <w:r>
              <w:rPr>
                <w:b/>
                <w:i/>
              </w:rPr>
              <w:t>endiselt kinni peetud pantvangide vabastamisel ning Iisraeli-Palestiina konflikti lõpetamisel;</w:t>
            </w:r>
            <w:r>
              <w:t xml:space="preserve"> </w:t>
            </w:r>
            <w:r>
              <w:rPr>
                <w:b/>
                <w:i/>
              </w:rPr>
              <w:t>rõhutab</w:t>
            </w:r>
            <w:r>
              <w:t xml:space="preserve">, </w:t>
            </w:r>
            <w:r>
              <w:rPr>
                <w:b/>
                <w:i/>
              </w:rPr>
              <w:t>et</w:t>
            </w:r>
            <w:r>
              <w:t xml:space="preserve"> Saudi Araabia </w:t>
            </w:r>
            <w:r>
              <w:rPr>
                <w:b/>
                <w:i/>
              </w:rPr>
              <w:t>usaldusväärsus rahuvahendajana võib samuti muuta Saudi Araabia väärtuslikuks panustajaks tulevastesse jõupingutustesse, mille eesmärk on stabiliseerida Palestiina territooriume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tunnustab Saudi Araabia pingutusi, et soodustada pingete leevendamist seoses Iisraeli sõjalise operatsiooniga Gazas, Saudi Araabia toetust humanitaarabile ning tema nõudeid kehtestada relvarahu ja vabastada pantvangid;</w:t>
            </w:r>
          </w:p>
        </w:tc>
        <w:tc>
          <w:tcPr>
            <w:tcW w:w="4876" w:type="dxa"/>
            <w:tcBorders>
              <w:top w:val="nil"/>
              <w:left w:val="nil"/>
              <w:bottom w:val="nil"/>
              <w:right w:val="nil"/>
            </w:tcBorders>
          </w:tcPr>
          <w:p>
            <w:pPr>
              <w:pStyle w:val="Normal6a"/>
            </w:pPr>
            <w:r>
              <w:t>9.</w:t>
            </w:r>
            <w:r>
              <w:tab/>
            </w:r>
            <w:r>
              <w:t xml:space="preserve">tunnustab </w:t>
            </w:r>
            <w:r>
              <w:rPr>
                <w:b/>
                <w:i/>
              </w:rPr>
              <w:t>Saudi Araabiat selle eest, et ta mõistis hukka Hamasi poolt 7. oktoobril 2023 toime pandud rünnaku Iisraeli vastu,</w:t>
            </w:r>
            <w:r>
              <w:t xml:space="preserve"> Saudi Araabia pingutusi, et soodustada pingete leevendamist seoses Iisraeli sõjalise operatsiooniga Gazas, Saudi Araabia toetust humanitaarabile ning tema nõudeid kehtestada relvarahu ja vabastada pantvangid; </w:t>
            </w:r>
            <w:r>
              <w:rPr>
                <w:b/>
                <w:i/>
              </w:rPr>
              <w:t>väljendab heameelt asjaolu üle, et Saudi Araabia oli selgelt osaline Araabia Riikide Liiga deklaratsioonis, milles nõutakse, et Hamas relvad maha paneks, vabastaks kõik pantvangid ja loobuks kontrollist Gaza üle;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tunnustab Saudi Araabia </w:t>
            </w:r>
            <w:r>
              <w:rPr>
                <w:b/>
                <w:i/>
              </w:rPr>
              <w:t>pingutusi, et soodustada</w:t>
            </w:r>
            <w:r>
              <w:t xml:space="preserve"> pingete </w:t>
            </w:r>
            <w:r>
              <w:rPr>
                <w:b/>
                <w:i/>
              </w:rPr>
              <w:t>leevendamist</w:t>
            </w:r>
            <w:r>
              <w:t xml:space="preserve"> seoses Iisraeli sõjalise operatsiooniga Gazas</w:t>
            </w:r>
            <w:r>
              <w:rPr>
                <w:b/>
                <w:i/>
              </w:rPr>
              <w:t>, Saudi Araabia toetust humanitaarabile ning tema nõudeid kehtestada relvarahu ja vabastada pantvangid</w:t>
            </w:r>
            <w:r>
              <w:t>;</w:t>
            </w:r>
          </w:p>
        </w:tc>
        <w:tc>
          <w:tcPr>
            <w:tcW w:w="4876" w:type="dxa"/>
            <w:tcBorders>
              <w:top w:val="nil"/>
              <w:left w:val="nil"/>
              <w:bottom w:val="nil"/>
              <w:right w:val="nil"/>
            </w:tcBorders>
          </w:tcPr>
          <w:p>
            <w:pPr>
              <w:pStyle w:val="Normal6a"/>
            </w:pPr>
            <w:r>
              <w:t>9.</w:t>
            </w:r>
            <w:r>
              <w:tab/>
            </w:r>
            <w:r>
              <w:t xml:space="preserve">tunnustab Saudi Araabia </w:t>
            </w:r>
            <w:r>
              <w:rPr>
                <w:b/>
                <w:i/>
              </w:rPr>
              <w:t>jõupingutusi</w:t>
            </w:r>
            <w:r>
              <w:t xml:space="preserve"> pingete </w:t>
            </w:r>
            <w:r>
              <w:rPr>
                <w:b/>
                <w:i/>
              </w:rPr>
              <w:t>leevendamisel</w:t>
            </w:r>
            <w:r>
              <w:t xml:space="preserve"> seoses Iisraeli sõjalise operatsiooniga Gazas </w:t>
            </w:r>
            <w:r>
              <w:rPr>
                <w:b/>
                <w:i/>
              </w:rPr>
              <w:t>pärast 7. oktoobril toimunud Hamasi terrorirünnakut, milles hukkus ligikaudu 1200 inimest ja mille tulemusel võeti üle 250 pantvangi, riigi humanitaarabi toetamist ning üleskutseid relvarahuks ja pantvangide vabastamiseks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tunnustab Saudi Araabia </w:t>
            </w:r>
            <w:r>
              <w:rPr>
                <w:b/>
                <w:i/>
              </w:rPr>
              <w:t>pingutusi, et soodustada pingete leevendamist seoses Iisraeli sõjalise operatsiooniga Gazas, Saudi Araabia toetust humanitaarabile ning tema nõudeid kehtestada relvarahu ja vabastada pantvangid</w:t>
            </w:r>
            <w:r>
              <w:t>;</w:t>
            </w:r>
          </w:p>
        </w:tc>
        <w:tc>
          <w:tcPr>
            <w:tcW w:w="4876" w:type="dxa"/>
            <w:tcBorders>
              <w:top w:val="nil"/>
              <w:left w:val="nil"/>
              <w:bottom w:val="nil"/>
              <w:right w:val="nil"/>
            </w:tcBorders>
          </w:tcPr>
          <w:p>
            <w:pPr>
              <w:pStyle w:val="Normal6a"/>
            </w:pPr>
            <w:r>
              <w:t>9.</w:t>
            </w:r>
            <w:r>
              <w:tab/>
            </w:r>
            <w:r>
              <w:rPr>
                <w:b/>
                <w:i/>
              </w:rPr>
              <w:t>väljendab heameelt Saudi Araabia jõupingutuste üle anda humanitaarabi, saavutada Gazas püsiv relvarahu ja vabastada kõik Hamasi poolt kinni peetud Iisraeli pantvangid;</w:t>
            </w:r>
            <w:r>
              <w:t xml:space="preserve"> tunnustab Saudi Araabia </w:t>
            </w:r>
            <w:r>
              <w:rPr>
                <w:b/>
                <w:i/>
              </w:rPr>
              <w:t>aktiivset pühendumist püsivale rahule ja kahe riigi kooseksisteerimisel põhinevale lahendusele kooskõlas rahvusvahelise õigusega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tunnustab Saudi Araabia pingutusi</w:t>
            </w:r>
            <w:r>
              <w:rPr>
                <w:b/>
                <w:i/>
              </w:rPr>
              <w:t>, et soodustada</w:t>
            </w:r>
            <w:r>
              <w:t xml:space="preserve"> pingete </w:t>
            </w:r>
            <w:r>
              <w:rPr>
                <w:b/>
                <w:i/>
              </w:rPr>
              <w:t>leevendamist</w:t>
            </w:r>
            <w:r>
              <w:t xml:space="preserve"> seoses Iisraeli </w:t>
            </w:r>
            <w:r>
              <w:rPr>
                <w:b/>
                <w:i/>
              </w:rPr>
              <w:t>sõjalise operatsiooniga</w:t>
            </w:r>
            <w:r>
              <w:t xml:space="preserve"> Gazas, </w:t>
            </w:r>
            <w:r>
              <w:rPr>
                <w:b/>
                <w:i/>
              </w:rPr>
              <w:t>Saudi Araabia</w:t>
            </w:r>
            <w:r>
              <w:t xml:space="preserve"> toetust humanitaarabile ning tema nõudeid kehtestada relvarahu ja vabastada pantvangid;</w:t>
            </w:r>
          </w:p>
        </w:tc>
        <w:tc>
          <w:tcPr>
            <w:tcW w:w="4876" w:type="dxa"/>
            <w:tcBorders>
              <w:top w:val="nil"/>
              <w:left w:val="nil"/>
              <w:bottom w:val="nil"/>
              <w:right w:val="nil"/>
            </w:tcBorders>
          </w:tcPr>
          <w:p>
            <w:pPr>
              <w:pStyle w:val="Normal6a"/>
            </w:pPr>
            <w:r>
              <w:t>9.</w:t>
            </w:r>
            <w:r>
              <w:tab/>
            </w:r>
            <w:r>
              <w:t xml:space="preserve">tunnustab Saudi Araabia pingutusi pingete </w:t>
            </w:r>
            <w:r>
              <w:rPr>
                <w:b/>
                <w:i/>
              </w:rPr>
              <w:t>leevendamiseks</w:t>
            </w:r>
            <w:r>
              <w:t xml:space="preserve"> seoses </w:t>
            </w:r>
            <w:r>
              <w:rPr>
                <w:b/>
                <w:i/>
              </w:rPr>
              <w:t>üha sagenevate tõenditega</w:t>
            </w:r>
            <w:r>
              <w:t xml:space="preserve"> Iisraeli </w:t>
            </w:r>
            <w:r>
              <w:rPr>
                <w:b/>
                <w:i/>
              </w:rPr>
              <w:t>genotsiidi toimepanemise kohta</w:t>
            </w:r>
            <w:r>
              <w:t xml:space="preserve"> Gazas, </w:t>
            </w:r>
            <w:r>
              <w:rPr>
                <w:b/>
                <w:i/>
              </w:rPr>
              <w:t>tema</w:t>
            </w:r>
            <w:r>
              <w:t xml:space="preserve"> toetust humanitaarabile ning tema nõudeid kehtestada relvarahu ja vabastada pantvangid;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tunnustab Saudi Araabia pingutusi, et soodustada pingete leevendamist seoses </w:t>
            </w:r>
            <w:r>
              <w:rPr>
                <w:b/>
                <w:i/>
              </w:rPr>
              <w:t>Iisraeli sõjalise operatsiooniga</w:t>
            </w:r>
            <w:r>
              <w:t xml:space="preserve"> Gazas, </w:t>
            </w:r>
            <w:r>
              <w:rPr>
                <w:b/>
                <w:i/>
              </w:rPr>
              <w:t>Saudi Araabia</w:t>
            </w:r>
            <w:r>
              <w:t xml:space="preserve"> toetust humanitaarabile ning tema nõudeid kehtestada relvarahu ja vabastada pantvangid;</w:t>
            </w:r>
          </w:p>
        </w:tc>
        <w:tc>
          <w:tcPr>
            <w:tcW w:w="4876" w:type="dxa"/>
            <w:tcBorders>
              <w:top w:val="nil"/>
              <w:left w:val="nil"/>
              <w:bottom w:val="nil"/>
              <w:right w:val="nil"/>
            </w:tcBorders>
          </w:tcPr>
          <w:p>
            <w:pPr>
              <w:pStyle w:val="Normal6a"/>
            </w:pPr>
            <w:r>
              <w:t>9.</w:t>
            </w:r>
            <w:r>
              <w:tab/>
            </w:r>
            <w:r>
              <w:t xml:space="preserve">tunnustab Saudi Araabia pingutusi, et soodustada pingete leevendamist seoses </w:t>
            </w:r>
            <w:r>
              <w:rPr>
                <w:b/>
                <w:i/>
              </w:rPr>
              <w:t>praeguse kriisiga</w:t>
            </w:r>
            <w:r>
              <w:t xml:space="preserve"> Gazas, </w:t>
            </w:r>
            <w:r>
              <w:rPr>
                <w:b/>
                <w:i/>
              </w:rPr>
              <w:t>tema</w:t>
            </w:r>
            <w:r>
              <w:t xml:space="preserve"> toetust humanitaarabile ning tema nõudeid kehtestada relvarahu ja vabastada </w:t>
            </w:r>
            <w:r>
              <w:rPr>
                <w:b/>
                <w:i/>
              </w:rPr>
              <w:t>Hamasi käes olevad</w:t>
            </w:r>
            <w:r>
              <w:t xml:space="preserve"> pantvangid;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väljendab heameelt New Yorgi deklaratsiooni üle, mis tehti 28.–30. juulil 2025 toimunud Palestiina küsimuse rahumeelse lahendamise ja kahe riigi kooseksisteerimisel põhineva lahenduse rakendamise kõrgetasemelise rahvusvahelise konverentsi lõpus, mille kaaseesistujad olid Saudi Araabia ja Prantsusmaa;</w:t>
            </w:r>
            <w:r>
              <w:t xml:space="preserve"> </w:t>
            </w:r>
            <w:r>
              <w:rPr>
                <w:b/>
                <w:i/>
              </w:rPr>
              <w:t>kinnitab veel kord Euroopa Parlamendi pühendumust kahe riigi kooseksisteerimisel põhinevale lahendusele, mille aluseks on 1967. aasta piirid Iisraeli ja Palestiina kui demokraatlike ja suveräänsete naabritega, kelle ühine pealinn on Jeruusalemma, kes elavad kõrvuti rahus ja turvaliselt, mis on ainus elujõuline tee püsiva rahu ja stabiilsuse saavutamiseks Lähis-Idas;</w:t>
            </w:r>
            <w:r>
              <w:t xml:space="preserve"> </w:t>
            </w:r>
            <w:r>
              <w:rPr>
                <w:b/>
                <w:i/>
              </w:rPr>
              <w:t>kordab, et Gazas ei ole väljavaateid rahuks, julgeolekuks ja stabiilsuseks ega Iisraeli ja Palestiina elanikkonna leppimiseks seni, kuni Hamasil on Gaza sektoris oma roll;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kutsub Saudi Araabiat üles jätkama püüdlusi suhete normaliseerimiseks Iisraeliga;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tunnustab Saudi Araabia jätkuvat osalemist Süürias, sealhulgas piirkondlikes konsultatsioonides stabiliseerimiseks ja konfliktijärgseks taastumiseks; rõhutab Süüria territoriaalse terviklikkuse säilitamise tähtsust;</w:t>
            </w:r>
          </w:p>
        </w:tc>
        <w:tc>
          <w:tcPr>
            <w:tcW w:w="4876" w:type="dxa"/>
            <w:tcBorders>
              <w:top w:val="nil"/>
              <w:left w:val="nil"/>
              <w:bottom w:val="nil"/>
              <w:right w:val="nil"/>
            </w:tcBorders>
          </w:tcPr>
          <w:p>
            <w:pPr>
              <w:pStyle w:val="Normal6a"/>
            </w:pPr>
            <w:r>
              <w:t>10.</w:t>
            </w:r>
            <w:r>
              <w:tab/>
            </w:r>
            <w:r>
              <w:t xml:space="preserve">tunnustab Saudi Araabia jätkuvat osalemist Süürias, sealhulgas piirkondlikes konsultatsioonides stabiliseerimiseks ja konfliktijärgseks taastumiseks; rõhutab Süüria territoriaalse terviklikkuse säilitamise tähtsust; </w:t>
            </w:r>
            <w:r>
              <w:rPr>
                <w:b/>
                <w:i/>
              </w:rPr>
              <w:t>nõuab tõhustatud koostööd ELi ja Saudi Araabia vahel, et tagada Süürias rahumeelne ja kaasav üleminek ning kaitsta kristlasi ja kõiki vähemuskogukondi Süürias, tagades nende turvalisuse, usuvabaduse ja kultuuripärandi kaitse;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tunnustab Saudi Araabia </w:t>
            </w:r>
            <w:r>
              <w:rPr>
                <w:b/>
                <w:i/>
              </w:rPr>
              <w:t>jätkuvat osalemist</w:t>
            </w:r>
            <w:r>
              <w:t xml:space="preserve"> Süürias, sealhulgas </w:t>
            </w:r>
            <w:r>
              <w:rPr>
                <w:b/>
                <w:i/>
              </w:rPr>
              <w:t>piirkondlikes konsultatsioonides stabiliseerimiseks ja konfliktijärgseks taastumiseks</w:t>
            </w:r>
            <w:r>
              <w:t xml:space="preserve">; rõhutab Süüria </w:t>
            </w:r>
            <w:r>
              <w:rPr>
                <w:b/>
                <w:i/>
              </w:rPr>
              <w:t>territoriaalse terviklikkuse säilitamise tähtsust</w:t>
            </w:r>
            <w:r>
              <w:t>;</w:t>
            </w:r>
          </w:p>
        </w:tc>
        <w:tc>
          <w:tcPr>
            <w:tcW w:w="4876" w:type="dxa"/>
            <w:tcBorders>
              <w:top w:val="nil"/>
              <w:left w:val="nil"/>
              <w:bottom w:val="nil"/>
              <w:right w:val="nil"/>
            </w:tcBorders>
          </w:tcPr>
          <w:p>
            <w:pPr>
              <w:pStyle w:val="Normal6a"/>
            </w:pPr>
            <w:r>
              <w:t>10.</w:t>
            </w:r>
            <w:r>
              <w:tab/>
            </w:r>
            <w:r>
              <w:t xml:space="preserve">tunnustab Saudi Araabia </w:t>
            </w:r>
            <w:r>
              <w:rPr>
                <w:b/>
                <w:i/>
              </w:rPr>
              <w:t>märkimisväärset diplomaatilist ja rahalist teavitustegevust</w:t>
            </w:r>
            <w:r>
              <w:t xml:space="preserve"> Süürias, sealhulgas </w:t>
            </w:r>
            <w:r>
              <w:rPr>
                <w:b/>
                <w:i/>
              </w:rPr>
              <w:t>piirkondlike konsultatsioonide ning laiemate stabiliseerimis- ja ülesehituspüüdluste kaudu;</w:t>
            </w:r>
            <w:r>
              <w:t xml:space="preserve"> </w:t>
            </w:r>
            <w:r>
              <w:rPr>
                <w:b/>
                <w:i/>
              </w:rPr>
              <w:t>kutsub Saudi Araabiat ja tema partnereid piirkonnas üles abistama Süüria üleminekuvalitsust püsiva ja kaasava poliitilise ja julgeolekustruktuuri loomisel</w:t>
            </w:r>
            <w:r>
              <w:t>; rõhutab</w:t>
            </w:r>
            <w:r>
              <w:rPr>
                <w:b/>
                <w:i/>
              </w:rPr>
              <w:t>, kui oluline on säilitada</w:t>
            </w:r>
            <w:r>
              <w:t xml:space="preserve"> Süüria </w:t>
            </w:r>
            <w:r>
              <w:rPr>
                <w:b/>
                <w:i/>
              </w:rPr>
              <w:t>suveräänsus ja territoriaalne terviklikkus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tunnustab</w:t>
            </w:r>
            <w:r>
              <w:t xml:space="preserve"> Saudi Araabia </w:t>
            </w:r>
            <w:r>
              <w:rPr>
                <w:b/>
                <w:i/>
              </w:rPr>
              <w:t>jätkuvat osalemist</w:t>
            </w:r>
            <w:r>
              <w:t xml:space="preserve"> Süürias, sealhulgas piirkondlikes konsultatsioonides stabiliseerimiseks ja konfliktijärgseks taastumiseks; rõhutab Süüria territoriaalse terviklikkuse säilitamise tähtsust;</w:t>
            </w:r>
          </w:p>
        </w:tc>
        <w:tc>
          <w:tcPr>
            <w:tcW w:w="4876" w:type="dxa"/>
            <w:tcBorders>
              <w:top w:val="nil"/>
              <w:left w:val="nil"/>
              <w:bottom w:val="nil"/>
              <w:right w:val="nil"/>
            </w:tcBorders>
          </w:tcPr>
          <w:p>
            <w:pPr>
              <w:pStyle w:val="Normal6a"/>
            </w:pPr>
            <w:r>
              <w:t>10.</w:t>
            </w:r>
            <w:r>
              <w:tab/>
            </w:r>
            <w:r>
              <w:rPr>
                <w:b/>
                <w:i/>
              </w:rPr>
              <w:t>rõhutab, et</w:t>
            </w:r>
            <w:r>
              <w:t xml:space="preserve"> Saudi Araabia </w:t>
            </w:r>
            <w:r>
              <w:rPr>
                <w:b/>
                <w:i/>
              </w:rPr>
              <w:t>osaleb jätkuvalt</w:t>
            </w:r>
            <w:r>
              <w:t xml:space="preserve"> Süürias, sealhulgas piirkondlikes konsultatsioonides stabiliseerimiseks ja konfliktijärgseks taastumiseks; rõhutab Süüria territoriaalse terviklikkuse säilitamise tähtsust; </w:t>
            </w:r>
            <w:r>
              <w:rPr>
                <w:b/>
                <w:i/>
              </w:rPr>
              <w:t>juhib tähelepanu sellele, et praeguse režiimi poliitiline seisukoht kahjustab piirkondlikku julgeolekut ja usuvähemuste olukorda Lähis-Idas;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kutsub Saudi Araabiat üles suurendama ÜRO Palestiina Põgenike Abi- ja Tööorganisatsiooni (UNRWA) rahastamist, et toetada selle olulist rolli Palestiina pagulastele humanitaar- ja oluliste teenuste osutamisel, pidades eelkõige silmas Iisraeli kampaaniat selle ameti vastu, ning kompenseerima mõnede doonorriikide panuse peatamist;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kinnitab veel kord ELi toetust Liibanoni poliitilisele ja sotsiaal-majanduslikule </w:t>
            </w:r>
            <w:r>
              <w:rPr>
                <w:b/>
                <w:i/>
              </w:rPr>
              <w:t>ülesehitamisele</w:t>
            </w:r>
            <w:r>
              <w:t xml:space="preserve"> ning rõhutab ELi ja Saudi </w:t>
            </w:r>
            <w:r>
              <w:rPr>
                <w:b/>
                <w:i/>
              </w:rPr>
              <w:t>Araabia</w:t>
            </w:r>
            <w:r>
              <w:t xml:space="preserve"> koostöö tähtsust ÜRO Julgeolekunõukogu resolutsiooni 1701 (2006) rakendamisel</w:t>
            </w:r>
            <w:r>
              <w:rPr>
                <w:b/>
                <w:i/>
              </w:rPr>
              <w:t>,</w:t>
            </w:r>
            <w:r>
              <w:t xml:space="preserve"> Liibanoni </w:t>
            </w:r>
            <w:r>
              <w:rPr>
                <w:b/>
                <w:i/>
              </w:rPr>
              <w:t>relvajõudude toetamisel ja</w:t>
            </w:r>
            <w:r>
              <w:t xml:space="preserve"> Hezbollah’ </w:t>
            </w:r>
            <w:r>
              <w:rPr>
                <w:b/>
                <w:i/>
              </w:rPr>
              <w:t>desarmeerimise edendamisel, mõistes samal ajal hukka Iisraeli kaitsejõudude rünnakud</w:t>
            </w:r>
            <w:r>
              <w:t>;</w:t>
            </w:r>
          </w:p>
        </w:tc>
        <w:tc>
          <w:tcPr>
            <w:tcW w:w="4876" w:type="dxa"/>
            <w:tcBorders>
              <w:top w:val="nil"/>
              <w:left w:val="nil"/>
              <w:bottom w:val="nil"/>
              <w:right w:val="nil"/>
            </w:tcBorders>
          </w:tcPr>
          <w:p>
            <w:pPr>
              <w:pStyle w:val="Normal6a"/>
            </w:pPr>
            <w:r>
              <w:t>11.</w:t>
            </w:r>
            <w:r>
              <w:tab/>
            </w:r>
            <w:r>
              <w:t xml:space="preserve">kinnitab veel kord ELi toetust Liibanoni poliitilisele ja sotsiaal-majanduslikule </w:t>
            </w:r>
            <w:r>
              <w:rPr>
                <w:b/>
                <w:i/>
              </w:rPr>
              <w:t>ülesehitusele</w:t>
            </w:r>
            <w:r>
              <w:t xml:space="preserve"> ning rõhutab ELi ja Saudi koostöö tähtsust ÜRO Julgeolekunõukogu resolutsiooni 1701 (2006) rakendamisel</w:t>
            </w:r>
            <w:r>
              <w:rPr>
                <w:b/>
                <w:i/>
              </w:rPr>
              <w:t>;</w:t>
            </w:r>
            <w:r>
              <w:t xml:space="preserve"> </w:t>
            </w:r>
            <w:r>
              <w:rPr>
                <w:b/>
                <w:i/>
              </w:rPr>
              <w:t>väljendab heameelt</w:t>
            </w:r>
            <w:r>
              <w:t xml:space="preserve"> Liibanoni </w:t>
            </w:r>
            <w:r>
              <w:rPr>
                <w:b/>
                <w:i/>
              </w:rPr>
              <w:t>valitsuse jõupingutuste üle ning nõuab</w:t>
            </w:r>
            <w:r>
              <w:t xml:space="preserve"> Hezbollah’ </w:t>
            </w:r>
            <w:r>
              <w:rPr>
                <w:b/>
                <w:i/>
              </w:rPr>
              <w:t>täielikku ja tingimusteta desarmeerimist 2025. aasta lõpuks kooskõlas viimase USA vahendatud tegevuskavaga;</w:t>
            </w:r>
            <w:r>
              <w:t xml:space="preserve"> </w:t>
            </w:r>
            <w:r>
              <w:rPr>
                <w:b/>
                <w:i/>
              </w:rPr>
              <w:t>rõhutab, kui oluline on säilitada Süüria suveräänsus ja territoriaalne terviklikkus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kinnitab veel kord ELi toetust Liibanoni poliitilisele ja sotsiaal-majanduslikule ülesehitamisele ning rõhutab ELi ja Saudi Araabia koostöö tähtsust ÜRO Julgeolekunõukogu resolutsiooni 1701 (2006) rakendamisel, Liibanoni relvajõudude toetamisel ja Hezbollah’ desarmeerimise edendamisel, mõistes samal ajal hukka Iisraeli kaitsejõudude rünnakud;</w:t>
            </w:r>
          </w:p>
        </w:tc>
        <w:tc>
          <w:tcPr>
            <w:tcW w:w="4876" w:type="dxa"/>
            <w:tcBorders>
              <w:top w:val="nil"/>
              <w:left w:val="nil"/>
              <w:bottom w:val="nil"/>
              <w:right w:val="nil"/>
            </w:tcBorders>
          </w:tcPr>
          <w:p>
            <w:pPr>
              <w:pStyle w:val="Normal6a"/>
            </w:pPr>
            <w:r>
              <w:t>11.</w:t>
            </w:r>
            <w:r>
              <w:tab/>
            </w:r>
            <w:r>
              <w:t xml:space="preserve">kinnitab veel kord ELi toetust Liibanoni poliitilisele ja sotsiaal-majanduslikule ülesehitamisele ning rõhutab ELi ja Saudi Araabia koostöö tähtsust ÜRO Julgeolekunõukogu resolutsiooni 1701 (2006) rakendamisel, Liibanoni relvajõudude toetamisel ja Hezbollah’ desarmeerimise edendamisel, mõistes samal ajal hukka Iisraeli kaitsejõudude rünnakud </w:t>
            </w:r>
            <w:r>
              <w:rPr>
                <w:b/>
                <w:i/>
              </w:rPr>
              <w:t>ÜRO ajutiste vägede (UNIFIL) rahuvalvajate vastu Liibanonis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kinnitab veel kord ELi toetust Liibanoni poliitilisele ja sotsiaal-majanduslikule ülesehitamisele ning rõhutab ELi ja Saudi Araabia koostöö tähtsust ÜRO Julgeolekunõukogu resolutsiooni 1701 (2006) rakendamisel, Liibanoni relvajõudude toetamisel ja Hezbollah’ desarmeerimise edendamisel</w:t>
            </w:r>
            <w:r>
              <w:rPr>
                <w:b/>
                <w:i/>
              </w:rPr>
              <w:t>, mõistes samal ajal hukka Iisraeli kaitsejõudude rünnakud</w:t>
            </w:r>
            <w:r>
              <w:t>;</w:t>
            </w:r>
          </w:p>
        </w:tc>
        <w:tc>
          <w:tcPr>
            <w:tcW w:w="4876" w:type="dxa"/>
            <w:tcBorders>
              <w:top w:val="nil"/>
              <w:left w:val="nil"/>
              <w:bottom w:val="nil"/>
              <w:right w:val="nil"/>
            </w:tcBorders>
          </w:tcPr>
          <w:p>
            <w:pPr>
              <w:pStyle w:val="Normal6a"/>
            </w:pPr>
            <w:r>
              <w:t>11.</w:t>
            </w:r>
            <w:r>
              <w:tab/>
            </w:r>
            <w:r>
              <w:t>kinnitab veel kord ELi toetust Liibanoni poliitilisele ja sotsiaal-majanduslikule ülesehitamisele ning rõhutab ELi ja Saudi Araabia koostöö tähtsust ÜRO Julgeolekunõukogu resolutsiooni 1701 (2006) rakendamisel, Liibanoni relvajõudude toetamisel ja Hezbollah’ desarmeerimise edendamisel;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kinnitab veel kord ELi toetust Liibanoni poliitilisele ja sotsiaal-majanduslikule ülesehitamisele ning rõhutab ELi ja Saudi Araabia koostöö tähtsust ÜRO Julgeolekunõukogu resolutsiooni 1701 (2006) rakendamisel, Liibanoni relvajõudude toetamisel ja Hezbollah’ desarmeerimise edendamisel</w:t>
            </w:r>
            <w:r>
              <w:rPr>
                <w:b/>
                <w:i/>
              </w:rPr>
              <w:t>, mõistes samal ajal hukka Iisraeli kaitsejõudude rünnakud</w:t>
            </w:r>
            <w:r>
              <w:t>;</w:t>
            </w:r>
          </w:p>
        </w:tc>
        <w:tc>
          <w:tcPr>
            <w:tcW w:w="4876" w:type="dxa"/>
            <w:tcBorders>
              <w:top w:val="nil"/>
              <w:left w:val="nil"/>
              <w:bottom w:val="nil"/>
              <w:right w:val="nil"/>
            </w:tcBorders>
          </w:tcPr>
          <w:p>
            <w:pPr>
              <w:pStyle w:val="Normal6a"/>
            </w:pPr>
            <w:r>
              <w:t>11.</w:t>
            </w:r>
            <w:r>
              <w:tab/>
            </w:r>
            <w:r>
              <w:t>kinnitab veel kord ELi toetust Liibanoni poliitilisele ja sotsiaal-majanduslikule ülesehitamisele ning rõhutab ELi ja Saudi Araabia koostöö tähtsust ÜRO Julgeolekunõukogu resolutsiooni 1701 (2006) rakendamisel, Liibanoni relvajõudude toetamisel ja Hezbollah’ desarmeerimise edendamisel;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kinnitab veel kord ELi toetust Liibanoni poliitilisele ja sotsiaal-majanduslikule ülesehitamisele ning rõhutab ELi ja Saudi Araabia koostöö tähtsust ÜRO Julgeolekunõukogu resolutsiooni 1701 (2006) rakendamisel, Liibanoni relvajõudude toetamisel ja Hezbollah’ desarmeerimise edendamisel</w:t>
            </w:r>
            <w:r>
              <w:rPr>
                <w:b/>
                <w:i/>
              </w:rPr>
              <w:t>, mõistes samal ajal hukka Iisraeli kaitsejõudude rünnakud</w:t>
            </w:r>
            <w:r>
              <w:t>;</w:t>
            </w:r>
          </w:p>
        </w:tc>
        <w:tc>
          <w:tcPr>
            <w:tcW w:w="4876" w:type="dxa"/>
            <w:tcBorders>
              <w:top w:val="nil"/>
              <w:left w:val="nil"/>
              <w:bottom w:val="nil"/>
              <w:right w:val="nil"/>
            </w:tcBorders>
          </w:tcPr>
          <w:p>
            <w:pPr>
              <w:pStyle w:val="Normal6a"/>
            </w:pPr>
            <w:r>
              <w:t>11.</w:t>
            </w:r>
            <w:r>
              <w:tab/>
            </w:r>
            <w:r>
              <w:t>kinnitab veel kord ELi toetust Liibanoni poliitilisele ja sotsiaal-majanduslikule ülesehitamisele ning rõhutab ELi ja Saudi Araabia koostöö tähtsust ÜRO Julgeolekunõukogu resolutsiooni 1701 (2006) rakendamisel, Liibanoni relvajõudude toetamisel ja Hezbollah’ desarmeerimise edendamisel;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tunnustab Saudi Araabia konstruktiivset lähenemisviisi praeguste piirkondlike pingete keskel ja liikumist diplomaatilise normaliseerimise suunas Iraaniga, ning rõhutab ELi ja Saudi Araabia ühist seisukohta Iraani käsilaste ja Iraani tuumaprogrammi väljatöötamise vastu;</w:t>
            </w:r>
          </w:p>
        </w:tc>
        <w:tc>
          <w:tcPr>
            <w:tcW w:w="4876" w:type="dxa"/>
            <w:tcBorders>
              <w:top w:val="nil"/>
              <w:left w:val="nil"/>
              <w:bottom w:val="nil"/>
              <w:right w:val="nil"/>
            </w:tcBorders>
          </w:tcPr>
          <w:p>
            <w:pPr>
              <w:pStyle w:val="Normal6a"/>
            </w:pPr>
            <w:r>
              <w:t>12.</w:t>
            </w:r>
            <w:r>
              <w:tab/>
            </w:r>
            <w:r>
              <w:t xml:space="preserve">tunnustab Saudi Araabia konstruktiivset lähenemisviisi praeguste piirkondlike pingete keskel ja liikumist diplomaatilise normaliseerimise suunas Iraaniga, ning rõhutab ELi ja Saudi Araabia ühist seisukohta Iraani käsilaste ja Iraani tuumaprogrammi väljatöötamise vastu; </w:t>
            </w:r>
            <w:r>
              <w:rPr>
                <w:b/>
                <w:i/>
              </w:rPr>
              <w:t>mõistab sellega seoses hukka ka Iraani ballistiliste rakettide ja relvastatud mehitamata õhusõidukite programmid;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tunnustab Saudi Araabia konstruktiivset </w:t>
            </w:r>
            <w:r>
              <w:rPr>
                <w:b/>
                <w:i/>
              </w:rPr>
              <w:t>lähenemisviisi</w:t>
            </w:r>
            <w:r>
              <w:t xml:space="preserve"> praeguste piirkondlike pingete </w:t>
            </w:r>
            <w:r>
              <w:rPr>
                <w:b/>
                <w:i/>
              </w:rPr>
              <w:t>keskel ja liikumist</w:t>
            </w:r>
            <w:r>
              <w:t xml:space="preserve"> diplomaatilise normaliseerimise </w:t>
            </w:r>
            <w:r>
              <w:rPr>
                <w:b/>
                <w:i/>
              </w:rPr>
              <w:t>suunas Iraaniga, ning</w:t>
            </w:r>
            <w:r>
              <w:t xml:space="preserve"> rõhutab ELi ja Saudi </w:t>
            </w:r>
            <w:r>
              <w:rPr>
                <w:b/>
                <w:i/>
              </w:rPr>
              <w:t>Araabia ühist seisukohta</w:t>
            </w:r>
            <w:r>
              <w:t xml:space="preserve"> Iraani </w:t>
            </w:r>
            <w:r>
              <w:rPr>
                <w:b/>
                <w:i/>
              </w:rPr>
              <w:t>käsilaste</w:t>
            </w:r>
            <w:r>
              <w:t xml:space="preserve"> ja Iraani tuumaprogrammi </w:t>
            </w:r>
            <w:r>
              <w:rPr>
                <w:b/>
                <w:i/>
              </w:rPr>
              <w:t>väljatöötamise vastu</w:t>
            </w:r>
            <w:r>
              <w:t>;</w:t>
            </w:r>
          </w:p>
        </w:tc>
        <w:tc>
          <w:tcPr>
            <w:tcW w:w="4876" w:type="dxa"/>
            <w:tcBorders>
              <w:top w:val="nil"/>
              <w:left w:val="nil"/>
              <w:bottom w:val="nil"/>
              <w:right w:val="nil"/>
            </w:tcBorders>
          </w:tcPr>
          <w:p>
            <w:pPr>
              <w:pStyle w:val="Normal6a"/>
            </w:pPr>
            <w:r>
              <w:t>12.</w:t>
            </w:r>
            <w:r>
              <w:tab/>
            </w:r>
            <w:r>
              <w:t xml:space="preserve">tunnustab Saudi Araabia konstruktiivset </w:t>
            </w:r>
            <w:r>
              <w:rPr>
                <w:b/>
                <w:i/>
              </w:rPr>
              <w:t>rolli</w:t>
            </w:r>
            <w:r>
              <w:t xml:space="preserve"> praeguste piirkondlike pingete</w:t>
            </w:r>
            <w:r>
              <w:rPr>
                <w:b/>
                <w:i/>
              </w:rPr>
              <w:t>, Saudi Araabia ja Araabia Ühendemiraatide tihedama koostöö ning Iraaniga järk-järgult</w:t>
            </w:r>
            <w:r>
              <w:t xml:space="preserve"> diplomaatilise normaliseerimise </w:t>
            </w:r>
            <w:r>
              <w:rPr>
                <w:b/>
                <w:i/>
              </w:rPr>
              <w:t>tingimustes;</w:t>
            </w:r>
            <w:r>
              <w:t xml:space="preserve"> rõhutab ELi ja Saudi </w:t>
            </w:r>
            <w:r>
              <w:rPr>
                <w:b/>
                <w:i/>
              </w:rPr>
              <w:t>kooskõla</w:t>
            </w:r>
            <w:r>
              <w:t xml:space="preserve"> Iraani </w:t>
            </w:r>
            <w:r>
              <w:rPr>
                <w:b/>
                <w:i/>
              </w:rPr>
              <w:t>käsilasvägede piiramisel</w:t>
            </w:r>
            <w:r>
              <w:t xml:space="preserve"> ja Iraani tuumaprogrammi </w:t>
            </w:r>
            <w:r>
              <w:rPr>
                <w:b/>
                <w:i/>
              </w:rPr>
              <w:t>edasise arendamise peatamisel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rõhutab ELi ja Saudi Araabia </w:t>
            </w:r>
            <w:r>
              <w:rPr>
                <w:b/>
                <w:i/>
              </w:rPr>
              <w:t>ühist prioriteeti saavutada Jeemenis püsiv rahu ning tunnustab Saudi Araabia jätkuvat pühendumust saavutada Jeemenis kaasav poliitiline lahendus</w:t>
            </w:r>
            <w:r>
              <w:t>;</w:t>
            </w:r>
          </w:p>
        </w:tc>
        <w:tc>
          <w:tcPr>
            <w:tcW w:w="4876" w:type="dxa"/>
            <w:tcBorders>
              <w:top w:val="nil"/>
              <w:left w:val="nil"/>
              <w:bottom w:val="nil"/>
              <w:right w:val="nil"/>
            </w:tcBorders>
          </w:tcPr>
          <w:p>
            <w:pPr>
              <w:pStyle w:val="Normal6a"/>
            </w:pPr>
            <w:r>
              <w:t>13.</w:t>
            </w:r>
            <w:r>
              <w:tab/>
            </w:r>
            <w:r>
              <w:t>rõhutab</w:t>
            </w:r>
            <w:r>
              <w:rPr>
                <w:b/>
                <w:i/>
              </w:rPr>
              <w:t>, et Saudi Araabia on muutnud oma Jeemeni-suunalist välispoliitikat sõjalisest sekkumisest, mille tagajärjel on hukkunud vähemalt 375 000 inimest – peamiselt Saudi Araabia Jeemeni mereblokaadi põhjustatud näljahäda tõttu –, ulatuslikust hävitamisest ja jätkuvast humanitaarkriisist diplomaatiaks pärast rahvusvahelist survet ning Saudi Araabia ja Iraani lähenemist;</w:t>
            </w:r>
            <w:r>
              <w:t xml:space="preserve"> </w:t>
            </w:r>
            <w:r>
              <w:rPr>
                <w:b/>
                <w:i/>
              </w:rPr>
              <w:t>julgustab suurendama</w:t>
            </w:r>
            <w:r>
              <w:t xml:space="preserve"> ELi ja Saudi Araabia </w:t>
            </w:r>
            <w:r>
              <w:rPr>
                <w:b/>
                <w:i/>
              </w:rPr>
              <w:t>humanitaarabi Jeemenile ning tegema ühiseid jõupingutusi, et võidelda abitöötajate sihikule võtmise vastu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rõhutab ELi ja Saudi Araabia ühist prioriteeti saavutada Jeemenis püsiv rahu ning tunnustab Saudi Araabia jätkuvat pühendumust saavutada Jeemenis kaasav poliitiline lahendus;</w:t>
            </w:r>
          </w:p>
        </w:tc>
        <w:tc>
          <w:tcPr>
            <w:tcW w:w="4876" w:type="dxa"/>
            <w:tcBorders>
              <w:top w:val="nil"/>
              <w:left w:val="nil"/>
              <w:bottom w:val="nil"/>
              <w:right w:val="nil"/>
            </w:tcBorders>
          </w:tcPr>
          <w:p>
            <w:pPr>
              <w:pStyle w:val="Normal6a"/>
            </w:pPr>
            <w:r>
              <w:t>13.</w:t>
            </w:r>
            <w:r>
              <w:tab/>
            </w:r>
            <w:r>
              <w:t xml:space="preserve">rõhutab ELi ja Saudi Araabia ühist prioriteeti saavutada Jeemenis püsiv rahu ning tunnustab Saudi Araabia jätkuvat pühendumust saavutada Jeemenis kaasav poliitiline lahendus; </w:t>
            </w:r>
            <w:r>
              <w:rPr>
                <w:b/>
                <w:i/>
              </w:rPr>
              <w:t>kutsub Saudi Araabiat üles toetama sõltumatut rahvusvahelist uurimismehhanismi seoses rahvusvahelise humanitaarõiguse rikkumistega oma vägede poolt, sealhulgas Saudi Araabia ja Araabia Ühendemiraatide juhitud koalitsiooni rikkumistega Jeemenis aastatel 2015–2022 ning Etioopia rändajate massilise tapmisega Jeemeni ja Saudi Araabia piiril 2022. aasta märtsist kuni 2023. aasta juunini;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nõuab, et Saudi Araabia toetaks ühist sõltumatut rahvusvahelist uurimismehhanismi, mis käsitleks rahvusvahelise humanitaarõiguse rikkumisi tema vägede poolt, sealhulgas Saudi Araabia ja Araabia Ühendemiraatide juhitud koalitsiooni rikkumisi Jeemenis aastatel 2015–2022 ning Etioopia rändajate massilisi tapmisi Jeemeni ja Saudi Araabia piiril, ning rõhutab vajadust tagada, et nende kuritarvituste ohvritele tagatakse õiglus, sealhulgas piisavad hüvitised;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nõuab, et Saudi Araabia toetaks ühist sõltumatut rahvusvahelist uurimismehhanismi, mis käsitleks rahvusvahelise humanitaarõiguse rikkumisi tema vägede poolt, sealhulgas Saudi Araabia ja Araabia Ühendemiraatide juhitud koalitsiooni rikkumisi Jeemenis aastatel 2015–2022 ning Etioopia rändajate massilisi tapmisi Jeemeni ja Saudi Araabia piiril, ning rõhutab vajadust tagada, et nende kuritarvituste ohvritele tagatakse õiglus, sealhulgas piisavad hüvitised;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ELi vankumatut pühendumust tagada Punases meres mereteede ja rahvusvaheliste meresõiduõiguste kaitse; rõhutab Saudi Araabia luurekoostööd operatsioonis EUNAVFOR Aspides osalevate ELi liikmesriikidega;</w:t>
            </w:r>
          </w:p>
        </w:tc>
        <w:tc>
          <w:tcPr>
            <w:tcW w:w="4876" w:type="dxa"/>
            <w:tcBorders>
              <w:top w:val="nil"/>
              <w:left w:val="nil"/>
              <w:bottom w:val="nil"/>
              <w:right w:val="nil"/>
            </w:tcBorders>
          </w:tcPr>
          <w:p>
            <w:pPr>
              <w:pStyle w:val="Normal6a"/>
            </w:pPr>
            <w:r>
              <w:t>15.</w:t>
            </w:r>
            <w:r>
              <w:tab/>
            </w:r>
            <w:r>
              <w:t xml:space="preserve">rõhutab ELi vankumatut pühendumust tagada Punases meres mereteede ja rahvusvaheliste meresõiduõiguste kaitse; rõhutab Saudi Araabia luurekoostööd operatsioonis EUNAVFOR Aspides osalevate ELi liikmesriikidega; </w:t>
            </w:r>
            <w:r>
              <w:rPr>
                <w:b/>
                <w:i/>
              </w:rPr>
              <w:t>rõhutab, et Saudi Araabial ja teistel Pärsia lahe riikidel peab olema juhtiv roll nende territoriaalvett läbivate mereteede ohutuse tagamisel;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ELi vankumatut pühendumust tagada Punases meres mereteede ja rahvusvaheliste meresõiduõiguste kaitse; rõhutab Saudi Araabia </w:t>
            </w:r>
            <w:r>
              <w:rPr>
                <w:b/>
                <w:i/>
              </w:rPr>
              <w:t>luurekoostööd operatsioonis</w:t>
            </w:r>
            <w:r>
              <w:t xml:space="preserve"> EUNAVFOR Aspides osalevate ELi liikmesriikidega;</w:t>
            </w:r>
          </w:p>
        </w:tc>
        <w:tc>
          <w:tcPr>
            <w:tcW w:w="4876" w:type="dxa"/>
            <w:tcBorders>
              <w:top w:val="nil"/>
              <w:left w:val="nil"/>
              <w:bottom w:val="nil"/>
              <w:right w:val="nil"/>
            </w:tcBorders>
          </w:tcPr>
          <w:p>
            <w:pPr>
              <w:pStyle w:val="Normal6a"/>
            </w:pPr>
            <w:r>
              <w:t>15.</w:t>
            </w:r>
            <w:r>
              <w:tab/>
            </w:r>
            <w:r>
              <w:t xml:space="preserve">rõhutab ELi vankumatut pühendumust tagada Punases meres mereteede ja rahvusvaheliste meresõiduõiguste kaitse; rõhutab Saudi Araabia </w:t>
            </w:r>
            <w:r>
              <w:rPr>
                <w:b/>
                <w:i/>
              </w:rPr>
              <w:t>pühendumust meresõidu turvalisusele ning nõuab tihedamat poliitilist ja luurealast koostööd</w:t>
            </w:r>
            <w:r>
              <w:t xml:space="preserve"> EUNAVFOR Aspides osalevate ELi liikmesriikidega;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ELi vankumatut pühendumust tagada Punases meres mereteede ja rahvusvaheliste meresõiduõiguste kaitse; rõhutab Saudi Araabia luurekoostööd </w:t>
            </w:r>
            <w:r>
              <w:rPr>
                <w:b/>
                <w:i/>
              </w:rPr>
              <w:t>operatsioonis</w:t>
            </w:r>
            <w:r>
              <w:t xml:space="preserve"> EUNAVFOR </w:t>
            </w:r>
            <w:r>
              <w:rPr>
                <w:b/>
                <w:i/>
              </w:rPr>
              <w:t>Aspides osalevate</w:t>
            </w:r>
            <w:r>
              <w:t xml:space="preserve"> ELi liikmesriikidega;</w:t>
            </w:r>
          </w:p>
        </w:tc>
        <w:tc>
          <w:tcPr>
            <w:tcW w:w="4876" w:type="dxa"/>
            <w:tcBorders>
              <w:top w:val="nil"/>
              <w:left w:val="nil"/>
              <w:bottom w:val="nil"/>
              <w:right w:val="nil"/>
            </w:tcBorders>
          </w:tcPr>
          <w:p>
            <w:pPr>
              <w:pStyle w:val="Normal6a"/>
            </w:pPr>
            <w:r>
              <w:t>15.</w:t>
            </w:r>
            <w:r>
              <w:tab/>
            </w:r>
            <w:r>
              <w:t xml:space="preserve">rõhutab ELi vankumatut pühendumust tagada Punases meres mereteede ja rahvusvaheliste meresõiduõiguste kaitse; rõhutab Saudi Araabia luurekoostööd EUNAVFOR </w:t>
            </w:r>
            <w:r>
              <w:rPr>
                <w:b/>
                <w:i/>
              </w:rPr>
              <w:t>ASPIDESiga ja</w:t>
            </w:r>
            <w:r>
              <w:t xml:space="preserve"> ELi liikmesriikidega </w:t>
            </w:r>
            <w:r>
              <w:rPr>
                <w:b/>
                <w:i/>
              </w:rPr>
              <w:t>laiemalt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väljendab heameelt Saudi Araabia osalemise üle Ukraina sõja relvarahu üle peetavate läbirääkimiste korraldamises;</w:t>
            </w:r>
          </w:p>
        </w:tc>
        <w:tc>
          <w:tcPr>
            <w:tcW w:w="4876" w:type="dxa"/>
            <w:tcBorders>
              <w:top w:val="nil"/>
              <w:left w:val="nil"/>
              <w:bottom w:val="nil"/>
              <w:right w:val="nil"/>
            </w:tcBorders>
          </w:tcPr>
          <w:p>
            <w:pPr>
              <w:pStyle w:val="Normal6a"/>
            </w:pPr>
            <w:r>
              <w:t>16.</w:t>
            </w:r>
            <w:r>
              <w:tab/>
            </w:r>
            <w:r>
              <w:t xml:space="preserve">väljendab heameelt Saudi Araabia osalemise üle Ukraina sõja relvarahu üle peetavate läbirääkimiste korraldamises; </w:t>
            </w:r>
            <w:r>
              <w:rPr>
                <w:b/>
                <w:i/>
              </w:rPr>
              <w:t>nõuab tungivalt, et Saudi Araabia teeks tihedamat koostööd oma partneritega Venemaa Föderatsiooni vastu suunatud sanktsioonide toetamisel ja võtaks meetmeid, et aidata lõpetada Venemaa varilaevastiku tegevus;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võtab teadmiseks Saudi Araabia võetud kohustuse investeerida Ameerika Ühendriikidesse 600 miljardit USA dollarit, sealhulgas kaitsekokkulepe ja strateegiline koostöö kujunemisjärgus tehnoloogiate valdkonnas;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võtab teadmiseks Saudi Araabia võetud kohustuse investeerida Ameerika Ühendriikidesse 600 miljardit USA dollarit, sealhulgas kaitsekokkulepe ja strateegiline koostöö kujunemisjärgus tehnoloogiate valdkonnas;</w:t>
            </w:r>
          </w:p>
        </w:tc>
        <w:tc>
          <w:tcPr>
            <w:tcW w:w="4876" w:type="dxa"/>
            <w:tcBorders>
              <w:top w:val="nil"/>
              <w:left w:val="nil"/>
              <w:bottom w:val="nil"/>
              <w:right w:val="nil"/>
            </w:tcBorders>
          </w:tcPr>
          <w:p>
            <w:pPr>
              <w:pStyle w:val="Normal6a"/>
            </w:pPr>
            <w:r>
              <w:t>17.</w:t>
            </w:r>
            <w:r>
              <w:tab/>
            </w:r>
            <w:r>
              <w:t xml:space="preserve">võtab teadmiseks Saudi Araabia võetud kohustuse investeerida Ameerika Ühendriikidesse 600 miljardit USA dollarit, sealhulgas kaitsekokkulepe ja strateegiline koostöö kujunemisjärgus tehnoloogiate valdkonnas; </w:t>
            </w:r>
            <w:r>
              <w:rPr>
                <w:b/>
                <w:i/>
              </w:rPr>
              <w:t>rõhutab, et EL peab seda suundumust silmas pidades säilitama oma strateegilist autonoomiat ning kaitsma oma majanduslikke ja tehnoloogilisi huve;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tunnustab Saudi Araabia rolli </w:t>
            </w:r>
            <w:r>
              <w:rPr>
                <w:b/>
                <w:i/>
              </w:rPr>
              <w:t>mitmepoolses koostöös</w:t>
            </w:r>
            <w:r>
              <w:t xml:space="preserve">, sealhulgas tema üha </w:t>
            </w:r>
            <w:r>
              <w:rPr>
                <w:b/>
                <w:i/>
              </w:rPr>
              <w:t>suuremat osalemist</w:t>
            </w:r>
            <w:r>
              <w:t xml:space="preserve"> Aafrikas, eelkõige Sahelis, ja Aasias;</w:t>
            </w:r>
          </w:p>
        </w:tc>
        <w:tc>
          <w:tcPr>
            <w:tcW w:w="4876" w:type="dxa"/>
            <w:tcBorders>
              <w:top w:val="nil"/>
              <w:left w:val="nil"/>
              <w:bottom w:val="nil"/>
              <w:right w:val="nil"/>
            </w:tcBorders>
          </w:tcPr>
          <w:p>
            <w:pPr>
              <w:pStyle w:val="Normal6a"/>
            </w:pPr>
            <w:r>
              <w:t>18.</w:t>
            </w:r>
            <w:r>
              <w:tab/>
            </w:r>
            <w:r>
              <w:t xml:space="preserve">tunnustab Saudi Araabia rolli </w:t>
            </w:r>
            <w:r>
              <w:rPr>
                <w:b/>
                <w:i/>
              </w:rPr>
              <w:t>mitmepoolse koostöö edendamisel</w:t>
            </w:r>
            <w:r>
              <w:t xml:space="preserve">, sealhulgas tema üha </w:t>
            </w:r>
            <w:r>
              <w:rPr>
                <w:b/>
                <w:i/>
              </w:rPr>
              <w:t>suurema rolli kaudu</w:t>
            </w:r>
            <w:r>
              <w:t xml:space="preserve"> Aafrikas, eelkõige Sahelis, ja Aasias; </w:t>
            </w:r>
            <w:r>
              <w:rPr>
                <w:b/>
                <w:i/>
              </w:rPr>
              <w:t>nõuab ELi ja Saudi-Araabia tihedamat koordineerimist energiakoostöö, piirkondadevahelise taristu arendamise, suutlikkuse suurendamise, inimkapitali arendamise, rahastamisvahendite ja investeerimismehhanismide valdkonnas kogu Aafrika mandril;</w:t>
            </w:r>
            <w:r>
              <w:t xml:space="preserve"> </w:t>
            </w:r>
            <w:r>
              <w:rPr>
                <w:b/>
                <w:i/>
              </w:rPr>
              <w:t>rõhutab, kui oluline on integreerida Saudi Araabia juhitavad projektid ELi raamistikega, sealhulgas algatusega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märgib, et Saudi Araabia on ametlikult kutsutud BRICS-riikide rühma liikmeks;</w:t>
            </w:r>
          </w:p>
        </w:tc>
        <w:tc>
          <w:tcPr>
            <w:tcW w:w="4876" w:type="dxa"/>
            <w:tcBorders>
              <w:top w:val="nil"/>
              <w:left w:val="nil"/>
              <w:bottom w:val="nil"/>
              <w:right w:val="nil"/>
            </w:tcBorders>
          </w:tcPr>
          <w:p>
            <w:pPr>
              <w:pStyle w:val="Normal6a"/>
            </w:pPr>
            <w:r>
              <w:t>19.</w:t>
            </w:r>
            <w:r>
              <w:tab/>
            </w:r>
            <w:r>
              <w:t xml:space="preserve">märgib, et Saudi Araabia on ametlikult kutsutud BRICS-riikide rühma liikmeks; </w:t>
            </w:r>
            <w:r>
              <w:rPr>
                <w:b/>
                <w:i/>
              </w:rPr>
              <w:t>märgib, et Saudi Araabia suhtlemine BRICS-riikidega kajastab suundumust mitmekesiste liitude poole, ning kutsub ELi üles tegema Saudi Araabiaga konstruktiivset koostööd mitmepoolsetel foorumitel, et kaitsta vastastikuseid kaubandus- ja investeerimishuve;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märgib, et Saudi Araabia on ametlikult kutsutud BRICS-riikide rühma liikmeks;</w:t>
            </w:r>
          </w:p>
        </w:tc>
        <w:tc>
          <w:tcPr>
            <w:tcW w:w="4876" w:type="dxa"/>
            <w:tcBorders>
              <w:top w:val="nil"/>
              <w:left w:val="nil"/>
              <w:bottom w:val="nil"/>
              <w:right w:val="nil"/>
            </w:tcBorders>
          </w:tcPr>
          <w:p>
            <w:pPr>
              <w:pStyle w:val="Normal6a"/>
            </w:pPr>
            <w:r>
              <w:t>19.</w:t>
            </w:r>
            <w:r>
              <w:tab/>
            </w:r>
            <w:r>
              <w:t xml:space="preserve">märgib </w:t>
            </w:r>
            <w:r>
              <w:rPr>
                <w:b/>
                <w:i/>
              </w:rPr>
              <w:t>murega</w:t>
            </w:r>
            <w:r>
              <w:t>, et Saudi Araabia on ametlikult kutsutud BRICS-riikide rühma liikmeks;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võtab teadmiseks Saudi Araabia ja Türgi kahepoolsete suhete tugevdamise, eelkõige julgeoleku- ja kaitsevaldkonnas;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võtab teadmiseks Saudi Araabia ja Türgi kahepoolsete suhete tugevdamise, eelkõige julgeoleku- ja kaitsevaldkonnas;</w:t>
            </w:r>
          </w:p>
        </w:tc>
        <w:tc>
          <w:tcPr>
            <w:tcW w:w="4876" w:type="dxa"/>
            <w:tcBorders>
              <w:top w:val="nil"/>
              <w:left w:val="nil"/>
              <w:bottom w:val="nil"/>
              <w:right w:val="nil"/>
            </w:tcBorders>
          </w:tcPr>
          <w:p>
            <w:pPr>
              <w:pStyle w:val="Normal6a"/>
            </w:pPr>
            <w:r>
              <w:t>20.</w:t>
            </w:r>
            <w:r>
              <w:tab/>
            </w:r>
            <w:r>
              <w:t xml:space="preserve">võtab teadmiseks Saudi Araabia ja Türgi kahepoolsete suhete tugevdamise, eelkõige julgeoleku- ja kaitsevaldkonnas; </w:t>
            </w:r>
            <w:r>
              <w:rPr>
                <w:b/>
                <w:i/>
              </w:rPr>
              <w:t>kutsub Saudi Araabiat üles kasutama seda suhtlust selleks, et veenda Türgit andma konstruktiivne panus Lähis-Ida rahuprotsessi, tunnustades Hamasi terroriorganisatsioonina ning lõpetades tema poliitilise, majandusliku ja logistilise toetamise;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võtab teadmiseks</w:t>
            </w:r>
            <w:r>
              <w:t xml:space="preserve"> Saudi Araabia ja Türgi kahepoolsete suhete </w:t>
            </w:r>
            <w:r>
              <w:rPr>
                <w:b/>
                <w:i/>
              </w:rPr>
              <w:t>tugevdamise</w:t>
            </w:r>
            <w:r>
              <w:t>, eelkõige julgeoleku- ja kaitsevaldkonnas;</w:t>
            </w:r>
          </w:p>
        </w:tc>
        <w:tc>
          <w:tcPr>
            <w:tcW w:w="4876" w:type="dxa"/>
            <w:tcBorders>
              <w:top w:val="nil"/>
              <w:left w:val="nil"/>
              <w:bottom w:val="nil"/>
              <w:right w:val="nil"/>
            </w:tcBorders>
          </w:tcPr>
          <w:p>
            <w:pPr>
              <w:pStyle w:val="Normal6a"/>
            </w:pPr>
            <w:r>
              <w:t>20.</w:t>
            </w:r>
            <w:r>
              <w:tab/>
            </w:r>
            <w:r>
              <w:rPr>
                <w:b/>
                <w:i/>
              </w:rPr>
              <w:t>peab kahetsusväärseks</w:t>
            </w:r>
            <w:r>
              <w:t xml:space="preserve"> Saudi Araabia ja Türgi kahepoolsete suhete </w:t>
            </w:r>
            <w:r>
              <w:rPr>
                <w:b/>
                <w:i/>
              </w:rPr>
              <w:t>tugevdamist</w:t>
            </w:r>
            <w:r>
              <w:t xml:space="preserve">, eelkõige julgeoleku- ja kaitsevaldkonnas; </w:t>
            </w:r>
            <w:r>
              <w:rPr>
                <w:b/>
                <w:i/>
              </w:rPr>
              <w:t>tuletab meelde, et Türgi toetas Süürias üleminekut jõhkrale režiimile, mis paneb pidevalt toime kuritarvitusi usuvähemuste vastu;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võtab teadmiseks Saudi Araabia ja Türgi kahepoolsete suhete tugevdamise, eelkõige julgeoleku- ja kaitsevaldkonnas;</w:t>
            </w:r>
          </w:p>
        </w:tc>
        <w:tc>
          <w:tcPr>
            <w:tcW w:w="4876" w:type="dxa"/>
            <w:tcBorders>
              <w:top w:val="nil"/>
              <w:left w:val="nil"/>
              <w:bottom w:val="nil"/>
              <w:right w:val="nil"/>
            </w:tcBorders>
          </w:tcPr>
          <w:p>
            <w:pPr>
              <w:pStyle w:val="Normal6a"/>
            </w:pPr>
            <w:r>
              <w:t>20.</w:t>
            </w:r>
            <w:r>
              <w:tab/>
            </w:r>
            <w:r>
              <w:t xml:space="preserve">võtab </w:t>
            </w:r>
            <w:r>
              <w:rPr>
                <w:b/>
                <w:i/>
              </w:rPr>
              <w:t>murega</w:t>
            </w:r>
            <w:r>
              <w:t xml:space="preserve"> teadmiseks Saudi Araabia ja Türgi kahepoolsete suhete tugevdamise, eelkõige julgeoleku- ja kaitsevaldkonnas;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rõhutab, et uute partnerluste arendamisel peaks Saudi Araabia tagama, et tema poliitika oleks jätkuvalt kooskõlas tema ajalooliste partneritega, eelkõige ELi ja selle liikmesriikidega jagatud huvide ja väärtustega;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väljendab heameelt Saudi Araabia järjekindla seisukoha üle Moslemi Vennaskonna kui terroriorganisatsiooni suhtes ning kutsub ELi ja selle liikmesriike üles seda eeskuju järgima ja tunnistama Moslemi Vennaskonna terroriorganisatsiooniks;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julgustab Saudi Araabia Kuningriiki ühinema Aabrahami lepingutega, et edendada piirkondlikku stabiilsust ja suhete normaliseerimist Iisraeliga;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väljendab heameelt</w:t>
            </w:r>
            <w:r>
              <w:t xml:space="preserve"> Saudi </w:t>
            </w:r>
            <w:r>
              <w:rPr>
                <w:b/>
                <w:i/>
              </w:rPr>
              <w:t>Araabia ambitsioonika</w:t>
            </w:r>
            <w:r>
              <w:t xml:space="preserve"> kava Vision 2030 </w:t>
            </w:r>
            <w:r>
              <w:rPr>
                <w:b/>
                <w:i/>
              </w:rPr>
              <w:t>üle</w:t>
            </w:r>
            <w:r>
              <w:t>, milles esitatakse sisukad sotsiaal-majanduslikud reformid riigi ja selle institutsioonide ajakohastamiseks ning majanduse mitmekesistamiseks;</w:t>
            </w:r>
          </w:p>
        </w:tc>
        <w:tc>
          <w:tcPr>
            <w:tcW w:w="4876" w:type="dxa"/>
            <w:tcBorders>
              <w:top w:val="nil"/>
              <w:left w:val="nil"/>
              <w:bottom w:val="nil"/>
              <w:right w:val="nil"/>
            </w:tcBorders>
          </w:tcPr>
          <w:p>
            <w:pPr>
              <w:pStyle w:val="Normal6a"/>
            </w:pPr>
            <w:r>
              <w:t>21.</w:t>
            </w:r>
            <w:r>
              <w:tab/>
            </w:r>
            <w:r>
              <w:rPr>
                <w:b/>
                <w:i/>
              </w:rPr>
              <w:t>märgib, et</w:t>
            </w:r>
            <w:r>
              <w:t xml:space="preserve"> Saudi </w:t>
            </w:r>
            <w:r>
              <w:rPr>
                <w:b/>
                <w:i/>
              </w:rPr>
              <w:t>Araabial on ambitsioonikas</w:t>
            </w:r>
            <w:r>
              <w:t xml:space="preserve"> kava Vision 2030, milles esitatakse sisukad sotsiaal-majanduslikud reformid riigi ja selle institutsioonide ajakohastamiseks ning majanduse mitmekesistamiseks;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väljendab heameelt Saudi Araabia Kuningriigi lähenemisviisi üle kuningas Salman bin Abdulazizi, kroonprintsi ja peaminister Mohammed bin Salman Al Saudi juhtimisel sallivuse edendamisel ja piiravast usupoliitikast loobumisel;</w:t>
            </w:r>
            <w:r>
              <w:t xml:space="preserve"> </w:t>
            </w:r>
            <w:r>
              <w:rPr>
                <w:b/>
                <w:i/>
              </w:rPr>
              <w:t>märgib otsest seost sallivuse ja jätkusuutliku majanduskasvu vahel, rõhutades, et avatus ja kaasatus soodustavad innovatsiooni, investeeringute ja sotsiaalse progressi tingimusi;</w:t>
            </w:r>
            <w:r>
              <w:t xml:space="preserve"> </w:t>
            </w:r>
            <w:r>
              <w:rPr>
                <w:b/>
                <w:i/>
              </w:rPr>
              <w:t>on seisukohal, et Saudi Araabia käimasolevad reformid on laiemale piirkonnale oluline eeskuju, näidates, kuidas sallivus saab toimida nii stabiilsuse kui ka jõukuse liikumapaneva jõuna;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rõhutab Saudi Araabia Kuningriigi pühendumust energiasüsteemi ümberkujundamisele, tuletades meelde tema lubadust saavutada 2060. aastaks netonullheide ja toota 2030. aastaks 50 % oma elektrist taastuvatest energiaallikatest;</w:t>
            </w:r>
            <w:r>
              <w:t xml:space="preserve"> </w:t>
            </w:r>
            <w:r>
              <w:rPr>
                <w:b/>
                <w:i/>
              </w:rPr>
              <w:t>väljendab sellega seoses heameelt juhtprojekti üle toota 2030. aastaks igal aastal 4 miljonit tonni saastevaba vesinikku, mis näitab Saudi Araabia soovi olla maailma juhtiv saastevaba vesiniku tarnija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https://www.sgi.gov.sa/saudi-global-climate-impact/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nõuab, et Saudi Araabia kujundaks ümber oma energiamaastiku ning liiguks oma kava Vision 2030 raames taastuvenergia ja saastevaba vesiniku suunas;</w:t>
            </w:r>
            <w:r>
              <w:t xml:space="preserve"> </w:t>
            </w:r>
            <w:r>
              <w:rPr>
                <w:b/>
                <w:i/>
              </w:rPr>
              <w:t>märgib, et EL on valmis tegema koostööd Saudi Araabia partneritega projektides, millega edendatakse mõlema piirkonna keskkonnaeesmärke;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nõuab, et Saudi Araabia kujundaks ümber oma energiamaastiku ning liiguks oma kava Vision 2030 raames taastuvenergia ja saastevaba vesiniku suunas; märgib, et EL on valmis tegema koostööd Saudi Araabia partneritega projektides, millega edendatakse mõlema piirkonna keskkonnaeesmärke;</w:t>
            </w:r>
          </w:p>
        </w:tc>
        <w:tc>
          <w:tcPr>
            <w:tcW w:w="4876" w:type="dxa"/>
            <w:tcBorders>
              <w:top w:val="nil"/>
              <w:left w:val="nil"/>
              <w:bottom w:val="nil"/>
              <w:right w:val="nil"/>
            </w:tcBorders>
          </w:tcPr>
          <w:p>
            <w:pPr>
              <w:pStyle w:val="Normal6a"/>
            </w:pPr>
            <w:r>
              <w:t>22.</w:t>
            </w:r>
            <w:r>
              <w:tab/>
            </w:r>
            <w:r>
              <w:t xml:space="preserve">nõuab, et Saudi Araabia kujundaks ümber oma energiamaastiku ning liiguks oma kava Vision 2030 raames taastuvenergia ja saastevaba vesiniku suunas; </w:t>
            </w:r>
            <w:r>
              <w:rPr>
                <w:b/>
                <w:i/>
              </w:rPr>
              <w:t>toetab ÜRO ekspertide üleskutset Saudi Araabiale peatada oma kavad toornafta tootmise laiendamiseks ja tootmisvõimsuse suurendamise eesmärgil täiendavate nafta- ja gaasivarude kindlakstegemiseks, mis aitaks suurendada 1,5 °C alase eesmärgi süsinikueelarve ületamise ohtu ja kliimamuutustega seotud mõju inimõigustele, mis on vastuolus nende endi inimõigustealaste kohustustega;</w:t>
            </w:r>
            <w:r>
              <w:t xml:space="preserve"> </w:t>
            </w:r>
            <w:r>
              <w:rPr>
                <w:b/>
                <w:i/>
              </w:rPr>
              <w:t>nõuab tungivalt, et Aramco avaldaks põhiteabe oma üldiste heitkoguste ja toornafta tootmise CO</w:t>
            </w:r>
            <w:r>
              <w:rPr>
                <w:b/>
                <w:i/>
                <w:vertAlign w:val="subscript"/>
              </w:rPr>
              <w:t>2</w:t>
            </w:r>
            <w:r>
              <w:rPr>
                <w:b/>
                <w:i/>
              </w:rPr>
              <w:t>-mahukuse kohta;</w:t>
            </w:r>
            <w:r>
              <w:t xml:space="preserve"> märgib, et EL on valmis tegema koostööd Saudi Araabia partneritega projektides, millega edendatakse mõlema piirkonna keskkonnaeesmärke;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nõuab, et Saudi Araabia kujundaks ümber oma energiamaastiku ning liiguks oma kava Vision 2030 raames taastuvenergia ja saastevaba vesiniku suunas; märgib, et EL on valmis tegema koostööd Saudi Araabia partneritega projektides, millega edendatakse mõlema piirkonna keskkonnaeesmärke;</w:t>
            </w:r>
          </w:p>
        </w:tc>
        <w:tc>
          <w:tcPr>
            <w:tcW w:w="4876" w:type="dxa"/>
            <w:tcBorders>
              <w:top w:val="nil"/>
              <w:left w:val="nil"/>
              <w:bottom w:val="nil"/>
              <w:right w:val="nil"/>
            </w:tcBorders>
          </w:tcPr>
          <w:p>
            <w:pPr>
              <w:pStyle w:val="Normal6a"/>
            </w:pPr>
            <w:r>
              <w:t>22.</w:t>
            </w:r>
            <w:r>
              <w:tab/>
            </w:r>
            <w:r>
              <w:t xml:space="preserve">nõuab, et Saudi Araabia kujundaks ümber oma energiamaastiku ning liiguks oma kava Vision 2030 raames taastuvenergia ja saastevaba vesiniku suunas; </w:t>
            </w:r>
            <w:r>
              <w:rPr>
                <w:b/>
                <w:i/>
              </w:rPr>
              <w:t>toetab ÜRO ekspertide üleskutset Saudi Araabiale peatada oma kavad toornafta tootmise laiendamiseks ja tootmisvõimsuse suurendamise eesmärgil täiendavate nafta- ja gaasivarude kindlakstegemiseks, mis aitaks suurendada 1,5 °C alase eesmärgi süsinikueelarve ületamise ohtu ja kliimamuutustega seotud mõju inimõigustele, mis on vastuolus nende endi inimõigustealaste kohustustega;</w:t>
            </w:r>
            <w:r>
              <w:t xml:space="preserve"> </w:t>
            </w:r>
            <w:r>
              <w:rPr>
                <w:b/>
                <w:i/>
              </w:rPr>
              <w:t>nõuab tungivalt, et Aramco avaldaks põhiteabe oma üldiste heitkoguste ja toornafta tootmise CO</w:t>
            </w:r>
            <w:r>
              <w:rPr>
                <w:b/>
                <w:i/>
                <w:vertAlign w:val="subscript"/>
              </w:rPr>
              <w:t>2</w:t>
            </w:r>
            <w:r>
              <w:rPr>
                <w:b/>
                <w:i/>
              </w:rPr>
              <w:t>-mahukuse kohta;</w:t>
            </w:r>
            <w:r>
              <w:t xml:space="preserve"> märgib, et EL on valmis tegema koostööd Saudi Araabia partneritega projektides, millega edendatakse mõlema piirkonna keskkonnaeesmärke;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nõuab, et Saudi Araabia kujundaks ümber oma energiamaastiku ning liiguks oma kava Vision 2030 raames taastuvenergia ja saastevaba vesiniku suunas; märgib, et EL on valmis tegema koostööd Saudi Araabia partneritega projektides, millega edendatakse mõlema piirkonna keskkonnaeesmärke;</w:t>
            </w:r>
          </w:p>
        </w:tc>
        <w:tc>
          <w:tcPr>
            <w:tcW w:w="4876" w:type="dxa"/>
            <w:tcBorders>
              <w:top w:val="nil"/>
              <w:left w:val="nil"/>
              <w:bottom w:val="nil"/>
              <w:right w:val="nil"/>
            </w:tcBorders>
          </w:tcPr>
          <w:p>
            <w:pPr>
              <w:pStyle w:val="Normal6a"/>
            </w:pPr>
            <w:r>
              <w:t>22.</w:t>
            </w:r>
            <w:r>
              <w:tab/>
            </w:r>
            <w:r>
              <w:t xml:space="preserve">nõuab, et Saudi Araabia kujundaks ümber oma energiamaastiku ning liiguks oma kava Vision 2030 raames taastuvenergia ja saastevaba vesiniku suunas; </w:t>
            </w:r>
            <w:r>
              <w:rPr>
                <w:b/>
                <w:i/>
              </w:rPr>
              <w:t>toetab ÜRO ekspertide üleskutset Saudi Araabiale peatada toornafta tootmise laiendamise kava, kuna see oleks vastuolus Pariisi kokkuleppest tulenevate kohustustega;</w:t>
            </w:r>
            <w:r>
              <w:t xml:space="preserve"> märgib, et EL on valmis tegema koostööd Saudi Araabia partneritega projektides, millega edendatakse mõlema piirkonna keskkonnaeesmärke;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nõuab, et Saudi Araabia kujundaks ümber oma energiamaastiku ning liiguks </w:t>
            </w:r>
            <w:r>
              <w:rPr>
                <w:b/>
                <w:i/>
              </w:rPr>
              <w:t>oma kava Vision 2030 raames</w:t>
            </w:r>
            <w:r>
              <w:t xml:space="preserve"> taastuvenergia </w:t>
            </w:r>
            <w:r>
              <w:rPr>
                <w:b/>
                <w:i/>
              </w:rPr>
              <w:t>ja saastevaba vesiniku</w:t>
            </w:r>
            <w:r>
              <w:t xml:space="preserve"> suunas</w:t>
            </w:r>
            <w:r>
              <w:rPr>
                <w:b/>
                <w:i/>
              </w:rPr>
              <w:t>;</w:t>
            </w:r>
            <w:r>
              <w:t xml:space="preserve"> </w:t>
            </w:r>
            <w:r>
              <w:rPr>
                <w:b/>
                <w:i/>
              </w:rPr>
              <w:t>märgib, et EL on valmis tegema koostööd Saudi Araabia partneritega projektides, millega edendatakse mõlema piirkonna keskkonnaeesmärke</w:t>
            </w:r>
            <w:r>
              <w:t>;</w:t>
            </w:r>
          </w:p>
        </w:tc>
        <w:tc>
          <w:tcPr>
            <w:tcW w:w="4876" w:type="dxa"/>
            <w:tcBorders>
              <w:top w:val="nil"/>
              <w:left w:val="nil"/>
              <w:bottom w:val="nil"/>
              <w:right w:val="nil"/>
            </w:tcBorders>
          </w:tcPr>
          <w:p>
            <w:pPr>
              <w:pStyle w:val="Normal6a"/>
            </w:pPr>
            <w:r>
              <w:t>22.</w:t>
            </w:r>
            <w:r>
              <w:tab/>
            </w:r>
            <w:r>
              <w:t>nõuab, et Saudi Araabia kujundaks ümber oma energiamaastiku ning liiguks taastuvenergia</w:t>
            </w:r>
            <w:r>
              <w:rPr>
                <w:b/>
                <w:i/>
              </w:rPr>
              <w:t>, sealhulgas tuumaenergia</w:t>
            </w:r>
            <w:r>
              <w:t xml:space="preserve"> suunas</w:t>
            </w:r>
            <w:r>
              <w:rPr>
                <w:b/>
                <w:i/>
              </w:rPr>
              <w:t>, mis on tehnoloogia, mida ELi liikmesriigid nii tehnoloogilisest kui ka kaubanduslikust seisukohast täielikult mõistavad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rõhutab Saudi Araabia rolli üha olulisema osalejana mineraalide tarneahelates ja jõupingutusi viia oma tegevus kooskõlla rahvusvaheliste parimate tavadega;</w:t>
            </w:r>
            <w:r>
              <w:t xml:space="preserve"> </w:t>
            </w:r>
            <w:r>
              <w:rPr>
                <w:b/>
                <w:i/>
              </w:rPr>
              <w:t>rõhutab, et ELi ja Saudi Araabia koostöö ulatuse laiendamine selles valdkonnas on keskse tähtsusega, et veelgi tugevdada ELi riskide vähendamise strateegiat ja tema püüdlusi mitmekesistada oma toorainetarneid;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taunib asjaolu, et kuigi kuningriik teatas oma soovist toota 2030. aastaks pool oma elektrist taastuvatest energiaallikatest, ei ole Saudi Araabia seni rakendanud poliitikat, mis vähendaks oluliselt riigi kasvuhoonegaaside heidet ja sõltuvust fossiilkütustest;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märgib murega, et COP29-l oli Saudi Araabia vastu ülemaailmsetele kohustustele lõpetada järk-järgult fossiilkütuste kasutamine, õõnestades Pariisi kokkuleppe eesmärkide saavutamist;</w:t>
            </w:r>
            <w:r>
              <w:t xml:space="preserve"> </w:t>
            </w:r>
            <w:r>
              <w:rPr>
                <w:b/>
                <w:i/>
              </w:rPr>
              <w:t>rõhutab, et ELi-Saudi-Araabia koostöö peab sõltuma usaldusväärsetest kliimameetmete tegevuskavadest, mis sisaldavad siduvaid rakendusmeetmeid;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tõdeb, et Saudi Araabia on teinud </w:t>
            </w:r>
            <w:r>
              <w:rPr>
                <w:b/>
                <w:i/>
              </w:rPr>
              <w:t>märkimisväärseid</w:t>
            </w:r>
            <w:r>
              <w:t xml:space="preserve"> edusamme noorte töötuse kõrge määra vähendamisel, langetades selle 35,01 %-lt 2006. aastal 16 %-le 2023. aastal; soovitab Saudi Araabial jätkata selle küsimuse prioriteediks seadmist;</w:t>
            </w:r>
          </w:p>
        </w:tc>
        <w:tc>
          <w:tcPr>
            <w:tcW w:w="4876" w:type="dxa"/>
            <w:tcBorders>
              <w:top w:val="nil"/>
              <w:left w:val="nil"/>
              <w:bottom w:val="nil"/>
              <w:right w:val="nil"/>
            </w:tcBorders>
          </w:tcPr>
          <w:p>
            <w:pPr>
              <w:pStyle w:val="Normal6a"/>
            </w:pPr>
            <w:r>
              <w:t>23.</w:t>
            </w:r>
            <w:r>
              <w:tab/>
            </w:r>
            <w:r>
              <w:t>tõdeb, et Saudi Araabia on teinud edusamme noorte töötuse kõrge määra vähendamisel, langetades selle 35,01 %-lt 2006. aastal 16 %-le 2023. aastal; soovitab Saudi Araabial jätkata selle küsimuse prioriteediks seadmist;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tunnustab Saudi Araabias läbi viidud positiivseid õppekavareforme, eelkõige antisemiitliku ja kristliku sisu eemaldamist;</w:t>
            </w:r>
            <w:r>
              <w:t xml:space="preserve"> </w:t>
            </w:r>
            <w:r>
              <w:rPr>
                <w:b/>
                <w:i/>
              </w:rPr>
              <w:t>julgustab Saudi Araabiat neid reforme jätkama;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rõhutab märkimisväärseid edusamme, mida Saudi Araabia on teinud naiste mõjuvõimu suurendamisel, kuna naiste osakaal tööjõus on tõusnud 36 %-ni ning naistele on antud sõiduki juhtimise õigus ja õigus reisida ilma meeste eestkosteta;</w:t>
            </w:r>
          </w:p>
        </w:tc>
        <w:tc>
          <w:tcPr>
            <w:tcW w:w="4876" w:type="dxa"/>
            <w:tcBorders>
              <w:top w:val="nil"/>
              <w:left w:val="nil"/>
              <w:bottom w:val="nil"/>
              <w:right w:val="nil"/>
            </w:tcBorders>
          </w:tcPr>
          <w:p>
            <w:pPr>
              <w:pStyle w:val="Normal6a"/>
            </w:pPr>
            <w:r>
              <w:t>24.</w:t>
            </w:r>
            <w:r>
              <w:tab/>
            </w:r>
            <w:r>
              <w:t xml:space="preserve">rõhutab märkimisväärseid edusamme, mida Saudi Araabia on teinud naiste mõjuvõimu suurendamisel, kuna naiste osakaal tööjõus on tõusnud 36 %-ni ning naistele on antud sõiduki juhtimise õigus ja õigus reisida ilma meeste eestkosteta; </w:t>
            </w:r>
            <w:r>
              <w:rPr>
                <w:b/>
                <w:i/>
              </w:rPr>
              <w:t>märgib siiski, et mitmed Saudi Araabia naiste õiguste aktivistid on Saudi Araabias endiselt vanglas või nende suhtes kehtivad ranged piirangud;</w:t>
            </w:r>
            <w:r>
              <w:t xml:space="preserve"> </w:t>
            </w:r>
            <w:r>
              <w:rPr>
                <w:b/>
                <w:i/>
              </w:rPr>
              <w:t>kutsub Saudi Araabia ametivõime üles vabastama Manahel al-Otaibi ja Salma al-Shehab ning tühistama Loujain al-Hathlouli, Mariam al-Otaibi ja Fawzia al-Otaibi reisikeelud ja halduspiirangud;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rõhutab </w:t>
            </w:r>
            <w:r>
              <w:rPr>
                <w:b/>
                <w:i/>
              </w:rPr>
              <w:t>märkimisväärseid</w:t>
            </w:r>
            <w:r>
              <w:t xml:space="preserve"> edusamme, mida Saudi Araabia on teinud naiste </w:t>
            </w:r>
            <w:r>
              <w:rPr>
                <w:b/>
                <w:i/>
              </w:rPr>
              <w:t>mõjuvõimu suurendamisel</w:t>
            </w:r>
            <w:r>
              <w:t xml:space="preserve">, kuna naiste </w:t>
            </w:r>
            <w:r>
              <w:rPr>
                <w:b/>
                <w:i/>
              </w:rPr>
              <w:t>osakaal</w:t>
            </w:r>
            <w:r>
              <w:t xml:space="preserve"> tööjõus on </w:t>
            </w:r>
            <w:r>
              <w:rPr>
                <w:b/>
                <w:i/>
              </w:rPr>
              <w:t>tõusnud</w:t>
            </w:r>
            <w:r>
              <w:t xml:space="preserve"> 36 %-ni ning naistele on antud </w:t>
            </w:r>
            <w:r>
              <w:rPr>
                <w:b/>
                <w:i/>
              </w:rPr>
              <w:t>sõiduki juhtimise õigus</w:t>
            </w:r>
            <w:r>
              <w:t xml:space="preserve"> ja õigus reisida ilma meeste </w:t>
            </w:r>
            <w:r>
              <w:rPr>
                <w:b/>
                <w:i/>
              </w:rPr>
              <w:t>eestkosteta</w:t>
            </w:r>
            <w:r>
              <w:t>;</w:t>
            </w:r>
          </w:p>
        </w:tc>
        <w:tc>
          <w:tcPr>
            <w:tcW w:w="4876" w:type="dxa"/>
            <w:tcBorders>
              <w:top w:val="nil"/>
              <w:left w:val="nil"/>
              <w:bottom w:val="nil"/>
              <w:right w:val="nil"/>
            </w:tcBorders>
          </w:tcPr>
          <w:p>
            <w:pPr>
              <w:pStyle w:val="Normal6a"/>
            </w:pPr>
            <w:r>
              <w:t>24.</w:t>
            </w:r>
            <w:r>
              <w:tab/>
            </w:r>
            <w:r>
              <w:t xml:space="preserve">rõhutab edusamme, mida Saudi Araabia on teinud naiste </w:t>
            </w:r>
            <w:r>
              <w:rPr>
                <w:b/>
                <w:i/>
              </w:rPr>
              <w:t>õiguste valdkonnas</w:t>
            </w:r>
            <w:r>
              <w:t xml:space="preserve">, kuna naiste </w:t>
            </w:r>
            <w:r>
              <w:rPr>
                <w:b/>
                <w:i/>
              </w:rPr>
              <w:t>osalus</w:t>
            </w:r>
            <w:r>
              <w:t xml:space="preserve"> tööjõus on </w:t>
            </w:r>
            <w:r>
              <w:rPr>
                <w:b/>
                <w:i/>
              </w:rPr>
              <w:t>kasvanud</w:t>
            </w:r>
            <w:r>
              <w:t xml:space="preserve"> 36 %-ni ning naistele on antud </w:t>
            </w:r>
            <w:r>
              <w:rPr>
                <w:b/>
                <w:i/>
              </w:rPr>
              <w:t>juhtimisõigus</w:t>
            </w:r>
            <w:r>
              <w:t xml:space="preserve"> ja õigus reisida ilma </w:t>
            </w:r>
            <w:r>
              <w:rPr>
                <w:b/>
                <w:i/>
              </w:rPr>
              <w:t>meessoost eestkostja loata;</w:t>
            </w:r>
            <w:r>
              <w:t xml:space="preserve"> </w:t>
            </w:r>
            <w:r>
              <w:rPr>
                <w:b/>
                <w:i/>
              </w:rPr>
              <w:t>märgib, et endiselt on märkimisväärseid probleeme, sealhulgas isikliku staatuse seaduses, eelkõige seoses lapsega sõlmitud abieludega, abielusisese vägistamisega ja naiste diskrimineerimisega abielus, lahutusega, lapse hooldusõigusega, pärandi ja omandiõigusega;</w:t>
            </w:r>
            <w:r>
              <w:t xml:space="preserve"> </w:t>
            </w:r>
            <w:r>
              <w:rPr>
                <w:b/>
                <w:i/>
              </w:rPr>
              <w:t>mõistab hukka nende Saudi Araabia naiste õiguste aktivistide olukorra, kes võitlesid juhtimisõiguse ja</w:t>
            </w:r>
            <w:r>
              <w:t xml:space="preserve"> meeste </w:t>
            </w:r>
            <w:r>
              <w:rPr>
                <w:b/>
                <w:i/>
              </w:rPr>
              <w:t>eestkostesüsteemi lõpetamise eest, kuna Saudi Araabia ametivõimud on neid jätkuvalt karistanud ja sihikule võtnud reisikeeldude kaudu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rõhutab märkimisväärseid edusamme, mida Saudi Araabia on teinud naiste mõjuvõimu suurendamisel, kuna naiste osakaal tööjõus on tõusnud 36 %-ni ning naistele on antud sõiduki juhtimise õigus ja õigus reisida ilma </w:t>
            </w:r>
            <w:r>
              <w:rPr>
                <w:b/>
                <w:i/>
              </w:rPr>
              <w:t>meeste eestkosteta</w:t>
            </w:r>
            <w:r>
              <w:t>;</w:t>
            </w:r>
          </w:p>
        </w:tc>
        <w:tc>
          <w:tcPr>
            <w:tcW w:w="4876" w:type="dxa"/>
            <w:tcBorders>
              <w:top w:val="nil"/>
              <w:left w:val="nil"/>
              <w:bottom w:val="nil"/>
              <w:right w:val="nil"/>
            </w:tcBorders>
          </w:tcPr>
          <w:p>
            <w:pPr>
              <w:pStyle w:val="Normal6a"/>
            </w:pPr>
            <w:r>
              <w:t>24.</w:t>
            </w:r>
            <w:r>
              <w:tab/>
            </w:r>
            <w:r>
              <w:t>rõhutab märkimisväärseid edusamme, mida Saudi Araabia on teinud naiste mõjuvõimu suurendamisel, kuna naiste osakaal tööjõus on tõusnud 36 %-ni ning naistele on antud sõiduki juhtimise õigus ja õigus reisida ilma </w:t>
            </w:r>
            <w:r>
              <w:rPr>
                <w:b/>
                <w:i/>
              </w:rPr>
              <w:t>meessoost eestkostja loata, kuid märgib, et endiselt on märkimisväärseid probleeme, sealhulgas isikliku staatuse seaduses, eelkõige seoses lapsega sõlmitud abieludega, abielusisese vägistamisega ja naiste diskrimineerimisega abielus, lahutusega, lapse hooldusõigusega, pärandi ja omandiõigusega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rõhutab märkimisväärseid edusamme, mida Saudi Araabia on teinud naiste mõjuvõimu suurendamisel, kuna naiste osakaal tööjõus on tõusnud 36 %-ni ning naistele on antud sõiduki juhtimise õigus ja õigus reisida ilma meeste eestkosteta;</w:t>
            </w:r>
          </w:p>
        </w:tc>
        <w:tc>
          <w:tcPr>
            <w:tcW w:w="4876" w:type="dxa"/>
            <w:tcBorders>
              <w:top w:val="nil"/>
              <w:left w:val="nil"/>
              <w:bottom w:val="nil"/>
              <w:right w:val="nil"/>
            </w:tcBorders>
          </w:tcPr>
          <w:p>
            <w:pPr>
              <w:pStyle w:val="Normal6a"/>
            </w:pPr>
            <w:r>
              <w:t>24.</w:t>
            </w:r>
            <w:r>
              <w:tab/>
            </w:r>
            <w:r>
              <w:t>rõhutab märkimisväärseid edusamme, mida Saudi Araabia on teinud naiste mõjuvõimu suurendamisel, kuna naiste osakaal tööjõus on tõusnud 36 %-ni ning naistele on antud sõiduki juhtimise õigus ja õigus reisida ilma meeste eestkosteta;</w:t>
            </w:r>
            <w:r>
              <w:rPr>
                <w:b/>
                <w:i/>
              </w:rPr>
              <w:t>, kuid märgib, et endiselt esineb märkimisväärseid probleeme, sealhulgas isikliku staatuse seaduses, eelkõige seoses lapsega sõlmitud abieludega, abielusisese vägistamisega ja naiste diskrimineerimisega abielus, lahutusega, lapse hooldusõigusega, pärandi ja omandiõigusega;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rõhutab</w:t>
            </w:r>
            <w:r>
              <w:t xml:space="preserve"> märkimisväärseid edusamme, mida Saudi Araabia on teinud naiste mõjuvõimu suurendamisel, kuna naiste osakaal tööjõus on tõusnud 36 %-ni ning naistele on antud sõiduki juhtimise õigus ja õigus reisida ilma meeste eestkosteta;</w:t>
            </w:r>
          </w:p>
        </w:tc>
        <w:tc>
          <w:tcPr>
            <w:tcW w:w="4876" w:type="dxa"/>
            <w:tcBorders>
              <w:top w:val="nil"/>
              <w:left w:val="nil"/>
              <w:bottom w:val="nil"/>
              <w:right w:val="nil"/>
            </w:tcBorders>
          </w:tcPr>
          <w:p>
            <w:pPr>
              <w:pStyle w:val="Normal6a"/>
            </w:pPr>
            <w:r>
              <w:t>24.</w:t>
            </w:r>
            <w:r>
              <w:tab/>
            </w:r>
            <w:r>
              <w:rPr>
                <w:b/>
                <w:i/>
              </w:rPr>
              <w:t>märgib</w:t>
            </w:r>
            <w:r>
              <w:t xml:space="preserve"> märkimisväärseid edusamme, mida Saudi Araabia on teinud naiste mõjuvõimu suurendamisel, kuna naiste osakaal tööjõus on tõusnud 36 %-ni ning naistele on antud sõiduki juhtimise õigus ja õigus reisida ilma meeste eestkosteta;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rõhutab </w:t>
            </w:r>
            <w:r>
              <w:rPr>
                <w:b/>
                <w:i/>
              </w:rPr>
              <w:t>märkimisväärseid</w:t>
            </w:r>
            <w:r>
              <w:t xml:space="preserve"> edusamme, mida Saudi Araabia on teinud naiste mõjuvõimu suurendamisel, kuna naiste osakaal tööjõus on tõusnud 36 %-ni ning naistele on antud sõiduki juhtimise õigus ja õigus reisida ilma meeste eestkosteta;</w:t>
            </w:r>
          </w:p>
        </w:tc>
        <w:tc>
          <w:tcPr>
            <w:tcW w:w="4876" w:type="dxa"/>
            <w:tcBorders>
              <w:top w:val="nil"/>
              <w:left w:val="nil"/>
              <w:bottom w:val="nil"/>
              <w:right w:val="nil"/>
            </w:tcBorders>
          </w:tcPr>
          <w:p>
            <w:pPr>
              <w:pStyle w:val="Normal6a"/>
            </w:pPr>
            <w:r>
              <w:t>24.</w:t>
            </w:r>
            <w:r>
              <w:tab/>
            </w:r>
            <w:r>
              <w:t>rõhutab edusamme, mida Saudi Araabia on teinud naiste mõjuvõimu suurendamisel, kuna naiste osakaal tööjõus on tõusnud 36 %-ni ning naistele on antud sõiduki juhtimise õigus ja õigus reisida ilma meeste eestkosteta;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Saudi Araabia on käivitanud mitu ambitsioonikat taristuprojekti enne EXPO 2030 ja FIFA 2034. aasta maailmameistrivõistluste korraldamist;</w:t>
            </w:r>
          </w:p>
        </w:tc>
        <w:tc>
          <w:tcPr>
            <w:tcW w:w="4876" w:type="dxa"/>
            <w:tcBorders>
              <w:top w:val="nil"/>
              <w:left w:val="nil"/>
              <w:bottom w:val="nil"/>
              <w:right w:val="nil"/>
            </w:tcBorders>
          </w:tcPr>
          <w:p>
            <w:pPr>
              <w:pStyle w:val="Normal6a"/>
            </w:pPr>
            <w:r>
              <w:t>25.</w:t>
            </w:r>
            <w:r>
              <w:tab/>
            </w:r>
            <w:r>
              <w:t>märgib, et Saudi Araabia on käivitanud mitu ambitsioonikat taristuprojekti enne EXPO 2030 ja FIFA 2034. aasta maailmameistrivõistluste korraldamist</w:t>
            </w:r>
            <w:r>
              <w:rPr>
                <w:b/>
                <w:i/>
              </w:rPr>
              <w:t>, ning väljendab tõsist muret selle pärast, et väljakuulutatud reformidest hoolimata seisavad võõrtöötajad kafala süsteemi raames jätkuvalt silmitsi laialt levinud kuritarvitustega, millest mõned võivad kujutada endast sunniviisilise töö olukordi</w:t>
            </w:r>
            <w:r>
              <w:t xml:space="preserve">; </w:t>
            </w:r>
            <w:r>
              <w:rPr>
                <w:b/>
                <w:i/>
              </w:rPr>
              <w:t>tunnustab tööreformi algatuse raames tehtud reforme, kutsudes samal ajal Saudi Araabiat üles kaotama seadustes ja praktikas täielikult kafala süsteemi, kaotades tööandjate kontrolli töötajate liikuvuse üle – sealhulgas lahkumine ja töökohavahetus –, tagades töötajatele õiguse streigile, kollektiivläbirääkimistele ja vabale ühinemisele, ennetades elanike sunniviisilist väljatõstmist ja lõpetades inimõiguste kaitsjate represseerimise seoses nende sündmustega;</w:t>
            </w:r>
            <w:r>
              <w:t xml:space="preserve"> </w:t>
            </w:r>
            <w:r>
              <w:rPr>
                <w:b/>
                <w:i/>
              </w:rPr>
              <w:t>kutsub Saudi Araabiat üles tagama kõigile võõrtöötajatele, sealhulgas koduabilistele, juurdepääsu õigusemõistmisele ja tõhusad mehhanismid kuritarvituslike tööandjate vastutusele võtmiseks;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Saudi Araabia on käivitanud mitu ambitsioonikat taristuprojekti enne EXPO 2030 ja FIFA 2034. aasta maailmameistrivõistluste korraldamist;</w:t>
            </w:r>
          </w:p>
        </w:tc>
        <w:tc>
          <w:tcPr>
            <w:tcW w:w="4876" w:type="dxa"/>
            <w:tcBorders>
              <w:top w:val="nil"/>
              <w:left w:val="nil"/>
              <w:bottom w:val="nil"/>
              <w:right w:val="nil"/>
            </w:tcBorders>
          </w:tcPr>
          <w:p>
            <w:pPr>
              <w:pStyle w:val="Normal6a"/>
            </w:pPr>
            <w:r>
              <w:t>25.</w:t>
            </w:r>
            <w:r>
              <w:tab/>
            </w:r>
            <w:r>
              <w:t xml:space="preserve">märgib, et Saudi Araabia on käivitanud mitu ambitsioonikat taristuprojekti enne EXPO 2030 ja FIFA 2034. aasta maailmameistrivõistluste korraldamist; </w:t>
            </w:r>
            <w:r>
              <w:rPr>
                <w:b/>
                <w:i/>
              </w:rPr>
              <w:t>on sügavalt mures rändajate suure suremuse pärast tööga seotud õnnetustes Saudi Araabias;</w:t>
            </w:r>
            <w:r>
              <w:t xml:space="preserve"> </w:t>
            </w:r>
            <w:r>
              <w:rPr>
                <w:b/>
                <w:i/>
              </w:rPr>
              <w:t>kutsub Saudi Araabiat üles kaotama kafala süsteemi ning tagama streigi, kollektiivläbirääkimiste ja vaba ühinemise õiguse;</w:t>
            </w:r>
            <w:r>
              <w:t xml:space="preserve"> </w:t>
            </w:r>
            <w:r>
              <w:rPr>
                <w:b/>
                <w:i/>
              </w:rPr>
              <w:t>nõuab tungivalt, et Saudi Araabia kaotaks kõik nõuded võõrtöötajatele, et saada tööandja nõusolek riigist lahkumiseks ja töökoha vahetamiseks;</w:t>
            </w:r>
            <w:r>
              <w:t xml:space="preserve"> </w:t>
            </w:r>
            <w:r>
              <w:rPr>
                <w:b/>
                <w:i/>
              </w:rPr>
              <w:t>tunneb muret selle pärast, et maailmameistrivõistlusi kasutatakse pigem spordipesu kui tõelise võimalusena rakendada vajalikke tööõiguse reforme;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Saudi Araabia on käivitanud mitu ambitsioonikat taristuprojekti enne EXPO 2030 ja FIFA 2034. aasta maailmameistrivõistluste korraldamist;</w:t>
            </w:r>
          </w:p>
        </w:tc>
        <w:tc>
          <w:tcPr>
            <w:tcW w:w="4876" w:type="dxa"/>
            <w:tcBorders>
              <w:top w:val="nil"/>
              <w:left w:val="nil"/>
              <w:bottom w:val="nil"/>
              <w:right w:val="nil"/>
            </w:tcBorders>
          </w:tcPr>
          <w:p>
            <w:pPr>
              <w:pStyle w:val="Normal6a"/>
            </w:pPr>
            <w:r>
              <w:t>25.</w:t>
            </w:r>
            <w:r>
              <w:tab/>
            </w:r>
            <w:r>
              <w:t xml:space="preserve">Märgib, et Saudi Araabia on käivitanud mitu ambitsioonikat taristuprojekti enne EXPO 2030 ja FIFA 2034. aasta maailmameistrivõistluste korraldamist </w:t>
            </w:r>
            <w:r>
              <w:rPr>
                <w:b/>
                <w:i/>
              </w:rPr>
              <w:t>ning on tõsiselt mures nende võõrtöötajate dokumenteerimise pärast, kes seisavad hoolimata väljakuulutatud reformidest silmitsi ulatuslike kuritarvitustega kafala süsteemis, millest mõned võivad kujutada endast sunniviisilise töö olukordi, ning kutsub Saudi Araabiat üles süsteemi täielikult lammutama ja tagama töötajate streigiõiguse, kollektiivläbirääkimiste ja vaba ühinemise õiguse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Saudi Araabia on käivitanud mitu ambitsioonikat taristuprojekti enne EXPO 2030 ja FIFA 2034. aasta maailmameistrivõistluste korraldamist;</w:t>
            </w:r>
          </w:p>
        </w:tc>
        <w:tc>
          <w:tcPr>
            <w:tcW w:w="4876" w:type="dxa"/>
            <w:tcBorders>
              <w:top w:val="nil"/>
              <w:left w:val="nil"/>
              <w:bottom w:val="nil"/>
              <w:right w:val="nil"/>
            </w:tcBorders>
          </w:tcPr>
          <w:p>
            <w:pPr>
              <w:pStyle w:val="Normal6a"/>
            </w:pPr>
            <w:r>
              <w:t>25.</w:t>
            </w:r>
            <w:r>
              <w:tab/>
            </w:r>
            <w:r>
              <w:t xml:space="preserve">märgib, et Saudi Araabia on käivitanud mitu ambitsioonikat taristuprojekti enne EXPO 2030 ja FIFA 2034. aasta maailmameistrivõistluste korraldamist; </w:t>
            </w:r>
            <w:r>
              <w:rPr>
                <w:b/>
                <w:i/>
              </w:rPr>
              <w:t>loodab valitsuse suutlikkusele tagada töötajate õigus ühinemisvabadusele;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Saudi Araabia on käivitanud mitu ambitsioonikat taristuprojekti enne EXPO 2030 ja FIFA 2034. aasta maailmameistrivõistluste korraldamist;</w:t>
            </w:r>
          </w:p>
        </w:tc>
        <w:tc>
          <w:tcPr>
            <w:tcW w:w="4876" w:type="dxa"/>
            <w:tcBorders>
              <w:top w:val="nil"/>
              <w:left w:val="nil"/>
              <w:bottom w:val="nil"/>
              <w:right w:val="nil"/>
            </w:tcBorders>
          </w:tcPr>
          <w:p>
            <w:pPr>
              <w:pStyle w:val="Normal6a"/>
            </w:pPr>
            <w:r>
              <w:t>25.</w:t>
            </w:r>
            <w:r>
              <w:tab/>
            </w:r>
            <w:r>
              <w:t>märgib, et Saudi Araabia on käivitanud mitu ambitsioonikat taristuprojekti enne EXPO 2030 ja FIFA 2034. aasta maailmameistrivõistluste korraldamist</w:t>
            </w:r>
            <w:r>
              <w:rPr>
                <w:b/>
                <w:i/>
              </w:rPr>
              <w:t>, ning rõhutab, et töötajate kohtlemise ja õiguste pärast on endiselt palju probleeme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nõuab tungivalt, et Saudi Araabia kaotaks vahepeal kõik sellised nõuded võõrtöötajatele, mis on seotud tööandja nõusolekuga riigist lahkumiseks ja töökoha vahetamiseks;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nõuab tungivalt, et Saudi Araabia kaotaks vahepeal kõik sellised nõuded võõrtöötajatele, mis on seotud tööandja nõusolekuga riigist lahkumiseks ja töökoha vahetamiseks;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nõuab tungivalt, et Saudi Araabia tugevdaks hoolsuskohustust ja järelevalvet värbamisettevõtete üle, tagamaks, et nad katavad kõik töötajate värbamisega seotud kulud ja tasud, ning looks töötajate ebaseaduslike värbamistasude hüvitamiseks fondi;</w:t>
            </w:r>
            <w:r>
              <w:t xml:space="preserve"> </w:t>
            </w:r>
            <w:r>
              <w:rPr>
                <w:b/>
                <w:i/>
              </w:rPr>
              <w:t>kutsub Saudi Araabiat üles kehtestama mittediskrimineerival alusel äraelamist võimaldavat miinimumpalka ja tagama võõrtöötajate palgavarguse kõigi vormide puhul juurdepääsu õiguskaitsevahenditele, mis võimaldavad tasustamata töötajatel saada oma tasustamata palka ja hüvitisi;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nõuab tungivalt, et Saudi Araabia tugevdaks hoolsuskohustust ja järelevalvet värbamisettevõtete üle, tagamaks, et nad katavad kõik töötajate värbamisega seotud kulud ja tasud, ning looks töötajate ebaseaduslike värbamistasude hüvitamiseks fondi;</w:t>
            </w:r>
            <w:r>
              <w:t xml:space="preserve"> </w:t>
            </w:r>
            <w:r>
              <w:rPr>
                <w:b/>
                <w:i/>
              </w:rPr>
              <w:t>kutsub Saudi Araabiat üles kehtestama mittediskrimineerival alusel äraelamist võimaldavat miinimumpalka ja tagama võõrtöötajate palgavarguse kõigi vormide puhul juurdepääsu õiguskaitsevahenditele, mis võimaldavad tasustamata töötajatel saada oma tasustamata palka ja hüvitisi;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tõdeb võimalust teha ELi ja Saudi Araabia </w:t>
            </w:r>
            <w:r>
              <w:rPr>
                <w:b/>
                <w:i/>
              </w:rPr>
              <w:t>vahel</w:t>
            </w:r>
            <w:r>
              <w:t xml:space="preserve"> koostööd India, Lähis-Ida ja Euroopa majanduskoridori algatuse raames, mis peaks juhtima investeeringuid elektrikaablitesse, merealustesse telekommunikatsiooni- ja andmesidekaablitesse ning saastevaba vesiniku torujuhtmetesse;</w:t>
            </w:r>
          </w:p>
        </w:tc>
        <w:tc>
          <w:tcPr>
            <w:tcW w:w="4876" w:type="dxa"/>
            <w:tcBorders>
              <w:top w:val="nil"/>
              <w:left w:val="nil"/>
              <w:bottom w:val="nil"/>
              <w:right w:val="nil"/>
            </w:tcBorders>
          </w:tcPr>
          <w:p>
            <w:pPr>
              <w:pStyle w:val="Normal6a"/>
            </w:pPr>
            <w:r>
              <w:t>26.</w:t>
            </w:r>
            <w:r>
              <w:tab/>
            </w:r>
            <w:r>
              <w:t xml:space="preserve">tõdeb võimalust teha ELi ja Saudi Araabia koostööd </w:t>
            </w:r>
            <w:r>
              <w:rPr>
                <w:b/>
                <w:i/>
              </w:rPr>
              <w:t>ELi ja Pärsia lahe koostöönõukogu strateegilise partnerluse raames ning ELi algatuse „Global Gateway“ kaudu</w:t>
            </w:r>
            <w:r>
              <w:t xml:space="preserve"> India, Lähis-Ida ja Euroopa majanduskoridori algatuse raames, mis peaks juhtima investeeringuid elektrikaablitesse, merealustesse telekommunikatsiooni- ja andmesidekaablitesse ning saastevaba vesiniku torujuhtmetesse</w:t>
            </w:r>
            <w:r>
              <w:rPr>
                <w:b/>
                <w:i/>
              </w:rPr>
              <w:t>, ning väljendab heameelt USA osalemise üle</w:t>
            </w:r>
            <w:r>
              <w:t xml:space="preserve">; </w:t>
            </w:r>
            <w:r>
              <w:rPr>
                <w:b/>
                <w:i/>
              </w:rPr>
              <w:t>nõuab tungivalt IMECi rahastamispuudujäägi kõrvaldamist ELi, USA ja Pärsia lahe investeeringute kaudu ning kestliku taristu arendamise edendamist;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tõdeb</w:t>
            </w:r>
            <w:r>
              <w:t xml:space="preserve"> võimalust teha ELi ja Saudi Araabia vahel koostööd India</w:t>
            </w:r>
            <w:r>
              <w:rPr>
                <w:b/>
                <w:i/>
              </w:rPr>
              <w:t>, Lähis-Ida ja Euroopa</w:t>
            </w:r>
            <w:r>
              <w:t xml:space="preserve"> majanduskoridori algatuse raames, mis peaks juhtima investeeringuid elektrikaablitesse, merealustesse telekommunikatsiooni- ja andmesidekaablitesse ning saastevaba vesiniku torujuhtmetesse;</w:t>
            </w:r>
          </w:p>
        </w:tc>
        <w:tc>
          <w:tcPr>
            <w:tcW w:w="4876" w:type="dxa"/>
            <w:tcBorders>
              <w:top w:val="nil"/>
              <w:left w:val="nil"/>
              <w:bottom w:val="nil"/>
              <w:right w:val="nil"/>
            </w:tcBorders>
          </w:tcPr>
          <w:p>
            <w:pPr>
              <w:pStyle w:val="Normal6a"/>
            </w:pPr>
            <w:r>
              <w:t>26.</w:t>
            </w:r>
            <w:r>
              <w:tab/>
            </w:r>
            <w:r>
              <w:rPr>
                <w:b/>
                <w:i/>
              </w:rPr>
              <w:t>tunnistab</w:t>
            </w:r>
            <w:r>
              <w:t xml:space="preserve"> võimalust teha ELi ja Saudi Araabia vahel koostööd India </w:t>
            </w:r>
            <w:r>
              <w:rPr>
                <w:b/>
                <w:i/>
              </w:rPr>
              <w:t>ning Kesk-Ida-Euroopa</w:t>
            </w:r>
            <w:r>
              <w:t xml:space="preserve"> majanduskoridori algatuse raames, mis peaks juhtima investeeringuid elektrikaablitesse, merealustesse telekommunikatsiooni- ja andmesidekaablitesse ning saastevaba vesiniku torujuhtmetesse</w:t>
            </w:r>
            <w:r>
              <w:rPr>
                <w:b/>
                <w:i/>
              </w:rPr>
              <w:t>, kuid märgib vajadust töötada välja ja rakendada inimõigustega seotud hoolsuskohustuse poliitika, konsulteerides asjaomaste õiguste omajatega, nagu sõltumatud töötajate ametiühingud ja muud sidusrühmad, ning kooskõlas ÜRO äritegevuse ja inimõiguste juhtpõhimõtetega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tõdeb võimalust teha ELi ja Saudi Araabia vahel koostööd India, Lähis-Ida ja Euroopa majanduskoridori algatuse raames, mis peaks juhtima investeeringuid elektrikaablitesse, merealustesse telekommunikatsiooni- ja andmesidekaablitesse ning saastevaba vesiniku torujuhtmetesse;</w:t>
            </w:r>
          </w:p>
        </w:tc>
        <w:tc>
          <w:tcPr>
            <w:tcW w:w="4876" w:type="dxa"/>
            <w:tcBorders>
              <w:top w:val="nil"/>
              <w:left w:val="nil"/>
              <w:bottom w:val="nil"/>
              <w:right w:val="nil"/>
            </w:tcBorders>
          </w:tcPr>
          <w:p>
            <w:pPr>
              <w:pStyle w:val="Normal6a"/>
            </w:pPr>
            <w:r>
              <w:t>26.</w:t>
            </w:r>
            <w:r>
              <w:tab/>
            </w:r>
            <w:r>
              <w:t xml:space="preserve">tõdeb võimalust teha ELi ja Saudi Araabia vahel koostööd India, Lähis-Ida ja Euroopa majanduskoridori algatuse raames, mis peaks juhtima investeeringuid elektrikaablitesse, merealustesse telekommunikatsiooni- ja andmesidekaablitesse ning saastevaba vesiniku torujuhtmetesse; </w:t>
            </w:r>
            <w:r>
              <w:rPr>
                <w:b/>
                <w:i/>
              </w:rPr>
              <w:t>hindab selle potentsiaali ELi mitmeliigiliste transpordiühenduste kaudu ühendamiseks;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tõdeb võimalust teha ELi ja Saudi Araabia vahel koostööd India, Lähis-Ida ja Euroopa majanduskoridori algatuse raames, mis peaks juhtima investeeringuid elektrikaablitesse, merealustesse telekommunikatsiooni- ja andmesidekaablitesse ning saastevaba vesiniku torujuhtmetesse;</w:t>
            </w:r>
          </w:p>
        </w:tc>
        <w:tc>
          <w:tcPr>
            <w:tcW w:w="4876" w:type="dxa"/>
            <w:tcBorders>
              <w:top w:val="nil"/>
              <w:left w:val="nil"/>
              <w:bottom w:val="nil"/>
              <w:right w:val="nil"/>
            </w:tcBorders>
          </w:tcPr>
          <w:p>
            <w:pPr>
              <w:pStyle w:val="Normal6a"/>
            </w:pPr>
            <w:r>
              <w:t>26.</w:t>
            </w:r>
            <w:r>
              <w:tab/>
            </w:r>
            <w:r>
              <w:t xml:space="preserve">tõdeb võimalust </w:t>
            </w:r>
            <w:r>
              <w:rPr>
                <w:b/>
                <w:i/>
              </w:rPr>
              <w:t>ja lähedasi huve</w:t>
            </w:r>
            <w:r>
              <w:t xml:space="preserve"> teha ELi ja Saudi Araabia vahel koostööd India, Lähis-Ida ja Euroopa majanduskoridori algatuse raames, mis peaks juhtima investeeringuid elektrikaablitesse, merealustesse telekommunikatsiooni- ja andmesidekaablitesse ning saastevaba vesiniku torujuhtmetesse;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rõhutab IMECi koridori strateegilist tähtsust piirkondliku ühenduvuse, majandusintegratsiooni ja geopoliitilise koostöö ümberkujundava jõuna;</w:t>
            </w:r>
            <w:r>
              <w:t xml:space="preserve"> </w:t>
            </w:r>
            <w:r>
              <w:rPr>
                <w:b/>
                <w:i/>
              </w:rPr>
              <w:t>märgib potentsiaali laiendada koostööd strateegilise digitaristu, sealhulgas Pärsia lahe ja Euroopat ühendavate mitmekesiste ja turvaliste andmeteede valdkonnas ühise eesmärgiga suurendada Euroopa digitaalset vastupanuvõimet, andmeturvet ning ühenduvust Aasia ja Aafrikaga;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tunnustab Saudi Araabia Kuningriigis asuva Euroopa Kaubanduskoja (ECCKSA) jätkuvaid jõupingutusi Euroopa ettevõtete ja Saudi Araabia vahelise koostöö edendamiseks transpordi- ja logistikataristu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w:t>
            </w:r>
          </w:p>
        </w:tc>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 </w:t>
            </w:r>
            <w:r>
              <w:rPr>
                <w:b/>
                <w:i/>
              </w:rPr>
              <w:t>rõhutab, et selle ja kõigi muude ELi peetavate inimõigustealaste dialoogide eesmärk peaks olema tagada konkreetsed, mõõdetavad ja ajaliselt piiritletud inimõigustealased edusammud, sealhulgas inimõiguste reformid, peatada kuritarvituslik poliitika, tagada vastutus kuritarvituste eest ja vabastada ebaõiglaselt vangistatud isikud;</w:t>
            </w:r>
            <w:r>
              <w:t xml:space="preserve"> </w:t>
            </w:r>
            <w:r>
              <w:rPr>
                <w:b/>
                <w:i/>
              </w:rPr>
              <w:t>tuletab meelde, et ELi ja Saudi Araabia inimõigustealane koostöö ei tohi piirduda üksnes inimõigustealaste dialoogidega, vaid seda tuleb ühtlustada kõigis ELi ja Saudi Araabia vahelistes suhetes, nagu on sätestatud ELi lepingu artiklis 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w:t>
            </w:r>
          </w:p>
        </w:tc>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 </w:t>
            </w:r>
            <w:r>
              <w:rPr>
                <w:b/>
                <w:i/>
              </w:rPr>
              <w:t>märgib, et arutelud hõlmasid paljusid inimõigustega seotud küsimusi, sealhulgas naiste ja haavatavate rühmade õigusi, õigusriiki, õigust õiglasele kohtulikule arutamisele, surmanuhtlust, sõna-, kogunemis- ja ühinemisvabadust, inimkaubandust, majanduslikke, sotsiaalseid ja kultuurilisi õigusi ning ELi ja Saudi Araabia kahepoolset koostööd ja tegevust mitmepoolsetel inimõiguste foorumitel;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w:t>
            </w:r>
            <w:r>
              <w:rPr>
                <w:b/>
                <w:i/>
              </w:rPr>
              <w:t>Ar-Riyādhis</w:t>
            </w:r>
            <w:r>
              <w:t>;</w:t>
            </w:r>
          </w:p>
        </w:tc>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w:t>
            </w:r>
            <w:r>
              <w:rPr>
                <w:b/>
                <w:i/>
              </w:rPr>
              <w:t>Riyadhis, ning rõhutab, et selle ja kõigi muude ELi peetavate inimõigustealaste dialoogide eesmärk peaks olema tagada konkreetsed, mõõdetavad ja ajaliselt piiritletud inimõigustealased edusammud, sealhulgas inimõiguste reformid, peatada kuritarvituslik poliitika, tagada vastutus kuritarvituste eest ja vabastada ebaõiglaselt vangistatud isikud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w:t>
            </w:r>
          </w:p>
        </w:tc>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 </w:t>
            </w:r>
            <w:r>
              <w:rPr>
                <w:b/>
                <w:i/>
              </w:rPr>
              <w:t>rõhutab, et inimõigustealased dialoogid on oluline platvorm rahvusvaheliste inimõiguste väljavaadete vahetamiseks ja mitmepoolse koostöö tugevdamiseks;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w:t>
            </w:r>
          </w:p>
        </w:tc>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 </w:t>
            </w:r>
            <w:r>
              <w:rPr>
                <w:b/>
                <w:i/>
              </w:rPr>
              <w:t>rõhutab, et nende inimõigustealaste dialoogide eesmärk peaks olema tagada konkreetsed, mõõdetavad ja tähtajalised inimõigustealased edusammud ja reformid;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w:t>
            </w:r>
          </w:p>
        </w:tc>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Euroopa Komisjon ning mille neljas dialoog toimus 2024. aasta detsembris Ar-Riyādhis; </w:t>
            </w:r>
            <w:r>
              <w:rPr>
                <w:b/>
                <w:i/>
              </w:rPr>
              <w:t>rõhutab, et selle ja kõigi muude inimõigustealaste dialoogide eesmärk peaks olema konkreetsete, mõõdetavate, ajaliselt piiritletud ja siduvate kohustuste võtmine;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w:t>
            </w:r>
            <w:r>
              <w:rPr>
                <w:b/>
                <w:i/>
              </w:rPr>
              <w:t>Euroopa Komisjon</w:t>
            </w:r>
            <w:r>
              <w:t xml:space="preserve"> ning mille neljas dialoog toimus 2024. aasta detsembris Ar-Riyādhis;</w:t>
            </w:r>
          </w:p>
        </w:tc>
        <w:tc>
          <w:tcPr>
            <w:tcW w:w="4876" w:type="dxa"/>
            <w:tcBorders>
              <w:top w:val="nil"/>
              <w:left w:val="nil"/>
              <w:bottom w:val="nil"/>
              <w:right w:val="nil"/>
            </w:tcBorders>
          </w:tcPr>
          <w:p>
            <w:pPr>
              <w:pStyle w:val="Normal6a"/>
            </w:pPr>
            <w:r>
              <w:t>27.</w:t>
            </w:r>
            <w:r>
              <w:tab/>
            </w:r>
            <w:r>
              <w:t xml:space="preserve">nõuab ELi ja Saudi Araabia vahel tihedamat koostööd inimõiguste valdkonnas; väljendab heameelt ELi ja Saudi Araabia Kuningriigi inimõigustealaste dialoogide üle, mida juhivad Saudi Araabia inimõiguste komisjon ja </w:t>
            </w:r>
            <w:r>
              <w:rPr>
                <w:b/>
                <w:i/>
              </w:rPr>
              <w:t>ELi inimõiguste eriesindaja</w:t>
            </w:r>
            <w:r>
              <w:t xml:space="preserve"> ning mille neljas dialoog toimus 2024. aasta detsembris Ar-Riyādhis;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nõuab ELi ja Saudi Araabia vahel tihedamat koostööd </w:t>
            </w:r>
            <w:r>
              <w:rPr>
                <w:b/>
                <w:i/>
              </w:rPr>
              <w:t>inimõiguste</w:t>
            </w:r>
            <w:r>
              <w:t xml:space="preserve"> valdkonnas; </w:t>
            </w:r>
            <w:r>
              <w:rPr>
                <w:b/>
                <w:i/>
              </w:rPr>
              <w:t>väljendab heameelt ELi ja Saudi Araabia Kuningriigi inimõigustealaste dialoogide üle, mida juhivad Saudi Araabia inimõiguste komisjon ja Euroopa Komisjon ning mille neljas dialoog toimus 2024. aasta detsembris Ar-Riyādhis;</w:t>
            </w:r>
          </w:p>
        </w:tc>
        <w:tc>
          <w:tcPr>
            <w:tcW w:w="4876" w:type="dxa"/>
            <w:tcBorders>
              <w:top w:val="nil"/>
              <w:left w:val="nil"/>
              <w:bottom w:val="nil"/>
              <w:right w:val="nil"/>
            </w:tcBorders>
          </w:tcPr>
          <w:p>
            <w:pPr>
              <w:pStyle w:val="Normal6a"/>
            </w:pPr>
            <w:r>
              <w:t>27.</w:t>
            </w:r>
            <w:r>
              <w:tab/>
            </w:r>
            <w:r>
              <w:t xml:space="preserve">nõuab ELi ja Saudi Araabia vahel tihedamat koostööd </w:t>
            </w:r>
            <w:r>
              <w:rPr>
                <w:b/>
                <w:i/>
              </w:rPr>
              <w:t>meie ühistes huvides julgeoleku, piirkondliku stabiilsuse, ebaseadusliku sisserände vastu võitlemise ja majanduse</w:t>
            </w:r>
            <w:r>
              <w:t xml:space="preserve"> valdkonnas;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nõuab kõigi inimõiguste kaitsjate, naiste õiguste kaitsjate, rahumeelsete kriitikute ja aktivistide viivitamatut ja tingimusteta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nõuab, et loodaks struktureeritud ELi järelevalvemehhanism, mis sisaldaks selgeid võrdlusaluseid, ajakava ja tagajärgi edusammude puudumisele Saudi Araabia inimõigustealastes reformides;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tunnustab Saudi Araabias rakendatud </w:t>
            </w:r>
            <w:r>
              <w:rPr>
                <w:b/>
                <w:i/>
              </w:rPr>
              <w:t>märkimisväärseid sotsiaalseid reforme, nagu uued tsiviiltehingute seadused, edusammud</w:t>
            </w:r>
            <w:r>
              <w:t xml:space="preserve"> naiste </w:t>
            </w:r>
            <w:r>
              <w:rPr>
                <w:b/>
                <w:i/>
              </w:rPr>
              <w:t>mõjuvõimu suurendamisel, karistusseadustiku koostamine,</w:t>
            </w:r>
            <w:r>
              <w:t xml:space="preserve"> võõrtöötajate </w:t>
            </w:r>
            <w:r>
              <w:rPr>
                <w:b/>
                <w:i/>
              </w:rPr>
              <w:t>tööjõusüsteemi kafala parandamine ja töötajaid käsitlevate uute reeglite rakendamine</w:t>
            </w:r>
            <w:r>
              <w:t>;</w:t>
            </w:r>
          </w:p>
        </w:tc>
        <w:tc>
          <w:tcPr>
            <w:tcW w:w="4876" w:type="dxa"/>
            <w:tcBorders>
              <w:top w:val="nil"/>
              <w:left w:val="nil"/>
              <w:bottom w:val="nil"/>
              <w:right w:val="nil"/>
            </w:tcBorders>
          </w:tcPr>
          <w:p>
            <w:pPr>
              <w:pStyle w:val="Normal6a"/>
            </w:pPr>
            <w:r>
              <w:t>28.</w:t>
            </w:r>
            <w:r>
              <w:tab/>
            </w:r>
            <w:r>
              <w:t xml:space="preserve">tunnustab Saudi Araabias rakendatud </w:t>
            </w:r>
            <w:r>
              <w:rPr>
                <w:b/>
                <w:i/>
              </w:rPr>
              <w:t>sotsiaalreforme, rõhutades samas, et kavandatud edusammude edendamiseks ja tugevdamiseks on vaja täiendavaid samme, muu hulgas tagades, et uues karistusseadustikus kriminaliseeritakse lapsega sõlmitud abielud ja abielusisene vägistamine ning dekriminaliseerida õigus sõna-, kogunemis- ja ühinemisvabadusele;</w:t>
            </w:r>
            <w:r>
              <w:t xml:space="preserve"> </w:t>
            </w:r>
            <w:r>
              <w:rPr>
                <w:b/>
                <w:i/>
              </w:rPr>
              <w:t>on jätkuvalt mures valitseva diskrimineerimise pärast nii seadustes kui ka praktikas, sealhulgas</w:t>
            </w:r>
            <w:r>
              <w:t xml:space="preserve"> naiste </w:t>
            </w:r>
            <w:r>
              <w:rPr>
                <w:b/>
                <w:i/>
              </w:rPr>
              <w:t>ja</w:t>
            </w:r>
            <w:r>
              <w:t xml:space="preserve"> võõrtöötajate </w:t>
            </w:r>
            <w:r>
              <w:rPr>
                <w:b/>
                <w:i/>
              </w:rPr>
              <w:t>suhtes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tunnustab Saudi Araabias rakendatud </w:t>
            </w:r>
            <w:r>
              <w:rPr>
                <w:b/>
                <w:i/>
              </w:rPr>
              <w:t>märkimisväärseid</w:t>
            </w:r>
            <w:r>
              <w:t xml:space="preserve"> sotsiaalseid reforme, nagu uued tsiviiltehingute seadused, edusammud naiste mõjuvõimu suurendamisel, karistusseadustiku koostamine, võõrtöötajate tööjõusüsteemi kafala parandamine ja töötajaid käsitlevate uute reeglite rakendamine;</w:t>
            </w:r>
          </w:p>
        </w:tc>
        <w:tc>
          <w:tcPr>
            <w:tcW w:w="4876" w:type="dxa"/>
            <w:tcBorders>
              <w:top w:val="nil"/>
              <w:left w:val="nil"/>
              <w:bottom w:val="nil"/>
              <w:right w:val="nil"/>
            </w:tcBorders>
          </w:tcPr>
          <w:p>
            <w:pPr>
              <w:pStyle w:val="Normal6a"/>
            </w:pPr>
            <w:r>
              <w:t>28.</w:t>
            </w:r>
            <w:r>
              <w:tab/>
            </w:r>
            <w:r>
              <w:t xml:space="preserve">tunnustab Saudi Araabias rakendatud sotsiaalseid reforme, nagu uued tsiviiltehingute seadused, edusammud naiste mõjuvõimu suurendamisel, karistusseadustiku koostamine, võõrtöötajate tööjõusüsteemi kafala parandamine ja töötajaid käsitlevate uute reeglite rakendamine; </w:t>
            </w:r>
            <w:r>
              <w:rPr>
                <w:b/>
                <w:i/>
              </w:rPr>
              <w:t>märgib siiski, et Saudi Araabia õigussüsteemi kannatab kahese probleemi all, mida iseloomustab terviklik kriminaalseadustiku puudumine ja ebamääraselt määratletud piiravad seadused.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tunnustab Saudi </w:t>
            </w:r>
            <w:r>
              <w:rPr>
                <w:b/>
                <w:i/>
              </w:rPr>
              <w:t>Araabias</w:t>
            </w:r>
            <w:r>
              <w:t xml:space="preserve"> rakendatud märkimisväärseid sotsiaalseid reforme, nagu uued tsiviiltehingute seadused</w:t>
            </w:r>
            <w:r>
              <w:rPr>
                <w:b/>
                <w:i/>
              </w:rPr>
              <w:t>, edusammud</w:t>
            </w:r>
            <w:r>
              <w:t xml:space="preserve"> naiste mõjuvõimu </w:t>
            </w:r>
            <w:r>
              <w:rPr>
                <w:b/>
                <w:i/>
              </w:rPr>
              <w:t>suurendamisel, karistusseadustiku koostamine, võõrtöötajate tööjõusüsteemi kafala parandamine ja töötajaid käsitlevate uute reeglite rakendamine</w:t>
            </w:r>
            <w:r>
              <w:t>;</w:t>
            </w:r>
          </w:p>
        </w:tc>
        <w:tc>
          <w:tcPr>
            <w:tcW w:w="4876" w:type="dxa"/>
            <w:tcBorders>
              <w:top w:val="nil"/>
              <w:left w:val="nil"/>
              <w:bottom w:val="nil"/>
              <w:right w:val="nil"/>
            </w:tcBorders>
          </w:tcPr>
          <w:p>
            <w:pPr>
              <w:pStyle w:val="Normal6a"/>
            </w:pPr>
            <w:r>
              <w:t>28.</w:t>
            </w:r>
            <w:r>
              <w:tab/>
            </w:r>
            <w:r>
              <w:t xml:space="preserve">tunnustab Saudi </w:t>
            </w:r>
            <w:r>
              <w:rPr>
                <w:b/>
                <w:i/>
              </w:rPr>
              <w:t>Araabia</w:t>
            </w:r>
            <w:r>
              <w:t xml:space="preserve"> rakendatud märkimisväärseid sotsiaalseid reforme, nagu uued tsiviiltehingute seadused </w:t>
            </w:r>
            <w:r>
              <w:rPr>
                <w:b/>
                <w:i/>
              </w:rPr>
              <w:t>ja</w:t>
            </w:r>
            <w:r>
              <w:t xml:space="preserve"> naiste mõjuvõimu </w:t>
            </w:r>
            <w:r>
              <w:rPr>
                <w:b/>
                <w:i/>
              </w:rPr>
              <w:t>suurendamine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tunnustab Saudi Araabias rakendatud märkimisväärseid sotsiaalseid reforme, nagu uued tsiviiltehingute seadused, edusammud naiste mõjuvõimu suurendamisel, karistusseadustiku koostamine, </w:t>
            </w:r>
            <w:r>
              <w:rPr>
                <w:b/>
                <w:i/>
              </w:rPr>
              <w:t>võõrtöötajate tööjõusüsteemi</w:t>
            </w:r>
            <w:r>
              <w:t xml:space="preserve"> kafala parandamine ja töötajaid käsitlevate uute reeglite rakendamine;</w:t>
            </w:r>
          </w:p>
        </w:tc>
        <w:tc>
          <w:tcPr>
            <w:tcW w:w="4876" w:type="dxa"/>
            <w:tcBorders>
              <w:top w:val="nil"/>
              <w:left w:val="nil"/>
              <w:bottom w:val="nil"/>
              <w:right w:val="nil"/>
            </w:tcBorders>
          </w:tcPr>
          <w:p>
            <w:pPr>
              <w:pStyle w:val="Normal6a"/>
            </w:pPr>
            <w:r>
              <w:t>28.</w:t>
            </w:r>
            <w:r>
              <w:tab/>
            </w:r>
            <w:r>
              <w:t xml:space="preserve">tunnustab Saudi Araabias rakendatud märkimisväärseid sotsiaalseid reforme, nagu uued tsiviiltehingute seadused, edusammud naiste mõjuvõimu suurendamisel, karistusseadustiku koostamine, </w:t>
            </w:r>
            <w:r>
              <w:rPr>
                <w:b/>
                <w:i/>
              </w:rPr>
              <w:t>sponsorluse süsteemi (</w:t>
            </w:r>
            <w:r>
              <w:t>kafala</w:t>
            </w:r>
            <w:r>
              <w:rPr>
                <w:b/>
                <w:i/>
              </w:rPr>
              <w:t>)</w:t>
            </w:r>
            <w:r>
              <w:t xml:space="preserve"> parandamine ja töötajaid käsitlevate uute reeglite rakendamine;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tunnustab Saudi Araabias rakendatud </w:t>
            </w:r>
            <w:r>
              <w:rPr>
                <w:b/>
                <w:i/>
              </w:rPr>
              <w:t>märkimisväärseid</w:t>
            </w:r>
            <w:r>
              <w:t xml:space="preserve"> sotsiaalseid reforme, nagu uued tsiviiltehingute seadused, edusammud naiste mõjuvõimu suurendamisel, karistusseadustiku koostamine, võõrtöötajate tööjõusüsteemi kafala parandamine ja töötajaid käsitlevate uute reeglite rakendamine;</w:t>
            </w:r>
          </w:p>
        </w:tc>
        <w:tc>
          <w:tcPr>
            <w:tcW w:w="4876" w:type="dxa"/>
            <w:tcBorders>
              <w:top w:val="nil"/>
              <w:left w:val="nil"/>
              <w:bottom w:val="nil"/>
              <w:right w:val="nil"/>
            </w:tcBorders>
          </w:tcPr>
          <w:p>
            <w:pPr>
              <w:pStyle w:val="Normal6a"/>
            </w:pPr>
            <w:r>
              <w:t>28.</w:t>
            </w:r>
            <w:r>
              <w:tab/>
            </w:r>
            <w:r>
              <w:t>tunnustab Saudi Araabias rakendatud sotsiaalseid reforme, nagu uued tsiviiltehingute seadused, edusammud naiste mõjuvõimu suurendamisel, karistusseadustiku koostamine, võõrtöötajate tööjõusüsteemi kafala parandamine ja töötajaid käsitlevate uute reeglite rakendamine;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tunnustab Saudi Araabias rakendatud märkimisväärseid sotsiaalseid reforme, nagu uued tsiviiltehingute seadused, </w:t>
            </w:r>
            <w:r>
              <w:rPr>
                <w:b/>
                <w:i/>
              </w:rPr>
              <w:t>edusammud</w:t>
            </w:r>
            <w:r>
              <w:t xml:space="preserve"> naiste mõjuvõimu suurendamisel, karistusseadustiku koostamine, võõrtöötajate tööjõusüsteemi kafala parandamine ja </w:t>
            </w:r>
            <w:r>
              <w:rPr>
                <w:b/>
                <w:i/>
              </w:rPr>
              <w:t>töötajaid käsitlevate uute reeglite</w:t>
            </w:r>
            <w:r>
              <w:t xml:space="preserve"> rakendamine;</w:t>
            </w:r>
          </w:p>
        </w:tc>
        <w:tc>
          <w:tcPr>
            <w:tcW w:w="4876" w:type="dxa"/>
            <w:tcBorders>
              <w:top w:val="nil"/>
              <w:left w:val="nil"/>
              <w:bottom w:val="nil"/>
              <w:right w:val="nil"/>
            </w:tcBorders>
          </w:tcPr>
          <w:p>
            <w:pPr>
              <w:pStyle w:val="Normal6a"/>
            </w:pPr>
            <w:r>
              <w:t>28.</w:t>
            </w:r>
            <w:r>
              <w:tab/>
            </w:r>
            <w:r>
              <w:t xml:space="preserve">tunnustab Saudi Araabias rakendatud märkimisväärseid sotsiaalseid reforme, nagu uued tsiviiltehingute seadused, </w:t>
            </w:r>
            <w:r>
              <w:rPr>
                <w:b/>
                <w:i/>
              </w:rPr>
              <w:t>edasiliikumine</w:t>
            </w:r>
            <w:r>
              <w:t xml:space="preserve"> naiste mõjuvõimu suurendamisel, karistusseadustiku koostamine, võõrtöötajate tööjõusüsteemi kafala parandamine ja </w:t>
            </w:r>
            <w:r>
              <w:rPr>
                <w:b/>
                <w:i/>
              </w:rPr>
              <w:t>uute töönormide</w:t>
            </w:r>
            <w:r>
              <w:t xml:space="preserve"> rakendamine;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võtab teadmiseks Saudi Araabia töö karistusseadustiku koostamisel, rõhutades samas, et inimõigusorganisatsioonide sõnul kriminaliseeritakse seaduseelnõus sõnavõtud, mis on rahvusvahelise õigusega kaitstud õigused, ning ei kaitse naisi ja tütarlapsi igasuguse soolise vägivalla eest;</w:t>
            </w:r>
            <w:r>
              <w:t xml:space="preserve"> </w:t>
            </w:r>
            <w:r>
              <w:rPr>
                <w:b/>
                <w:i/>
              </w:rPr>
              <w:t>nõuab tungivalt, et Saudi Araabia ametivõimud muudaksid karistusseadustiku eelnõu kooskõlas riigi rahvusvaheliste kohustustega enne selle vastuvõtmist ning tagaksid, et naised ja tütarlapsed oleksid kaitstud igasuguse soolise vägivalla eest, eemaldades juriidilisest sõnavarast nn aukuriteod, tagades piisava kaitse ahistamise ja koduvägivalla eest, kriminaliseerides abielusisese vägistamise ning tagades lisaks eelnõu koostamisel kodanikuühiskonnaga, sealhulgas naissoost inimõiguste kaitsjatega sisuka konsulteerimise;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rõhutab, et naiste tööjõus osalemine Saudi Araabias on alates 2017. aastast enam kui kahekordistunud, ulatudes 37 %-ni</w:t>
            </w:r>
            <w:r>
              <w:rPr>
                <w:b/>
                <w:i/>
                <w:vertAlign w:val="superscript"/>
              </w:rPr>
              <w:t>2a</w:t>
            </w:r>
            <w:r>
              <w:rPr>
                <w:b/>
                <w:i/>
              </w:rPr>
              <w:t>;</w:t>
            </w:r>
            <w:r>
              <w:t xml:space="preserve"> </w:t>
            </w:r>
            <w:r>
              <w:rPr>
                <w:b/>
                <w:i/>
              </w:rPr>
              <w:t>märgib, et Saudi Araabia naistele kuulub nüüd 45 % VKEdest ja 17 % kõigist ettevõtetest;</w:t>
            </w:r>
            <w:r>
              <w:t xml:space="preserve"> </w:t>
            </w:r>
            <w:r>
              <w:rPr>
                <w:b/>
                <w:i/>
              </w:rPr>
              <w:t>on seisukohal, et need arengud kajastavad alates 2018. aastast algatatud õigusreformide mõju, sealhulgas juhtimiskeelu kaotamine</w:t>
            </w:r>
            <w:r>
              <w:rPr>
                <w:b/>
                <w:i/>
                <w:vertAlign w:val="superscript"/>
              </w:rPr>
              <w:t>3a</w:t>
            </w:r>
            <w:r>
              <w:rPr>
                <w:b/>
                <w:i/>
              </w:rPr>
              <w:t>, ahistamisvastase seaduse vastuvõtmine ja uued isikustaatust käsitlevad määrused, millega tõstetakse abieluea alampiiri 18 eluaastani ja tugevdatakse naiste autonoomiat;</w:t>
            </w:r>
            <w:r>
              <w:t xml:space="preserve"> </w:t>
            </w:r>
            <w:r>
              <w:rPr>
                <w:b/>
                <w:i/>
              </w:rPr>
              <w:t>õnnitleb Saudi Araabiat nende saavutuste puhul ja julgustab jätkama reforme, mille eesmärk on veelgi edendada naiste õigusi ja osalemist avalikus elus;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https://genderdata.worldbank.org/en/economies/saudi-arabia#:~:text=In%20Saudi%20Arabia%2C%20the%20labor,labor%20force%20participation%20has%20increased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https://www.weforum.org/stories/2018/06/saudi-women-take-victory-lap-as-driving-ban-ends/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rõhutab usuvabaduse puudumist Saudi Araabias, eriti kristlaste puhul;</w:t>
            </w:r>
            <w:r>
              <w:t xml:space="preserve"> </w:t>
            </w:r>
            <w:r>
              <w:rPr>
                <w:b/>
                <w:i/>
              </w:rPr>
              <w:t>tuletab meelde, et Saudi Araabiat peetakse kristlastest vähemuste tagakiusamise poolest sageli maailmas teisel kohal olevaks riigiks;</w:t>
            </w:r>
            <w:r>
              <w:t xml:space="preserve"> </w:t>
            </w:r>
            <w:r>
              <w:rPr>
                <w:b/>
                <w:i/>
              </w:rPr>
              <w:t>nõuab tungivalt, et Saudi Araabia ametivõimud lubaksid vaimulikel riiki siseneda, mis neile praegu on keelatud;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võtab teadmiseks šiiidi vähemuse mured Saudi Araabias ning kutsub ametivõime üles tagama neile võrdne kohtlemine ja võrdsed võimalused kuningriigis;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tunnustab Saudi Araabiat seni kuue naise nimetamise eest suursaadiku ametikohale, mis on oluline samm naiste mõjuvõimu suurendamisel, ning rõhutab, et see tähistab üksnes edasiste edusammude algust naiste esindatuse ja juhtimise edendamisel;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väljendab heameelt selle üle, et 2022. aasta märtsis vabastati 2015. aasta Sahharovi auhinna võitja Raif Badawi, kuid kutsub Saudi Araabia ametivõime üles tühistama oma väga piiravad reisi- ja suhtluskeelud, et ta saaks taasühineda oma perekonnaga;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tõdeb kodanikuühiskonna kasvavat osalust kuningriigis, kus on rohkem kui 5400 registreeritud ühendust ja organisatsiooni, ning nõuab täiendavaid meetmeid selle positiivse suundumuse toetamiseks ja säilitamiseks;</w:t>
            </w:r>
          </w:p>
        </w:tc>
        <w:tc>
          <w:tcPr>
            <w:tcW w:w="4876" w:type="dxa"/>
            <w:tcBorders>
              <w:top w:val="nil"/>
              <w:left w:val="nil"/>
              <w:bottom w:val="nil"/>
              <w:right w:val="nil"/>
            </w:tcBorders>
          </w:tcPr>
          <w:p>
            <w:pPr>
              <w:pStyle w:val="Normal6a"/>
            </w:pPr>
            <w:r>
              <w:t>29.</w:t>
            </w:r>
            <w:r>
              <w:tab/>
            </w:r>
            <w:r>
              <w:t xml:space="preserve">tõdeb kodanikuühiskonna kasvavat osalust kuningriigis, kus on rohkem kui 5400 registreeritud ühendust ja organisatsiooni, ning nõuab täiendavaid meetmeid selle positiivse suundumuse toetamiseks ja säilitamiseks; </w:t>
            </w:r>
            <w:r>
              <w:rPr>
                <w:b/>
                <w:i/>
              </w:rPr>
              <w:t>väljendab siiski muret rahumeelsete aktivistide ja tavakodanike sihikule võtmise sagenemise ning nende meelevaldse vahistamise pärast sõnavabaduse kasutamise eest nii internetis kui ka väljaspool seda kooskõlas rahvusvahelise inimõigustealase õigusega;</w:t>
            </w:r>
            <w:r>
              <w:t xml:space="preserve"> </w:t>
            </w:r>
            <w:r>
              <w:rPr>
                <w:b/>
                <w:i/>
              </w:rPr>
              <w:t>julgustab Saudi Araabiat vaatama läbi terrorismi määratluse kooskõlas rahvusvaheliste standarditega, sealhulgas küberkuritegevuse ja terrorismivastaste õigusaktide muutmise kaudu, tagamaks, et sotsiaalmeedia kasutamist rahumeelseks väljenduseks ei kriminaliseerita;</w:t>
            </w:r>
            <w:r>
              <w:t xml:space="preserve"> </w:t>
            </w:r>
            <w:r>
              <w:rPr>
                <w:b/>
                <w:i/>
              </w:rPr>
              <w:t>tuletab meelde, et Euroopa Parlament andis 2015. aasta Sahharovi auhinna Saudi Araabia blogijale Raif Badawile;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tõdeb</w:t>
            </w:r>
            <w:r>
              <w:t xml:space="preserve"> kodanikuühiskonna </w:t>
            </w:r>
            <w:r>
              <w:rPr>
                <w:b/>
                <w:i/>
              </w:rPr>
              <w:t>kasvavat osalust kuningriigis, kus on rohkem</w:t>
            </w:r>
            <w:r>
              <w:t xml:space="preserve"> kui 5400 </w:t>
            </w:r>
            <w:r>
              <w:rPr>
                <w:b/>
                <w:i/>
              </w:rPr>
              <w:t>registreeritud ühendust</w:t>
            </w:r>
            <w:r>
              <w:t xml:space="preserve"> ja organisatsiooni</w:t>
            </w:r>
            <w:r>
              <w:rPr>
                <w:b/>
                <w:i/>
              </w:rPr>
              <w:t>, ning</w:t>
            </w:r>
            <w:r>
              <w:t xml:space="preserve"> nõuab </w:t>
            </w:r>
            <w:r>
              <w:rPr>
                <w:b/>
                <w:i/>
              </w:rPr>
              <w:t>täiendavaid meetmeid selle positiivse suundumuse toetamiseks ja säilitamiseks</w:t>
            </w:r>
            <w:r>
              <w:t>;</w:t>
            </w:r>
          </w:p>
        </w:tc>
        <w:tc>
          <w:tcPr>
            <w:tcW w:w="4876" w:type="dxa"/>
            <w:tcBorders>
              <w:top w:val="nil"/>
              <w:left w:val="nil"/>
              <w:bottom w:val="nil"/>
              <w:right w:val="nil"/>
            </w:tcBorders>
          </w:tcPr>
          <w:p>
            <w:pPr>
              <w:pStyle w:val="Normal6a"/>
            </w:pPr>
            <w:r>
              <w:t>29.</w:t>
            </w:r>
            <w:r>
              <w:tab/>
            </w:r>
            <w:r>
              <w:rPr>
                <w:b/>
                <w:i/>
              </w:rPr>
              <w:t>rõhutab sõltumatu Saudi Araabia</w:t>
            </w:r>
            <w:r>
              <w:t xml:space="preserve"> kodanikuühiskonna </w:t>
            </w:r>
            <w:r>
              <w:rPr>
                <w:b/>
                <w:i/>
              </w:rPr>
              <w:t>ulatuslikku represseerimist ning rahumeelsete teisitimõtlejate, avaliku sektori intellektuaalide, inimõiguste kaitsjate ja aktivistide meelevaldset vahistamist;</w:t>
            </w:r>
            <w:r>
              <w:t xml:space="preserve"> </w:t>
            </w:r>
            <w:r>
              <w:rPr>
                <w:b/>
                <w:i/>
              </w:rPr>
              <w:t>tunnistab, et hoolimata enam</w:t>
            </w:r>
            <w:r>
              <w:t xml:space="preserve"> kui 5400 </w:t>
            </w:r>
            <w:r>
              <w:rPr>
                <w:b/>
                <w:i/>
              </w:rPr>
              <w:t>ühenduse</w:t>
            </w:r>
            <w:r>
              <w:t xml:space="preserve"> ja organisatsiooni </w:t>
            </w:r>
            <w:r>
              <w:rPr>
                <w:b/>
                <w:i/>
              </w:rPr>
              <w:t>registreerimisest kuningriigis on sõltumatute valitsusväliste inimõigusorganisatsioonide loomine ja toimimine ning sõltumatu järelevalve keelatud;</w:t>
            </w:r>
            <w:r>
              <w:t xml:space="preserve"> nõuab </w:t>
            </w:r>
            <w:r>
              <w:rPr>
                <w:b/>
                <w:i/>
              </w:rPr>
              <w:t>tungivalt, et Saudi Araabia muudaks ühenduste seadust, et viia see täielikult kooskõlla rahvusvahelise õiguse ja standarditega ning võimaldada sõltumatute inimõiguste organisatsioonide ja ametiühingute moodustamist</w:t>
            </w:r>
            <w:r>
              <w:t xml:space="preserve">; </w:t>
            </w:r>
            <w:r>
              <w:rPr>
                <w:b/>
                <w:i/>
              </w:rPr>
              <w:t>kutsub Saudi Araabiat üles lõpetama inimõiguste kaitsjate, akadeemiliste ringkondade esindajate ja vaimulike meelevaldsed vahistamised ja kinnipidamised nende sõna- ja ühinemisvabaduse õiguse kasutamise eest, tagades, et õigus sõnavabadusele on tulevases karistusseadustikus kaitstud;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tõdeb kodanikuühiskonna kasvavat osalust kuningriigis, kus on rohkem kui 5400 registreeritud ühendust ja organisatsiooni, ning nõuab täiendavaid meetmeid selle positiivse suundumuse toetamiseks ja säilitamiseks;</w:t>
            </w:r>
          </w:p>
        </w:tc>
        <w:tc>
          <w:tcPr>
            <w:tcW w:w="4876" w:type="dxa"/>
            <w:tcBorders>
              <w:top w:val="nil"/>
              <w:left w:val="nil"/>
              <w:bottom w:val="nil"/>
              <w:right w:val="nil"/>
            </w:tcBorders>
          </w:tcPr>
          <w:p>
            <w:pPr>
              <w:pStyle w:val="Normal6a"/>
            </w:pPr>
            <w:r>
              <w:t>29.</w:t>
            </w:r>
            <w:r>
              <w:tab/>
            </w:r>
            <w:r>
              <w:t xml:space="preserve">tõdeb kodanikuühiskonna kasvavat osalust kuningriigis, kus on rohkem kui 5400 registreeritud ühendust ja organisatsiooni, ning nõuab täiendavaid meetmeid selle positiivse suundumuse toetamiseks ja säilitamiseks; </w:t>
            </w:r>
            <w:r>
              <w:rPr>
                <w:b/>
                <w:i/>
              </w:rPr>
              <w:t>nõuab sõnavabaduse kaitset ja kutsub Saudi Araabiat üles võimaldama inimõiguste rahvusvaheliste organisatsioonide tõhusat osalemist kohapeal;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tõdeb</w:t>
            </w:r>
            <w:r>
              <w:t xml:space="preserve"> kodanikuühiskonna </w:t>
            </w:r>
            <w:r>
              <w:rPr>
                <w:b/>
                <w:i/>
              </w:rPr>
              <w:t>kasvavat osalust kuningriigis, kus on rohkem</w:t>
            </w:r>
            <w:r>
              <w:t xml:space="preserve"> kui 5400 </w:t>
            </w:r>
            <w:r>
              <w:rPr>
                <w:b/>
                <w:i/>
              </w:rPr>
              <w:t>registreeritud ühendust</w:t>
            </w:r>
            <w:r>
              <w:t xml:space="preserve"> ja organisatsiooni</w:t>
            </w:r>
            <w:r>
              <w:rPr>
                <w:b/>
                <w:i/>
              </w:rPr>
              <w:t>, ning nõuab täiendavaid meetmeid selle positiivse suundumuse toetamiseks ja säilitamiseks</w:t>
            </w:r>
            <w:r>
              <w:t>;</w:t>
            </w:r>
          </w:p>
        </w:tc>
        <w:tc>
          <w:tcPr>
            <w:tcW w:w="4876" w:type="dxa"/>
            <w:tcBorders>
              <w:top w:val="nil"/>
              <w:left w:val="nil"/>
              <w:bottom w:val="nil"/>
              <w:right w:val="nil"/>
            </w:tcBorders>
          </w:tcPr>
          <w:p>
            <w:pPr>
              <w:pStyle w:val="Normal6a"/>
            </w:pPr>
            <w:r>
              <w:t>29.</w:t>
            </w:r>
            <w:r>
              <w:tab/>
            </w:r>
            <w:r>
              <w:rPr>
                <w:b/>
                <w:i/>
              </w:rPr>
              <w:t>rõhutab sõltumatu Saudi Araabia</w:t>
            </w:r>
            <w:r>
              <w:t xml:space="preserve"> kodanikuühiskonna </w:t>
            </w:r>
            <w:r>
              <w:rPr>
                <w:b/>
                <w:i/>
              </w:rPr>
              <w:t>ulatuslikku represseerimist ning rahumeelsete teisitimõtlejate, avaliku sektori intellektuaalide, inimõiguste kaitsjate ja aktivistide meelevaldset vahistamist;</w:t>
            </w:r>
            <w:r>
              <w:t xml:space="preserve"> </w:t>
            </w:r>
            <w:r>
              <w:rPr>
                <w:b/>
                <w:i/>
              </w:rPr>
              <w:t>tunnustab enam</w:t>
            </w:r>
            <w:r>
              <w:t xml:space="preserve"> kui 5400 </w:t>
            </w:r>
            <w:r>
              <w:rPr>
                <w:b/>
                <w:i/>
              </w:rPr>
              <w:t>ühenduse</w:t>
            </w:r>
            <w:r>
              <w:t xml:space="preserve"> ja organisatsiooni </w:t>
            </w:r>
            <w:r>
              <w:rPr>
                <w:b/>
                <w:i/>
              </w:rPr>
              <w:t>registreerimist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tõdeb kodanikuühiskonna kasvavat osalust kuningriigis, kus on rohkem kui 5400 registreeritud ühendust ja organisatsiooni, ning nõuab täiendavaid meetmeid selle positiivse suundumuse toetamiseks ja säilitamiseks;</w:t>
            </w:r>
          </w:p>
        </w:tc>
        <w:tc>
          <w:tcPr>
            <w:tcW w:w="4876" w:type="dxa"/>
            <w:tcBorders>
              <w:top w:val="nil"/>
              <w:left w:val="nil"/>
              <w:bottom w:val="nil"/>
              <w:right w:val="nil"/>
            </w:tcBorders>
          </w:tcPr>
          <w:p>
            <w:pPr>
              <w:pStyle w:val="Normal6a"/>
            </w:pPr>
            <w:r>
              <w:t>29.</w:t>
            </w:r>
            <w:r>
              <w:tab/>
            </w:r>
            <w:r>
              <w:t xml:space="preserve">tõdeb kodanikuühiskonna kasvavat osalust </w:t>
            </w:r>
            <w:r>
              <w:rPr>
                <w:b/>
                <w:i/>
              </w:rPr>
              <w:t>Saudi Araabia</w:t>
            </w:r>
            <w:r>
              <w:t xml:space="preserve"> kuningriigis, kus on rohkem kui 5400 registreeritud ühendust ja organisatsiooni, ning nõuab täiendavaid meetmeid selle positiivse suundumuse toetamiseks ja säilitamiseks;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võtab rahuloluga teadmiseks märkimisväärsed edusammud, mida on tehtud naiste avalikus elus osalemise suurendamisel, kusjuures naised moodustavad nüüd 41 % avalikust teenistusest, sealhulgas kõrgemad diplomaatilised ametikohad, ja 20 % šuuranõukogu liikmetest</w:t>
            </w:r>
            <w:r>
              <w:rPr>
                <w:b/>
                <w:i/>
                <w:vertAlign w:val="superscript"/>
              </w:rPr>
              <w:t>2a</w:t>
            </w:r>
            <w:r>
              <w:rPr>
                <w:b/>
                <w:i/>
              </w:rPr>
              <w:t>;</w:t>
            </w:r>
            <w:r>
              <w:t xml:space="preserve"> </w:t>
            </w:r>
            <w:r>
              <w:rPr>
                <w:b/>
                <w:i/>
              </w:rPr>
              <w:t>rõhutab lisaks 2023. aasta mai ajaloolist verstaposti, kui astronaut Rayyanah Barnawist sai esimene Saudi Araabia ja araabia moslemi naine, kes reisib kosmosesse, mis sümboliseerib Kuningriigi pühendumust mõjuvõimu suurendamisele, innovatsioonile ja tõkete kõrvaldamisele</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https://data.ipu.org/parliament/SA/SA-LC01/data-on-women/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https://sites.ungeneva.org/not-a-womans-job/2024/en/permanent-missions/rayanna-barnawi.html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nõuab tungivalt, et Saudi Araabia lubaks sõltumatutel inimõiguste vaatlejatel riiki külastada ja nõuaks korrapäraseid sõltumatuid inimõiguste olukorra aruandeid, mis sisaldaksid selgeid võrdlusaluseid Saudi Araabia inimõiguste olukorra edenemiseks;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nõuab tungivalt, et Saudi Araabia lubaks sõltumatutel inimõiguste vaatlejatel riiki külastada ja nõuaks korrapäraseid sõltumatuid inimõiguste olukorra aruandeid, mis sisaldaksid selgeid võrdlusaluseid Saudi Araabia inimõiguste olukorra edenemiseks;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nõuab tungivalt, et Saudi Araabia lubaks sõltumatutel inimõiguste vaatlejatel riiki külastada;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nõuab, et viivitamata vabastataks oma õiguste rahumeelse kasutamise eest kinni peetud isikud, eelkõige peamised aktivistid, akadeemikud ja vaimulikud;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tunnustab</w:t>
            </w:r>
            <w:r>
              <w:t xml:space="preserve"> Saudi Araabia inimõiguste </w:t>
            </w:r>
            <w:r>
              <w:rPr>
                <w:b/>
                <w:i/>
              </w:rPr>
              <w:t>strateegiat</w:t>
            </w:r>
            <w:r>
              <w:t xml:space="preserve"> 2034. aasta FIFA maailmameistrivõistluste jaoks; kinnitab veel kord ELi valmisolekut toetada käimasolevaid inimõigustealaseid ja tööreforme; nõuab tihedamat koostööd ÜRO ja Rahvusvahelise Tööorganisatsiooniga võõrtöötajate õiguste valdkonnas, eelkõige enne EXPO 2030 ja </w:t>
            </w:r>
            <w:r>
              <w:rPr>
                <w:b/>
                <w:i/>
              </w:rPr>
              <w:t>jalgpalli maailmameistrivõistlusi</w:t>
            </w:r>
            <w:r>
              <w:t>;</w:t>
            </w:r>
          </w:p>
        </w:tc>
        <w:tc>
          <w:tcPr>
            <w:tcW w:w="4876" w:type="dxa"/>
            <w:tcBorders>
              <w:top w:val="nil"/>
              <w:left w:val="nil"/>
              <w:bottom w:val="nil"/>
              <w:right w:val="nil"/>
            </w:tcBorders>
          </w:tcPr>
          <w:p>
            <w:pPr>
              <w:pStyle w:val="Normal6a"/>
            </w:pPr>
            <w:r>
              <w:t>30.</w:t>
            </w:r>
            <w:r>
              <w:tab/>
            </w:r>
            <w:r>
              <w:rPr>
                <w:b/>
                <w:i/>
              </w:rPr>
              <w:t>võtab teadmiseks</w:t>
            </w:r>
            <w:r>
              <w:t xml:space="preserve"> Saudi Araabia inimõiguste </w:t>
            </w:r>
            <w:r>
              <w:rPr>
                <w:b/>
                <w:i/>
              </w:rPr>
              <w:t>strateegia</w:t>
            </w:r>
            <w:r>
              <w:t xml:space="preserve"> 2034. aasta FIFA maailmameistrivõistluste jaoks</w:t>
            </w:r>
            <w:r>
              <w:rPr>
                <w:b/>
                <w:i/>
              </w:rPr>
              <w:t>, kuid peab kahetsusväärseks suutmatust sisuliselt käsitleda või isegi mainida mõningaid kõige tõsisemaid inimõigustega seotud riske, nagu tööalane kuritarvitamine ja ekspluateerimine, vabaduste mahasurumine ja eraelu puutumatuse õiguse rikkumine massilise jälgimise kaudu</w:t>
            </w:r>
            <w:r>
              <w:t xml:space="preserve">; kinnitab veel kord ELi valmisolekut toetada käimasolevaid inimõigustealaseid ja tööreforme; nõuab tihedamat koostööd ÜRO ja Rahvusvahelise Tööorganisatsiooniga võõrtöötajate õiguste valdkonnas, eelkõige enne EXPO 2030 ja </w:t>
            </w:r>
            <w:r>
              <w:rPr>
                <w:b/>
                <w:i/>
              </w:rPr>
              <w:t>turniiri, et tagada kõigile töötajatele piisavad töötingimused, eelkõige tõenduspõhised soojuskaitsemeetmed, õigeaegne ja täielik palk ning surma korral nõuetekohane uurimine ja hüvitis surnud isiku perekondadele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tunnustab Saudi Araabia inimõiguste strateegiat 2034. aasta FIFA maailmameistrivõistluste jaoks; kinnitab veel kord ELi valmisolekut toetada käimasolevaid inimõigustealaseid ja tööreforme; nõuab tihedamat koostööd ÜRO ja Rahvusvahelise Tööorganisatsiooniga võõrtöötajate õiguste valdkonnas, eelkõige enne EXPO 2030 ja </w:t>
            </w:r>
            <w:r>
              <w:rPr>
                <w:b/>
                <w:i/>
              </w:rPr>
              <w:t>jalgpalli maailmameistrivõistlusi</w:t>
            </w:r>
            <w:r>
              <w:t>;</w:t>
            </w:r>
          </w:p>
        </w:tc>
        <w:tc>
          <w:tcPr>
            <w:tcW w:w="4876" w:type="dxa"/>
            <w:tcBorders>
              <w:top w:val="nil"/>
              <w:left w:val="nil"/>
              <w:bottom w:val="nil"/>
              <w:right w:val="nil"/>
            </w:tcBorders>
          </w:tcPr>
          <w:p>
            <w:pPr>
              <w:pStyle w:val="Normal6a"/>
            </w:pPr>
            <w:r>
              <w:t>30.</w:t>
            </w:r>
            <w:r>
              <w:tab/>
            </w:r>
            <w:r>
              <w:t xml:space="preserve">tunnustab Saudi Araabia inimõiguste strateegiat 2034. aasta FIFA maailmameistrivõistluste jaoks; kinnitab veel kord ELi valmisolekut toetada käimasolevaid inimõigustealaseid ja tööreforme; nõuab tihedamat koostööd ÜRO ja Rahvusvahelise Tööorganisatsiooniga võõrtöötajate õiguste valdkonnas, eelkõige enne EXPO 2030 ja </w:t>
            </w:r>
            <w:r>
              <w:rPr>
                <w:b/>
                <w:i/>
              </w:rPr>
              <w:t>turniiri, tagamaks, et kõiki võõrtöötajate surmajuhtumeid, olenemata nende tajutavast põhjusest, ajast ja kohast, uuritakse nõuetekohaselt ning surnud töötajate perekonnad saavad õiglast ja õigeaegset hüvitist</w:t>
            </w:r>
            <w:r>
              <w:t xml:space="preserve">; </w:t>
            </w:r>
            <w:r>
              <w:rPr>
                <w:b/>
                <w:i/>
              </w:rPr>
              <w:t>et on kehtestatud nõuetekohased tõenduspõhised soojuskaitsemeetmed ning et kõigile töötajatele makstakse õigeaegset ja täielikku tasu;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tunnustab Saudi Araabia inimõiguste strateegiat 2034. aasta FIFA maailmameistrivõistluste jaoks; kinnitab veel kord ELi valmisolekut toetada käimasolevaid inimõigustealaseid ja tööreforme; nõuab tihedamat koostööd ÜRO ja Rahvusvahelise Tööorganisatsiooniga võõrtöötajate õiguste valdkonnas, eelkõige enne EXPO 2030 ja </w:t>
            </w:r>
            <w:r>
              <w:rPr>
                <w:b/>
                <w:i/>
              </w:rPr>
              <w:t>jalgpalli maailmameistrivõistlusi</w:t>
            </w:r>
            <w:r>
              <w:t>;</w:t>
            </w:r>
          </w:p>
        </w:tc>
        <w:tc>
          <w:tcPr>
            <w:tcW w:w="4876" w:type="dxa"/>
            <w:tcBorders>
              <w:top w:val="nil"/>
              <w:left w:val="nil"/>
              <w:bottom w:val="nil"/>
              <w:right w:val="nil"/>
            </w:tcBorders>
          </w:tcPr>
          <w:p>
            <w:pPr>
              <w:pStyle w:val="Normal6a"/>
            </w:pPr>
            <w:r>
              <w:t>30.</w:t>
            </w:r>
            <w:r>
              <w:tab/>
            </w:r>
            <w:r>
              <w:t xml:space="preserve">tunnustab Saudi Araabia inimõiguste strateegiat 2034. aasta FIFA maailmameistrivõistluste jaoks; kinnitab veel kord ELi valmisolekut toetada käimasolevaid inimõigustealaseid ja tööreforme; nõuab tihedamat koostööd ÜRO ja Rahvusvahelise Tööorganisatsiooniga võõrtöötajate õiguste valdkonnas, eelkõige enne EXPO 2030 ja </w:t>
            </w:r>
            <w:r>
              <w:rPr>
                <w:b/>
                <w:i/>
              </w:rPr>
              <w:t>turniiri, tagamaks, et kõiki võõrtöötajate surmajuhtumeid uuritakse nõuetekohaselt ning surnud töötajate perekonnad saavad õiglast ja õigeaegset hüvitist, et on kehtestatud nõuetekohased tõenduspõhised soojuskaitsemeetmed ning et kõigile töötajatele makstakse õigeaegset ja täielikku tasu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tunnustab Saudi Araabia inimõiguste strateegiat 2034. aasta FIFA maailmameistrivõistluste jaoks; kinnitab veel kord ELi valmisolekut toetada käimasolevaid inimõigustealaseid ja tööreforme; nõuab tihedamat koostööd ÜRO ja Rahvusvahelise Tööorganisatsiooniga võõrtöötajate õiguste valdkonnas, eelkõige enne EXPO 2030 ja jalgpalli maailmameistrivõistlusi;</w:t>
            </w:r>
          </w:p>
        </w:tc>
        <w:tc>
          <w:tcPr>
            <w:tcW w:w="4876" w:type="dxa"/>
            <w:tcBorders>
              <w:top w:val="nil"/>
              <w:left w:val="nil"/>
              <w:bottom w:val="nil"/>
              <w:right w:val="nil"/>
            </w:tcBorders>
          </w:tcPr>
          <w:p>
            <w:pPr>
              <w:pStyle w:val="Normal6a"/>
            </w:pPr>
            <w:r>
              <w:t>30.</w:t>
            </w:r>
            <w:r>
              <w:tab/>
            </w:r>
            <w:r>
              <w:t xml:space="preserve">tunnustab Saudi Araabia inimõiguste strateegiat 2034. aasta FIFA maailmameistrivõistluste jaoks; kinnitab veel kord ELi valmisolekut toetada käimasolevaid inimõigustealaseid ja tööreforme; nõuab tihedamat koostööd ÜRO ja Rahvusvahelise Tööorganisatsiooniga võõrtöötajate õiguste valdkonnas, eelkõige enne EXPO 2030 ja jalgpalli maailmameistrivõistlusi; </w:t>
            </w:r>
            <w:r>
              <w:rPr>
                <w:b/>
                <w:i/>
              </w:rPr>
              <w:t>tagamaks, et kõiki võõrtöötajate surmasid ja õnnetusi uuritakse nõuetekohaselt, olenemata nende tajutavast põhjusest, ajast ja kohast, ning et surnud töötajate perekonnad saaksid õiglast ja õigeaegset hüvitist;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tunnustab Saudi Araabia inimõiguste strateegiat 2034. aasta FIFA maailmameistrivõistluste jaoks; kinnitab veel kord ELi valmisolekut toetada käimasolevaid inimõigustealaseid ja tööreforme; nõuab tihedamat koostööd ÜRO ja Rahvusvahelise Tööorganisatsiooniga võõrtöötajate õiguste valdkonnas, eelkõige enne EXPO 2030 ja </w:t>
            </w:r>
            <w:r>
              <w:rPr>
                <w:b/>
                <w:i/>
              </w:rPr>
              <w:t>jalgpalli maailmameistrivõistlusi</w:t>
            </w:r>
            <w:r>
              <w:t>;</w:t>
            </w:r>
          </w:p>
        </w:tc>
        <w:tc>
          <w:tcPr>
            <w:tcW w:w="4876" w:type="dxa"/>
            <w:tcBorders>
              <w:top w:val="nil"/>
              <w:left w:val="nil"/>
              <w:bottom w:val="nil"/>
              <w:right w:val="nil"/>
            </w:tcBorders>
          </w:tcPr>
          <w:p>
            <w:pPr>
              <w:pStyle w:val="Normal6a"/>
            </w:pPr>
            <w:r>
              <w:t>30.</w:t>
            </w:r>
            <w:r>
              <w:tab/>
            </w:r>
            <w:r>
              <w:t xml:space="preserve">tunnustab Saudi Araabia inimõiguste strateegiat 2034. aasta FIFA maailmameistrivõistluste jaoks; kinnitab veel kord ELi valmisolekut toetada käimasolevaid inimõigustealaseid ja tööreforme; nõuab tihedamat koostööd ÜRO ja Rahvusvahelise Tööorganisatsiooniga võõrtöötajate õiguste valdkonnas, </w:t>
            </w:r>
            <w:r>
              <w:rPr>
                <w:b/>
                <w:i/>
              </w:rPr>
              <w:t>et viia ellu täiendavaid terviklikke ja kaasavaid tööreforme kooskõlas rahvusvaheliste standarditega,</w:t>
            </w:r>
            <w:r>
              <w:t xml:space="preserve"> eelkõige enne EXPO 2030 ja </w:t>
            </w:r>
            <w:r>
              <w:rPr>
                <w:b/>
                <w:i/>
              </w:rPr>
              <w:t>turniiri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julgustab Saudi Araabiat rakendama käimasolevaid õigusreforme, et parandada kohtusüsteemi läbipaistvust ja vältida määramata ajaks kinnipidamist, et tagada kohtumenetluste läbipaistvus;</w:t>
            </w:r>
            <w:r>
              <w:t xml:space="preserve"> </w:t>
            </w:r>
            <w:r>
              <w:rPr>
                <w:b/>
                <w:i/>
              </w:rPr>
              <w:t>kutsub Saudi Araabiat üles reformima kriminaalkohtuid, et tagada kõigi süüdistatavate õiglane kohtumõistmine, määrata kuritegude eest õiglased karistused suuniste alusel, avaldada kohtudokumendid ning kaitsta süüdistatavaid meelevaldse kinnipidamise ja väärkohtlemise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rõhutab, et sõnavabadus on tõsiselt piiratud, ning juhib tähelepanu sellele, et internetti jälgitakse veel tugevalt ja kriitilised sotsiaalmeediapostitused võivad viia vahistamiseni.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kinnitab veel kord ELi põhimõttelist pühendumust teha Saudi Araabiaga koostööd </w:t>
            </w:r>
            <w:r>
              <w:rPr>
                <w:b/>
                <w:i/>
              </w:rPr>
              <w:t>surmanuhtluse kaotamiseks</w:t>
            </w:r>
            <w:r>
              <w:t>;</w:t>
            </w:r>
          </w:p>
        </w:tc>
        <w:tc>
          <w:tcPr>
            <w:tcW w:w="4876" w:type="dxa"/>
            <w:tcBorders>
              <w:top w:val="nil"/>
              <w:left w:val="nil"/>
              <w:bottom w:val="nil"/>
              <w:right w:val="nil"/>
            </w:tcBorders>
          </w:tcPr>
          <w:p>
            <w:pPr>
              <w:pStyle w:val="Normal6a"/>
            </w:pPr>
            <w:r>
              <w:t>31.</w:t>
            </w:r>
            <w:r>
              <w:tab/>
            </w:r>
            <w:r>
              <w:rPr>
                <w:b/>
                <w:i/>
              </w:rPr>
              <w:t>kinnitab oma kindlat ja üksmeelselt vastuseisu surmanuhtluse kasutamise vastu igal ajal ja igas olukorras;</w:t>
            </w:r>
            <w:r>
              <w:t xml:space="preserve"> </w:t>
            </w:r>
            <w:r>
              <w:rPr>
                <w:b/>
                <w:i/>
              </w:rPr>
              <w:t>väljendab muret surmanuhtluse kasutamise pärast Saudi Araabias, mis on 2024. aastal järsult eskaleerunud, jõudes enneolematult kõrgele tasemele – rohkem kui 345 hukkamist;</w:t>
            </w:r>
            <w:r>
              <w:t xml:space="preserve"> </w:t>
            </w:r>
            <w:r>
              <w:rPr>
                <w:b/>
                <w:i/>
              </w:rPr>
              <w:t>kutsub Saudi Araabiat üles kehtestama surmanuhtluse kaotamiseks moratooriumi hukkamistele ning</w:t>
            </w:r>
            <w:r>
              <w:t xml:space="preserve"> kinnitab veel kord ELi põhimõttelist pühendumust teha Saudi Araabiaga </w:t>
            </w:r>
            <w:r>
              <w:rPr>
                <w:b/>
                <w:i/>
              </w:rPr>
              <w:t>selle eesmärgi saavutamiseks</w:t>
            </w:r>
            <w:r>
              <w:t xml:space="preserve">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kinnitab veel kord ELi põhimõttelist </w:t>
            </w:r>
            <w:r>
              <w:rPr>
                <w:b/>
                <w:i/>
              </w:rPr>
              <w:t>pühendumust teha Saudi Araabiaga koostööd</w:t>
            </w:r>
            <w:r>
              <w:t xml:space="preserve"> surmanuhtluse </w:t>
            </w:r>
            <w:r>
              <w:rPr>
                <w:b/>
                <w:i/>
              </w:rPr>
              <w:t>kaotamiseks</w:t>
            </w:r>
            <w:r>
              <w:t>;</w:t>
            </w:r>
          </w:p>
        </w:tc>
        <w:tc>
          <w:tcPr>
            <w:tcW w:w="4876" w:type="dxa"/>
            <w:tcBorders>
              <w:top w:val="nil"/>
              <w:left w:val="nil"/>
              <w:bottom w:val="nil"/>
              <w:right w:val="nil"/>
            </w:tcBorders>
          </w:tcPr>
          <w:p>
            <w:pPr>
              <w:pStyle w:val="Normal6a"/>
            </w:pPr>
            <w:r>
              <w:t>31.</w:t>
            </w:r>
            <w:r>
              <w:tab/>
            </w:r>
            <w:r>
              <w:t xml:space="preserve">kinnitab veel kord ELi põhimõttelist </w:t>
            </w:r>
            <w:r>
              <w:rPr>
                <w:b/>
                <w:i/>
              </w:rPr>
              <w:t>seisukohta</w:t>
            </w:r>
            <w:r>
              <w:t xml:space="preserve"> surmanuhtluse </w:t>
            </w:r>
            <w:r>
              <w:rPr>
                <w:b/>
                <w:i/>
              </w:rPr>
              <w:t>vastu ning nõuab tungivalt, et Saudi Araabia kehtestaks viivitamatult moratooriumi surmanuhtlusele ja hukkamistele, eelkõige isikute suhtes, kes on surmamõistetud lastena toime pandud kuritegude eest, et see tava täielikult kaotada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kinnitab veel kord ELi põhimõttelist </w:t>
            </w:r>
            <w:r>
              <w:rPr>
                <w:b/>
                <w:i/>
              </w:rPr>
              <w:t>pühendumust teha Saudi Araabiaga koostööd</w:t>
            </w:r>
            <w:r>
              <w:t xml:space="preserve"> surmanuhtluse </w:t>
            </w:r>
            <w:r>
              <w:rPr>
                <w:b/>
                <w:i/>
              </w:rPr>
              <w:t>kaotamiseks</w:t>
            </w:r>
            <w:r>
              <w:t>;</w:t>
            </w:r>
          </w:p>
        </w:tc>
        <w:tc>
          <w:tcPr>
            <w:tcW w:w="4876" w:type="dxa"/>
            <w:tcBorders>
              <w:top w:val="nil"/>
              <w:left w:val="nil"/>
              <w:bottom w:val="nil"/>
              <w:right w:val="nil"/>
            </w:tcBorders>
          </w:tcPr>
          <w:p>
            <w:pPr>
              <w:pStyle w:val="Normal6a"/>
            </w:pPr>
            <w:r>
              <w:t>31.</w:t>
            </w:r>
            <w:r>
              <w:tab/>
            </w:r>
            <w:r>
              <w:t xml:space="preserve">kinnitab veel kord ELi põhimõttelist </w:t>
            </w:r>
            <w:r>
              <w:rPr>
                <w:b/>
                <w:i/>
              </w:rPr>
              <w:t>seisukohta</w:t>
            </w:r>
            <w:r>
              <w:t xml:space="preserve"> surmanuhtluse </w:t>
            </w:r>
            <w:r>
              <w:rPr>
                <w:b/>
                <w:i/>
              </w:rPr>
              <w:t>vastu ning nõuab tungivalt, et Saudi Araabia kehtestaks moratooriumi surmanuhtlusele ja hukkamistele, alustades surmanuhtluse täideviimisest lastena toime pandud kuritegude eest, eesmärgiga see täielikult kaotada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kinnitab veel kord ELi põhimõttelist pühendumust teha Saudi Araabiaga koostööd surmanuhtluse kaotamiseks;</w:t>
            </w:r>
          </w:p>
        </w:tc>
        <w:tc>
          <w:tcPr>
            <w:tcW w:w="4876" w:type="dxa"/>
            <w:tcBorders>
              <w:top w:val="nil"/>
              <w:left w:val="nil"/>
              <w:bottom w:val="nil"/>
              <w:right w:val="nil"/>
            </w:tcBorders>
          </w:tcPr>
          <w:p>
            <w:pPr>
              <w:pStyle w:val="Normal6a"/>
            </w:pPr>
            <w:r>
              <w:t>31.</w:t>
            </w:r>
            <w:r>
              <w:tab/>
            </w:r>
            <w:r>
              <w:t>kinnitab veel kord ELi põhimõttelist pühendumust teha Saudi Araabiaga koostööd surmanuhtluse kaotamiseks</w:t>
            </w:r>
            <w:r>
              <w:rPr>
                <w:b/>
                <w:i/>
              </w:rPr>
              <w:t>,</w:t>
            </w:r>
            <w:r>
              <w:t xml:space="preserve"> </w:t>
            </w:r>
            <w:r>
              <w:rPr>
                <w:b/>
                <w:i/>
              </w:rPr>
              <w:t>võimalusega kehtestada moratoorium surmanuhtlusele ja hukkamistele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kinnitab veel kord ELi põhimõttelist pühendumust teha Saudi Araabiaga koostööd surmanuhtluse kaotamiseks;</w:t>
            </w:r>
          </w:p>
        </w:tc>
        <w:tc>
          <w:tcPr>
            <w:tcW w:w="4876" w:type="dxa"/>
            <w:tcBorders>
              <w:top w:val="nil"/>
              <w:left w:val="nil"/>
              <w:bottom w:val="nil"/>
              <w:right w:val="nil"/>
            </w:tcBorders>
          </w:tcPr>
          <w:p>
            <w:pPr>
              <w:pStyle w:val="Normal6a"/>
            </w:pPr>
            <w:r>
              <w:t>31.</w:t>
            </w:r>
            <w:r>
              <w:tab/>
            </w:r>
            <w:r>
              <w:t xml:space="preserve">kinnitab veel kord ELi põhimõttelist pühendumust teha Saudi Araabiaga koostööd surmanuhtluse </w:t>
            </w:r>
            <w:r>
              <w:rPr>
                <w:b/>
                <w:i/>
              </w:rPr>
              <w:t>ja avalike hukkamiste jätkuva kasutamise</w:t>
            </w:r>
            <w:r>
              <w:t xml:space="preserve"> kaotamiseks;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kinnitab veel kord ELi põhimõttelist pühendumust teha Saudi Araabiaga koostööd surmanuhtluse kaotamiseks;</w:t>
            </w:r>
          </w:p>
        </w:tc>
        <w:tc>
          <w:tcPr>
            <w:tcW w:w="4876" w:type="dxa"/>
            <w:tcBorders>
              <w:top w:val="nil"/>
              <w:left w:val="nil"/>
              <w:bottom w:val="nil"/>
              <w:right w:val="nil"/>
            </w:tcBorders>
          </w:tcPr>
          <w:p>
            <w:pPr>
              <w:pStyle w:val="Normal6a"/>
            </w:pPr>
            <w:r>
              <w:t>31.</w:t>
            </w:r>
            <w:r>
              <w:tab/>
            </w:r>
            <w:r>
              <w:t xml:space="preserve">kinnitab veel kord ELi põhimõttelist pühendumust teha Saudi Araabiaga koostööd surmanuhtluse </w:t>
            </w:r>
            <w:r>
              <w:rPr>
                <w:b/>
                <w:i/>
              </w:rPr>
              <w:t>ja kehalise karistamise</w:t>
            </w:r>
            <w:r>
              <w:t xml:space="preserve"> kaotamiseks;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väljendab sügavat muret surmanuhtluse kasutamise murettekitava eskaleerumise pärast Saudi Araabias, kus 2024. aastal viidi läbi vähemalt 345 hukkamist, mis on suurim arv, mis on registreeritud kuningriigi lähiajaloos, ja ainuüksi 2025. aasta esimesel poolel rohkem kui 180 täiendavat hukkamist, mis tähendab, et samamoodi jätkudes ületab riik selles valdkonnas oma varasema tulemuse;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kinnitab veel kord ELi põhimõttelist pühendumust teha Saudi Araabiaga koostööd surmanuhtluse kaotamiseks,</w:t>
            </w:r>
            <w:r>
              <w:t xml:space="preserve"> </w:t>
            </w:r>
            <w:r>
              <w:rPr>
                <w:b/>
                <w:i/>
              </w:rPr>
              <w:t>võimalusega kehtestada moratoorium surmanuhtlusele ja hukkamistele;</w:t>
            </w:r>
            <w:r>
              <w:t xml:space="preserve"> </w:t>
            </w:r>
            <w:r>
              <w:rPr>
                <w:b/>
                <w:i/>
              </w:rPr>
              <w:t>võttes arvesse, et hukkamiste arv on kuningriigis suurenenud;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nõuab samasooliste seksuaaltegevuse dekriminaliseerimist;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mõistab hukka surmanuhtluse jätkuva kasutamise mittesurmavate kuritegude, eelkõige uimastitega seotud kuritegude eest ning kutsub Saudi Araabiat üles viivitamata rakendama moratooriumi selliste kuritegude eest hukkamistele kooskõlas rahvusvaheliste inimõiguste standarditega;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31c.</w:t>
            </w:r>
            <w:r>
              <w:tab/>
            </w:r>
            <w:r>
              <w:rPr>
                <w:b/>
                <w:i/>
              </w:rPr>
              <w:t>väljendab sügavat muret selle pärast, et üle poole kõigist 2025. aastal toimunud hukkamistest on olnud välisriikide kodanikud, kellest paljusid on karistatud surmanuhtlusega mittesurmavate uimastikuritegude eest, sageli pärast kohtuprotsesse, mis ei vastanud rahvusvahelistele õiglase kohtumõistmise standarditele;</w:t>
            </w:r>
            <w:r>
              <w:t xml:space="preserve"> </w:t>
            </w:r>
            <w:r>
              <w:rPr>
                <w:b/>
                <w:i/>
              </w:rPr>
              <w:t>tuletab meelde, et surmanuhtluse kasutamine sellistel juhtudel kujutab endast rahvusvahelise inimõigustealase õiguse rikkumist, mis piirab selle kohaldamist üksnes „kõige raskemate kuritegudega“;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31d.</w:t>
            </w:r>
            <w:r>
              <w:tab/>
            </w:r>
            <w:r>
              <w:rPr>
                <w:b/>
                <w:i/>
              </w:rPr>
              <w:t>mõistab hukka lastena toime pandud kuritegude eest surma mõistetud isikute, sealhulgas Abdullah al-Howaiti, Abdullah al-Derazi ja Youssef al-Manasifi jätkuva kinnipidamise ning kutsub Saudi Araabia ametivõime üles tühistama nende surmaotsused kooskõlas rahvusvahelisest õigusest ja 2020. aasta kuninglikust dekreedist tulenevate kohustustega;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31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31e.</w:t>
            </w:r>
            <w:r>
              <w:tab/>
            </w:r>
            <w:r>
              <w:rPr>
                <w:b/>
                <w:i/>
              </w:rPr>
              <w:t>mõistab kõige karmimalt hukka Saudi Araabia ajakirjaniku Turki bin Abdulaziz al-Jasseri hukkamise pärast salajast kohtuprotsessi ning rahumeelsete reformijate ja usutegelaste, nagu Hassan al-Maliki ja Salman Alodah’ käimasoleva vastutusele võtmise, keda karistatakse surmanuhtlusega üksnes sõnavabaduse kasutamise eest;</w:t>
            </w:r>
            <w:r>
              <w:t xml:space="preserve"> </w:t>
            </w:r>
            <w:r>
              <w:rPr>
                <w:b/>
                <w:i/>
              </w:rPr>
              <w:t>kutsub Saudi Araabiat üles viivitamata ja tingimusteta vabastama kõik isikud, kes on kinni peetud oma inimõiguste rahumeelse kasutamise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kutsub Saudi Araabiat üles ratifitseerima kõik asjakohased rahvusvahelised inimõiguste konventsioonid;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kutsub Saudi Araabiat üles ratifitseerima kõik </w:t>
            </w:r>
            <w:r>
              <w:rPr>
                <w:b/>
                <w:i/>
              </w:rPr>
              <w:t>asjakohased</w:t>
            </w:r>
            <w:r>
              <w:t xml:space="preserve"> rahvusvahelised inimõiguste konventsioonid;</w:t>
            </w:r>
          </w:p>
        </w:tc>
        <w:tc>
          <w:tcPr>
            <w:tcW w:w="4876" w:type="dxa"/>
            <w:tcBorders>
              <w:top w:val="nil"/>
              <w:left w:val="nil"/>
              <w:bottom w:val="nil"/>
              <w:right w:val="nil"/>
            </w:tcBorders>
          </w:tcPr>
          <w:p>
            <w:pPr>
              <w:pStyle w:val="Normal6a"/>
            </w:pPr>
            <w:r>
              <w:t>32.</w:t>
            </w:r>
            <w:r>
              <w:tab/>
            </w:r>
            <w:r>
              <w:t xml:space="preserve">kutsub Saudi Araabiat üles ratifitseerima kõik rahvusvahelised inimõiguste </w:t>
            </w:r>
            <w:r>
              <w:rPr>
                <w:b/>
                <w:i/>
              </w:rPr>
              <w:t>põhikonventsioonid ja töötajate õiguste</w:t>
            </w:r>
            <w:r>
              <w:t xml:space="preserve"> konventsioonid</w:t>
            </w:r>
            <w:r>
              <w:rPr>
                <w:b/>
                <w:i/>
              </w:rPr>
              <w:t>, sealhulgas kodaniku- ja poliitiliste õiguste rahvusvaheline pakt, piinamisvastane konventsioon, majanduslike, sotsiaalsete ja kultuuriliste õiguste rahvusvaheline konventsioon, ILO koduabiliste konventsioon, kõigi võõrtöötajate ja nende perekondade kaitse rahvusvaheline konventsioon, ILO konventsioon töötajate ühinemisvabaduse ja streigiõiguse kaitse kohta, ning viima oma riigisisesed õigusaktid kooskõlla rahvusvaheliste standarditega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kutsub Saudi Araabiat üles ratifitseerima kõik asjakohased rahvusvahelised inimõiguste konventsioonid;</w:t>
            </w:r>
          </w:p>
        </w:tc>
        <w:tc>
          <w:tcPr>
            <w:tcW w:w="4876" w:type="dxa"/>
            <w:tcBorders>
              <w:top w:val="nil"/>
              <w:left w:val="nil"/>
              <w:bottom w:val="nil"/>
              <w:right w:val="nil"/>
            </w:tcBorders>
          </w:tcPr>
          <w:p>
            <w:pPr>
              <w:pStyle w:val="Normal6a"/>
            </w:pPr>
            <w:r>
              <w:t>32.</w:t>
            </w:r>
            <w:r>
              <w:tab/>
            </w:r>
            <w:r>
              <w:t xml:space="preserve">kutsub Saudi Araabiat üles ratifitseerima kõik asjakohased rahvusvahelised inimõiguste konventsioonid; </w:t>
            </w:r>
            <w:r>
              <w:rPr>
                <w:b/>
                <w:i/>
              </w:rPr>
              <w:t>julgustab Saudi Araabiat tagama, et kõik kehtivad ja uued õigusaktid, sealhulgas karistusseadustikud, oleksid kooskõlas rahvusvaheliste inimõiguste standarditega, ning rõhutas ÜRO süsteemi ja sõltumatu kodanikuühiskonnaga tehtava tiheda koostöö tähtsust;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kutsub Saudi Araabiat üles ratifitseerima kõik </w:t>
            </w:r>
            <w:r>
              <w:rPr>
                <w:b/>
                <w:i/>
              </w:rPr>
              <w:t>asjakohased</w:t>
            </w:r>
            <w:r>
              <w:t xml:space="preserve"> rahvusvahelised inimõiguste </w:t>
            </w:r>
            <w:r>
              <w:rPr>
                <w:b/>
                <w:i/>
              </w:rPr>
              <w:t>konventsioonid</w:t>
            </w:r>
            <w:r>
              <w:t>;</w:t>
            </w:r>
          </w:p>
        </w:tc>
        <w:tc>
          <w:tcPr>
            <w:tcW w:w="4876" w:type="dxa"/>
            <w:tcBorders>
              <w:top w:val="nil"/>
              <w:left w:val="nil"/>
              <w:bottom w:val="nil"/>
              <w:right w:val="nil"/>
            </w:tcBorders>
          </w:tcPr>
          <w:p>
            <w:pPr>
              <w:pStyle w:val="Normal6a"/>
            </w:pPr>
            <w:r>
              <w:t>32.</w:t>
            </w:r>
            <w:r>
              <w:tab/>
            </w:r>
            <w:r>
              <w:t xml:space="preserve">kutsub Saudi Araabiat üles ratifitseerima kõik rahvusvahelised inimõiguste </w:t>
            </w:r>
            <w:r>
              <w:rPr>
                <w:b/>
                <w:i/>
              </w:rPr>
              <w:t>põhikonventsioonid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nõuab tungivalt, et EL ja liikmesriigid seaksid Saudi Araabiaga sõlmitava kahepoolse partnerluslepingu ratifitseerimise tingimuseks edusammud inimõiguste valdkonnas, eelkõige Saudi Araabia põhiliste inimõiguste ja töötajate õiguste konventsioonide ratifitseerimise, ebaõiglaselt vangistatud isikute vabastamise ning inimõiguste ja töötajate õiguste reformid, kui see on vajalik rahvusvaheliste standardite järgimiseks;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nõuab tungivalt, et EL ja liikmesriigid kehtestaksid läbirääkimiste edenemiseks ja kahepoolse partnerluslepingu ratifitseerimiseks inimõiguste alased tingimused, sealhulgas Saudi Araabia poolt põhiliste inimõiguste ja töötajate õiguste konventsioonide ratifitseerimine ning ebaõiglaselt vangistatud isikute vabastamine ning inimõiguste ja töötajate õiguste reformid, kui see on vajalik rahvusvaheliste standardite järgimiseks;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nõuab tungivalt, et EL ja liikmesriigid kehtestaksid läbirääkimiste edenemiseks ja kahepoolse partnerluslepingu ratifitseerimiseks inimõiguste alased tingimused , sealhulgas, kuid mitte ainult, Saudi Araabia poolt põhiliste inimõiguste ja töötajate õiguste konventsioonide ratifitseerimine ning ebaõiglaselt vangistatud isikute vabastamine;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teeb presidendile ülesandeks edastada käesolev resolutsioon nõukogule </w:t>
            </w:r>
            <w:r>
              <w:rPr>
                <w:b/>
                <w:i/>
              </w:rPr>
              <w:t>ja</w:t>
            </w:r>
            <w:r>
              <w:t xml:space="preserve"> komisjonile.</w:t>
            </w:r>
          </w:p>
        </w:tc>
        <w:tc>
          <w:tcPr>
            <w:tcW w:w="4876" w:type="dxa"/>
            <w:tcBorders>
              <w:top w:val="nil"/>
              <w:left w:val="nil"/>
              <w:bottom w:val="nil"/>
              <w:right w:val="nil"/>
            </w:tcBorders>
          </w:tcPr>
          <w:p>
            <w:pPr>
              <w:pStyle w:val="Normal6a"/>
            </w:pPr>
            <w:r>
              <w:t>33.</w:t>
            </w:r>
            <w:r>
              <w:tab/>
            </w:r>
            <w:r>
              <w:t>teeb presidendile ülesandeks edastada käesolev resolutsioon nõukogule</w:t>
            </w:r>
            <w:r>
              <w:rPr>
                <w:b/>
                <w:i/>
              </w:rPr>
              <w:t>,</w:t>
            </w:r>
            <w:r>
              <w:t xml:space="preserve"> komisjonile</w:t>
            </w:r>
            <w:r>
              <w:rPr>
                <w:b/>
                <w:i/>
              </w:rPr>
              <w:t>, komisjoni asepresidendile ning liidu välisasjade ja julgeolekupoliitika kõrgele esindajale, Tema Majesteedile kuningas Salman bin Abdulaziz Al Saudile, kroonprints Mohammad Bin Salman Al Saudile, Saudi Araabia Kuningriigi valitsusele ja šuura nõukogule;</w:t>
            </w:r>
            <w:r>
              <w:t xml:space="preserve"> </w:t>
            </w:r>
            <w:r>
              <w:rPr>
                <w:b/>
                <w:i/>
              </w:rPr>
              <w:t>nõuab, et käesolev resolutsioon tõlgitaks araabia keelde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776.795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102</w:t>
    </w:r>
    <w:r>
      <w:fldChar w:fldCharType="end"/>
    </w:r>
    <w:r>
      <w:t>/</w:t>
    </w:r>
    <w:r>
      <w:fldChar w:fldCharType="begin"/>
    </w:r>
    <w:r>
      <w:instrText xml:space="preserve"> NUMPAGES </w:instrText>
    </w:r>
    <w:r>
      <w:fldChar w:fldCharType="separate"/>
    </w:r>
    <w:r>
      <w:t>103</w:t>
    </w:r>
    <w:r>
      <w:fldChar w:fldCharType="end"/>
    </w:r>
    <w:r>
      <w:tab/>
    </w:r>
    <w:r>
      <w:rPr>
        <w:rStyle w:val="HideTWBExt"/>
      </w:rPr>
      <w:t>&lt;PathFdR&gt;</w:t>
    </w:r>
    <w:r>
      <w:t>AM\1326564ET.docx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AM\1326564ET.docx</w:t>
    </w:r>
    <w:r>
      <w:rPr>
        <w:rStyle w:val="HideTWBExt"/>
      </w:rPr>
      <w:t>&lt;/PathFdR&gt;</w:t>
    </w:r>
    <w:r>
      <w:tab/>
    </w:r>
    <w:r>
      <w:fldChar w:fldCharType="begin"/>
    </w:r>
    <w:r>
      <w:instrText xml:space="preserve"> PAGE </w:instrText>
    </w:r>
    <w:r>
      <w:fldChar w:fldCharType="separate"/>
    </w:r>
    <w:r>
      <w:t>103</w:t>
    </w:r>
    <w:r>
      <w:fldChar w:fldCharType="end"/>
    </w:r>
    <w:r>
      <w:t>/</w:t>
    </w:r>
    <w:r>
      <w:fldChar w:fldCharType="begin"/>
    </w:r>
    <w:r>
      <w:instrText xml:space="preserve"> NUMPAGES </w:instrText>
    </w:r>
    <w:r>
      <w:fldChar w:fldCharType="separate"/>
    </w:r>
    <w:r>
      <w:t>103</w:t>
    </w:r>
    <w:r>
      <w:fldChar w:fldCharType="end"/>
    </w:r>
    <w:r>
      <w:tab/>
    </w:r>
    <w:r>
      <w:t>PE</w:t>
    </w:r>
    <w:r>
      <w:rPr>
        <w:rStyle w:val="HideTWBExt"/>
      </w:rPr>
      <w:t>&lt;NoPE&gt;</w:t>
    </w:r>
    <w:r>
      <w:t>776.795</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AM\1326564ET.docx</w:t>
    </w:r>
    <w:r>
      <w:rPr>
        <w:rStyle w:val="HideTWBExt"/>
      </w:rPr>
      <w:t>&lt;/PathFdR&gt;</w:t>
    </w:r>
    <w:r>
      <w:tab/>
    </w:r>
    <w:r>
      <w:tab/>
    </w:r>
    <w:r>
      <w:t>PE</w:t>
    </w:r>
    <w:r>
      <w:rPr>
        <w:rStyle w:val="HideTWBExt"/>
      </w:rPr>
      <w:t>&lt;NoPE&gt;</w:t>
    </w:r>
    <w:r>
      <w:t>776.795</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103</Pages>
  <Words>15906</Words>
  <Characters>122644</Characters>
  <Application>Microsoft Office Word</Application>
  <DocSecurity>0</DocSecurity>
  <Lines>1</Lines>
  <Paragraphs>1889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1326564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245504</vt:lpwstr>
  </property>
  <property fmtid="{D5CDD505-2E9C-101B-9397-08002B2CF9AE}" pid="7" name="dmxml.render.traceId">
    <vt:lpwstr>68d40a85556315ebcff00a94d9c6f478</vt:lpwstr>
  </property>
  <property fmtid="{D5CDD505-2E9C-101B-9397-08002B2CF9AE}" pid="8" name="FooterPath">
    <vt:lpwstr>AM\1326564ET.docx</vt:lpwstr>
  </property>
  <property fmtid="{D5CDD505-2E9C-101B-9397-08002B2CF9AE}" pid="9" name="PE Number">
    <vt:lpwstr>776.795</vt:lpwstr>
  </property>
  <property fmtid="{D5CDD505-2E9C-101B-9397-08002B2CF9AE}" pid="10" name="UID">
    <vt:lpwstr>eu.europa.europarl-DIN1-2025-0000164417_01.00-et-01.00_text-xml</vt:lpwstr>
  </property>
</Properties>
</file>