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Parlamento europeo</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{AFET}</w:t>
      </w:r>
      <w:r>
        <w:t>Commissione per gli affari esteri</w:t>
      </w:r>
      <w:r>
        <w:rPr>
          <w:rStyle w:val="HideTWBExt"/>
        </w:rPr>
        <w:t>&lt;/Commission&gt;</w:t>
      </w:r>
    </w:p>
    <w:p>
      <w:pPr>
        <w:pStyle w:val="LineBottom"/>
      </w:pPr>
      <w:r>
        <w:t xml:space="preserve"> </w:t>
      </w:r>
    </w:p>
    <w:p>
      <w:pPr>
        <w:pStyle w:val="CoverReference"/>
      </w:pPr>
      <w:r>
        <w:rPr>
          <w:rStyle w:val="HideTWBExt"/>
        </w:rPr>
        <w:t>&lt;RefProc&gt;</w:t>
      </w:r>
      <w:r>
        <w:t>2025/2082</w:t>
      </w:r>
      <w:r>
        <w:rPr>
          <w:rStyle w:val="HideTWBExt"/>
        </w:rPr>
        <w:t>&lt;/RefProc&gt;</w:t>
      </w:r>
      <w:r>
        <w:rPr>
          <w:rStyle w:val="HideTWBExt"/>
        </w:rPr>
        <w:t>&lt;RefTypeProc&gt;</w:t>
      </w:r>
      <w:r>
        <w:t>(INI)</w:t>
      </w:r>
      <w:r>
        <w:rPr>
          <w:rStyle w:val="HideTWBExt"/>
        </w:rPr>
        <w:t>&lt;/RefTypeProc&gt;</w:t>
      </w:r>
    </w:p>
    <w:p>
      <w:pPr>
        <w:pStyle w:val="CoverDate"/>
      </w:pPr>
      <w:r>
        <w:rPr>
          <w:rStyle w:val="HideTWBExt"/>
        </w:rPr>
        <w:t>&lt;Date&gt;</w:t>
      </w:r>
      <w:r>
        <w:rPr>
          <w:rStyle w:val="HideTWBInt"/>
        </w:rPr>
        <w:t>{10/09/2025}</w:t>
      </w:r>
      <w:r>
        <w:t>10.9.2025</w:t>
      </w:r>
      <w:r>
        <w:rPr>
          <w:rStyle w:val="HideTWBExt"/>
        </w:rPr>
        <w:t>&lt;/Date&gt;</w:t>
      </w:r>
    </w:p>
    <w:p>
      <w:pPr>
        <w:pStyle w:val="CoverDocType"/>
      </w:pPr>
      <w:r>
        <w:rPr>
          <w:rStyle w:val="HideTWBExt"/>
        </w:rPr>
        <w:t>&lt;TypeAM&gt;</w:t>
      </w:r>
      <w:r>
        <w:t>EMENDAMENTI</w:t>
      </w:r>
      <w:r>
        <w:rPr>
          <w:rStyle w:val="HideTWBExt"/>
        </w:rPr>
        <w:t>&lt;/TypeAM&gt;</w:t>
      </w:r>
    </w:p>
    <w:p>
      <w:pPr>
        <w:pStyle w:val="CoverDocType24a"/>
      </w:pPr>
      <w:r>
        <w:rPr>
          <w:rStyle w:val="HideTWBExt"/>
        </w:rPr>
        <w:t>&lt;RangeAM&gt;</w:t>
      </w:r>
      <w:r>
        <w:t>1</w:t>
      </w:r>
      <w:r>
        <w:t xml:space="preserve"> - </w:t>
      </w:r>
      <w:r>
        <w:t>212</w:t>
      </w:r>
      <w:r>
        <w:rPr>
          <w:rStyle w:val="HideTWBExt"/>
        </w:rPr>
        <w:t>&lt;/RangeAM&gt;</w:t>
      </w:r>
    </w:p>
    <w:p>
      <w:pPr>
        <w:pStyle w:val="CoverBold"/>
      </w:pPr>
      <w:r>
        <w:rPr>
          <w:rStyle w:val="HideTWBExt"/>
        </w:rPr>
        <w:t>&lt;TitreType&gt;</w:t>
      </w:r>
      <w:r>
        <w:t>Progetto di relazione</w:t>
      </w:r>
      <w:r>
        <w:rPr>
          <w:rStyle w:val="HideTWBExt"/>
        </w:rPr>
        <w:t>&lt;/TitreType&gt;</w:t>
      </w:r>
    </w:p>
    <w:p>
      <w:pPr>
        <w:pStyle w:val="CoverBold"/>
      </w:pPr>
      <w:r>
        <w:rPr>
          <w:rStyle w:val="HideTWBExt"/>
        </w:rPr>
        <w:t>&lt;Rapporteur&gt;</w:t>
      </w:r>
      <w:r>
        <w:t>Hana Jalloul Muro</w:t>
      </w:r>
      <w:r>
        <w:rPr>
          <w:rStyle w:val="HideTWBExt"/>
        </w:rPr>
        <w:t>&lt;/Rapporteur&gt;</w:t>
      </w:r>
    </w:p>
    <w:p>
      <w:pPr>
        <w:pStyle w:val="CoverNormal24a"/>
      </w:pPr>
      <w:r>
        <w:rPr>
          <w:rStyle w:val="HideTWBExt"/>
        </w:rPr>
        <w:t>&lt;DocRefPE&gt;</w:t>
      </w:r>
      <w:r>
        <w:t>(PE775.425v01-00)</w:t>
      </w:r>
      <w:r>
        <w:rPr>
          <w:rStyle w:val="HideTWBExt"/>
        </w:rPr>
        <w:t>&lt;/DocRefPE&gt;</w:t>
      </w:r>
    </w:p>
    <w:p>
      <w:pPr>
        <w:pStyle w:val="CoverNormal"/>
      </w:pPr>
      <w:r>
        <w:rPr>
          <w:rStyle w:val="HideTWBExt"/>
        </w:rPr>
        <w:t>&lt;Titre&gt;</w:t>
      </w:r>
      <w:r>
        <w:t>Relazioni tra l'UE e l'Arabia Saudita</w:t>
      </w:r>
      <w:r>
        <w:rPr>
          <w:rStyle w:val="HideTWBExt"/>
        </w:rPr>
        <w:t>&lt;/Titre&gt;</w:t>
      </w:r>
    </w:p>
    <w:p>
      <w:pPr>
        <w:pStyle w:val="CoverNormal24a"/>
      </w:pPr>
      <w:r>
        <w:rPr>
          <w:rStyle w:val="HideTWBExt"/>
        </w:rPr>
        <w:t>&lt;DocRef&gt;</w:t>
      </w:r>
      <w:r>
        <w:t>(2025/2082(INI))</w:t>
      </w:r>
      <w:r>
        <w:rPr>
          <w:rStyle w:val="HideTWBExt"/>
        </w:rPr>
        <w:t>&lt;/DocRef&gt;</w:t>
      </w:r>
    </w:p>
    <w:p>
      <w:r>
        <w:br w:type="page"/>
      </w:r>
      <w:r>
        <w:t>AM_Com_NonLegReport</w:t>
      </w:r>
    </w:p>
    <w:p>
      <w:pPr>
        <w:pStyle w:val="AmNumberTabs"/>
      </w:pPr>
      <w:r>
        <w:br w:type="page"/>
      </w:r>
      <w:r>
        <w:rPr>
          <w:rStyle w:val="HideTWBExt"/>
        </w:rPr>
        <w:t>&lt;RepeatBlock-Amend&gt;</w:t>
      </w:r>
      <w:r>
        <w:rPr>
          <w:rStyle w:val="HideTWBExt"/>
        </w:rPr>
        <w:t>&lt;Amend&gt;</w:t>
      </w:r>
      <w:r>
        <w:t>Emendamento</w:t>
      </w:r>
      <w:r>
        <w:tab/>
      </w:r>
      <w:r>
        <w:tab/>
      </w:r>
      <w:r>
        <w:rPr>
          <w:rStyle w:val="HideTWBExt"/>
        </w:rPr>
        <w:t>&lt;NumAm&gt;</w:t>
      </w:r>
      <w:r>
        <w:t>1</w:t>
      </w:r>
      <w:r>
        <w:rPr>
          <w:rStyle w:val="HideTWBExt"/>
        </w:rPr>
        <w:t>&lt;/NumAm&gt;</w:t>
      </w:r>
    </w:p>
    <w:p>
      <w:pPr>
        <w:pStyle w:val="NormalBold"/>
      </w:pPr>
      <w:r>
        <w:rPr>
          <w:rStyle w:val="HideTWBExt"/>
          <w:b w:val="0"/>
        </w:rPr>
        <w:t>&lt;RepeatBlock-By&gt;</w:t>
      </w:r>
      <w:r>
        <w:rPr>
          <w:rStyle w:val="HideTWBExt"/>
          <w:b w:val="0"/>
        </w:rPr>
        <w:t>&lt;Members&gt;</w:t>
      </w:r>
      <w:r>
        <w:t>Robert Biedroń, Andreas Schieder, Evin Incir, Marco Tarquinio, Chloé Ridel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Visto 1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viste le sue precedenti risoluzioni sull'Arabia Saudita, in particolare quelle del 25 ottobre 2018, sull'uccisione del giornalista Jamal Khashoggi nel consolato saudita a Istanbul, e dell'8 luglio 2021, sulla pena di morte in Arabia Saudita, in particolare i casi di Mustafa Hashem al-Darwish e Abdullah al-Howaiti,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w:t>
      </w:r>
      <w:r>
        <w:rPr>
          <w:rStyle w:val="HideTWBExt"/>
        </w:rPr>
        <w:t>&lt;/NumAm&gt;</w:t>
      </w:r>
    </w:p>
    <w:p>
      <w:pPr>
        <w:pStyle w:val="NormalBold"/>
      </w:pPr>
      <w:r>
        <w:rPr>
          <w:rStyle w:val="HideTWBExt"/>
          <w:b w:val="0"/>
        </w:rPr>
        <w:t>&lt;RepeatBlock-By&gt;</w:t>
      </w:r>
      <w:r>
        <w:rPr>
          <w:rStyle w:val="HideTWBExt"/>
          <w:b w:val="0"/>
        </w:rPr>
        <w:t>&lt;Members&gt;</w:t>
      </w:r>
      <w:r>
        <w:t>Bernard Guetta, Hilde Vautmans, Marie-Agnes Strack-Zimmermann, Engin Eroglu,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Visto 1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viste le sue precedenti risoluzioni, in particolare quelle dell'11 febbraio 2021, sulla situazione umanitaria e politica nello Yemen, e dell'8 luglio 2021, sulla pena di morte in Arabia Saudita, in particolare i casi di Mustafa Hashem al-Darwish e Abdullah al-Howaiti,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3</w:t>
      </w:r>
      <w:r>
        <w:rPr>
          <w:rStyle w:val="HideTWBExt"/>
        </w:rPr>
        <w:t>&lt;/NumAm&gt;</w:t>
      </w:r>
    </w:p>
    <w:p>
      <w:pPr>
        <w:pStyle w:val="NormalBold"/>
      </w:pPr>
      <w:r>
        <w:rPr>
          <w:rStyle w:val="HideTWBExt"/>
          <w:b w:val="0"/>
        </w:rPr>
        <w:t>&lt;RepeatBlock-By&gt;</w:t>
      </w:r>
      <w:r>
        <w:rPr>
          <w:rStyle w:val="HideTWBExt"/>
          <w:b w:val="0"/>
        </w:rPr>
        <w:t>&lt;Members&gt;</w:t>
      </w:r>
      <w:r>
        <w:t>Robert Biedroń, Andreas Schieder, Evin Incir, Marco Tarquinio, Chloé Ridel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Visto 1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vista la Convenzione delle Nazioni Unite sull'eliminazione di ogni forma di discriminazione nei confronti delle donne (CEDAW),</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4</w:t>
      </w:r>
      <w:r>
        <w:rPr>
          <w:rStyle w:val="HideTWBExt"/>
        </w:rPr>
        <w:t>&lt;/NumAm&gt;</w:t>
      </w:r>
    </w:p>
    <w:p>
      <w:pPr>
        <w:pStyle w:val="NormalBold"/>
      </w:pPr>
      <w:r>
        <w:rPr>
          <w:rStyle w:val="HideTWBExt"/>
          <w:b w:val="0"/>
        </w:rPr>
        <w:t>&lt;RepeatBlock-By&gt;</w:t>
      </w:r>
      <w:r>
        <w:rPr>
          <w:rStyle w:val="HideTWBExt"/>
          <w:b w:val="0"/>
        </w:rPr>
        <w:t>&lt;Members&gt;</w:t>
      </w:r>
      <w:r>
        <w:t>Robert Biedroń, Andreas Schieder, Evin Incir, Marco Tarquinio, Chloé Ridel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Visto 1 quater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visti gli orientamenti dell'UE sui difensori dei diritti umani,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5</w:t>
      </w:r>
      <w:r>
        <w:rPr>
          <w:rStyle w:val="HideTWBExt"/>
        </w:rPr>
        <w:t>&lt;/NumAm&gt;</w:t>
      </w:r>
    </w:p>
    <w:p>
      <w:pPr>
        <w:pStyle w:val="NormalBold"/>
      </w:pPr>
      <w:r>
        <w:rPr>
          <w:rStyle w:val="HideTWBExt"/>
          <w:b w:val="0"/>
        </w:rPr>
        <w:t>&lt;RepeatBlock-By&gt;</w:t>
      </w:r>
      <w:r>
        <w:rPr>
          <w:rStyle w:val="HideTWBExt"/>
          <w:b w:val="0"/>
        </w:rPr>
        <w:t>&lt;Members&gt;</w:t>
      </w:r>
      <w:r>
        <w:t>Robert Biedroń, Andreas Schieder, Evin Incir, Marco Tarquinio, Chloé Ridel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Visto 1 quinquies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visto il regime globale di sanzioni dell'UE in materia di diritti umani,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w:t>
      </w:r>
      <w:r>
        <w:rPr>
          <w:rStyle w:val="HideTWBExt"/>
        </w:rPr>
        <w:t>&lt;/NumAm&gt;</w:t>
      </w:r>
    </w:p>
    <w:p>
      <w:pPr>
        <w:pStyle w:val="NormalBold"/>
      </w:pPr>
      <w:r>
        <w:rPr>
          <w:rStyle w:val="HideTWBExt"/>
          <w:b w:val="0"/>
        </w:rPr>
        <w:t>&lt;RepeatBlock-By&gt;</w:t>
      </w:r>
      <w:r>
        <w:rPr>
          <w:rStyle w:val="HideTWBExt"/>
          <w:b w:val="0"/>
        </w:rPr>
        <w:t>&lt;Members&gt;</w:t>
      </w:r>
      <w:r>
        <w:t>Antonio López-Istúriz White, Reinhold Lopatka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Visto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w:t>
            </w:r>
            <w:r>
              <w:tab/>
            </w:r>
            <w:r>
              <w:t xml:space="preserve">vista la dichiarazione </w:t>
            </w:r>
            <w:r>
              <w:rPr>
                <w:b/>
                <w:i/>
              </w:rPr>
              <w:t>comune del</w:t>
            </w:r>
            <w:r>
              <w:t xml:space="preserve"> vertice </w:t>
            </w:r>
            <w:r>
              <w:rPr>
                <w:b/>
                <w:i/>
              </w:rPr>
              <w:t>tra l'Unione europea e il Consiglio di cooperazione del Golfo</w:t>
            </w:r>
            <w:r>
              <w:t xml:space="preserve"> del 16 ottobre 2024,</w:t>
            </w:r>
          </w:p>
        </w:tc>
        <w:tc>
          <w:tcPr>
            <w:tcW w:w="4876" w:type="dxa"/>
            <w:tcBorders>
              <w:top w:val="nil"/>
              <w:left w:val="nil"/>
              <w:bottom w:val="nil"/>
              <w:right w:val="nil"/>
            </w:tcBorders>
          </w:tcPr>
          <w:p>
            <w:pPr>
              <w:pStyle w:val="Normal6a"/>
            </w:pPr>
            <w:r>
              <w:t>–</w:t>
            </w:r>
            <w:r>
              <w:tab/>
            </w:r>
            <w:r>
              <w:t xml:space="preserve">vista la dichiarazione </w:t>
            </w:r>
            <w:r>
              <w:rPr>
                <w:b/>
                <w:i/>
              </w:rPr>
              <w:t>congiunta del primo</w:t>
            </w:r>
            <w:r>
              <w:t xml:space="preserve"> vertice </w:t>
            </w:r>
            <w:r>
              <w:rPr>
                <w:b/>
                <w:i/>
              </w:rPr>
              <w:t>UE-CCG</w:t>
            </w:r>
            <w:r>
              <w:t xml:space="preserve"> del 16 ottobre 2024,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w:t>
      </w:r>
      <w:r>
        <w:rPr>
          <w:rStyle w:val="HideTWBExt"/>
        </w:rPr>
        <w:t>&lt;/NumAm&gt;</w:t>
      </w:r>
    </w:p>
    <w:p>
      <w:pPr>
        <w:pStyle w:val="NormalBold"/>
      </w:pPr>
      <w:r>
        <w:rPr>
          <w:rStyle w:val="HideTWBExt"/>
          <w:b w:val="0"/>
        </w:rPr>
        <w:t>&lt;RepeatBlock-By&gt;</w:t>
      </w:r>
      <w:r>
        <w:rPr>
          <w:rStyle w:val="HideTWBExt"/>
          <w:b w:val="0"/>
        </w:rPr>
        <w:t>&lt;Members&gt;</w:t>
      </w:r>
      <w:r>
        <w:t>Antonio López-Istúriz White, Reinhold Lopatka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Visto 5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visto l'accordo di cooperazione del 3 ottobre 2021 tra il SEAE e il ministero degli Affari esteri del Regno dell'Arabia Saudita,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w:t>
      </w:r>
      <w:r>
        <w:rPr>
          <w:rStyle w:val="HideTWBExt"/>
        </w:rPr>
        <w:t>&lt;/NumAm&gt;</w:t>
      </w:r>
    </w:p>
    <w:p>
      <w:pPr>
        <w:pStyle w:val="NormalBold"/>
      </w:pPr>
      <w:r>
        <w:rPr>
          <w:rStyle w:val="HideTWBExt"/>
          <w:b w:val="0"/>
        </w:rPr>
        <w:t>&lt;RepeatBlock-By&gt;</w:t>
      </w:r>
      <w:r>
        <w:rPr>
          <w:rStyle w:val="HideTWBExt"/>
          <w:b w:val="0"/>
        </w:rPr>
        <w:t>&lt;Members&gt;</w:t>
      </w:r>
      <w:r>
        <w:t>Adam Bielan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considerando che l'Arabia Saudita è un partner bilaterale e regionale fondamentale per l'UE;</w:t>
            </w:r>
          </w:p>
        </w:tc>
        <w:tc>
          <w:tcPr>
            <w:tcW w:w="4876" w:type="dxa"/>
            <w:tcBorders>
              <w:top w:val="nil"/>
              <w:left w:val="nil"/>
              <w:bottom w:val="nil"/>
              <w:right w:val="nil"/>
            </w:tcBorders>
          </w:tcPr>
          <w:p>
            <w:pPr>
              <w:pStyle w:val="Normal6a"/>
            </w:pPr>
            <w:r>
              <w:t>A.</w:t>
            </w:r>
            <w:r>
              <w:tab/>
            </w:r>
            <w:r>
              <w:t xml:space="preserve">considerando che l'Arabia Saudita è un partner bilaterale e regionale fondamentale per l'UE; </w:t>
            </w:r>
            <w:r>
              <w:rPr>
                <w:b/>
                <w:i/>
              </w:rPr>
              <w:t>che sarebbe importante approfondire le nostre relazioni verso la realizzazione di un partenariato strategico che miri a rafforzare le relazioni bilaterali e a promuovere la cooperazione in vari settori, tra cui la difesa, la cultura e l'innovazione, ma soprattutto l'energia;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9</w:t>
      </w:r>
      <w:r>
        <w:rPr>
          <w:rStyle w:val="HideTWBExt"/>
        </w:rPr>
        <w:t>&lt;/NumAm&gt;</w:t>
      </w:r>
    </w:p>
    <w:p>
      <w:pPr>
        <w:pStyle w:val="NormalBold"/>
      </w:pPr>
      <w:r>
        <w:rPr>
          <w:rStyle w:val="HideTWBExt"/>
          <w:b w:val="0"/>
        </w:rPr>
        <w:t>&lt;RepeatBlock-By&gt;</w:t>
      </w:r>
      <w:r>
        <w:rPr>
          <w:rStyle w:val="HideTWBExt"/>
          <w:b w:val="0"/>
        </w:rPr>
        <w:t>&lt;Members&gt;</w:t>
      </w:r>
      <w:r>
        <w:t>Robert Biedroń, Andreas Schieder, Evin Incir, Marco Tarquinio, Chloé Ridel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considerando che l'Arabia Saudita </w:t>
            </w:r>
            <w:r>
              <w:rPr>
                <w:b/>
                <w:i/>
              </w:rPr>
              <w:t>è</w:t>
            </w:r>
            <w:r>
              <w:t xml:space="preserve"> un partner bilaterale e regionale fondamentale per l'UE;</w:t>
            </w:r>
          </w:p>
        </w:tc>
        <w:tc>
          <w:tcPr>
            <w:tcW w:w="4876" w:type="dxa"/>
            <w:tcBorders>
              <w:top w:val="nil"/>
              <w:left w:val="nil"/>
              <w:bottom w:val="nil"/>
              <w:right w:val="nil"/>
            </w:tcBorders>
          </w:tcPr>
          <w:p>
            <w:pPr>
              <w:pStyle w:val="Normal6a"/>
            </w:pPr>
            <w:r>
              <w:t>A.</w:t>
            </w:r>
            <w:r>
              <w:tab/>
            </w:r>
            <w:r>
              <w:t xml:space="preserve">considerando che l'Arabia Saudita </w:t>
            </w:r>
            <w:r>
              <w:rPr>
                <w:b/>
                <w:i/>
              </w:rPr>
              <w:t>ha il potenziale per diventare</w:t>
            </w:r>
            <w:r>
              <w:t xml:space="preserve"> un partner bilaterale e regionale fondamentale per l'UE;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10</w:t>
      </w:r>
      <w:r>
        <w:rPr>
          <w:rStyle w:val="HideTWBExt"/>
        </w:rPr>
        <w:t>&lt;/NumAm&gt;</w:t>
      </w:r>
    </w:p>
    <w:p>
      <w:pPr>
        <w:pStyle w:val="NormalBold"/>
      </w:pPr>
      <w:r>
        <w:rPr>
          <w:rStyle w:val="HideTWBExt"/>
          <w:b w:val="0"/>
        </w:rPr>
        <w:t>&lt;RepeatBlock-By&gt;</w:t>
      </w:r>
      <w:r>
        <w:rPr>
          <w:rStyle w:val="HideTWBExt"/>
          <w:b w:val="0"/>
        </w:rPr>
        <w:t>&lt;Members&gt;</w:t>
      </w:r>
      <w:r>
        <w:t>Roberto Vannacci, Silvia Sardone,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A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bis.</w:t>
            </w:r>
            <w:r>
              <w:tab/>
            </w:r>
            <w:r>
              <w:rPr>
                <w:b/>
                <w:i/>
              </w:rPr>
              <w:t>considerando che l'Arabia Saudita è uno dei principali fornitori mondiali di petrolio e un attore chiave nell'OPEC e che le importazioni di energia sono una componente fondamentale del commercio tra l'UE e l'Arabia Saudita;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11</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B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bis.</w:t>
            </w:r>
            <w:r>
              <w:tab/>
            </w:r>
            <w:r>
              <w:rPr>
                <w:b/>
                <w:i/>
              </w:rPr>
              <w:t>considerando che, nell'ultimo decennio, l'Arabia Saudita e la Cina hanno approfondito i loro legami nel quadro della strategia Vision 2030 e dell'iniziativa Nuova via della seta;</w:t>
            </w:r>
            <w:r>
              <w:t xml:space="preserve"> </w:t>
            </w:r>
            <w:r>
              <w:rPr>
                <w:b/>
                <w:i/>
              </w:rPr>
              <w:t>che dal 2019 la Cina è il principale acquirente di petrolio greggio saudita;</w:t>
            </w:r>
            <w:r>
              <w:t xml:space="preserve"> </w:t>
            </w:r>
            <w:r>
              <w:rPr>
                <w:b/>
                <w:i/>
              </w:rPr>
              <w:t>che nel 2016 l'Arabia Saudita e la Cina hanno rafforzato la cooperazione nei settori della politica estera, della sicurezza, dell'energia, del commercio e della tecnologia attraverso l'istituzione di un comitato misto ad alto livello e di sottocommissioni;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12</w:t>
      </w:r>
      <w:r>
        <w:rPr>
          <w:rStyle w:val="HideTWBExt"/>
        </w:rPr>
        <w:t>&lt;/NumAm&gt;</w:t>
      </w:r>
    </w:p>
    <w:p>
      <w:pPr>
        <w:pStyle w:val="NormalBold"/>
      </w:pPr>
      <w:r>
        <w:rPr>
          <w:rStyle w:val="HideTWBExt"/>
          <w:b w:val="0"/>
        </w:rPr>
        <w:t>&lt;RepeatBlock-By&gt;</w:t>
      </w:r>
      <w:r>
        <w:rPr>
          <w:rStyle w:val="HideTWBExt"/>
          <w:b w:val="0"/>
        </w:rPr>
        <w:t>&lt;Members&gt;</w:t>
      </w:r>
      <w:r>
        <w:t>Engin Eroglu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B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bis.</w:t>
            </w:r>
            <w:r>
              <w:tab/>
            </w:r>
            <w:r>
              <w:rPr>
                <w:b/>
                <w:i/>
              </w:rPr>
              <w:t>considerando che l'Arabia Saudita è diventata il principale destinatario degli investimenti cinesi nella Nuova via della seta, anche in infrastrutture strategiche quali porti e reti digitali;</w:t>
            </w:r>
            <w:r>
              <w:t xml:space="preserve"> </w:t>
            </w:r>
            <w:r>
              <w:rPr>
                <w:b/>
                <w:i/>
              </w:rPr>
              <w:t>che la crescente impronta economica della Cina nel Regno potrebbe conferirle un vantaggio che può tradursi in influenza politica;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13</w:t>
      </w:r>
      <w:r>
        <w:rPr>
          <w:rStyle w:val="HideTWBExt"/>
        </w:rPr>
        <w:t>&lt;/NumAm&gt;</w:t>
      </w:r>
    </w:p>
    <w:p>
      <w:pPr>
        <w:pStyle w:val="NormalBold"/>
      </w:pPr>
      <w:r>
        <w:rPr>
          <w:rStyle w:val="HideTWBExt"/>
          <w:b w:val="0"/>
        </w:rPr>
        <w:t>&lt;RepeatBlock-By&gt;</w:t>
      </w:r>
      <w:r>
        <w:rPr>
          <w:rStyle w:val="HideTWBExt"/>
          <w:b w:val="0"/>
        </w:rPr>
        <w:t>&lt;Members&gt;</w:t>
      </w:r>
      <w:r>
        <w:t>Roberto Vannacci, Silvia Sardone,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B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bis.</w:t>
            </w:r>
            <w:r>
              <w:tab/>
            </w:r>
            <w:r>
              <w:rPr>
                <w:b/>
                <w:i/>
              </w:rPr>
              <w:t>considerando che l'UE è uno dei principali partner commerciali dell'Arabia Saudita e che l'Arabia Saudita esporta verso l'UE principalmente petrolio e prodotti petrolchimici, mentre l'UE esporta verso l'Arabia Saudita principalmente macchinari, apparecchiature elettroniche, sostanze chimiche e prodotti farmaceutici;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14</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B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bis.</w:t>
            </w:r>
            <w:r>
              <w:tab/>
            </w:r>
            <w:r>
              <w:rPr>
                <w:b/>
                <w:i/>
              </w:rPr>
              <w:t>considerando che le organizzazioni per i diritti umani hanno espresso serie preoccupazioni per il fatto che il Fondo per gli investimenti pubblici dell'Arabia Saudita agevola le violazioni dei diritti umani e ne trae vantaggio;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15</w:t>
      </w:r>
      <w:r>
        <w:rPr>
          <w:rStyle w:val="HideTWBExt"/>
        </w:rPr>
        <w:t>&lt;/NumAm&gt;</w:t>
      </w:r>
    </w:p>
    <w:p>
      <w:pPr>
        <w:pStyle w:val="NormalBold"/>
      </w:pPr>
      <w:r>
        <w:rPr>
          <w:rStyle w:val="HideTWBExt"/>
          <w:b w:val="0"/>
        </w:rPr>
        <w:t>&lt;RepeatBlock-By&gt;</w:t>
      </w:r>
      <w:r>
        <w:rPr>
          <w:rStyle w:val="HideTWBExt"/>
          <w:b w:val="0"/>
        </w:rPr>
        <w:t>&lt;Members&gt;</w:t>
      </w:r>
      <w:r>
        <w:t>Merja Kyllönen, Jonas Sjöstedt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B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bis.</w:t>
            </w:r>
            <w:r>
              <w:tab/>
            </w:r>
            <w:r>
              <w:rPr>
                <w:b/>
                <w:i/>
              </w:rPr>
              <w:t>considerando che sono state espresse gravi preoccupazioni in merito ai legami tra il Fondo per gli investimenti pubblici dell'Arabia Saudita e le violazioni dei diritti umani;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16</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B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ter.</w:t>
            </w:r>
            <w:r>
              <w:tab/>
            </w:r>
            <w:r>
              <w:rPr>
                <w:b/>
                <w:i/>
              </w:rPr>
              <w:t>considerando che l'Arabia Saudita sta rafforzando le sue relazioni con l'India, in particolare attraverso il progetto del corridoio economico India-Medio Oriente-Europa (IMEC), volto a migliorare la connettività tra l'Asia e l'Europa attraverso la penisola arabica;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17</w:t>
      </w:r>
      <w:r>
        <w:rPr>
          <w:rStyle w:val="HideTWBExt"/>
        </w:rPr>
        <w:t>&lt;/NumAm&gt;</w:t>
      </w:r>
    </w:p>
    <w:p>
      <w:pPr>
        <w:pStyle w:val="NormalBold"/>
      </w:pPr>
      <w:r>
        <w:rPr>
          <w:rStyle w:val="HideTWBExt"/>
          <w:b w:val="0"/>
        </w:rPr>
        <w:t>&lt;RepeatBlock-By&gt;</w:t>
      </w:r>
      <w:r>
        <w:rPr>
          <w:rStyle w:val="HideTWBExt"/>
          <w:b w:val="0"/>
        </w:rPr>
        <w:t>&lt;Members&gt;</w:t>
      </w:r>
      <w:r>
        <w:t>Merja Kyllönen, Jonas Sjöstedt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considerando che l'Arabia Saudita sta ampliando il proprio ruolo di intermediario regionale e attore internazionale;</w:t>
            </w:r>
          </w:p>
        </w:tc>
        <w:tc>
          <w:tcPr>
            <w:tcW w:w="4876" w:type="dxa"/>
            <w:tcBorders>
              <w:top w:val="nil"/>
              <w:left w:val="nil"/>
              <w:bottom w:val="nil"/>
              <w:right w:val="nil"/>
            </w:tcBorders>
          </w:tcPr>
          <w:p>
            <w:pPr>
              <w:pStyle w:val="Normal6a"/>
            </w:pPr>
            <w:r>
              <w:t>C.</w:t>
            </w:r>
            <w:r>
              <w:tab/>
            </w:r>
            <w:r>
              <w:t xml:space="preserve">considerando che l'Arabia Saudita sta ampliando il proprio ruolo di intermediario regionale e attore internazionale </w:t>
            </w:r>
            <w:r>
              <w:rPr>
                <w:b/>
                <w:i/>
              </w:rPr>
              <w:t>e che è fondamentale che lo faccia nel pieno rispetto e nella promozione dei diritti umani e del diritto internazionale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18</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considerando che l'Arabia Saudita sta ampliando il proprio ruolo di intermediario regionale e attore internazionale;</w:t>
            </w:r>
          </w:p>
        </w:tc>
        <w:tc>
          <w:tcPr>
            <w:tcW w:w="4876" w:type="dxa"/>
            <w:tcBorders>
              <w:top w:val="nil"/>
              <w:left w:val="nil"/>
              <w:bottom w:val="nil"/>
              <w:right w:val="nil"/>
            </w:tcBorders>
          </w:tcPr>
          <w:p>
            <w:pPr>
              <w:pStyle w:val="Normal6a"/>
            </w:pPr>
            <w:r>
              <w:t>C.</w:t>
            </w:r>
            <w:r>
              <w:tab/>
            </w:r>
            <w:r>
              <w:t xml:space="preserve">considerando che l'Arabia Saudita sta ampliando il proprio ruolo di intermediario regionale e attore internazionale </w:t>
            </w:r>
            <w:r>
              <w:rPr>
                <w:b/>
                <w:i/>
              </w:rPr>
              <w:t>e che è fondamentale che lo faccia nel pieno rispetto e nella promozione dei diritti umani e del diritto internazionale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19</w:t>
      </w:r>
      <w:r>
        <w:rPr>
          <w:rStyle w:val="HideTWBExt"/>
        </w:rPr>
        <w:t>&lt;/NumAm&gt;</w:t>
      </w:r>
    </w:p>
    <w:p>
      <w:pPr>
        <w:pStyle w:val="NormalBold"/>
      </w:pPr>
      <w:r>
        <w:rPr>
          <w:rStyle w:val="HideTWBExt"/>
          <w:b w:val="0"/>
        </w:rPr>
        <w:t>&lt;RepeatBlock-By&gt;</w:t>
      </w:r>
      <w:r>
        <w:rPr>
          <w:rStyle w:val="HideTWBExt"/>
          <w:b w:val="0"/>
        </w:rPr>
        <w:t>&lt;Members&gt;</w:t>
      </w:r>
      <w:r>
        <w:t>Antonio López-Istúriz White, Reinhold Lopatka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considerando che l'Arabia Saudita sta </w:t>
            </w:r>
            <w:r>
              <w:rPr>
                <w:b/>
                <w:i/>
              </w:rPr>
              <w:t>ampliando</w:t>
            </w:r>
            <w:r>
              <w:t xml:space="preserve"> il proprio </w:t>
            </w:r>
            <w:r>
              <w:rPr>
                <w:b/>
                <w:i/>
              </w:rPr>
              <w:t>ruolo di intermediario</w:t>
            </w:r>
            <w:r>
              <w:t xml:space="preserve"> regionale e attore </w:t>
            </w:r>
            <w:r>
              <w:rPr>
                <w:b/>
                <w:i/>
              </w:rPr>
              <w:t>internazionale</w:t>
            </w:r>
            <w:r>
              <w:t>;</w:t>
            </w:r>
          </w:p>
        </w:tc>
        <w:tc>
          <w:tcPr>
            <w:tcW w:w="4876" w:type="dxa"/>
            <w:tcBorders>
              <w:top w:val="nil"/>
              <w:left w:val="nil"/>
              <w:bottom w:val="nil"/>
              <w:right w:val="nil"/>
            </w:tcBorders>
          </w:tcPr>
          <w:p>
            <w:pPr>
              <w:pStyle w:val="Normal6a"/>
            </w:pPr>
            <w:r>
              <w:t>C.</w:t>
            </w:r>
            <w:r>
              <w:tab/>
            </w:r>
            <w:r>
              <w:t xml:space="preserve">considerando che l'Arabia Saudita sta </w:t>
            </w:r>
            <w:r>
              <w:rPr>
                <w:b/>
                <w:i/>
              </w:rPr>
              <w:t>consolidando ulteriormente</w:t>
            </w:r>
            <w:r>
              <w:t xml:space="preserve"> il proprio </w:t>
            </w:r>
            <w:r>
              <w:rPr>
                <w:b/>
                <w:i/>
              </w:rPr>
              <w:t>status di mediatore</w:t>
            </w:r>
            <w:r>
              <w:t xml:space="preserve"> regionale </w:t>
            </w:r>
            <w:r>
              <w:rPr>
                <w:b/>
                <w:i/>
              </w:rPr>
              <w:t>fidato</w:t>
            </w:r>
            <w:r>
              <w:t xml:space="preserve"> e attore </w:t>
            </w:r>
            <w:r>
              <w:rPr>
                <w:b/>
                <w:i/>
              </w:rPr>
              <w:t>globale chiave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20</w:t>
      </w:r>
      <w:r>
        <w:rPr>
          <w:rStyle w:val="HideTWBExt"/>
        </w:rPr>
        <w:t>&lt;/NumAm&gt;</w:t>
      </w:r>
    </w:p>
    <w:p>
      <w:pPr>
        <w:pStyle w:val="NormalBold"/>
      </w:pPr>
      <w:r>
        <w:rPr>
          <w:rStyle w:val="HideTWBExt"/>
          <w:b w:val="0"/>
        </w:rPr>
        <w:t>&lt;RepeatBlock-By&gt;</w:t>
      </w:r>
      <w:r>
        <w:rPr>
          <w:rStyle w:val="HideTWBExt"/>
          <w:b w:val="0"/>
        </w:rPr>
        <w:t>&lt;Members&gt;</w:t>
      </w:r>
      <w:r>
        <w:t>Robert Biedroń, Andreas Schieder, Evin Incir, Marco Tarquinio, Chloé Ridel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C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 bis.</w:t>
            </w:r>
            <w:r>
              <w:tab/>
            </w:r>
            <w:r>
              <w:rPr>
                <w:b/>
                <w:i/>
              </w:rPr>
              <w:t>considerando che l'Arabia Saudita ha giustiziato almeno 241 persone nel 2025 (da inizio anno al 5 agosto) e 345 nel 2024;</w:t>
            </w:r>
            <w:r>
              <w:t xml:space="preserve"> </w:t>
            </w:r>
            <w:r>
              <w:rPr>
                <w:b/>
                <w:i/>
              </w:rPr>
              <w:t>che tra novembre 2022 e dicembre 2024 sono state giustiziate almeno 214 persone per condanne legate alla droga;</w:t>
            </w:r>
            <w:r>
              <w:t xml:space="preserve"> </w:t>
            </w:r>
            <w:r>
              <w:rPr>
                <w:b/>
                <w:i/>
              </w:rPr>
              <w:t>che il numero totale delle esecuzioni è aumentato costantemente negli ultimi anni, contrariamente alle ripetute promesse delle autorità saudite;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21</w:t>
      </w:r>
      <w:r>
        <w:rPr>
          <w:rStyle w:val="HideTWBExt"/>
        </w:rPr>
        <w:t>&lt;/NumAm&gt;</w:t>
      </w:r>
    </w:p>
    <w:p>
      <w:pPr>
        <w:pStyle w:val="NormalBold"/>
      </w:pPr>
      <w:r>
        <w:rPr>
          <w:rStyle w:val="HideTWBExt"/>
          <w:b w:val="0"/>
        </w:rPr>
        <w:t>&lt;RepeatBlock-By&gt;</w:t>
      </w:r>
      <w:r>
        <w:rPr>
          <w:rStyle w:val="HideTWBExt"/>
          <w:b w:val="0"/>
        </w:rPr>
        <w:t>&lt;Members&gt;</w:t>
      </w:r>
      <w:r>
        <w:t>Bernard Guetta, Hilde Vautmans, Engin Eroglu, Marie-Agnes Strack-Zimmermann,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C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 bis.</w:t>
            </w:r>
            <w:r>
              <w:tab/>
            </w:r>
            <w:r>
              <w:rPr>
                <w:b/>
                <w:i/>
              </w:rPr>
              <w:t>considerando che vi sono segnalazioni secondo cui la "flotta ombra" russa di petroliere starebbe stringendo legami più stretti tra la Russia e l'Arabia Saudita, aiutando così la Russia a eludere le sanzioni;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22</w:t>
      </w:r>
      <w:r>
        <w:rPr>
          <w:rStyle w:val="HideTWBExt"/>
        </w:rPr>
        <w:t>&lt;/NumAm&gt;</w:t>
      </w:r>
    </w:p>
    <w:p>
      <w:pPr>
        <w:pStyle w:val="NormalBold"/>
      </w:pPr>
      <w:r>
        <w:rPr>
          <w:rStyle w:val="HideTWBExt"/>
          <w:b w:val="0"/>
        </w:rPr>
        <w:t>&lt;RepeatBlock-By&gt;</w:t>
      </w:r>
      <w:r>
        <w:rPr>
          <w:rStyle w:val="HideTWBExt"/>
          <w:b w:val="0"/>
        </w:rPr>
        <w:t>&lt;Members&gt;</w:t>
      </w:r>
      <w:r>
        <w:t>Bernard Guetta, Hilde Vautmans, Engin Eroglu, Marie-Agnes Strack-Zimmermann,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considerando che l'Arabia Saudita sta rafforzando il dialogo e la cooperazione con l'UE in materia di diritti umani;</w:t>
            </w:r>
          </w:p>
        </w:tc>
        <w:tc>
          <w:tcPr>
            <w:tcW w:w="4876" w:type="dxa"/>
            <w:tcBorders>
              <w:top w:val="nil"/>
              <w:left w:val="nil"/>
              <w:bottom w:val="nil"/>
              <w:right w:val="nil"/>
            </w:tcBorders>
          </w:tcPr>
          <w:p>
            <w:pPr>
              <w:pStyle w:val="Normal6a"/>
            </w:pPr>
            <w:r>
              <w:t>D.</w:t>
            </w:r>
            <w:r>
              <w:tab/>
            </w:r>
            <w:r>
              <w:t xml:space="preserve">considerando che l'Arabia Saudita sta rafforzando il dialogo e la cooperazione con l'UE in materia di diritti umani; </w:t>
            </w:r>
            <w:r>
              <w:rPr>
                <w:b/>
                <w:i/>
              </w:rPr>
              <w:t>che permangono numerose preoccupazioni riguardo alla situazione dei diritti umani in Arabia Saudita, in particolare per quanto riguarda i diritti delle donne, i diritti dei lavoratori o la libertà di espressione, nonché la violazione da parte dell'Arabia Saudita delle norme internazionali in materia di diritti umani;</w:t>
            </w:r>
            <w:r>
              <w:t xml:space="preserve"> </w:t>
            </w:r>
            <w:r>
              <w:rPr>
                <w:b/>
                <w:i/>
              </w:rPr>
              <w:t>che il codice penale dell'Arabia Saudita criminalizza la libertà di espressione;</w:t>
            </w:r>
            <w:r>
              <w:t xml:space="preserve"> </w:t>
            </w:r>
            <w:r>
              <w:rPr>
                <w:b/>
                <w:i/>
              </w:rPr>
              <w:t>che negli ultimi anni le autorità saudite hanno inasprito la loro brutale repressione nei confronti delle persone che utilizzano spazi online per esprimere le proprie opinioni, negando spesso loro un'equa rappresentanza legale, un giusto processo e un equo giudizio;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23</w:t>
      </w:r>
      <w:r>
        <w:rPr>
          <w:rStyle w:val="HideTWBExt"/>
        </w:rPr>
        <w:t>&lt;/NumAm&gt;</w:t>
      </w:r>
    </w:p>
    <w:p>
      <w:pPr>
        <w:pStyle w:val="NormalBold"/>
      </w:pPr>
      <w:r>
        <w:rPr>
          <w:rStyle w:val="HideTWBExt"/>
          <w:b w:val="0"/>
        </w:rPr>
        <w:t>&lt;RepeatBlock-By&gt;</w:t>
      </w:r>
      <w:r>
        <w:rPr>
          <w:rStyle w:val="HideTWBExt"/>
          <w:b w:val="0"/>
        </w:rPr>
        <w:t>&lt;Members&gt;</w:t>
      </w:r>
      <w:r>
        <w:t>Roberto Vannacci, Silvia Sardone,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 xml:space="preserve">considerando che l'Arabia Saudita sta rafforzando il dialogo e la cooperazione con l'UE </w:t>
            </w:r>
            <w:r>
              <w:rPr>
                <w:b/>
                <w:i/>
              </w:rPr>
              <w:t>in materia di diritti umani</w:t>
            </w:r>
            <w:r>
              <w:t>;</w:t>
            </w:r>
          </w:p>
        </w:tc>
        <w:tc>
          <w:tcPr>
            <w:tcW w:w="4876" w:type="dxa"/>
            <w:tcBorders>
              <w:top w:val="nil"/>
              <w:left w:val="nil"/>
              <w:bottom w:val="nil"/>
              <w:right w:val="nil"/>
            </w:tcBorders>
          </w:tcPr>
          <w:p>
            <w:pPr>
              <w:pStyle w:val="Normal6a"/>
            </w:pPr>
            <w:r>
              <w:t>D.</w:t>
            </w:r>
            <w:r>
              <w:tab/>
            </w:r>
            <w:r>
              <w:t>considerando che l'Arabia Saudita sta rafforzando il dialogo e la cooperazione con l'UE;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24</w:t>
      </w:r>
      <w:r>
        <w:rPr>
          <w:rStyle w:val="HideTWBExt"/>
        </w:rPr>
        <w:t>&lt;/NumAm&gt;</w:t>
      </w:r>
    </w:p>
    <w:p>
      <w:pPr>
        <w:pStyle w:val="NormalBold"/>
      </w:pPr>
      <w:r>
        <w:rPr>
          <w:rStyle w:val="HideTWBExt"/>
          <w:b w:val="0"/>
        </w:rPr>
        <w:t>&lt;RepeatBlock-By&gt;</w:t>
      </w:r>
      <w:r>
        <w:rPr>
          <w:rStyle w:val="HideTWBExt"/>
          <w:b w:val="0"/>
        </w:rPr>
        <w:t>&lt;Members&gt;</w:t>
      </w:r>
      <w:r>
        <w:t>Bernard Guetta, Hilde Vautmans, Engin Eroglu, Marie-Agnes Strack-Zimmermann,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D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 bis.</w:t>
            </w:r>
            <w:r>
              <w:tab/>
            </w:r>
            <w:r>
              <w:rPr>
                <w:b/>
                <w:i/>
              </w:rPr>
              <w:t>considerando che il comitato delle Nazioni Unite per l'eliminazione di ogni forma di discriminazione nei confronti delle donne ha espresso preoccupazione per le pratiche discriminatorie radicate, le molestie contro le attiviste e il più ampio impatto delle misure punitive, compreso il ricorso alla pena di morte;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25</w:t>
      </w:r>
      <w:r>
        <w:rPr>
          <w:rStyle w:val="HideTWBExt"/>
        </w:rPr>
        <w:t>&lt;/NumAm&gt;</w:t>
      </w:r>
    </w:p>
    <w:p>
      <w:pPr>
        <w:pStyle w:val="NormalBold"/>
      </w:pPr>
      <w:r>
        <w:rPr>
          <w:rStyle w:val="HideTWBExt"/>
          <w:b w:val="0"/>
        </w:rPr>
        <w:t>&lt;RepeatBlock-By&gt;</w:t>
      </w:r>
      <w:r>
        <w:rPr>
          <w:rStyle w:val="HideTWBExt"/>
          <w:b w:val="0"/>
        </w:rPr>
        <w:t>&lt;Members&gt;</w:t>
      </w:r>
      <w:r>
        <w:t>Antonio López-Istúriz White, Reinhold Lopatka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D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 bis.</w:t>
            </w:r>
            <w:r>
              <w:tab/>
            </w:r>
            <w:r>
              <w:rPr>
                <w:b/>
                <w:i/>
              </w:rPr>
              <w:t>considerando che il prossimo vertice UE-CCG, che si terrà a Riyadh nel 2026, sarà fondamentale per ampliare ulteriormente la portata delle relazioni UE-Arabia Saudita e rafforzare la cooperazione su questioni cruciali di reciproco interesse;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26</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D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 bis.</w:t>
            </w:r>
            <w:r>
              <w:tab/>
            </w:r>
            <w:r>
              <w:rPr>
                <w:b/>
                <w:i/>
              </w:rPr>
              <w:t>considerando che per l'Unione europea la promozione del rispetto dei diritti umani e del diritto internazionale nella politica estera, compreso il commercio, è un obbligo derivante dai trattati, sancito dagli articoli 3 e 21 TUE;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27</w:t>
      </w:r>
      <w:r>
        <w:rPr>
          <w:rStyle w:val="HideTWBExt"/>
        </w:rPr>
        <w:t>&lt;/NumAm&gt;</w:t>
      </w:r>
    </w:p>
    <w:p>
      <w:pPr>
        <w:pStyle w:val="NormalBold"/>
      </w:pPr>
      <w:r>
        <w:rPr>
          <w:rStyle w:val="HideTWBExt"/>
          <w:b w:val="0"/>
        </w:rPr>
        <w:t>&lt;RepeatBlock-By&gt;</w:t>
      </w:r>
      <w:r>
        <w:rPr>
          <w:rStyle w:val="HideTWBExt"/>
          <w:b w:val="0"/>
        </w:rPr>
        <w:t>&lt;Members&gt;</w:t>
      </w:r>
      <w:r>
        <w:t>Robert Biedroń, Andreas Schieder, Evin Incir, Marco Tarquinio, Chloé Ridel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D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 bis.</w:t>
            </w:r>
            <w:r>
              <w:tab/>
            </w:r>
            <w:r>
              <w:rPr>
                <w:b/>
                <w:i/>
              </w:rPr>
              <w:t>considerando che la tutela dei diritti umani costituisce un obbligo derivante dai trattati per la politica estera dell'UE, compreso il commercio, come sancito dagli articoli 3 e 21 del trattato sull'Unione europea;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28</w:t>
      </w:r>
      <w:r>
        <w:rPr>
          <w:rStyle w:val="HideTWBExt"/>
        </w:rPr>
        <w:t>&lt;/NumAm&gt;</w:t>
      </w:r>
    </w:p>
    <w:p>
      <w:pPr>
        <w:pStyle w:val="NormalBold"/>
      </w:pPr>
      <w:r>
        <w:rPr>
          <w:rStyle w:val="HideTWBExt"/>
          <w:b w:val="0"/>
        </w:rPr>
        <w:t>&lt;RepeatBlock-By&gt;</w:t>
      </w:r>
      <w:r>
        <w:rPr>
          <w:rStyle w:val="HideTWBExt"/>
          <w:b w:val="0"/>
        </w:rPr>
        <w:t>&lt;Members&gt;</w:t>
      </w:r>
      <w:r>
        <w:t>Merja Kyllönen, Jonas Sjöstedt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D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 bis.</w:t>
            </w:r>
            <w:r>
              <w:tab/>
            </w:r>
            <w:r>
              <w:rPr>
                <w:b/>
                <w:i/>
              </w:rPr>
              <w:t>considerando che per l'Unione europea la promozione del rispetto dei diritti umani e del diritto internazionale nella politica estera, compreso il commercio, è un obbligo derivante dai trattati, sancito dagli articoli 3 e 21 TUE;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29</w:t>
      </w:r>
      <w:r>
        <w:rPr>
          <w:rStyle w:val="HideTWBExt"/>
        </w:rPr>
        <w:t>&lt;/NumAm&gt;</w:t>
      </w:r>
    </w:p>
    <w:p>
      <w:pPr>
        <w:pStyle w:val="NormalBold"/>
      </w:pPr>
      <w:r>
        <w:rPr>
          <w:rStyle w:val="HideTWBExt"/>
          <w:b w:val="0"/>
        </w:rPr>
        <w:t>&lt;RepeatBlock-By&gt;</w:t>
      </w:r>
      <w:r>
        <w:rPr>
          <w:rStyle w:val="HideTWBExt"/>
          <w:b w:val="0"/>
        </w:rPr>
        <w:t>&lt;Members&gt;</w:t>
      </w:r>
      <w:r>
        <w:t>Hana Jalloul Muro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D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 bis.</w:t>
            </w:r>
            <w:r>
              <w:tab/>
            </w:r>
            <w:r>
              <w:rPr>
                <w:b/>
                <w:i/>
              </w:rPr>
              <w:t>considerando che la promozione del rispetto dei diritti umani e del diritto internazionale nella politica estera, compreso il commercio, è un obbligo derivante dai trattati per l'Unione europea, sancito dagli articoli 3 e 21 TUE;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30</w:t>
      </w:r>
      <w:r>
        <w:rPr>
          <w:rStyle w:val="HideTWBExt"/>
        </w:rPr>
        <w:t>&lt;/NumAm&gt;</w:t>
      </w:r>
    </w:p>
    <w:p>
      <w:pPr>
        <w:pStyle w:val="NormalBold"/>
      </w:pPr>
      <w:r>
        <w:rPr>
          <w:rStyle w:val="HideTWBExt"/>
          <w:b w:val="0"/>
        </w:rPr>
        <w:t>&lt;RepeatBlock-By&gt;</w:t>
      </w:r>
      <w:r>
        <w:rPr>
          <w:rStyle w:val="HideTWBExt"/>
          <w:b w:val="0"/>
        </w:rPr>
        <w:t>&lt;Members&gt;</w:t>
      </w:r>
      <w:r>
        <w:t>Bernard Guetta, Hilde Vautmans, Engin Eroglu, Marie-Agnes Strack-Zimmermann,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D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 ter.</w:t>
            </w:r>
            <w:r>
              <w:tab/>
            </w:r>
            <w:r>
              <w:rPr>
                <w:b/>
                <w:i/>
              </w:rPr>
              <w:t>considerando che l'Arabia Saudita sta organizzando due grandi eventi internazionali, l'EXPO 2030 e la Coppa del mondo FIFA del 2034, i quali richiedono un enorme numero di lavoratori migranti i cui diritti devono essere rispettati e tutelati;</w:t>
            </w:r>
            <w:r>
              <w:t xml:space="preserve"> </w:t>
            </w:r>
            <w:r>
              <w:rPr>
                <w:b/>
                <w:i/>
              </w:rPr>
              <w:t>che le organizzazioni della società civile denunciano un trattamento crudele dei lavoratori migranti, i quali hanno diritti minimi o nulli;</w:t>
            </w:r>
            <w:r>
              <w:t xml:space="preserve"> </w:t>
            </w:r>
            <w:r>
              <w:rPr>
                <w:b/>
                <w:i/>
              </w:rPr>
              <w:t>che le autorità saudite non proteggono adeguatamente i lavoratori da morti evitabili, non eseguono indagini adeguate sugli incidenti sul lavoro, classificano erroneamente le morti sul lavoro come "naturali" e non garantiscono risarcimenti tempestivi e adeguati; che organizzare e ospitare questi eventi porterà a un ulteriore grave deterioramento del rispetto dei diritti umani da parte dell'Arabia Saudita;</w:t>
            </w:r>
            <w:r>
              <w:t xml:space="preserve"> </w:t>
            </w:r>
            <w:r>
              <w:rPr>
                <w:b/>
                <w:i/>
              </w:rPr>
              <w:t>che per questi lavoratori dovrebbe essere predisposta una protezione solida e completa e garantito un salario minimo;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31</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Considerando D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 ter.</w:t>
            </w:r>
            <w:r>
              <w:tab/>
            </w:r>
            <w:r>
              <w:rPr>
                <w:b/>
                <w:i/>
              </w:rPr>
              <w:t>considerando che l'Arabia Saudita ha recentemente approfondito i legami economici e di sicurezza con gli Stati Uniti, perseguendo nel contempo l'adesione al gruppo BRICS, il che riflette il suo duplice allineamento con i blocchi occidentali e multipolari;</w:t>
            </w:r>
            <w:r>
              <w:t xml:space="preserve"> </w:t>
            </w:r>
            <w:r>
              <w:rPr>
                <w:b/>
                <w:i/>
              </w:rPr>
              <w:t>che ciò pone nuove sfide e opportunità per l'autonomia strategica dell'UE;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32</w:t>
      </w:r>
      <w:r>
        <w:rPr>
          <w:rStyle w:val="HideTWBExt"/>
        </w:rPr>
        <w:t>&lt;/NumAm&gt;</w:t>
      </w:r>
    </w:p>
    <w:p>
      <w:pPr>
        <w:pStyle w:val="NormalBold"/>
      </w:pPr>
      <w:r>
        <w:rPr>
          <w:rStyle w:val="HideTWBExt"/>
          <w:b w:val="0"/>
        </w:rPr>
        <w:t>&lt;RepeatBlock-By&gt;</w:t>
      </w:r>
      <w:r>
        <w:rPr>
          <w:rStyle w:val="HideTWBExt"/>
          <w:b w:val="0"/>
        </w:rPr>
        <w:t>&lt;Members&gt;</w:t>
      </w:r>
      <w:r>
        <w:t>Merja Kyllönen, Jonas Sjöstedt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sottolinea il dialogo positivo tra l'UE e il Consiglio di cooperazione del Golfo durante il vertice UE-Consiglio di cooperazione del Golfo; afferma che l'UE mira a rafforzare i legami bilaterali con ciascun partner del Consiglio di cooperazione del Golfo attraverso gli APS, che porrebbero rimedio all'attuale assenza di un quadro giuridicamente vincolante per le relazioni bilaterali tra l'UE e l'Arabia Saudita, liberando il potenziale per una più profonda e ampia cooperazione in settori quali la sicurezza, il commercio, l'energia, il clima, la ricerca, l'innovazione, l'intelligenza artificiale, la connettività, la governance digitale, l'istruzione, la cultura, la ricerca, i giovani e i contatti interpersonali;</w:t>
            </w:r>
          </w:p>
        </w:tc>
        <w:tc>
          <w:tcPr>
            <w:tcW w:w="4876" w:type="dxa"/>
            <w:tcBorders>
              <w:top w:val="nil"/>
              <w:left w:val="nil"/>
              <w:bottom w:val="nil"/>
              <w:right w:val="nil"/>
            </w:tcBorders>
          </w:tcPr>
          <w:p>
            <w:pPr>
              <w:pStyle w:val="Normal6a"/>
            </w:pPr>
            <w:r>
              <w:t>1.</w:t>
            </w:r>
            <w:r>
              <w:tab/>
            </w:r>
            <w:r>
              <w:t xml:space="preserve">sottolinea il dialogo positivo tra l'UE e il Consiglio di cooperazione del Golfo durante il vertice UE-Consiglio di cooperazione del Golfo; afferma che l'UE mira a rafforzare i legami bilaterali con ciascun partner del Consiglio di cooperazione del Golfo attraverso gli APS, che porrebbero rimedio all'attuale assenza di un quadro giuridicamente vincolante per le relazioni bilaterali tra l'UE e l'Arabia Saudita, liberando il potenziale per una più profonda e ampia cooperazione in settori quali la sicurezza, il commercio, l'energia, il clima, la ricerca, l'innovazione, l'intelligenza artificiale, la connettività, la governance digitale, l'istruzione, la cultura, la ricerca, i giovani e i contatti interpersonali </w:t>
            </w:r>
            <w:r>
              <w:rPr>
                <w:b/>
                <w:i/>
              </w:rPr>
              <w:t>e per garantire le tanto necessarie riforme in materia di diritti umani e diritti dei lavoratori nei paesi del CCG</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33</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sottolinea il dialogo positivo tra l'UE e il Consiglio di cooperazione del Golfo durante il vertice UE-Consiglio di cooperazione del Golfo; afferma che l'UE mira a rafforzare i legami bilaterali con ciascun partner del Consiglio di cooperazione del Golfo attraverso gli APS, che porrebbero rimedio all'attuale assenza di un quadro giuridicamente vincolante per le relazioni bilaterali tra l'UE e l'Arabia Saudita, liberando il potenziale per una più profonda e ampia cooperazione in settori quali la sicurezza, il commercio, l'energia, il clima, la ricerca, l'innovazione, l'intelligenza artificiale, la connettività, la governance digitale, l'istruzione, la cultura, la ricerca, i giovani e i contatti interpersonali;</w:t>
            </w:r>
          </w:p>
        </w:tc>
        <w:tc>
          <w:tcPr>
            <w:tcW w:w="4876" w:type="dxa"/>
            <w:tcBorders>
              <w:top w:val="nil"/>
              <w:left w:val="nil"/>
              <w:bottom w:val="nil"/>
              <w:right w:val="nil"/>
            </w:tcBorders>
          </w:tcPr>
          <w:p>
            <w:pPr>
              <w:pStyle w:val="Normal6a"/>
            </w:pPr>
            <w:r>
              <w:t>1.</w:t>
            </w:r>
            <w:r>
              <w:tab/>
            </w:r>
            <w:r>
              <w:t xml:space="preserve">sottolinea il dialogo positivo tra l'UE e il Consiglio di cooperazione del Golfo durante il vertice UE-Consiglio di cooperazione del Golfo; afferma che l'UE mira a rafforzare i legami bilaterali con ciascun partner del Consiglio di cooperazione del Golfo attraverso gli APS, che porrebbero rimedio all'attuale assenza di un quadro giuridicamente vincolante per le relazioni bilaterali tra l'UE e l'Arabia Saudita, liberando il potenziale per una più profonda e ampia cooperazione in settori quali la sicurezza, il commercio, l'energia, il clima, la ricerca, l'innovazione, l'intelligenza artificiale, la connettività, la governance digitale, l'istruzione, la cultura, la ricerca, i giovani e i contatti interpersonali </w:t>
            </w:r>
            <w:r>
              <w:rPr>
                <w:b/>
                <w:i/>
              </w:rPr>
              <w:t>e per garantire le tanto necessarie riforme in materia di diritti umani e diritti dei lavoratori nei paesi del CCG</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34</w:t>
      </w:r>
      <w:r>
        <w:rPr>
          <w:rStyle w:val="HideTWBExt"/>
        </w:rPr>
        <w:t>&lt;/NumAm&gt;</w:t>
      </w:r>
    </w:p>
    <w:p>
      <w:pPr>
        <w:pStyle w:val="NormalBold"/>
      </w:pPr>
      <w:r>
        <w:rPr>
          <w:rStyle w:val="HideTWBExt"/>
          <w:b w:val="0"/>
        </w:rPr>
        <w:t>&lt;RepeatBlock-By&gt;</w:t>
      </w:r>
      <w:r>
        <w:rPr>
          <w:rStyle w:val="HideTWBExt"/>
          <w:b w:val="0"/>
        </w:rPr>
        <w:t>&lt;Members&gt;</w:t>
      </w:r>
      <w:r>
        <w:t>Antonio López-Istúriz White, Reinhold Lopatka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sottolinea il dialogo positivo tra l'UE e il Consiglio di cooperazione del Golfo durante il vertice </w:t>
            </w:r>
            <w:r>
              <w:rPr>
                <w:b/>
                <w:i/>
              </w:rPr>
              <w:t>UE-Consiglio di cooperazione del Golfo</w:t>
            </w:r>
            <w:r>
              <w:t>; afferma che l'UE mira a rafforzare i legami bilaterali con ciascun partner del Consiglio di cooperazione del Golfo attraverso gli APS, che porrebbero rimedio all'attuale assenza di un quadro giuridicamente vincolante per le relazioni bilaterali tra l'UE e l'Arabia Saudita, liberando il potenziale per una più profonda e ampia cooperazione in settori quali la sicurezza, il commercio, l'energia</w:t>
            </w:r>
            <w:r>
              <w:rPr>
                <w:b/>
                <w:i/>
              </w:rPr>
              <w:t>,</w:t>
            </w:r>
            <w:r>
              <w:t xml:space="preserve"> il clima, la ricerca</w:t>
            </w:r>
            <w:r>
              <w:rPr>
                <w:b/>
                <w:i/>
              </w:rPr>
              <w:t>,</w:t>
            </w:r>
            <w:r>
              <w:t xml:space="preserve"> l'innovazione, l'intelligenza artificiale, la connettività, la governance digitale, l'istruzione, la cultura, </w:t>
            </w:r>
            <w:r>
              <w:rPr>
                <w:b/>
                <w:i/>
              </w:rPr>
              <w:t>la ricerca,</w:t>
            </w:r>
            <w:r>
              <w:t xml:space="preserve"> i giovani e i contatti interpersonali;</w:t>
            </w:r>
          </w:p>
        </w:tc>
        <w:tc>
          <w:tcPr>
            <w:tcW w:w="4876" w:type="dxa"/>
            <w:tcBorders>
              <w:top w:val="nil"/>
              <w:left w:val="nil"/>
              <w:bottom w:val="nil"/>
              <w:right w:val="nil"/>
            </w:tcBorders>
          </w:tcPr>
          <w:p>
            <w:pPr>
              <w:pStyle w:val="Normal6a"/>
            </w:pPr>
            <w:r>
              <w:t>1.</w:t>
            </w:r>
            <w:r>
              <w:tab/>
            </w:r>
            <w:r>
              <w:t xml:space="preserve">sottolinea il dialogo positivo tra l'UE e il Consiglio di cooperazione del Golfo durante il </w:t>
            </w:r>
            <w:r>
              <w:rPr>
                <w:b/>
                <w:i/>
              </w:rPr>
              <w:t>primo</w:t>
            </w:r>
            <w:r>
              <w:t xml:space="preserve"> vertice </w:t>
            </w:r>
            <w:r>
              <w:rPr>
                <w:b/>
                <w:i/>
              </w:rPr>
              <w:t>UE-CCG</w:t>
            </w:r>
            <w:r>
              <w:t xml:space="preserve">; afferma che l'UE mira a rafforzare i legami bilaterali con ciascun partner del Consiglio di cooperazione del Golfo attraverso gli APS, che porrebbero rimedio all'attuale assenza di un quadro giuridicamente vincolante per le relazioni bilaterali tra l'UE e l'Arabia Saudita, liberando il potenziale per una più profonda e ampia cooperazione in settori quali la </w:t>
            </w:r>
            <w:r>
              <w:rPr>
                <w:b/>
                <w:i/>
              </w:rPr>
              <w:t>politica estera e di</w:t>
            </w:r>
            <w:r>
              <w:t xml:space="preserve"> sicurezza</w:t>
            </w:r>
            <w:r>
              <w:rPr>
                <w:b/>
                <w:i/>
              </w:rPr>
              <w:t>, la giustizia e le attività di contrasto</w:t>
            </w:r>
            <w:r>
              <w:t xml:space="preserve">, il commercio </w:t>
            </w:r>
            <w:r>
              <w:rPr>
                <w:b/>
                <w:i/>
              </w:rPr>
              <w:t>e gli investimenti</w:t>
            </w:r>
            <w:r>
              <w:t xml:space="preserve">, l'energia </w:t>
            </w:r>
            <w:r>
              <w:rPr>
                <w:b/>
                <w:i/>
              </w:rPr>
              <w:t>e</w:t>
            </w:r>
            <w:r>
              <w:t xml:space="preserve"> il clima, la </w:t>
            </w:r>
            <w:r>
              <w:rPr>
                <w:b/>
                <w:i/>
              </w:rPr>
              <w:t>trasformazione digitale, l'ambiente, la</w:t>
            </w:r>
            <w:r>
              <w:t xml:space="preserve"> ricerca </w:t>
            </w:r>
            <w:r>
              <w:rPr>
                <w:b/>
                <w:i/>
              </w:rPr>
              <w:t>e</w:t>
            </w:r>
            <w:r>
              <w:t xml:space="preserve"> l'innovazione, l'intelligenza artificiale, la connettività, la governance digitale, l'istruzione, la cultura, i giovani e i contatti interpersonali;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35</w:t>
      </w:r>
      <w:r>
        <w:rPr>
          <w:rStyle w:val="HideTWBExt"/>
        </w:rPr>
        <w:t>&lt;/NumAm&gt;</w:t>
      </w:r>
    </w:p>
    <w:p>
      <w:pPr>
        <w:pStyle w:val="NormalBold"/>
      </w:pPr>
      <w:r>
        <w:rPr>
          <w:rStyle w:val="HideTWBExt"/>
          <w:b w:val="0"/>
        </w:rPr>
        <w:t>&lt;RepeatBlock-By&gt;</w:t>
      </w:r>
      <w:r>
        <w:rPr>
          <w:rStyle w:val="HideTWBExt"/>
          <w:b w:val="0"/>
        </w:rPr>
        <w:t>&lt;Members&gt;</w:t>
      </w:r>
      <w:r>
        <w:t>Adam Bielan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sottolinea il dialogo positivo tra l'UE e il Consiglio di cooperazione del Golfo durante il vertice UE-Consiglio di cooperazione del Golfo; afferma che l'UE mira a rafforzare i legami bilaterali con ciascun partner del Consiglio di cooperazione del Golfo attraverso gli APS, che porrebbero rimedio all'attuale assenza di un quadro giuridicamente vincolante per le relazioni bilaterali tra l'UE e l'Arabia Saudita, liberando il potenziale per una più profonda e ampia cooperazione in settori quali la sicurezza, il commercio, l'energia, il clima, la ricerca, l'innovazione, l'intelligenza artificiale, la connettività, la governance digitale, l'istruzione, la cultura, la ricerca, i giovani e i contatti interpersonali;</w:t>
            </w:r>
          </w:p>
        </w:tc>
        <w:tc>
          <w:tcPr>
            <w:tcW w:w="4876" w:type="dxa"/>
            <w:tcBorders>
              <w:top w:val="nil"/>
              <w:left w:val="nil"/>
              <w:bottom w:val="nil"/>
              <w:right w:val="nil"/>
            </w:tcBorders>
          </w:tcPr>
          <w:p>
            <w:pPr>
              <w:pStyle w:val="Normal6a"/>
            </w:pPr>
            <w:r>
              <w:t>1.</w:t>
            </w:r>
            <w:r>
              <w:tab/>
            </w:r>
            <w:r>
              <w:t>sottolinea il dialogo positivo tra l'UE e il Consiglio di cooperazione del Golfo</w:t>
            </w:r>
            <w:r>
              <w:rPr>
                <w:b/>
                <w:i/>
              </w:rPr>
              <w:t>, in quanto due dei principali attori nel Mediterraneo allargato,</w:t>
            </w:r>
            <w:r>
              <w:t xml:space="preserve"> durante il vertice UE-Consiglio di cooperazione del Golfo; afferma che l'UE mira a rafforzare i legami bilaterali con ciascun partner del Consiglio di cooperazione del Golfo attraverso gli APS, che porrebbero rimedio all'attuale assenza di un quadro giuridicamente vincolante per le relazioni bilaterali tra l'UE e l'Arabia Saudita, liberando il potenziale per una più profonda e ampia cooperazione in settori quali la sicurezza, il commercio, l'energia, il clima, la ricerca, l'innovazione, l'intelligenza artificiale, la connettività, la governance digitale, l'istruzione, la cultura, la ricerca, i giovani e i contatti interpersonali;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36</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 bis.</w:t>
            </w:r>
            <w:r>
              <w:tab/>
            </w:r>
            <w:r>
              <w:rPr>
                <w:b/>
                <w:i/>
              </w:rPr>
              <w:t>esprime il proprio sostegno alla decisione del Consiglio che autorizza la Commissione europea e l'alto rappresentante ad avviare negoziati per l'istituzione di un partenariato strategico con il Regno dell'Arabia Saudita;</w:t>
            </w:r>
            <w:r>
              <w:t xml:space="preserve"> </w:t>
            </w:r>
            <w:r>
              <w:rPr>
                <w:b/>
                <w:i/>
              </w:rPr>
              <w:t>riconosce che tale iniziativa rappresenta un'opportunità fondamentale per promuovere gli interessi strategici dell'Unione, favorire la stabilità regionale e rafforzare la cooperazione nei settori dell'energia e della sicurezza;</w:t>
            </w:r>
            <w:r>
              <w:t xml:space="preserve"> </w:t>
            </w:r>
            <w:r>
              <w:rPr>
                <w:b/>
                <w:i/>
              </w:rPr>
              <w:t>chiede un impegno forte e attivo di entrambe le parti durante l'intero processo negoziale al fine di garantirne la rapida e tempestiva conclusione;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37</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 ter.</w:t>
            </w:r>
            <w:r>
              <w:tab/>
            </w:r>
            <w:r>
              <w:rPr>
                <w:b/>
                <w:i/>
              </w:rPr>
              <w:t>sottolinea che, pur rimanendo un attore globale chiave nei mercati dell'energia convenzionale, l'Arabia Saudita ha anche intrapreso un percorso ambizioso di diversificazione e sostenibilità, con investimenti leader a livello mondiale nelle energie rinnovabili, in particolare nei progetti su larga scala in materia di energia solare e idrogeno;</w:t>
            </w:r>
            <w:r>
              <w:t xml:space="preserve"> </w:t>
            </w:r>
            <w:r>
              <w:rPr>
                <w:b/>
                <w:i/>
              </w:rPr>
              <w:t>osserva che l'Arabia Saudita figura attualmente tra i primi 10 mercati mondiali di stoccaggio dell'energia, rafforzando ulteriormente la sua leadership nel settore delle energie rinnovabili</w:t>
            </w:r>
            <w:r>
              <w:rPr>
                <w:b/>
                <w:i/>
                <w:vertAlign w:val="superscript"/>
              </w:rPr>
              <w:t>1 bis</w:t>
            </w:r>
            <w:r>
              <w:rPr>
                <w:b/>
                <w:i/>
              </w:rPr>
              <w:t>;</w:t>
            </w:r>
            <w:r>
              <w:t xml:space="preserve"> </w:t>
            </w:r>
            <w:r>
              <w:rPr>
                <w:b/>
                <w:i/>
              </w:rPr>
              <w:t>sottolinea che, per l'UE, una più stretta cooperazione con l'Arabia Saudita offre il potenziale per rafforzare la sicurezza energetica e diversificare le fonti di approvvigionamento;</w:t>
            </w:r>
            <w:r>
              <w:t xml:space="preserve"> </w:t>
            </w:r>
            <w:r>
              <w:rPr>
                <w:b/>
                <w:i/>
              </w:rPr>
              <w:t>sottolinea che sfruttare il vasto potenziale solare dell'Arabia Saudita unitamente alle tecnologie rinnovabili avanzate dell'UE può consentire di intraprendere iniziative congiunte in materia di idrogeno verde, combustibili sostenibili e infrastrutture energetiche di prossima generazione, promuovendo in tal modo l'innovazione e posizionando entrambi i partner come leader globali nei partenariati per le energie rinnovabili</w:t>
            </w:r>
            <w:r>
              <w:rPr>
                <w:b/>
                <w:i/>
                <w:vertAlign w:val="superscript"/>
              </w:rPr>
              <w:t>10 bis</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 bis</w:t>
            </w:r>
            <w:r>
              <w:t xml:space="preserve"> </w:t>
            </w:r>
            <w:r>
              <w:rPr>
                <w:b/>
                <w:i/>
              </w:rPr>
              <w:t>https://www.moenergy.gov.sa/en/media-center/news/saudi-arabia-ranks-among-worlds-top-10-energy-storage-markets-advancing-leadership-renewable-energy</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10 bis</w:t>
            </w:r>
            <w:r>
              <w:t xml:space="preserve"> </w:t>
            </w:r>
            <w:r>
              <w:rPr>
                <w:b/>
                <w:i/>
              </w:rPr>
              <w:t>https://www.weforum.org/publications/fostering-effective-energy-transition-2023/in-full/saudi-arabia/;</w:t>
            </w:r>
            <w:r>
              <w:t xml:space="preserve"> </w:t>
            </w:r>
            <w:r>
              <w:rPr>
                <w:b/>
                <w:i/>
              </w:rPr>
              <w:t>https://unfccc.int/sites/default/files/resource/KSA_BTR1_20250320-2.pdf</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38</w:t>
      </w:r>
      <w:r>
        <w:rPr>
          <w:rStyle w:val="HideTWBExt"/>
        </w:rPr>
        <w:t>&lt;/NumAm&gt;</w:t>
      </w:r>
    </w:p>
    <w:p>
      <w:pPr>
        <w:pStyle w:val="NormalBold"/>
      </w:pPr>
      <w:r>
        <w:rPr>
          <w:rStyle w:val="HideTWBExt"/>
          <w:b w:val="0"/>
        </w:rPr>
        <w:t>&lt;RepeatBlock-By&gt;</w:t>
      </w:r>
      <w:r>
        <w:rPr>
          <w:rStyle w:val="HideTWBExt"/>
          <w:b w:val="0"/>
        </w:rPr>
        <w:t>&lt;Members&gt;</w:t>
      </w:r>
      <w:r>
        <w:t>Adam Bielan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mette in evidenza la cooperazione dell'Arabia Saudita con l'UE nei settori della politica estera e di sicurezza;</w:t>
            </w:r>
          </w:p>
        </w:tc>
        <w:tc>
          <w:tcPr>
            <w:tcW w:w="4876" w:type="dxa"/>
            <w:tcBorders>
              <w:top w:val="nil"/>
              <w:left w:val="nil"/>
              <w:bottom w:val="nil"/>
              <w:right w:val="nil"/>
            </w:tcBorders>
          </w:tcPr>
          <w:p>
            <w:pPr>
              <w:pStyle w:val="Normal6a"/>
            </w:pPr>
            <w:r>
              <w:t>2.</w:t>
            </w:r>
            <w:r>
              <w:tab/>
            </w:r>
            <w:r>
              <w:t>mette in evidenza la cooperazione dell'Arabia Saudita con l'UE nei settori della politica estera e di sicurezza</w:t>
            </w:r>
            <w:r>
              <w:rPr>
                <w:b/>
                <w:i/>
              </w:rPr>
              <w:t>, nonché nella lotta alla radicalizzazione e al terrorismo</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39</w:t>
      </w:r>
      <w:r>
        <w:rPr>
          <w:rStyle w:val="HideTWBExt"/>
        </w:rPr>
        <w:t>&lt;/NumAm&gt;</w:t>
      </w:r>
    </w:p>
    <w:p>
      <w:pPr>
        <w:pStyle w:val="NormalBold"/>
      </w:pPr>
      <w:r>
        <w:rPr>
          <w:rStyle w:val="HideTWBExt"/>
          <w:b w:val="0"/>
        </w:rPr>
        <w:t>&lt;RepeatBlock-By&gt;</w:t>
      </w:r>
      <w:r>
        <w:rPr>
          <w:rStyle w:val="HideTWBExt"/>
          <w:b w:val="0"/>
        </w:rPr>
        <w:t>&lt;Members&gt;</w:t>
      </w:r>
      <w:r>
        <w:t>Antonio López-Istúriz White, Reinhold Lopatka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rPr>
                <w:b/>
                <w:i/>
              </w:rPr>
              <w:t>mette in evidenza la</w:t>
            </w:r>
            <w:r>
              <w:t xml:space="preserve"> cooperazione </w:t>
            </w:r>
            <w:r>
              <w:rPr>
                <w:b/>
                <w:i/>
              </w:rPr>
              <w:t>dell'Arabia</w:t>
            </w:r>
            <w:r>
              <w:t xml:space="preserve"> Saudita </w:t>
            </w:r>
            <w:r>
              <w:rPr>
                <w:b/>
                <w:i/>
              </w:rPr>
              <w:t>con</w:t>
            </w:r>
            <w:r>
              <w:t xml:space="preserve"> l'UE nei settori della politica estera e di sicurezza;</w:t>
            </w:r>
          </w:p>
        </w:tc>
        <w:tc>
          <w:tcPr>
            <w:tcW w:w="4876" w:type="dxa"/>
            <w:tcBorders>
              <w:top w:val="nil"/>
              <w:left w:val="nil"/>
              <w:bottom w:val="nil"/>
              <w:right w:val="nil"/>
            </w:tcBorders>
          </w:tcPr>
          <w:p>
            <w:pPr>
              <w:pStyle w:val="Normal6a"/>
            </w:pPr>
            <w:r>
              <w:t>2.</w:t>
            </w:r>
            <w:r>
              <w:tab/>
            </w:r>
            <w:r>
              <w:rPr>
                <w:b/>
                <w:i/>
              </w:rPr>
              <w:t>sottolinea l'elevato grado di allineamento e</w:t>
            </w:r>
            <w:r>
              <w:t xml:space="preserve"> cooperazione </w:t>
            </w:r>
            <w:r>
              <w:rPr>
                <w:b/>
                <w:i/>
              </w:rPr>
              <w:t>tra l'Arabia</w:t>
            </w:r>
            <w:r>
              <w:t xml:space="preserve"> Saudita </w:t>
            </w:r>
            <w:r>
              <w:rPr>
                <w:b/>
                <w:i/>
              </w:rPr>
              <w:t>e</w:t>
            </w:r>
            <w:r>
              <w:t xml:space="preserve"> l'UE nei settori della politica estera e di sicurezza;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40</w:t>
      </w:r>
      <w:r>
        <w:rPr>
          <w:rStyle w:val="HideTWBExt"/>
        </w:rPr>
        <w:t>&lt;/NumAm&gt;</w:t>
      </w:r>
    </w:p>
    <w:p>
      <w:pPr>
        <w:pStyle w:val="NormalBold"/>
      </w:pPr>
      <w:r>
        <w:rPr>
          <w:rStyle w:val="HideTWBExt"/>
          <w:b w:val="0"/>
        </w:rPr>
        <w:t>&lt;RepeatBlock-By&gt;</w:t>
      </w:r>
      <w:r>
        <w:rPr>
          <w:rStyle w:val="HideTWBExt"/>
          <w:b w:val="0"/>
        </w:rPr>
        <w:t>&lt;Members&gt;</w:t>
      </w:r>
      <w:r>
        <w:t>Roberto Vannacci, Silvia Sardone,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mette in evidenza la cooperazione dell'Arabia Saudita con l'UE nei settori della politica estera e di sicurezza;</w:t>
            </w:r>
          </w:p>
        </w:tc>
        <w:tc>
          <w:tcPr>
            <w:tcW w:w="4876" w:type="dxa"/>
            <w:tcBorders>
              <w:top w:val="nil"/>
              <w:left w:val="nil"/>
              <w:bottom w:val="nil"/>
              <w:right w:val="nil"/>
            </w:tcBorders>
          </w:tcPr>
          <w:p>
            <w:pPr>
              <w:pStyle w:val="Normal6a"/>
            </w:pPr>
            <w:r>
              <w:t>2.</w:t>
            </w:r>
            <w:r>
              <w:tab/>
            </w:r>
            <w:r>
              <w:t xml:space="preserve">mette in evidenza la cooperazione dell'Arabia Saudita con l'UE nei settori della politica estera e di sicurezza </w:t>
            </w:r>
            <w:r>
              <w:rPr>
                <w:b/>
                <w:i/>
              </w:rPr>
              <w:t>e nella lotta al terrorismo</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41</w:t>
      </w:r>
      <w:r>
        <w:rPr>
          <w:rStyle w:val="HideTWBExt"/>
        </w:rPr>
        <w:t>&lt;/NumAm&gt;</w:t>
      </w:r>
    </w:p>
    <w:p>
      <w:pPr>
        <w:pStyle w:val="NormalBold"/>
      </w:pPr>
      <w:r>
        <w:rPr>
          <w:rStyle w:val="HideTWBExt"/>
          <w:b w:val="0"/>
        </w:rPr>
        <w:t>&lt;RepeatBlock-By&gt;</w:t>
      </w:r>
      <w:r>
        <w:rPr>
          <w:rStyle w:val="HideTWBExt"/>
          <w:b w:val="0"/>
        </w:rPr>
        <w:t>&lt;Members&gt;</w:t>
      </w:r>
      <w:r>
        <w:t>Jordan Bardella, Pierre-Romain Thionnet, Matthieu Valet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accoglie con favore il potenziale di ulteriore collaborazione economica UE-Arabia Saudita nei settori dell'energia sostenibile, delle materie prime critiche, delle tecnologie dell'informazione e dell'imprenditorialità, osservando che la cooperazione economica tra l'UE e l'Arabia Saudita costituisce la pietra angolare delle relazioni bilaterali;</w:t>
            </w:r>
          </w:p>
        </w:tc>
        <w:tc>
          <w:tcPr>
            <w:tcW w:w="4876" w:type="dxa"/>
            <w:tcBorders>
              <w:top w:val="nil"/>
              <w:left w:val="nil"/>
              <w:bottom w:val="nil"/>
              <w:right w:val="nil"/>
            </w:tcBorders>
          </w:tcPr>
          <w:p>
            <w:pPr>
              <w:pStyle w:val="Normal6a"/>
            </w:pPr>
            <w:r>
              <w:t>3.</w:t>
            </w:r>
            <w:r>
              <w:tab/>
            </w:r>
            <w:r>
              <w:t xml:space="preserve">accoglie con favore il potenziale di ulteriore collaborazione economica UE-Arabia Saudita nei settori dell'energia sostenibile, delle materie prime critiche, delle tecnologie dell'informazione e dell'imprenditorialità, osservando che la cooperazione economica tra l'UE e l'Arabia Saudita costituisce la pietra angolare delle relazioni bilaterali; </w:t>
            </w:r>
            <w:r>
              <w:rPr>
                <w:b/>
                <w:i/>
              </w:rPr>
              <w:t>sottolinea che tale cooperazione non deve tuttavia portare ad acquisizioni di controllo su imprese europee in settori strategici, come dimostrato dalle recenti operazioni del fondo sovrano saudita;</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42</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rPr>
                <w:b/>
                <w:i/>
              </w:rPr>
              <w:t>accoglie con favore</w:t>
            </w:r>
            <w:r>
              <w:t xml:space="preserve"> il potenziale di ulteriore collaborazione economica UE-Arabia Saudita nei settori dell'energia sostenibile, delle materie prime critiche, delle tecnologie dell'informazione e dell'imprenditorialità, osservando che la cooperazione economica tra l'UE e l'Arabia Saudita costituisce la pietra angolare delle relazioni bilaterali;</w:t>
            </w:r>
          </w:p>
        </w:tc>
        <w:tc>
          <w:tcPr>
            <w:tcW w:w="4876" w:type="dxa"/>
            <w:tcBorders>
              <w:top w:val="nil"/>
              <w:left w:val="nil"/>
              <w:bottom w:val="nil"/>
              <w:right w:val="nil"/>
            </w:tcBorders>
          </w:tcPr>
          <w:p>
            <w:pPr>
              <w:pStyle w:val="Normal6a"/>
            </w:pPr>
            <w:r>
              <w:t>3.</w:t>
            </w:r>
            <w:r>
              <w:tab/>
            </w:r>
            <w:r>
              <w:rPr>
                <w:b/>
                <w:i/>
              </w:rPr>
              <w:t>rileva</w:t>
            </w:r>
            <w:r>
              <w:t xml:space="preserve"> il potenziale di ulteriore collaborazione economica UE-Arabia Saudita nei settori dell'energia sostenibile, delle materie prime critiche, delle tecnologie dell'informazione e dell'imprenditorialità, osservando che la cooperazione economica tra l'UE e l'Arabia Saudita costituisce la pietra angolare delle relazioni bilaterali; </w:t>
            </w:r>
            <w:r>
              <w:rPr>
                <w:b/>
                <w:i/>
              </w:rPr>
              <w:t>esprime preoccupazione per i legami documentati del fondo d'investimento pubblico (PIF) dell'Arabia Saudita con violazioni dei diritti umani e sottolinea che le imprese dovrebbero esercitare la dovuta diligenza in materia di diritti umani quando valutano le attività economiche che coinvolgono direttamente o indirettamente detto fondo;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43</w:t>
      </w:r>
      <w:r>
        <w:rPr>
          <w:rStyle w:val="HideTWBExt"/>
        </w:rPr>
        <w:t>&lt;/NumAm&gt;</w:t>
      </w:r>
    </w:p>
    <w:p>
      <w:pPr>
        <w:pStyle w:val="NormalBold"/>
      </w:pPr>
      <w:r>
        <w:rPr>
          <w:rStyle w:val="HideTWBExt"/>
          <w:b w:val="0"/>
        </w:rPr>
        <w:t>&lt;RepeatBlock-By&gt;</w:t>
      </w:r>
      <w:r>
        <w:rPr>
          <w:rStyle w:val="HideTWBExt"/>
          <w:b w:val="0"/>
        </w:rPr>
        <w:t>&lt;Members&gt;</w:t>
      </w:r>
      <w:r>
        <w:t>Merja Kyllönen, Jonas Sjöstedt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rPr>
                <w:b/>
                <w:i/>
              </w:rPr>
              <w:t>accoglie con favore</w:t>
            </w:r>
            <w:r>
              <w:t xml:space="preserve"> il potenziale di ulteriore collaborazione economica UE-Arabia Saudita nei settori dell'energia sostenibile, delle materie prime critiche, delle tecnologie dell'informazione e dell'imprenditorialità, osservando che la cooperazione economica tra l'UE e l'Arabia Saudita costituisce la pietra angolare delle relazioni bilaterali;</w:t>
            </w:r>
          </w:p>
        </w:tc>
        <w:tc>
          <w:tcPr>
            <w:tcW w:w="4876" w:type="dxa"/>
            <w:tcBorders>
              <w:top w:val="nil"/>
              <w:left w:val="nil"/>
              <w:bottom w:val="nil"/>
              <w:right w:val="nil"/>
            </w:tcBorders>
          </w:tcPr>
          <w:p>
            <w:pPr>
              <w:pStyle w:val="Normal6a"/>
            </w:pPr>
            <w:r>
              <w:t>3.</w:t>
            </w:r>
            <w:r>
              <w:tab/>
            </w:r>
            <w:r>
              <w:rPr>
                <w:b/>
                <w:i/>
              </w:rPr>
              <w:t>rileva</w:t>
            </w:r>
            <w:r>
              <w:t xml:space="preserve"> il potenziale di ulteriore collaborazione economica UE-Arabia Saudita nei settori dell'energia sostenibile, delle materie prime critiche, delle tecnologie dell'informazione e dell'imprenditorialità, osservando che la cooperazione economica tra l'UE e l'Arabia Saudita costituisce la pietra angolare delle relazioni bilaterali; </w:t>
            </w:r>
            <w:r>
              <w:rPr>
                <w:b/>
                <w:i/>
              </w:rPr>
              <w:t>esprime preoccupazione per i legami documentati del fondo d'investimento pubblico (PIF) dell'Arabia Saudita con violazioni dei diritti umani e sottolinea che va esercitata rigorosamente la dovuta diligenza in materia di diritti umani nel valutare accordi economici o commerciali che coinvolgano direttamente o indirettamente detto fondo;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44</w:t>
      </w:r>
      <w:r>
        <w:rPr>
          <w:rStyle w:val="HideTWBExt"/>
        </w:rPr>
        <w:t>&lt;/NumAm&gt;</w:t>
      </w:r>
    </w:p>
    <w:p>
      <w:pPr>
        <w:pStyle w:val="NormalBold"/>
      </w:pPr>
      <w:r>
        <w:rPr>
          <w:rStyle w:val="HideTWBExt"/>
          <w:b w:val="0"/>
        </w:rPr>
        <w:t>&lt;RepeatBlock-By&gt;</w:t>
      </w:r>
      <w:r>
        <w:rPr>
          <w:rStyle w:val="HideTWBExt"/>
          <w:b w:val="0"/>
        </w:rPr>
        <w:t>&lt;Members&gt;</w:t>
      </w:r>
      <w:r>
        <w:t>Robert Biedroń, Andreas Schieder, Evin Incir, Marco Tarquinio, Chloé Ridel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accoglie con favore il potenziale di ulteriore collaborazione economica UE-Arabia Saudita nei settori dell'energia sostenibile, delle materie prime critiche, delle tecnologie dell'informazione e dell'imprenditorialità, osservando che la cooperazione economica tra l'UE e l'Arabia Saudita costituisce la pietra angolare delle relazioni bilaterali;</w:t>
            </w:r>
          </w:p>
        </w:tc>
        <w:tc>
          <w:tcPr>
            <w:tcW w:w="4876" w:type="dxa"/>
            <w:tcBorders>
              <w:top w:val="nil"/>
              <w:left w:val="nil"/>
              <w:bottom w:val="nil"/>
              <w:right w:val="nil"/>
            </w:tcBorders>
          </w:tcPr>
          <w:p>
            <w:pPr>
              <w:pStyle w:val="Normal6a"/>
            </w:pPr>
            <w:r>
              <w:t>3.</w:t>
            </w:r>
            <w:r>
              <w:tab/>
            </w:r>
            <w:r>
              <w:t xml:space="preserve">accoglie con favore il potenziale di ulteriore collaborazione economica UE-Arabia Saudita nei settori dell'energia sostenibile, delle materie prime critiche, delle tecnologie dell'informazione e dell'imprenditorialità, osservando che la cooperazione economica tra l'UE e l'Arabia Saudita costituisce la pietra angolare delle relazioni bilaterali; </w:t>
            </w:r>
            <w:r>
              <w:rPr>
                <w:b/>
                <w:i/>
              </w:rPr>
              <w:t>sottolinea che occorre prestare la massima attenzione nel valutare accordi economici o commerciali che coinvolgano direttamente o indirettamente il Fondo di investimento pubblico, alla luce delle segnalazioni relative ai suoi legami con violazioni dei diritti umani;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45</w:t>
      </w:r>
      <w:r>
        <w:rPr>
          <w:rStyle w:val="HideTWBExt"/>
        </w:rPr>
        <w:t>&lt;/NumAm&gt;</w:t>
      </w:r>
    </w:p>
    <w:p>
      <w:pPr>
        <w:pStyle w:val="NormalBold"/>
      </w:pPr>
      <w:r>
        <w:rPr>
          <w:rStyle w:val="HideTWBExt"/>
          <w:b w:val="0"/>
        </w:rPr>
        <w:t>&lt;RepeatBlock-By&gt;</w:t>
      </w:r>
      <w:r>
        <w:rPr>
          <w:rStyle w:val="HideTWBExt"/>
          <w:b w:val="0"/>
        </w:rPr>
        <w:t>&lt;Members&gt;</w:t>
      </w:r>
      <w:r>
        <w:t>Antonio López-Istúriz White, Reinhold Lopatka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accoglie con favore il potenziale di ulteriore collaborazione economica UE-Arabia Saudita nei settori dell'energia sostenibile, delle materie prime critiche, delle tecnologie dell'informazione e dell'imprenditorialità, osservando che la cooperazione economica tra l'UE e l'Arabia Saudita costituisce la pietra angolare delle relazioni bilaterali;</w:t>
            </w:r>
          </w:p>
        </w:tc>
        <w:tc>
          <w:tcPr>
            <w:tcW w:w="4876" w:type="dxa"/>
            <w:tcBorders>
              <w:top w:val="nil"/>
              <w:left w:val="nil"/>
              <w:bottom w:val="nil"/>
              <w:right w:val="nil"/>
            </w:tcBorders>
          </w:tcPr>
          <w:p>
            <w:pPr>
              <w:pStyle w:val="Normal6a"/>
            </w:pPr>
            <w:r>
              <w:t>3.</w:t>
            </w:r>
            <w:r>
              <w:tab/>
            </w:r>
            <w:r>
              <w:t xml:space="preserve">accoglie con favore il potenziale di ulteriore collaborazione economica UE-Arabia Saudita nei settori dell'energia sostenibile, delle materie prime critiche, delle tecnologie dell'informazione e dell'imprenditorialità, osservando che la cooperazione economica tra l'UE e l'Arabia Saudita costituisce la pietra angolare delle relazioni bilaterali; </w:t>
            </w:r>
            <w:r>
              <w:rPr>
                <w:b/>
                <w:i/>
              </w:rPr>
              <w:t>chiede una maggiore cooperazione UE-Arabia Saudita in tali settori;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46</w:t>
      </w:r>
      <w:r>
        <w:rPr>
          <w:rStyle w:val="HideTWBExt"/>
        </w:rPr>
        <w:t>&lt;/NumAm&gt;</w:t>
      </w:r>
    </w:p>
    <w:p>
      <w:pPr>
        <w:pStyle w:val="NormalBold"/>
      </w:pPr>
      <w:r>
        <w:rPr>
          <w:rStyle w:val="HideTWBExt"/>
          <w:b w:val="0"/>
        </w:rPr>
        <w:t>&lt;RepeatBlock-By&gt;</w:t>
      </w:r>
      <w:r>
        <w:rPr>
          <w:rStyle w:val="HideTWBExt"/>
          <w:b w:val="0"/>
        </w:rPr>
        <w:t>&lt;Members&gt;</w:t>
      </w:r>
      <w:r>
        <w:t>Bernard Guetta, Hilde Vautmans, Engin Eroglu, Marie-Agnes Strack-Zimmermann,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rPr>
                <w:b/>
                <w:i/>
              </w:rPr>
              <w:t>accoglie con favore</w:t>
            </w:r>
            <w:r>
              <w:t xml:space="preserve"> il potenziale di ulteriore collaborazione economica UE-Arabia Saudita nei settori dell'energia sostenibile, delle materie prime critiche, delle tecnologie dell'informazione e dell'imprenditorialità, osservando che la cooperazione economica tra l'UE e l'Arabia Saudita costituisce la pietra angolare delle relazioni bilaterali;</w:t>
            </w:r>
          </w:p>
        </w:tc>
        <w:tc>
          <w:tcPr>
            <w:tcW w:w="4876" w:type="dxa"/>
            <w:tcBorders>
              <w:top w:val="nil"/>
              <w:left w:val="nil"/>
              <w:bottom w:val="nil"/>
              <w:right w:val="nil"/>
            </w:tcBorders>
          </w:tcPr>
          <w:p>
            <w:pPr>
              <w:pStyle w:val="Normal6a"/>
            </w:pPr>
            <w:r>
              <w:t>3.</w:t>
            </w:r>
            <w:r>
              <w:tab/>
            </w:r>
            <w:r>
              <w:rPr>
                <w:b/>
                <w:i/>
              </w:rPr>
              <w:t>sottolinea</w:t>
            </w:r>
            <w:r>
              <w:t xml:space="preserve"> il potenziale di ulteriore collaborazione economica UE-Arabia Saudita nei settori dell'energia sostenibile, delle materie prime critiche, delle tecnologie dell'informazione e dell'imprenditorialità, osservando che la cooperazione economica tra l'UE e l'Arabia Saudita costituisce la pietra angolare delle relazioni bilaterali;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47</w:t>
      </w:r>
      <w:r>
        <w:rPr>
          <w:rStyle w:val="HideTWBExt"/>
        </w:rPr>
        <w:t>&lt;/NumAm&gt;</w:t>
      </w:r>
    </w:p>
    <w:p>
      <w:pPr>
        <w:pStyle w:val="NormalBold"/>
      </w:pPr>
      <w:r>
        <w:rPr>
          <w:rStyle w:val="HideTWBExt"/>
          <w:b w:val="0"/>
        </w:rPr>
        <w:t>&lt;RepeatBlock-By&gt;</w:t>
      </w:r>
      <w:r>
        <w:rPr>
          <w:rStyle w:val="HideTWBExt"/>
          <w:b w:val="0"/>
        </w:rPr>
        <w:t>&lt;Members&gt;</w:t>
      </w:r>
      <w:r>
        <w:t>Adam Bielan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rPr>
                <w:b/>
                <w:i/>
              </w:rPr>
              <w:t>accoglie con favore il potenziale di ulteriore</w:t>
            </w:r>
            <w:r>
              <w:t xml:space="preserve"> collaborazione economica UE-Arabia Saudita nei settori dell'energia sostenibile, delle materie prime critiche, delle tecnologie dell'informazione e dell'imprenditorialità, osservando che la cooperazione economica tra l'UE e l'Arabia Saudita costituisce la pietra angolare delle relazioni bilaterali;</w:t>
            </w:r>
          </w:p>
        </w:tc>
        <w:tc>
          <w:tcPr>
            <w:tcW w:w="4876" w:type="dxa"/>
            <w:tcBorders>
              <w:top w:val="nil"/>
              <w:left w:val="nil"/>
              <w:bottom w:val="nil"/>
              <w:right w:val="nil"/>
            </w:tcBorders>
          </w:tcPr>
          <w:p>
            <w:pPr>
              <w:pStyle w:val="Normal6a"/>
            </w:pPr>
            <w:r>
              <w:t>3.</w:t>
            </w:r>
            <w:r>
              <w:tab/>
            </w:r>
            <w:r>
              <w:rPr>
                <w:b/>
                <w:i/>
              </w:rPr>
              <w:t>incoraggia un'ulteriore</w:t>
            </w:r>
            <w:r>
              <w:t xml:space="preserve"> collaborazione economica UE-Arabia Saudita nei settori dell'energia sostenibile, delle materie prime critiche, delle tecnologie dell'informazione e dell'imprenditorialità, osservando che la cooperazione economica tra l'UE e l'Arabia Saudita costituisce la pietra angolare delle relazioni bilaterali;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48</w:t>
      </w:r>
      <w:r>
        <w:rPr>
          <w:rStyle w:val="HideTWBExt"/>
        </w:rPr>
        <w:t>&lt;/NumAm&gt;</w:t>
      </w:r>
    </w:p>
    <w:p>
      <w:pPr>
        <w:pStyle w:val="NormalBold"/>
      </w:pPr>
      <w:r>
        <w:rPr>
          <w:rStyle w:val="HideTWBExt"/>
          <w:b w:val="0"/>
        </w:rPr>
        <w:t>&lt;RepeatBlock-By&gt;</w:t>
      </w:r>
      <w:r>
        <w:rPr>
          <w:rStyle w:val="HideTWBExt"/>
          <w:b w:val="0"/>
        </w:rPr>
        <w:t>&lt;Members&gt;</w:t>
      </w:r>
      <w:r>
        <w:t>Jordan Bardella, Pierre-Romain Thionnet, Matthieu Valet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 bis.</w:t>
            </w:r>
            <w:r>
              <w:tab/>
            </w:r>
            <w:r>
              <w:rPr>
                <w:b/>
                <w:i/>
              </w:rPr>
              <w:t>osserva che l'Arabia Saudita potrebbe diventare un partner importante nella lotta contro l'immigrazione illegale e nella gestione dei flussi migratori provenienti dal Medio Oriente, dall'Africa, dal subcontinente indiano e dall'Asia centrale;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49</w:t>
      </w:r>
      <w:r>
        <w:rPr>
          <w:rStyle w:val="HideTWBExt"/>
        </w:rPr>
        <w:t>&lt;/NumAm&gt;</w:t>
      </w:r>
    </w:p>
    <w:p>
      <w:pPr>
        <w:pStyle w:val="NormalBold"/>
      </w:pPr>
      <w:r>
        <w:rPr>
          <w:rStyle w:val="HideTWBExt"/>
          <w:b w:val="0"/>
        </w:rPr>
        <w:t>&lt;RepeatBlock-By&gt;</w:t>
      </w:r>
      <w:r>
        <w:rPr>
          <w:rStyle w:val="HideTWBExt"/>
          <w:b w:val="0"/>
        </w:rPr>
        <w:t>&lt;Members&gt;</w:t>
      </w:r>
      <w:r>
        <w:t>Davor Ivo Stier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 bis.</w:t>
            </w:r>
            <w:r>
              <w:tab/>
            </w:r>
            <w:r>
              <w:rPr>
                <w:b/>
                <w:i/>
              </w:rPr>
              <w:t>sottolinea che l'approfondimento della cooperazione UE-Arabia Saudita in materia di energia e commercio dovrebbe rafforzare l'autonomia strategica dell'UE mediante la diversificazione di fonti di approvvigionamento affidabili;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50</w:t>
      </w:r>
      <w:r>
        <w:rPr>
          <w:rStyle w:val="HideTWBExt"/>
        </w:rPr>
        <w:t>&lt;/NumAm&gt;</w:t>
      </w:r>
    </w:p>
    <w:p>
      <w:pPr>
        <w:pStyle w:val="NormalBold"/>
      </w:pPr>
      <w:r>
        <w:rPr>
          <w:rStyle w:val="HideTWBExt"/>
          <w:b w:val="0"/>
        </w:rPr>
        <w:t>&lt;RepeatBlock-By&gt;</w:t>
      </w:r>
      <w:r>
        <w:rPr>
          <w:rStyle w:val="HideTWBExt"/>
          <w:b w:val="0"/>
        </w:rPr>
        <w:t>&lt;Members&gt;</w:t>
      </w:r>
      <w:r>
        <w:t>Jordan Bardella, Pierre-Romain Thionnet, Matthieu Valet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ribadisce che l'UE è determinata a sostenere il perseguimento della diversificazione e delle riforme socioeconomiche da parte dell'Arabia Saudita, compresa la promozione dello sviluppo sostenibile;</w:t>
            </w:r>
          </w:p>
        </w:tc>
        <w:tc>
          <w:tcPr>
            <w:tcW w:w="4876" w:type="dxa"/>
            <w:tcBorders>
              <w:top w:val="nil"/>
              <w:left w:val="nil"/>
              <w:bottom w:val="nil"/>
              <w:right w:val="nil"/>
            </w:tcBorders>
          </w:tcPr>
          <w:p>
            <w:pPr>
              <w:pStyle w:val="Normal6a"/>
            </w:pPr>
            <w:r>
              <w:t>4.</w:t>
            </w:r>
            <w:r>
              <w:tab/>
            </w:r>
            <w:r>
              <w:t xml:space="preserve">ribadisce che l'UE è determinata a sostenere il perseguimento della diversificazione e delle riforme socioeconomiche da parte dell'Arabia Saudita, compresa la promozione dello sviluppo sostenibile </w:t>
            </w:r>
            <w:r>
              <w:rPr>
                <w:b/>
                <w:i/>
              </w:rPr>
              <w:t>attraverso la diversificazione delle sue fonti di approvvigionamento energetico, tra cui il nucleare</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51</w:t>
      </w:r>
      <w:r>
        <w:rPr>
          <w:rStyle w:val="HideTWBExt"/>
        </w:rPr>
        <w:t>&lt;/NumAm&gt;</w:t>
      </w:r>
    </w:p>
    <w:p>
      <w:pPr>
        <w:pStyle w:val="NormalBold"/>
      </w:pPr>
      <w:r>
        <w:rPr>
          <w:rStyle w:val="HideTWBExt"/>
          <w:b w:val="0"/>
        </w:rPr>
        <w:t>&lt;RepeatBlock-By&gt;</w:t>
      </w:r>
      <w:r>
        <w:rPr>
          <w:rStyle w:val="HideTWBExt"/>
          <w:b w:val="0"/>
        </w:rPr>
        <w:t>&lt;Members&gt;</w:t>
      </w:r>
      <w:r>
        <w:t>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rPr>
                <w:b/>
                <w:i/>
              </w:rPr>
              <w:t>ribadisce</w:t>
            </w:r>
            <w:r>
              <w:t xml:space="preserve"> che l'UE mantiene il suo impegno a procedere verso un accordo di esenzione dal visto sicuro e reciprocamente vantaggioso con i cinque paesi rimanenti del CCG, in modo da garantire loro parità di trattamento;</w:t>
            </w:r>
          </w:p>
        </w:tc>
        <w:tc>
          <w:tcPr>
            <w:tcW w:w="4876" w:type="dxa"/>
            <w:tcBorders>
              <w:top w:val="nil"/>
              <w:left w:val="nil"/>
              <w:bottom w:val="nil"/>
              <w:right w:val="nil"/>
            </w:tcBorders>
          </w:tcPr>
          <w:p>
            <w:pPr>
              <w:pStyle w:val="Normal6a"/>
            </w:pPr>
            <w:r>
              <w:t>5.</w:t>
            </w:r>
            <w:r>
              <w:tab/>
            </w:r>
            <w:r>
              <w:rPr>
                <w:b/>
                <w:i/>
              </w:rPr>
              <w:t>rileva</w:t>
            </w:r>
            <w:r>
              <w:t xml:space="preserve"> che l'UE mantiene il suo impegno a procedere verso un accordo di esenzione dal visto sicuro e reciprocamente vantaggioso con i cinque paesi rimanenti del CCG, in modo da garantire loro parità di trattamento; </w:t>
            </w:r>
            <w:r>
              <w:rPr>
                <w:b/>
                <w:i/>
              </w:rPr>
              <w:t>sottolinea i rischi connessi all'esenzione dal visto, quali l'aumento delle domande di asilo, in particolare nel caso di paesi non democratici come l'Arabia Saudita, e i rischi per la sicurezza legati al terrorismo e all'estremismo;</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52</w:t>
      </w:r>
      <w:r>
        <w:rPr>
          <w:rStyle w:val="HideTWBExt"/>
        </w:rPr>
        <w:t>&lt;/NumAm&gt;</w:t>
      </w:r>
    </w:p>
    <w:p>
      <w:pPr>
        <w:pStyle w:val="NormalBold"/>
      </w:pPr>
      <w:r>
        <w:rPr>
          <w:rStyle w:val="HideTWBExt"/>
          <w:b w:val="0"/>
        </w:rPr>
        <w:t>&lt;RepeatBlock-By&gt;</w:t>
      </w:r>
      <w:r>
        <w:rPr>
          <w:rStyle w:val="HideTWBExt"/>
          <w:b w:val="0"/>
        </w:rPr>
        <w:t>&lt;Members&gt;</w:t>
      </w:r>
      <w:r>
        <w:t>Hana Jalloul Muro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ribadisce che l'UE mantiene il suo impegno a procedere verso un accordo di esenzione dal visto sicuro e reciprocamente vantaggioso con i cinque paesi rimanenti del CCG, in modo da garantire loro parità di trattamento;</w:t>
            </w:r>
          </w:p>
        </w:tc>
        <w:tc>
          <w:tcPr>
            <w:tcW w:w="4876" w:type="dxa"/>
            <w:tcBorders>
              <w:top w:val="nil"/>
              <w:left w:val="nil"/>
              <w:bottom w:val="nil"/>
              <w:right w:val="nil"/>
            </w:tcBorders>
          </w:tcPr>
          <w:p>
            <w:pPr>
              <w:pStyle w:val="Normal6a"/>
            </w:pPr>
            <w:r>
              <w:t>5.</w:t>
            </w:r>
            <w:r>
              <w:tab/>
            </w:r>
            <w:r>
              <w:t>ribadisce che l'UE mantiene il suo impegno a procedere verso un accordo di esenzione dal visto sicuro e reciprocamente vantaggioso con i cinque paesi rimanenti del CCG, in modo da garantire loro parità di trattamento</w:t>
            </w:r>
            <w:r>
              <w:rPr>
                <w:b/>
                <w:i/>
              </w:rPr>
              <w:t>,</w:t>
            </w:r>
            <w:r>
              <w:t xml:space="preserve"> </w:t>
            </w:r>
            <w:r>
              <w:rPr>
                <w:b/>
                <w:i/>
              </w:rPr>
              <w:t>il che potrebbe essere valutato nel contesto della nuova strategia dell'UE in materia di visti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53</w:t>
      </w:r>
      <w:r>
        <w:rPr>
          <w:rStyle w:val="HideTWBExt"/>
        </w:rPr>
        <w:t>&lt;/NumAm&gt;</w:t>
      </w:r>
    </w:p>
    <w:p>
      <w:pPr>
        <w:pStyle w:val="NormalBold"/>
      </w:pPr>
      <w:r>
        <w:rPr>
          <w:rStyle w:val="HideTWBExt"/>
          <w:b w:val="0"/>
        </w:rPr>
        <w:t>&lt;RepeatBlock-By&gt;</w:t>
      </w:r>
      <w:r>
        <w:rPr>
          <w:rStyle w:val="HideTWBExt"/>
          <w:b w:val="0"/>
        </w:rPr>
        <w:t>&lt;Members&gt;</w:t>
      </w:r>
      <w:r>
        <w:t>Jordan Bardella, Pierre-Romain Thionnet, Matthieu Valet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rPr>
                <w:b/>
                <w:i/>
              </w:rPr>
              <w:t>ribadisce che l'UE mantiene il suo impegno a procedere verso</w:t>
            </w:r>
            <w:r>
              <w:t xml:space="preserve"> un accordo di esenzione dal visto </w:t>
            </w:r>
            <w:r>
              <w:rPr>
                <w:b/>
                <w:i/>
              </w:rPr>
              <w:t>sicuro e reciprocamente vantaggioso</w:t>
            </w:r>
            <w:r>
              <w:t xml:space="preserve"> con i </w:t>
            </w:r>
            <w:r>
              <w:rPr>
                <w:b/>
                <w:i/>
              </w:rPr>
              <w:t>cinque</w:t>
            </w:r>
            <w:r>
              <w:t xml:space="preserve"> paesi </w:t>
            </w:r>
            <w:r>
              <w:rPr>
                <w:b/>
                <w:i/>
              </w:rPr>
              <w:t>rimanenti</w:t>
            </w:r>
            <w:r>
              <w:t xml:space="preserve"> del CCG</w:t>
            </w:r>
            <w:r>
              <w:rPr>
                <w:b/>
                <w:i/>
              </w:rPr>
              <w:t>, in modo da garantire loro parità di trattamento</w:t>
            </w:r>
            <w:r>
              <w:t>;</w:t>
            </w:r>
          </w:p>
        </w:tc>
        <w:tc>
          <w:tcPr>
            <w:tcW w:w="4876" w:type="dxa"/>
            <w:tcBorders>
              <w:top w:val="nil"/>
              <w:left w:val="nil"/>
              <w:bottom w:val="nil"/>
              <w:right w:val="nil"/>
            </w:tcBorders>
          </w:tcPr>
          <w:p>
            <w:pPr>
              <w:pStyle w:val="Normal6a"/>
            </w:pPr>
            <w:r>
              <w:t>5.</w:t>
            </w:r>
            <w:r>
              <w:tab/>
            </w:r>
            <w:r>
              <w:rPr>
                <w:b/>
                <w:i/>
              </w:rPr>
              <w:t>sottolinea che un'eventuale discussione su</w:t>
            </w:r>
            <w:r>
              <w:t xml:space="preserve"> un accordo di esenzione dal visto con i paesi del CCG </w:t>
            </w:r>
            <w:r>
              <w:rPr>
                <w:b/>
                <w:i/>
              </w:rPr>
              <w:t>deve essere strettamente subordinata a garanzie efficaci in termini di sicurezza, controllo dei flussi migratori verso l'Unione e lotta alle ingerenze straniere</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54</w:t>
      </w:r>
      <w:r>
        <w:rPr>
          <w:rStyle w:val="HideTWBExt"/>
        </w:rPr>
        <w:t>&lt;/NumAm&gt;</w:t>
      </w:r>
    </w:p>
    <w:p>
      <w:pPr>
        <w:pStyle w:val="NormalBold"/>
      </w:pPr>
      <w:r>
        <w:rPr>
          <w:rStyle w:val="HideTWBExt"/>
          <w:b w:val="0"/>
        </w:rPr>
        <w:t>&lt;RepeatBlock-By&gt;</w:t>
      </w:r>
      <w:r>
        <w:rPr>
          <w:rStyle w:val="HideTWBExt"/>
          <w:b w:val="0"/>
        </w:rPr>
        <w:t>&lt;Members&gt;</w:t>
      </w:r>
      <w:r>
        <w:t>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ribadisce che l'UE mantiene il suo impegno a procedere verso un accordo di esenzione dal visto sicuro e reciprocamente vantaggioso con </w:t>
            </w:r>
            <w:r>
              <w:rPr>
                <w:b/>
                <w:i/>
              </w:rPr>
              <w:t>i cinque paesi rimanenti del CCG, in modo da garantire loro parità di trattamento</w:t>
            </w:r>
            <w:r>
              <w:t>;</w:t>
            </w:r>
          </w:p>
        </w:tc>
        <w:tc>
          <w:tcPr>
            <w:tcW w:w="4876" w:type="dxa"/>
            <w:tcBorders>
              <w:top w:val="nil"/>
              <w:left w:val="nil"/>
              <w:bottom w:val="nil"/>
              <w:right w:val="nil"/>
            </w:tcBorders>
          </w:tcPr>
          <w:p>
            <w:pPr>
              <w:pStyle w:val="Normal6a"/>
            </w:pPr>
            <w:r>
              <w:t>5.</w:t>
            </w:r>
            <w:r>
              <w:tab/>
            </w:r>
            <w:r>
              <w:t xml:space="preserve">ribadisce che l'UE mantiene il suo impegno a procedere verso un accordo di esenzione dal visto sicuro e reciprocamente vantaggioso con </w:t>
            </w:r>
            <w:r>
              <w:rPr>
                <w:b/>
                <w:i/>
              </w:rPr>
              <w:t>il Regno dell'Arabia Saudita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55</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5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 bis.</w:t>
            </w:r>
            <w:r>
              <w:tab/>
            </w:r>
            <w:r>
              <w:rPr>
                <w:b/>
                <w:i/>
              </w:rPr>
              <w:t>rileva la notevole importanza economica dei turisti sauditi per gli Stati membri dell'Unione europea, in particolare nel sostegno a settori chiave quali l'ospitalità, il commercio al dettaglio e la cultura;</w:t>
            </w:r>
            <w:r>
              <w:t xml:space="preserve"> </w:t>
            </w:r>
            <w:r>
              <w:rPr>
                <w:b/>
                <w:i/>
              </w:rPr>
              <w:t>sottolinea che i cittadini sauditi non rappresentano una fonte di pressione migratoria irregolare</w:t>
            </w:r>
            <w:r>
              <w:rPr>
                <w:b/>
                <w:i/>
                <w:vertAlign w:val="superscript"/>
              </w:rPr>
              <w:t>8 bis</w:t>
            </w:r>
            <w:r>
              <w:t xml:space="preserve"> </w:t>
            </w:r>
            <w:r>
              <w:rPr>
                <w:b/>
                <w:i/>
              </w:rPr>
              <w:t>e chiede pertanto l'introduzione di un'esenzione dal visto Schengen per agevolare il turismo, migliorare gli scambi interpersonali e rafforzare ulteriormente i legami economici e culturali tra l'UE e il Regno dell'Arabia Saudita;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8 bis</w:t>
            </w:r>
            <w:r>
              <w:t xml:space="preserve"> </w:t>
            </w:r>
            <w:r>
              <w:rPr>
                <w:b/>
                <w:i/>
              </w:rPr>
              <w:t>https://home-affairs.ec.europa.eu/document/download/d22b298f-18db-48b1-bb53-cc4114bc40b3_en.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56</w:t>
      </w:r>
      <w:r>
        <w:rPr>
          <w:rStyle w:val="HideTWBExt"/>
        </w:rPr>
        <w:t>&lt;/NumAm&gt;</w:t>
      </w:r>
    </w:p>
    <w:p>
      <w:pPr>
        <w:pStyle w:val="NormalBold"/>
      </w:pPr>
      <w:r>
        <w:rPr>
          <w:rStyle w:val="HideTWBExt"/>
          <w:b w:val="0"/>
        </w:rPr>
        <w:t>&lt;RepeatBlock-By&gt;</w:t>
      </w:r>
      <w:r>
        <w:rPr>
          <w:rStyle w:val="HideTWBExt"/>
          <w:b w:val="0"/>
        </w:rPr>
        <w:t>&lt;Members&gt;</w:t>
      </w:r>
      <w:r>
        <w:t>Antonio López-Istúriz White, Reinhold Lopatka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5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 bis.</w:t>
            </w:r>
            <w:r>
              <w:tab/>
            </w:r>
            <w:r>
              <w:rPr>
                <w:b/>
                <w:i/>
              </w:rPr>
              <w:t>incoraggia partenariati più forti tra gli enti di istruzione e ricerca dell'UE e dell'Arabia Saudita, anche attraverso programmi come Erasmus Mundus e Orizzonte Europa;</w:t>
            </w:r>
            <w:r>
              <w:t xml:space="preserve"> </w:t>
            </w:r>
            <w:r>
              <w:rPr>
                <w:b/>
                <w:i/>
              </w:rPr>
              <w:t>sottolinea l'importanza di creare le condizioni necessarie per una maggiore mobilità degli studenti;</w:t>
            </w:r>
            <w:r>
              <w:t xml:space="preserve"> </w:t>
            </w:r>
            <w:r>
              <w:rPr>
                <w:b/>
                <w:i/>
              </w:rPr>
              <w:t>evidenzia come il rafforzamento delle opportunità di scambio tra i giovani contribuirà in modo significativo a consolidare le relazioni tra l'UE, l'Arabia Saudita e la regione del Golfo nel suo complesso;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57</w:t>
      </w:r>
      <w:r>
        <w:rPr>
          <w:rStyle w:val="HideTWBExt"/>
        </w:rPr>
        <w:t>&lt;/NumAm&gt;</w:t>
      </w:r>
    </w:p>
    <w:p>
      <w:pPr>
        <w:pStyle w:val="NormalBold"/>
      </w:pPr>
      <w:r>
        <w:rPr>
          <w:rStyle w:val="HideTWBExt"/>
          <w:b w:val="0"/>
        </w:rPr>
        <w:t>&lt;RepeatBlock-By&gt;</w:t>
      </w:r>
      <w:r>
        <w:rPr>
          <w:rStyle w:val="HideTWBExt"/>
          <w:b w:val="0"/>
        </w:rPr>
        <w:t>&lt;Members&gt;</w:t>
      </w:r>
      <w:r>
        <w:t>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5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 bis.</w:t>
            </w:r>
            <w:r>
              <w:tab/>
            </w:r>
            <w:r>
              <w:rPr>
                <w:b/>
                <w:i/>
              </w:rPr>
              <w:t>accoglie con favore la designazione, da parte dell'Arabia Saudita, dei Fratelli musulmani come organizzazione terroristica e i recenti sforzi compiuti dagli Stati Uniti per adottare misure analoghe;</w:t>
            </w:r>
            <w:r>
              <w:t xml:space="preserve"> </w:t>
            </w:r>
            <w:r>
              <w:rPr>
                <w:b/>
                <w:i/>
              </w:rPr>
              <w:t>invita l'UE e gli Stati membri a seguire con urgenza l'esempio e a designare i Fratelli musulmani come organizzazione terroristica;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58</w:t>
      </w:r>
      <w:r>
        <w:rPr>
          <w:rStyle w:val="HideTWBExt"/>
        </w:rPr>
        <w:t>&lt;/NumAm&gt;</w:t>
      </w:r>
    </w:p>
    <w:p>
      <w:pPr>
        <w:pStyle w:val="NormalBold"/>
      </w:pPr>
      <w:r>
        <w:rPr>
          <w:rStyle w:val="HideTWBExt"/>
          <w:b w:val="0"/>
        </w:rPr>
        <w:t>&lt;RepeatBlock-By&gt;</w:t>
      </w:r>
      <w:r>
        <w:rPr>
          <w:rStyle w:val="HideTWBExt"/>
          <w:b w:val="0"/>
        </w:rPr>
        <w:t>&lt;Members&gt;</w:t>
      </w:r>
      <w:r>
        <w:t>Antonio López-Istúriz White, Reinhold Lopatka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5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 ter.</w:t>
            </w:r>
            <w:r>
              <w:tab/>
            </w:r>
            <w:r>
              <w:rPr>
                <w:b/>
                <w:i/>
              </w:rPr>
              <w:t>chiede all'UE di continuare ad agevolare la cooperazione normativa, sostenendo così l'impegno saudita volto a introdurre norme e procedure per promuovere con successo la diversificazione e le riforme;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59</w:t>
      </w:r>
      <w:r>
        <w:rPr>
          <w:rStyle w:val="HideTWBExt"/>
        </w:rPr>
        <w:t>&lt;/NumAm&gt;</w:t>
      </w:r>
    </w:p>
    <w:p>
      <w:pPr>
        <w:pStyle w:val="NormalBold"/>
      </w:pPr>
      <w:r>
        <w:rPr>
          <w:rStyle w:val="HideTWBExt"/>
          <w:b w:val="0"/>
        </w:rPr>
        <w:t>&lt;RepeatBlock-By&gt;</w:t>
      </w:r>
      <w:r>
        <w:rPr>
          <w:rStyle w:val="HideTWBExt"/>
          <w:b w:val="0"/>
        </w:rPr>
        <w:t>&lt;Members&gt;</w:t>
      </w:r>
      <w:r>
        <w:t>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5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 ter.</w:t>
            </w:r>
            <w:r>
              <w:tab/>
            </w:r>
            <w:r>
              <w:rPr>
                <w:b/>
                <w:i/>
              </w:rPr>
              <w:t>accoglie con favore gli accordi di Abramo mediati dagli Stati Uniti e invita l'Arabia Saudita ad aderirvi senza indugio;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60</w:t>
      </w:r>
      <w:r>
        <w:rPr>
          <w:rStyle w:val="HideTWBExt"/>
        </w:rPr>
        <w:t>&lt;/NumAm&gt;</w:t>
      </w:r>
    </w:p>
    <w:p>
      <w:pPr>
        <w:pStyle w:val="NormalBold"/>
      </w:pPr>
      <w:r>
        <w:rPr>
          <w:rStyle w:val="HideTWBExt"/>
          <w:b w:val="0"/>
        </w:rPr>
        <w:t>&lt;RepeatBlock-By&gt;</w:t>
      </w:r>
      <w:r>
        <w:rPr>
          <w:rStyle w:val="HideTWBExt"/>
          <w:b w:val="0"/>
        </w:rPr>
        <w:t>&lt;Members&gt;</w:t>
      </w:r>
      <w:r>
        <w:t>Antonio López-Istúriz White, Reinhold Lopatka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accoglie con favore la crescente importanza dell'Arabia Saudita quale attore diplomatico </w:t>
            </w:r>
            <w:r>
              <w:rPr>
                <w:b/>
                <w:i/>
              </w:rPr>
              <w:t>che contribuisce</w:t>
            </w:r>
            <w:r>
              <w:t xml:space="preserve"> alla stabilità </w:t>
            </w:r>
            <w:r>
              <w:rPr>
                <w:b/>
                <w:i/>
              </w:rPr>
              <w:t>internazionale</w:t>
            </w:r>
            <w:r>
              <w:t xml:space="preserve">, in particolare nell'ambito </w:t>
            </w:r>
            <w:r>
              <w:rPr>
                <w:b/>
                <w:i/>
              </w:rPr>
              <w:t>dell'operazione militare di Israele</w:t>
            </w:r>
            <w:r>
              <w:t xml:space="preserve"> a Gaza nonché </w:t>
            </w:r>
            <w:r>
              <w:rPr>
                <w:b/>
                <w:i/>
              </w:rPr>
              <w:t>durante i</w:t>
            </w:r>
            <w:r>
              <w:t xml:space="preserve"> recenti sviluppi in Siria, Libano, Yemen, Mar Rosso e Sudan;</w:t>
            </w:r>
          </w:p>
        </w:tc>
        <w:tc>
          <w:tcPr>
            <w:tcW w:w="4876" w:type="dxa"/>
            <w:tcBorders>
              <w:top w:val="nil"/>
              <w:left w:val="nil"/>
              <w:bottom w:val="nil"/>
              <w:right w:val="nil"/>
            </w:tcBorders>
          </w:tcPr>
          <w:p>
            <w:pPr>
              <w:pStyle w:val="Normal6a"/>
            </w:pPr>
            <w:r>
              <w:t>6.</w:t>
            </w:r>
            <w:r>
              <w:tab/>
            </w:r>
            <w:r>
              <w:t xml:space="preserve">accoglie con favore la crescente importanza dell'Arabia Saudita quale attore diplomatico </w:t>
            </w:r>
            <w:r>
              <w:rPr>
                <w:b/>
                <w:i/>
              </w:rPr>
              <w:t>e il suo contributo significativo</w:t>
            </w:r>
            <w:r>
              <w:t xml:space="preserve"> alla stabilità </w:t>
            </w:r>
            <w:r>
              <w:rPr>
                <w:b/>
                <w:i/>
              </w:rPr>
              <w:t>regionale e globale</w:t>
            </w:r>
            <w:r>
              <w:t xml:space="preserve">, in particolare nell'ambito </w:t>
            </w:r>
            <w:r>
              <w:rPr>
                <w:b/>
                <w:i/>
              </w:rPr>
              <w:t>della guerra in corso</w:t>
            </w:r>
            <w:r>
              <w:t xml:space="preserve"> a Gaza nonché </w:t>
            </w:r>
            <w:r>
              <w:rPr>
                <w:b/>
                <w:i/>
              </w:rPr>
              <w:t>in relazione ai</w:t>
            </w:r>
            <w:r>
              <w:t xml:space="preserve"> recenti sviluppi in Siria, Libano, Yemen, Mar Rosso e Sudan;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61</w:t>
      </w:r>
      <w:r>
        <w:rPr>
          <w:rStyle w:val="HideTWBExt"/>
        </w:rPr>
        <w:t>&lt;/NumAm&gt;</w:t>
      </w:r>
    </w:p>
    <w:p>
      <w:pPr>
        <w:pStyle w:val="NormalBold"/>
      </w:pPr>
      <w:r>
        <w:rPr>
          <w:rStyle w:val="HideTWBExt"/>
          <w:b w:val="0"/>
        </w:rPr>
        <w:t>&lt;RepeatBlock-By&gt;</w:t>
      </w:r>
      <w:r>
        <w:rPr>
          <w:rStyle w:val="HideTWBExt"/>
          <w:b w:val="0"/>
        </w:rPr>
        <w:t>&lt;Members&gt;</w:t>
      </w:r>
      <w:r>
        <w:t>Marie-Agnes Strack-Zimmermann, Dan Barna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accoglie con favore la crescente importanza dell'Arabia Saudita quale attore diplomatico che contribuisce alla stabilità internazionale, in particolare nell'ambito dell'operazione militare di Israele a Gaza nonché durante i recenti sviluppi in Siria, Libano</w:t>
            </w:r>
            <w:r>
              <w:rPr>
                <w:b/>
                <w:i/>
              </w:rPr>
              <w:t>, Yemen,</w:t>
            </w:r>
            <w:r>
              <w:t xml:space="preserve"> Mar Rosso </w:t>
            </w:r>
            <w:r>
              <w:rPr>
                <w:b/>
                <w:i/>
              </w:rPr>
              <w:t>e Sudan</w:t>
            </w:r>
            <w:r>
              <w:t>;</w:t>
            </w:r>
          </w:p>
        </w:tc>
        <w:tc>
          <w:tcPr>
            <w:tcW w:w="4876" w:type="dxa"/>
            <w:tcBorders>
              <w:top w:val="nil"/>
              <w:left w:val="nil"/>
              <w:bottom w:val="nil"/>
              <w:right w:val="nil"/>
            </w:tcBorders>
          </w:tcPr>
          <w:p>
            <w:pPr>
              <w:pStyle w:val="Normal6a"/>
            </w:pPr>
            <w:r>
              <w:t>6.</w:t>
            </w:r>
            <w:r>
              <w:tab/>
            </w:r>
            <w:r>
              <w:t xml:space="preserve">accoglie con favore la crescente importanza dell'Arabia Saudita quale attore diplomatico che contribuisce alla stabilità internazionale, in particolare nell'ambito dell'operazione militare di Israele a Gaza </w:t>
            </w:r>
            <w:r>
              <w:rPr>
                <w:b/>
                <w:i/>
              </w:rPr>
              <w:t>dopo l'attacco terroristico del 7 ottobre a opera di Hamas, che ha portato alla morte di circa 1 200 persone e al rapimento di più di 250 ostaggi,</w:t>
            </w:r>
            <w:r>
              <w:t xml:space="preserve"> nonché durante i recenti sviluppi in Siria, Libano </w:t>
            </w:r>
            <w:r>
              <w:rPr>
                <w:b/>
                <w:i/>
              </w:rPr>
              <w:t>e</w:t>
            </w:r>
            <w:r>
              <w:t xml:space="preserve"> Mar Rosso;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62</w:t>
      </w:r>
      <w:r>
        <w:rPr>
          <w:rStyle w:val="HideTWBExt"/>
        </w:rPr>
        <w:t>&lt;/NumAm&gt;</w:t>
      </w:r>
    </w:p>
    <w:p>
      <w:pPr>
        <w:pStyle w:val="NormalBold"/>
      </w:pPr>
      <w:r>
        <w:rPr>
          <w:rStyle w:val="HideTWBExt"/>
          <w:b w:val="0"/>
        </w:rPr>
        <w:t>&lt;RepeatBlock-By&gt;</w:t>
      </w:r>
      <w:r>
        <w:rPr>
          <w:rStyle w:val="HideTWBExt"/>
          <w:b w:val="0"/>
        </w:rPr>
        <w:t>&lt;Members&gt;</w:t>
      </w:r>
      <w:r>
        <w:t>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accoglie con favore la crescente importanza dell'Arabia Saudita quale attore diplomatico che contribuisce alla stabilità internazionale, in particolare nell'ambito </w:t>
            </w:r>
            <w:r>
              <w:rPr>
                <w:b/>
                <w:i/>
              </w:rPr>
              <w:t>dell'operazione militare di Israele</w:t>
            </w:r>
            <w:r>
              <w:t xml:space="preserve"> a Gaza nonché durante i recenti sviluppi in Siria, Libano, Yemen, Mar Rosso e Sudan;</w:t>
            </w:r>
          </w:p>
        </w:tc>
        <w:tc>
          <w:tcPr>
            <w:tcW w:w="4876" w:type="dxa"/>
            <w:tcBorders>
              <w:top w:val="nil"/>
              <w:left w:val="nil"/>
              <w:bottom w:val="nil"/>
              <w:right w:val="nil"/>
            </w:tcBorders>
          </w:tcPr>
          <w:p>
            <w:pPr>
              <w:pStyle w:val="Normal6a"/>
            </w:pPr>
            <w:r>
              <w:t>6.</w:t>
            </w:r>
            <w:r>
              <w:tab/>
            </w:r>
            <w:r>
              <w:t xml:space="preserve">accoglie con favore la crescente importanza dell'Arabia Saudita quale attore diplomatico che contribuisce alla stabilità internazionale, in particolare nell'ambito </w:t>
            </w:r>
            <w:r>
              <w:rPr>
                <w:b/>
                <w:i/>
              </w:rPr>
              <w:t>della guerra</w:t>
            </w:r>
            <w:r>
              <w:t xml:space="preserve"> a Gaza nonché durante i recenti sviluppi in Siria, Libano, Yemen, Mar Rosso e Sudan</w:t>
            </w:r>
            <w:r>
              <w:rPr>
                <w:b/>
                <w:i/>
              </w:rPr>
              <w:t>, e non da ultimo alla luce dell'aumento degli attacchi terroristici nella regione</w:t>
            </w:r>
            <w:r>
              <w:t>;</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63</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accoglie con favore la crescente importanza dell'Arabia Saudita quale attore diplomatico che contribuisce alla stabilità internazionale, in particolare nell'ambito </w:t>
            </w:r>
            <w:r>
              <w:rPr>
                <w:b/>
                <w:i/>
              </w:rPr>
              <w:t>dell'operazione militare di</w:t>
            </w:r>
            <w:r>
              <w:t xml:space="preserve"> Israele a Gaza nonché durante i recenti sviluppi in Siria, Libano, Yemen, Mar Rosso e Sudan;</w:t>
            </w:r>
          </w:p>
        </w:tc>
        <w:tc>
          <w:tcPr>
            <w:tcW w:w="4876" w:type="dxa"/>
            <w:tcBorders>
              <w:top w:val="nil"/>
              <w:left w:val="nil"/>
              <w:bottom w:val="nil"/>
              <w:right w:val="nil"/>
            </w:tcBorders>
          </w:tcPr>
          <w:p>
            <w:pPr>
              <w:pStyle w:val="Normal6a"/>
            </w:pPr>
            <w:r>
              <w:t>6.</w:t>
            </w:r>
            <w:r>
              <w:tab/>
            </w:r>
            <w:r>
              <w:t xml:space="preserve">accoglie con favore la crescente importanza dell'Arabia Saudita quale attore diplomatico che contribuisce alla stabilità internazionale, in particolare nell'ambito </w:t>
            </w:r>
            <w:r>
              <w:rPr>
                <w:b/>
                <w:i/>
              </w:rPr>
              <w:t>delle prove crescenti del genocidio commesso da</w:t>
            </w:r>
            <w:r>
              <w:t xml:space="preserve"> Israele a Gaza</w:t>
            </w:r>
            <w:r>
              <w:rPr>
                <w:b/>
                <w:i/>
              </w:rPr>
              <w:t>,</w:t>
            </w:r>
            <w:r>
              <w:t xml:space="preserve"> nonché durante i recenti sviluppi in Siria, Libano, Yemen, Mar Rosso e Sudan;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64</w:t>
      </w:r>
      <w:r>
        <w:rPr>
          <w:rStyle w:val="HideTWBExt"/>
        </w:rPr>
        <w:t>&lt;/NumAm&gt;</w:t>
      </w:r>
    </w:p>
    <w:p>
      <w:pPr>
        <w:pStyle w:val="NormalBold"/>
      </w:pPr>
      <w:r>
        <w:rPr>
          <w:rStyle w:val="HideTWBExt"/>
          <w:b w:val="0"/>
        </w:rPr>
        <w:t>&lt;RepeatBlock-By&gt;</w:t>
      </w:r>
      <w:r>
        <w:rPr>
          <w:rStyle w:val="HideTWBExt"/>
          <w:b w:val="0"/>
        </w:rPr>
        <w:t>&lt;Members&gt;</w:t>
      </w:r>
      <w:r>
        <w:t>Bernard Guetta, Hilde Vautmans, Marie-Agnes Strack-Zimmermann, Engin Eroglu,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rPr>
                <w:b/>
                <w:i/>
              </w:rPr>
              <w:t>accoglie con favore</w:t>
            </w:r>
            <w:r>
              <w:t xml:space="preserve"> la crescente importanza dell'Arabia Saudita quale attore diplomatico che contribuisce alla stabilità internazionale, in particolare nell'ambito dell'operazione militare di Israele a Gaza nonché durante i recenti sviluppi in Siria, Libano, Yemen, Mar Rosso e Sudan;</w:t>
            </w:r>
          </w:p>
        </w:tc>
        <w:tc>
          <w:tcPr>
            <w:tcW w:w="4876" w:type="dxa"/>
            <w:tcBorders>
              <w:top w:val="nil"/>
              <w:left w:val="nil"/>
              <w:bottom w:val="nil"/>
              <w:right w:val="nil"/>
            </w:tcBorders>
          </w:tcPr>
          <w:p>
            <w:pPr>
              <w:pStyle w:val="Normal6a"/>
            </w:pPr>
            <w:r>
              <w:t>6.</w:t>
            </w:r>
            <w:r>
              <w:tab/>
            </w:r>
            <w:r>
              <w:rPr>
                <w:b/>
                <w:i/>
              </w:rPr>
              <w:t>sottolinea</w:t>
            </w:r>
            <w:r>
              <w:t xml:space="preserve"> la crescente importanza dell'Arabia Saudita quale attore diplomatico che contribuisce alla stabilità internazionale, in particolare nell'ambito dell'operazione militare di Israele a Gaza nonché durante i recenti sviluppi in Siria, Libano, Yemen, Mar Rosso e Sudan;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65</w:t>
      </w:r>
      <w:r>
        <w:rPr>
          <w:rStyle w:val="HideTWBExt"/>
        </w:rPr>
        <w:t>&lt;/NumAm&gt;</w:t>
      </w:r>
    </w:p>
    <w:p>
      <w:pPr>
        <w:pStyle w:val="NormalBold"/>
      </w:pPr>
      <w:r>
        <w:rPr>
          <w:rStyle w:val="HideTWBExt"/>
          <w:b w:val="0"/>
        </w:rPr>
        <w:t>&lt;RepeatBlock-By&gt;</w:t>
      </w:r>
      <w:r>
        <w:rPr>
          <w:rStyle w:val="HideTWBExt"/>
          <w:b w:val="0"/>
        </w:rPr>
        <w:t>&lt;Members&gt;</w:t>
      </w:r>
      <w:r>
        <w:t>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accoglie con favore la crescente importanza dell'Arabia Saudita quale attore diplomatico che contribuisce alla stabilità internazionale, in particolare nell'ambito </w:t>
            </w:r>
            <w:r>
              <w:rPr>
                <w:b/>
                <w:i/>
              </w:rPr>
              <w:t>dell'operazione militare di Israele a Gaza</w:t>
            </w:r>
            <w:r>
              <w:t xml:space="preserve"> nonché durante i recenti sviluppi in Siria, Libano, Yemen, Mar Rosso e Sudan;</w:t>
            </w:r>
          </w:p>
        </w:tc>
        <w:tc>
          <w:tcPr>
            <w:tcW w:w="4876" w:type="dxa"/>
            <w:tcBorders>
              <w:top w:val="nil"/>
              <w:left w:val="nil"/>
              <w:bottom w:val="nil"/>
              <w:right w:val="nil"/>
            </w:tcBorders>
          </w:tcPr>
          <w:p>
            <w:pPr>
              <w:pStyle w:val="Normal6a"/>
            </w:pPr>
            <w:r>
              <w:t>6.</w:t>
            </w:r>
            <w:r>
              <w:tab/>
            </w:r>
            <w:r>
              <w:t xml:space="preserve">accoglie con favore la crescente importanza dell'Arabia Saudita quale attore diplomatico che contribuisce alla stabilità internazionale, in particolare nell'ambito </w:t>
            </w:r>
            <w:r>
              <w:rPr>
                <w:b/>
                <w:i/>
              </w:rPr>
              <w:t>del conflitto israelo-palestinese</w:t>
            </w:r>
            <w:r>
              <w:t xml:space="preserve"> nonché durante i recenti sviluppi in Siria, Libano, Yemen, Mar Rosso e Sudan;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66</w:t>
      </w:r>
      <w:r>
        <w:rPr>
          <w:rStyle w:val="HideTWBExt"/>
        </w:rPr>
        <w:t>&lt;/NumAm&gt;</w:t>
      </w:r>
    </w:p>
    <w:p>
      <w:pPr>
        <w:pStyle w:val="NormalBold"/>
      </w:pPr>
      <w:r>
        <w:rPr>
          <w:rStyle w:val="HideTWBExt"/>
          <w:b w:val="0"/>
        </w:rPr>
        <w:t>&lt;RepeatBlock-By&gt;</w:t>
      </w:r>
      <w:r>
        <w:rPr>
          <w:rStyle w:val="HideTWBExt"/>
          <w:b w:val="0"/>
        </w:rPr>
        <w:t>&lt;Members&gt;</w:t>
      </w:r>
      <w:r>
        <w:t>Adam Bielan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accoglie con favore la crescente importanza dell'Arabia Saudita quale attore diplomatico che contribuisce alla stabilità internazionale, in particolare nell'ambito </w:t>
            </w:r>
            <w:r>
              <w:rPr>
                <w:b/>
                <w:i/>
              </w:rPr>
              <w:t>dell'operazione militare di Israele</w:t>
            </w:r>
            <w:r>
              <w:t xml:space="preserve"> a Gaza nonché durante i recenti sviluppi in Siria, Libano, Yemen, Mar Rosso e Sudan;</w:t>
            </w:r>
          </w:p>
        </w:tc>
        <w:tc>
          <w:tcPr>
            <w:tcW w:w="4876" w:type="dxa"/>
            <w:tcBorders>
              <w:top w:val="nil"/>
              <w:left w:val="nil"/>
              <w:bottom w:val="nil"/>
              <w:right w:val="nil"/>
            </w:tcBorders>
          </w:tcPr>
          <w:p>
            <w:pPr>
              <w:pStyle w:val="Normal6a"/>
            </w:pPr>
            <w:r>
              <w:t>6.</w:t>
            </w:r>
            <w:r>
              <w:tab/>
            </w:r>
            <w:r>
              <w:t xml:space="preserve">accoglie con favore la crescente importanza dell'Arabia Saudita quale attore diplomatico che contribuisce alla stabilità internazionale, in particolare nell'ambito </w:t>
            </w:r>
            <w:r>
              <w:rPr>
                <w:b/>
                <w:i/>
              </w:rPr>
              <w:t>della crisi</w:t>
            </w:r>
            <w:r>
              <w:t xml:space="preserve"> a Gaza nonché durante i recenti sviluppi in Siria, Libano, Yemen, Mar Rosso e Sudan;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67</w:t>
      </w:r>
      <w:r>
        <w:rPr>
          <w:rStyle w:val="HideTWBExt"/>
        </w:rPr>
        <w:t>&lt;/NumAm&gt;</w:t>
      </w:r>
    </w:p>
    <w:p>
      <w:pPr>
        <w:pStyle w:val="NormalBold"/>
      </w:pPr>
      <w:r>
        <w:rPr>
          <w:rStyle w:val="HideTWBExt"/>
          <w:b w:val="0"/>
        </w:rPr>
        <w:t>&lt;RepeatBlock-By&gt;</w:t>
      </w:r>
      <w:r>
        <w:rPr>
          <w:rStyle w:val="HideTWBExt"/>
          <w:b w:val="0"/>
        </w:rPr>
        <w:t>&lt;Members&gt;</w:t>
      </w:r>
      <w:r>
        <w:t>Adam Bielan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6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 bis.</w:t>
            </w:r>
            <w:r>
              <w:tab/>
            </w:r>
            <w:r>
              <w:rPr>
                <w:b/>
                <w:i/>
              </w:rPr>
              <w:t>riconosce gli sforzi compiuti dall'Arabia Saudita, da alcuni Stati arabi e da Israele per normalizzare le relazioni diplomatiche nel quadro degli accordi di Abramo;</w:t>
            </w:r>
            <w:r>
              <w:t xml:space="preserve"> </w:t>
            </w:r>
            <w:r>
              <w:rPr>
                <w:b/>
                <w:i/>
              </w:rPr>
              <w:t>invita l'UE a sostenere iniziative volte a creare un ampio sostegno regionale e internazionale a favore di un futuro migliore per le relazioni arabo-israeliane;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68</w:t>
      </w:r>
      <w:r>
        <w:rPr>
          <w:rStyle w:val="HideTWBExt"/>
        </w:rPr>
        <w:t>&lt;/NumAm&gt;</w:t>
      </w:r>
    </w:p>
    <w:p>
      <w:pPr>
        <w:pStyle w:val="NormalBold"/>
      </w:pPr>
      <w:r>
        <w:rPr>
          <w:rStyle w:val="HideTWBExt"/>
          <w:b w:val="0"/>
        </w:rPr>
        <w:t>&lt;RepeatBlock-By&gt;</w:t>
      </w:r>
      <w:r>
        <w:rPr>
          <w:rStyle w:val="HideTWBExt"/>
          <w:b w:val="0"/>
        </w:rPr>
        <w:t>&lt;Members&gt;</w:t>
      </w:r>
      <w:r>
        <w:t>Roberto Vannacci, Silvia Sardone,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6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 bis.</w:t>
            </w:r>
            <w:r>
              <w:tab/>
            </w:r>
            <w:r>
              <w:rPr>
                <w:b/>
                <w:i/>
              </w:rPr>
              <w:t>sottolinea che la politica estera dell'Arabia Saudita è influenzata da una combinazione di fattori strategici, religiosi, economici e di sicurezza, e che si propone principalmente di mantenere la stabilità, ampliare l'influenza regionale e proteggere gli interessi energetici e geopolitici del Regno;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69</w:t>
      </w:r>
      <w:r>
        <w:rPr>
          <w:rStyle w:val="HideTWBExt"/>
        </w:rPr>
        <w:t>&lt;/NumAm&gt;</w:t>
      </w:r>
    </w:p>
    <w:p>
      <w:pPr>
        <w:pStyle w:val="NormalBold"/>
      </w:pPr>
      <w:r>
        <w:rPr>
          <w:rStyle w:val="HideTWBExt"/>
          <w:b w:val="0"/>
        </w:rPr>
        <w:t>&lt;RepeatBlock-By&gt;</w:t>
      </w:r>
      <w:r>
        <w:rPr>
          <w:rStyle w:val="HideTWBExt"/>
          <w:b w:val="0"/>
        </w:rPr>
        <w:t>&lt;Members&gt;</w:t>
      </w:r>
      <w:r>
        <w:t>Engin Eroglu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6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 bis.</w:t>
            </w:r>
            <w:r>
              <w:tab/>
            </w:r>
            <w:r>
              <w:rPr>
                <w:b/>
                <w:i/>
              </w:rPr>
              <w:t>sottolinea che una cooperazione rafforzata con l'Arabia Saudita dovrebbe servire anche a rafforzare gli impegni condivisi a favore della pace e della stabilità, nonché a tutelare dai rivali sistemici il sistema multilaterale basato su regole;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70</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chiede una maggiore cooperazione in materia di politica estera e di sicurezza alla luce delle escalation regionali; sottolinea che sia nella comunicazione congiunta su un partenariato strategico con il Golfo sia nel futuro APS si chiede una maggiore cooperazione in ambito politico e in materia di sicurezza;</w:t>
            </w:r>
          </w:p>
        </w:tc>
        <w:tc>
          <w:tcPr>
            <w:tcW w:w="4876" w:type="dxa"/>
            <w:tcBorders>
              <w:top w:val="nil"/>
              <w:left w:val="nil"/>
              <w:bottom w:val="nil"/>
              <w:right w:val="nil"/>
            </w:tcBorders>
          </w:tcPr>
          <w:p>
            <w:pPr>
              <w:pStyle w:val="Normal6a"/>
            </w:pPr>
            <w:r>
              <w:t>7.</w:t>
            </w:r>
            <w:r>
              <w:tab/>
            </w:r>
            <w:r>
              <w:t xml:space="preserve">chiede una maggiore cooperazione in materia di politica estera e di sicurezza alla luce delle escalation regionali; sottolinea che sia nella comunicazione congiunta su un partenariato strategico con il Golfo sia nel futuro APS si chiede una maggiore cooperazione in ambito politico e in materia di sicurezza; </w:t>
            </w:r>
            <w:r>
              <w:rPr>
                <w:b/>
                <w:i/>
              </w:rPr>
              <w:t>evidenzia che tale cooperazione deve essere basata su un impegno reale e condiviso a favore del rispetto del diritto internazionale, compresi i diritti umani, il diritto internazionale umanitario e la Carta delle Nazioni Unite;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71</w:t>
      </w:r>
      <w:r>
        <w:rPr>
          <w:rStyle w:val="HideTWBExt"/>
        </w:rPr>
        <w:t>&lt;/NumAm&gt;</w:t>
      </w:r>
    </w:p>
    <w:p>
      <w:pPr>
        <w:pStyle w:val="NormalBold"/>
      </w:pPr>
      <w:r>
        <w:rPr>
          <w:rStyle w:val="HideTWBExt"/>
          <w:b w:val="0"/>
        </w:rPr>
        <w:t>&lt;RepeatBlock-By&gt;</w:t>
      </w:r>
      <w:r>
        <w:rPr>
          <w:rStyle w:val="HideTWBExt"/>
          <w:b w:val="0"/>
        </w:rPr>
        <w:t>&lt;Members&gt;</w:t>
      </w:r>
      <w:r>
        <w:t>Merja Kyllönen, Jonas Sjöstedt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chiede una maggiore cooperazione in materia di politica estera e di sicurezza alla luce delle escalation regionali; sottolinea che sia nella comunicazione congiunta su un partenariato strategico con il Golfo sia nel futuro APS si chiede una maggiore cooperazione in ambito politico e in materia di sicurezza;</w:t>
            </w:r>
          </w:p>
        </w:tc>
        <w:tc>
          <w:tcPr>
            <w:tcW w:w="4876" w:type="dxa"/>
            <w:tcBorders>
              <w:top w:val="nil"/>
              <w:left w:val="nil"/>
              <w:bottom w:val="nil"/>
              <w:right w:val="nil"/>
            </w:tcBorders>
          </w:tcPr>
          <w:p>
            <w:pPr>
              <w:pStyle w:val="Normal6a"/>
            </w:pPr>
            <w:r>
              <w:t>7.</w:t>
            </w:r>
            <w:r>
              <w:tab/>
            </w:r>
            <w:r>
              <w:t xml:space="preserve">chiede una maggiore cooperazione in materia di politica estera e di sicurezza alla luce delle escalation regionali; sottolinea che sia nella comunicazione congiunta su un partenariato strategico con il Golfo sia nel futuro APS si chiede una maggiore cooperazione in ambito politico e in materia di sicurezza; </w:t>
            </w:r>
            <w:r>
              <w:rPr>
                <w:b/>
                <w:i/>
              </w:rPr>
              <w:t>evidenzia che tale cooperazione deve essere basata su un impegno realmente condiviso a favore del rispetto del diritto internazionale, compresi i diritti umani, il diritto internazionale umanitario e la Carta delle Nazioni Unite;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72</w:t>
      </w:r>
      <w:r>
        <w:rPr>
          <w:rStyle w:val="HideTWBExt"/>
        </w:rPr>
        <w:t>&lt;/NumAm&gt;</w:t>
      </w:r>
    </w:p>
    <w:p>
      <w:pPr>
        <w:pStyle w:val="NormalBold"/>
      </w:pPr>
      <w:r>
        <w:rPr>
          <w:rStyle w:val="HideTWBExt"/>
          <w:b w:val="0"/>
        </w:rPr>
        <w:t>&lt;RepeatBlock-By&gt;</w:t>
      </w:r>
      <w:r>
        <w:rPr>
          <w:rStyle w:val="HideTWBExt"/>
          <w:b w:val="0"/>
        </w:rPr>
        <w:t>&lt;Members&gt;</w:t>
      </w:r>
      <w:r>
        <w:t>Hana Jalloul Muro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chiede una maggiore cooperazione in materia di politica estera e di sicurezza alla luce delle escalation regionali; sottolinea che sia nella comunicazione congiunta su un partenariato strategico con il Golfo sia nel futuro APS si chiede una maggiore cooperazione in ambito politico e in materia di sicurezza;</w:t>
            </w:r>
          </w:p>
        </w:tc>
        <w:tc>
          <w:tcPr>
            <w:tcW w:w="4876" w:type="dxa"/>
            <w:tcBorders>
              <w:top w:val="nil"/>
              <w:left w:val="nil"/>
              <w:bottom w:val="nil"/>
              <w:right w:val="nil"/>
            </w:tcBorders>
          </w:tcPr>
          <w:p>
            <w:pPr>
              <w:pStyle w:val="Normal6a"/>
            </w:pPr>
            <w:r>
              <w:t>7.</w:t>
            </w:r>
            <w:r>
              <w:tab/>
            </w:r>
            <w:r>
              <w:t xml:space="preserve">chiede una maggiore cooperazione in materia di politica estera e di sicurezza alla luce delle escalation regionali; sottolinea che sia nella comunicazione congiunta su un partenariato strategico con il Golfo sia nel futuro APS si chiede una maggiore cooperazione in ambito politico e in materia di sicurezza; </w:t>
            </w:r>
            <w:r>
              <w:rPr>
                <w:b/>
                <w:i/>
              </w:rPr>
              <w:t>evidenzia che tale cooperazione deve essere basata su un impegno condiviso a favore del rispetto del diritto internazionale, compresi i diritti umani, il diritto internazionale umanitario e la Carta delle Nazioni Unite;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73</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7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 bis.</w:t>
            </w:r>
            <w:r>
              <w:tab/>
            </w:r>
            <w:r>
              <w:rPr>
                <w:b/>
                <w:i/>
              </w:rPr>
              <w:t>sottolinea l'importante ruolo diplomatico dell'Arabia Saudita, in particolare nel sostenere l'allentamento delle tensioni nello Yemen, nel rafforzare la sicurezza marittima nel Mar Rosso, nell'ospitare colloqui sull'Ucraina e nell'agevolare il dialogo sul Sudan, contribuendo così in modo costruttivo alla stabilità regionale e internazionale;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74</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rPr>
                <w:b/>
                <w:i/>
              </w:rPr>
              <w:t>invita</w:t>
            </w:r>
            <w:r>
              <w:t xml:space="preserve"> l'Arabia Saudita </w:t>
            </w:r>
            <w:r>
              <w:rPr>
                <w:b/>
                <w:i/>
              </w:rPr>
              <w:t>a continuare a cooperare con l'UE</w:t>
            </w:r>
            <w:r>
              <w:t xml:space="preserve"> nell'ambito della lotta al terrorismo e della prevenzione della radicalizzazione;</w:t>
            </w:r>
          </w:p>
        </w:tc>
        <w:tc>
          <w:tcPr>
            <w:tcW w:w="4876" w:type="dxa"/>
            <w:tcBorders>
              <w:top w:val="nil"/>
              <w:left w:val="nil"/>
              <w:bottom w:val="nil"/>
              <w:right w:val="nil"/>
            </w:tcBorders>
          </w:tcPr>
          <w:p>
            <w:pPr>
              <w:pStyle w:val="Normal6a"/>
            </w:pPr>
            <w:r>
              <w:t>8.</w:t>
            </w:r>
            <w:r>
              <w:tab/>
            </w:r>
            <w:r>
              <w:rPr>
                <w:b/>
                <w:i/>
              </w:rPr>
              <w:t>prende atto della cooperazione tra l'UE e</w:t>
            </w:r>
            <w:r>
              <w:t xml:space="preserve"> l'Arabia Saudita nell'ambito della lotta al terrorismo e della prevenzione della radicalizzazione</w:t>
            </w:r>
            <w:r>
              <w:rPr>
                <w:b/>
                <w:i/>
              </w:rPr>
              <w:t>, che devono avvenire nel rispetto delle norme internazionali in materia di diritti umani</w:t>
            </w:r>
            <w:r>
              <w:t xml:space="preserve">; </w:t>
            </w:r>
            <w:r>
              <w:rPr>
                <w:b/>
                <w:i/>
              </w:rPr>
              <w:t>esprime preoccupazione per il ricorso da parte dell'Arabia Saudita alle leggi antiterrorismo per mettere a tacere gli attivisti e reprimere il dissenso, come dimostrato dai continui arresti di cittadini sauditi accusati di terrorismo per le loro attività pacifiche sui social media;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75</w:t>
      </w:r>
      <w:r>
        <w:rPr>
          <w:rStyle w:val="HideTWBExt"/>
        </w:rPr>
        <w:t>&lt;/NumAm&gt;</w:t>
      </w:r>
    </w:p>
    <w:p>
      <w:pPr>
        <w:pStyle w:val="NormalBold"/>
      </w:pPr>
      <w:r>
        <w:rPr>
          <w:rStyle w:val="HideTWBExt"/>
          <w:b w:val="0"/>
        </w:rPr>
        <w:t>&lt;RepeatBlock-By&gt;</w:t>
      </w:r>
      <w:r>
        <w:rPr>
          <w:rStyle w:val="HideTWBExt"/>
          <w:b w:val="0"/>
        </w:rPr>
        <w:t>&lt;Members&gt;</w:t>
      </w:r>
      <w:r>
        <w:t>Jordan Bardella, Pierre-Romain Thionnet, Matthieu Valet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invita l'Arabia Saudita a continuare a cooperare con l'UE nell'ambito della lotta al terrorismo e della prevenzione della radicalizzazione;</w:t>
            </w:r>
          </w:p>
        </w:tc>
        <w:tc>
          <w:tcPr>
            <w:tcW w:w="4876" w:type="dxa"/>
            <w:tcBorders>
              <w:top w:val="nil"/>
              <w:left w:val="nil"/>
              <w:bottom w:val="nil"/>
              <w:right w:val="nil"/>
            </w:tcBorders>
          </w:tcPr>
          <w:p>
            <w:pPr>
              <w:pStyle w:val="Normal6a"/>
            </w:pPr>
            <w:r>
              <w:t>8.</w:t>
            </w:r>
            <w:r>
              <w:tab/>
            </w:r>
            <w:r>
              <w:t xml:space="preserve">invita l'Arabia Saudita a continuare a cooperare con l'UE nell'ambito della lotta al terrorismo e della prevenzione della radicalizzazione; </w:t>
            </w:r>
            <w:r>
              <w:rPr>
                <w:b/>
                <w:i/>
              </w:rPr>
              <w:t>sottolinea che qualsiasi forma di cooperazione in materia di lotta al terrorismo e alla radicalizzazione deve includere misure speciali intese a monitorare la diffusione delle dottrine estremiste di ispirazione wahhabita, ancora ampiamente associate all'Arabia Saudita;</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76</w:t>
      </w:r>
      <w:r>
        <w:rPr>
          <w:rStyle w:val="HideTWBExt"/>
        </w:rPr>
        <w:t>&lt;/NumAm&gt;</w:t>
      </w:r>
    </w:p>
    <w:p>
      <w:pPr>
        <w:pStyle w:val="NormalBold"/>
      </w:pPr>
      <w:r>
        <w:rPr>
          <w:rStyle w:val="HideTWBExt"/>
          <w:b w:val="0"/>
        </w:rPr>
        <w:t>&lt;RepeatBlock-By&gt;</w:t>
      </w:r>
      <w:r>
        <w:rPr>
          <w:rStyle w:val="HideTWBExt"/>
          <w:b w:val="0"/>
        </w:rPr>
        <w:t>&lt;Members&gt;</w:t>
      </w:r>
      <w:r>
        <w:t>Hana Jalloul Muro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invita l'Arabia Saudita a continuare a cooperare con l'UE nell'ambito della lotta al terrorismo e della prevenzione della radicalizzazione;</w:t>
            </w:r>
          </w:p>
        </w:tc>
        <w:tc>
          <w:tcPr>
            <w:tcW w:w="4876" w:type="dxa"/>
            <w:tcBorders>
              <w:top w:val="nil"/>
              <w:left w:val="nil"/>
              <w:bottom w:val="nil"/>
              <w:right w:val="nil"/>
            </w:tcBorders>
          </w:tcPr>
          <w:p>
            <w:pPr>
              <w:pStyle w:val="Normal6a"/>
            </w:pPr>
            <w:r>
              <w:t>8.</w:t>
            </w:r>
            <w:r>
              <w:tab/>
            </w:r>
            <w:r>
              <w:t>invita l'Arabia Saudita a continuare a cooperare con l'UE nell'ambito della lotta al terrorismo e della prevenzione della radicalizzazione</w:t>
            </w:r>
            <w:r>
              <w:rPr>
                <w:b/>
                <w:i/>
              </w:rPr>
              <w:t>,</w:t>
            </w:r>
            <w:r>
              <w:t xml:space="preserve"> </w:t>
            </w:r>
            <w:r>
              <w:rPr>
                <w:b/>
                <w:i/>
              </w:rPr>
              <w:t>che devono avvenire nel rispetto delle norme internazionali in materia di diritti umani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77</w:t>
      </w:r>
      <w:r>
        <w:rPr>
          <w:rStyle w:val="HideTWBExt"/>
        </w:rPr>
        <w:t>&lt;/NumAm&gt;</w:t>
      </w:r>
    </w:p>
    <w:p>
      <w:pPr>
        <w:pStyle w:val="NormalBold"/>
      </w:pPr>
      <w:r>
        <w:rPr>
          <w:rStyle w:val="HideTWBExt"/>
          <w:b w:val="0"/>
        </w:rPr>
        <w:t>&lt;RepeatBlock-By&gt;</w:t>
      </w:r>
      <w:r>
        <w:rPr>
          <w:rStyle w:val="HideTWBExt"/>
          <w:b w:val="0"/>
        </w:rPr>
        <w:t>&lt;Members&gt;</w:t>
      </w:r>
      <w:r>
        <w:t>Antonio López-Istúriz White, Reinhold Lopatka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invita l'Arabia Saudita a continuare a cooperare con l'UE nell'ambito della lotta al terrorismo e della prevenzione della radicalizzazione;</w:t>
            </w:r>
          </w:p>
        </w:tc>
        <w:tc>
          <w:tcPr>
            <w:tcW w:w="4876" w:type="dxa"/>
            <w:tcBorders>
              <w:top w:val="nil"/>
              <w:left w:val="nil"/>
              <w:bottom w:val="nil"/>
              <w:right w:val="nil"/>
            </w:tcBorders>
          </w:tcPr>
          <w:p>
            <w:pPr>
              <w:pStyle w:val="Normal6a"/>
            </w:pPr>
            <w:r>
              <w:t>8.</w:t>
            </w:r>
            <w:r>
              <w:tab/>
            </w:r>
            <w:r>
              <w:t xml:space="preserve">invita l'Arabia Saudita a continuare a cooperare con l'UE nell'ambito della lotta al terrorismo e della prevenzione della radicalizzazione; </w:t>
            </w:r>
            <w:r>
              <w:rPr>
                <w:b/>
                <w:i/>
              </w:rPr>
              <w:t>sottolinea l'importanza di un ampio allineamento tra l'UE e l'Arabia Saudita in tali settori;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78</w:t>
      </w:r>
      <w:r>
        <w:rPr>
          <w:rStyle w:val="HideTWBExt"/>
        </w:rPr>
        <w:t>&lt;/NumAm&gt;</w:t>
      </w:r>
    </w:p>
    <w:p>
      <w:pPr>
        <w:pStyle w:val="NormalBold"/>
      </w:pPr>
      <w:r>
        <w:rPr>
          <w:rStyle w:val="HideTWBExt"/>
          <w:b w:val="0"/>
        </w:rPr>
        <w:t>&lt;RepeatBlock-By&gt;</w:t>
      </w:r>
      <w:r>
        <w:rPr>
          <w:rStyle w:val="HideTWBExt"/>
          <w:b w:val="0"/>
        </w:rPr>
        <w:t>&lt;Members&gt;</w:t>
      </w:r>
      <w:r>
        <w:t>Merja Kyllönen, Jonas Sjöstedt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invita l'Arabia Saudita a continuare a cooperare con l'UE nell'ambito della lotta al terrorismo e della prevenzione della radicalizzazione;</w:t>
            </w:r>
          </w:p>
        </w:tc>
        <w:tc>
          <w:tcPr>
            <w:tcW w:w="4876" w:type="dxa"/>
            <w:tcBorders>
              <w:top w:val="nil"/>
              <w:left w:val="nil"/>
              <w:bottom w:val="nil"/>
              <w:right w:val="nil"/>
            </w:tcBorders>
          </w:tcPr>
          <w:p>
            <w:pPr>
              <w:pStyle w:val="Normal6a"/>
            </w:pPr>
            <w:r>
              <w:t>8.</w:t>
            </w:r>
            <w:r>
              <w:tab/>
            </w:r>
            <w:r>
              <w:t>invita l'Arabia Saudita a continuare a cooperare con l'UE nell'ambito della lotta al terrorismo e della prevenzione della radicalizzazione</w:t>
            </w:r>
            <w:r>
              <w:rPr>
                <w:b/>
                <w:i/>
              </w:rPr>
              <w:t>,</w:t>
            </w:r>
            <w:r>
              <w:t xml:space="preserve"> </w:t>
            </w:r>
            <w:r>
              <w:rPr>
                <w:b/>
                <w:i/>
              </w:rPr>
              <w:t>che devono avvenire nel rispetto delle norme internazionali in materia di diritti umani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79</w:t>
      </w:r>
      <w:r>
        <w:rPr>
          <w:rStyle w:val="HideTWBExt"/>
        </w:rPr>
        <w:t>&lt;/NumAm&gt;</w:t>
      </w:r>
    </w:p>
    <w:p>
      <w:pPr>
        <w:pStyle w:val="NormalBold"/>
      </w:pPr>
      <w:r>
        <w:rPr>
          <w:rStyle w:val="HideTWBExt"/>
          <w:b w:val="0"/>
        </w:rPr>
        <w:t>&lt;RepeatBlock-By&gt;</w:t>
      </w:r>
      <w:r>
        <w:rPr>
          <w:rStyle w:val="HideTWBExt"/>
          <w:b w:val="0"/>
        </w:rPr>
        <w:t>&lt;Members&gt;</w:t>
      </w:r>
      <w:r>
        <w:t>Bernard Guetta, Hilde Vautmans, Engin Eroglu,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riconosce gli sforzi compiuti dall'Arabia Saudita per promuovere un allentamento delle tensioni in relazione all'operazione militare israeliana a Gaza, il suo sostegno all'assistenza umanitaria e le sue richieste di cessate il fuoco e di rilascio degli ostaggi;</w:t>
            </w:r>
          </w:p>
        </w:tc>
        <w:tc>
          <w:tcPr>
            <w:tcW w:w="4876" w:type="dxa"/>
            <w:tcBorders>
              <w:top w:val="nil"/>
              <w:left w:val="nil"/>
              <w:bottom w:val="nil"/>
              <w:right w:val="nil"/>
            </w:tcBorders>
          </w:tcPr>
          <w:p>
            <w:pPr>
              <w:pStyle w:val="Normal6a"/>
            </w:pPr>
            <w:r>
              <w:t>9.</w:t>
            </w:r>
            <w:r>
              <w:tab/>
            </w:r>
            <w:r>
              <w:t xml:space="preserve">riconosce gli sforzi compiuti dall'Arabia Saudita per promuovere un allentamento delle tensioni in relazione all'operazione militare israeliana a Gaza, il suo sostegno all'assistenza umanitaria e le sue richieste di cessate il fuoco e di rilascio degli ostaggi; </w:t>
            </w:r>
            <w:r>
              <w:rPr>
                <w:b/>
                <w:i/>
              </w:rPr>
              <w:t>esprime profonda preoccupazione per la minaccia di un'ulteriore escalation militare nella Striscia di Gaza e si oppone a tutte le violazioni del diritto internazionale in tale conflitto, comprese tutte le dichiarazioni che prevedono cambiamenti territoriali o demografici nella zona;</w:t>
            </w:r>
            <w:r>
              <w:t xml:space="preserve"> </w:t>
            </w:r>
            <w:r>
              <w:rPr>
                <w:b/>
                <w:i/>
              </w:rPr>
              <w:t>chiede un'azione internazionale immediata ed efficace per alleviare l'intollerabile situazione umanitaria a Gaza nel contesto del blocco messo in atto dal governo israeliano, che impedisce che gli aiuti umanitari raggiungano la popolazione civile che vive in condizioni disumane;</w:t>
            </w:r>
            <w:r>
              <w:t xml:space="preserve"> </w:t>
            </w:r>
            <w:r>
              <w:rPr>
                <w:b/>
                <w:i/>
              </w:rPr>
              <w:t>chiede che le violenze terminino immediatamente e in maniera duratura;</w:t>
            </w:r>
            <w:r>
              <w:t xml:space="preserve"> </w:t>
            </w:r>
            <w:r>
              <w:rPr>
                <w:b/>
                <w:i/>
              </w:rPr>
              <w:t>richiede che tutti i restanti ostaggi israeliani vengano rilasciati immediatamente e incondizionatamente;</w:t>
            </w:r>
            <w:r>
              <w:t xml:space="preserve"> </w:t>
            </w:r>
            <w:r>
              <w:rPr>
                <w:b/>
                <w:i/>
              </w:rPr>
              <w:t>continua a sollecitare iniziative diplomatiche proattive da parte dell'UE per lavorare a un cessate il fuoco permanente;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80</w:t>
      </w:r>
      <w:r>
        <w:rPr>
          <w:rStyle w:val="HideTWBExt"/>
        </w:rPr>
        <w:t>&lt;/NumAm&gt;</w:t>
      </w:r>
    </w:p>
    <w:p>
      <w:pPr>
        <w:pStyle w:val="NormalBold"/>
      </w:pPr>
      <w:r>
        <w:rPr>
          <w:rStyle w:val="HideTWBExt"/>
          <w:b w:val="0"/>
        </w:rPr>
        <w:t>&lt;RepeatBlock-By&gt;</w:t>
      </w:r>
      <w:r>
        <w:rPr>
          <w:rStyle w:val="HideTWBExt"/>
          <w:b w:val="0"/>
        </w:rPr>
        <w:t>&lt;Members&gt;</w:t>
      </w:r>
      <w:r>
        <w:t>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 xml:space="preserve">riconosce gli sforzi compiuti dall'Arabia Saudita per promuovere un allentamento delle tensioni in relazione </w:t>
            </w:r>
            <w:r>
              <w:rPr>
                <w:b/>
                <w:i/>
              </w:rPr>
              <w:t>all'operazione militare israeliana a Gaza</w:t>
            </w:r>
            <w:r>
              <w:t xml:space="preserve">, il suo sostegno all'assistenza umanitaria </w:t>
            </w:r>
            <w:r>
              <w:rPr>
                <w:b/>
                <w:i/>
              </w:rPr>
              <w:t>e le sue richieste di cessate il fuoco e di</w:t>
            </w:r>
            <w:r>
              <w:t xml:space="preserve"> rilascio </w:t>
            </w:r>
            <w:r>
              <w:rPr>
                <w:b/>
                <w:i/>
              </w:rPr>
              <w:t>degli</w:t>
            </w:r>
            <w:r>
              <w:t xml:space="preserve"> ostaggi;</w:t>
            </w:r>
          </w:p>
        </w:tc>
        <w:tc>
          <w:tcPr>
            <w:tcW w:w="4876" w:type="dxa"/>
            <w:tcBorders>
              <w:top w:val="nil"/>
              <w:left w:val="nil"/>
              <w:bottom w:val="nil"/>
              <w:right w:val="nil"/>
            </w:tcBorders>
          </w:tcPr>
          <w:p>
            <w:pPr>
              <w:pStyle w:val="Normal6a"/>
            </w:pPr>
            <w:r>
              <w:t>9.</w:t>
            </w:r>
            <w:r>
              <w:tab/>
            </w:r>
            <w:r>
              <w:t xml:space="preserve">riconosce gli sforzi compiuti dall'Arabia Saudita per </w:t>
            </w:r>
            <w:r>
              <w:rPr>
                <w:b/>
                <w:i/>
              </w:rPr>
              <w:t>stabilizzare il Medio Oriente e</w:t>
            </w:r>
            <w:r>
              <w:t xml:space="preserve"> promuovere un allentamento delle tensioni in relazione </w:t>
            </w:r>
            <w:r>
              <w:rPr>
                <w:b/>
                <w:i/>
              </w:rPr>
              <w:t>al conflitto tra Israele e Hamas</w:t>
            </w:r>
            <w:r>
              <w:t xml:space="preserve">, </w:t>
            </w:r>
            <w:r>
              <w:rPr>
                <w:b/>
                <w:i/>
              </w:rPr>
              <w:t>nonché</w:t>
            </w:r>
            <w:r>
              <w:t xml:space="preserve"> il suo sostegno all'assistenza umanitaria</w:t>
            </w:r>
            <w:r>
              <w:rPr>
                <w:b/>
                <w:i/>
              </w:rPr>
              <w:t>, al</w:t>
            </w:r>
            <w:r>
              <w:t xml:space="preserve"> rilascio </w:t>
            </w:r>
            <w:r>
              <w:rPr>
                <w:b/>
                <w:i/>
              </w:rPr>
              <w:t>di tutti gli</w:t>
            </w:r>
            <w:r>
              <w:t xml:space="preserve"> ostaggi </w:t>
            </w:r>
            <w:r>
              <w:rPr>
                <w:b/>
                <w:i/>
              </w:rPr>
              <w:t>ancora detenuti a Gaza e alla fine del conflitto israelo-palestinese</w:t>
            </w:r>
            <w:r>
              <w:t xml:space="preserve">; </w:t>
            </w:r>
            <w:r>
              <w:rPr>
                <w:b/>
                <w:i/>
              </w:rPr>
              <w:t>sottolinea che la credibilità dell'Arabia Saudita come mediatore di pace potrebbe anche contribuire a rendere il paese un prezioso collaboratore per gli sforzi futuri volti a stabilizzare i territori palestinesi;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81</w:t>
      </w:r>
      <w:r>
        <w:rPr>
          <w:rStyle w:val="HideTWBExt"/>
        </w:rPr>
        <w:t>&lt;/NumAm&gt;</w:t>
      </w:r>
    </w:p>
    <w:p>
      <w:pPr>
        <w:pStyle w:val="NormalBold"/>
      </w:pPr>
      <w:r>
        <w:rPr>
          <w:rStyle w:val="HideTWBExt"/>
          <w:b w:val="0"/>
        </w:rPr>
        <w:t>&lt;RepeatBlock-By&gt;</w:t>
      </w:r>
      <w:r>
        <w:rPr>
          <w:rStyle w:val="HideTWBExt"/>
          <w:b w:val="0"/>
        </w:rPr>
        <w:t>&lt;Members&gt;</w:t>
      </w:r>
      <w:r>
        <w:t>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riconosce gli sforzi compiuti dall'Arabia Saudita per promuovere un allentamento delle tensioni in relazione all'operazione militare israeliana a Gaza, il suo sostegno all'assistenza umanitaria e le sue richieste di cessate il fuoco e di rilascio degli ostaggi;</w:t>
            </w:r>
          </w:p>
        </w:tc>
        <w:tc>
          <w:tcPr>
            <w:tcW w:w="4876" w:type="dxa"/>
            <w:tcBorders>
              <w:top w:val="nil"/>
              <w:left w:val="nil"/>
              <w:bottom w:val="nil"/>
              <w:right w:val="nil"/>
            </w:tcBorders>
          </w:tcPr>
          <w:p>
            <w:pPr>
              <w:pStyle w:val="Normal6a"/>
            </w:pPr>
            <w:r>
              <w:t>9.</w:t>
            </w:r>
            <w:r>
              <w:tab/>
            </w:r>
            <w:r>
              <w:t xml:space="preserve">riconosce </w:t>
            </w:r>
            <w:r>
              <w:rPr>
                <w:b/>
                <w:i/>
              </w:rPr>
              <w:t>la condanna, da parte dell'Arabia Saudita, dell'attacco di Hamas del 7 ottobre contro Israele,</w:t>
            </w:r>
            <w:r>
              <w:t xml:space="preserve"> gli sforzi compiuti dall'Arabia Saudita per promuovere un allentamento delle tensioni in relazione all'operazione militare israeliana a Gaza, il suo sostegno all'assistenza umanitaria e le sue richieste di cessate il fuoco e di rilascio degli ostaggi; </w:t>
            </w:r>
            <w:r>
              <w:rPr>
                <w:b/>
                <w:i/>
              </w:rPr>
              <w:t>accoglie con favore il fatto che l'Arabia Saudita abbia chiaramente contribuito alla dichiarazione della Lega degli Stati arabi, in cui si chiede che Hamas deponga le armi, rilasci tutti gli ostaggi e rinunci al controllo su Gaza;</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82</w:t>
      </w:r>
      <w:r>
        <w:rPr>
          <w:rStyle w:val="HideTWBExt"/>
        </w:rPr>
        <w:t>&lt;/NumAm&gt;</w:t>
      </w:r>
    </w:p>
    <w:p>
      <w:pPr>
        <w:pStyle w:val="NormalBold"/>
      </w:pPr>
      <w:r>
        <w:rPr>
          <w:rStyle w:val="HideTWBExt"/>
          <w:b w:val="0"/>
        </w:rPr>
        <w:t>&lt;RepeatBlock-By&gt;</w:t>
      </w:r>
      <w:r>
        <w:rPr>
          <w:rStyle w:val="HideTWBExt"/>
          <w:b w:val="0"/>
        </w:rPr>
        <w:t>&lt;Members&gt;</w:t>
      </w:r>
      <w:r>
        <w:t>Marie-Agnes Strack-Zimmermann, Dan Barna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riconosce gli sforzi compiuti dall'Arabia Saudita per promuovere un allentamento delle tensioni in relazione all'operazione militare israeliana a Gaza, il suo sostegno all'assistenza umanitaria e le sue richieste di cessate il fuoco e di rilascio degli ostaggi;</w:t>
            </w:r>
          </w:p>
        </w:tc>
        <w:tc>
          <w:tcPr>
            <w:tcW w:w="4876" w:type="dxa"/>
            <w:tcBorders>
              <w:top w:val="nil"/>
              <w:left w:val="nil"/>
              <w:bottom w:val="nil"/>
              <w:right w:val="nil"/>
            </w:tcBorders>
          </w:tcPr>
          <w:p>
            <w:pPr>
              <w:pStyle w:val="Normal6a"/>
            </w:pPr>
            <w:r>
              <w:t>9.</w:t>
            </w:r>
            <w:r>
              <w:tab/>
            </w:r>
            <w:r>
              <w:t xml:space="preserve">riconosce gli sforzi compiuti dall'Arabia Saudita per promuovere un allentamento delle tensioni in relazione all'operazione militare israeliana a Gaza </w:t>
            </w:r>
            <w:r>
              <w:rPr>
                <w:b/>
                <w:i/>
              </w:rPr>
              <w:t>dopo l'attacco terroristico del 7 ottobre a opera di Hamas, che ha portato alla morte di circa 1 200 persone e al rapimento di più di 250 ostaggi</w:t>
            </w:r>
            <w:r>
              <w:t>, il suo sostegno all'assistenza umanitaria e le sue richieste di cessate il fuoco e di rilascio degli ostaggi;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83</w:t>
      </w:r>
      <w:r>
        <w:rPr>
          <w:rStyle w:val="HideTWBExt"/>
        </w:rPr>
        <w:t>&lt;/NumAm&gt;</w:t>
      </w:r>
    </w:p>
    <w:p>
      <w:pPr>
        <w:pStyle w:val="NormalBold"/>
      </w:pPr>
      <w:r>
        <w:rPr>
          <w:rStyle w:val="HideTWBExt"/>
          <w:b w:val="0"/>
        </w:rPr>
        <w:t>&lt;RepeatBlock-By&gt;</w:t>
      </w:r>
      <w:r>
        <w:rPr>
          <w:rStyle w:val="HideTWBExt"/>
          <w:b w:val="0"/>
        </w:rPr>
        <w:t>&lt;Members&gt;</w:t>
      </w:r>
      <w:r>
        <w:t>Antonio López-Istúriz White, Reinhold Lopatka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rPr>
                <w:b/>
                <w:i/>
              </w:rPr>
              <w:t>riconosce</w:t>
            </w:r>
            <w:r>
              <w:t xml:space="preserve"> gli sforzi compiuti dall'Arabia Saudita per </w:t>
            </w:r>
            <w:r>
              <w:rPr>
                <w:b/>
                <w:i/>
              </w:rPr>
              <w:t>promuovere un allentamento delle tensioni in relazione all'operazione militare israeliana a Gaza, il suo sostegno all'assistenza</w:t>
            </w:r>
            <w:r>
              <w:t xml:space="preserve"> umanitaria </w:t>
            </w:r>
            <w:r>
              <w:rPr>
                <w:b/>
                <w:i/>
              </w:rPr>
              <w:t>e le sue richieste di</w:t>
            </w:r>
            <w:r>
              <w:t xml:space="preserve"> cessate il fuoco </w:t>
            </w:r>
            <w:r>
              <w:rPr>
                <w:b/>
                <w:i/>
              </w:rPr>
              <w:t>e di</w:t>
            </w:r>
            <w:r>
              <w:t xml:space="preserve"> rilascio </w:t>
            </w:r>
            <w:r>
              <w:rPr>
                <w:b/>
                <w:i/>
              </w:rPr>
              <w:t>degli</w:t>
            </w:r>
            <w:r>
              <w:t xml:space="preserve"> ostaggi;</w:t>
            </w:r>
          </w:p>
        </w:tc>
        <w:tc>
          <w:tcPr>
            <w:tcW w:w="4876" w:type="dxa"/>
            <w:tcBorders>
              <w:top w:val="nil"/>
              <w:left w:val="nil"/>
              <w:bottom w:val="nil"/>
              <w:right w:val="nil"/>
            </w:tcBorders>
          </w:tcPr>
          <w:p>
            <w:pPr>
              <w:pStyle w:val="Normal6a"/>
            </w:pPr>
            <w:r>
              <w:t>9.</w:t>
            </w:r>
            <w:r>
              <w:tab/>
            </w:r>
            <w:r>
              <w:rPr>
                <w:b/>
                <w:i/>
              </w:rPr>
              <w:t>accoglie con favore</w:t>
            </w:r>
            <w:r>
              <w:t xml:space="preserve"> gli sforzi compiuti dall'Arabia Saudita per </w:t>
            </w:r>
            <w:r>
              <w:rPr>
                <w:b/>
                <w:i/>
              </w:rPr>
              <w:t>fornire assistenza</w:t>
            </w:r>
            <w:r>
              <w:t xml:space="preserve"> umanitaria</w:t>
            </w:r>
            <w:r>
              <w:rPr>
                <w:b/>
                <w:i/>
              </w:rPr>
              <w:t>, raggiungere un</w:t>
            </w:r>
            <w:r>
              <w:t xml:space="preserve"> cessate il fuoco </w:t>
            </w:r>
            <w:r>
              <w:rPr>
                <w:b/>
                <w:i/>
              </w:rPr>
              <w:t>duraturo a Gaza e il</w:t>
            </w:r>
            <w:r>
              <w:t xml:space="preserve"> rilascio </w:t>
            </w:r>
            <w:r>
              <w:rPr>
                <w:b/>
                <w:i/>
              </w:rPr>
              <w:t>di tutti gli</w:t>
            </w:r>
            <w:r>
              <w:t xml:space="preserve"> ostaggi </w:t>
            </w:r>
            <w:r>
              <w:rPr>
                <w:b/>
                <w:i/>
              </w:rPr>
              <w:t>israeliani detenuti da Hamas</w:t>
            </w:r>
            <w:r>
              <w:t xml:space="preserve">; </w:t>
            </w:r>
            <w:r>
              <w:rPr>
                <w:b/>
                <w:i/>
              </w:rPr>
              <w:t>elogia l'impegno attivo dell'Arabia Saudita a favore di una pace sostenibile e di una soluzione fondata sulla coesistenza di due Stati conformemente al diritto internazionale;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84</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 xml:space="preserve">riconosce gli sforzi compiuti dall'Arabia Saudita per promuovere un allentamento delle tensioni in relazione </w:t>
            </w:r>
            <w:r>
              <w:rPr>
                <w:b/>
                <w:i/>
              </w:rPr>
              <w:t>all'operazione militare israeliana</w:t>
            </w:r>
            <w:r>
              <w:t xml:space="preserve"> a Gaza, il suo sostegno all'assistenza umanitaria e le sue richieste di cessate il fuoco e di rilascio degli ostaggi;</w:t>
            </w:r>
          </w:p>
        </w:tc>
        <w:tc>
          <w:tcPr>
            <w:tcW w:w="4876" w:type="dxa"/>
            <w:tcBorders>
              <w:top w:val="nil"/>
              <w:left w:val="nil"/>
              <w:bottom w:val="nil"/>
              <w:right w:val="nil"/>
            </w:tcBorders>
          </w:tcPr>
          <w:p>
            <w:pPr>
              <w:pStyle w:val="Normal6a"/>
            </w:pPr>
            <w:r>
              <w:t>9.</w:t>
            </w:r>
            <w:r>
              <w:tab/>
            </w:r>
            <w:r>
              <w:t xml:space="preserve">riconosce gli sforzi compiuti dall'Arabia Saudita per promuovere un allentamento delle tensioni in relazione </w:t>
            </w:r>
            <w:r>
              <w:rPr>
                <w:b/>
                <w:i/>
              </w:rPr>
              <w:t>alle prove crescenti del genocidio commesso da Israele</w:t>
            </w:r>
            <w:r>
              <w:t xml:space="preserve"> a Gaza, il suo sostegno all'assistenza umanitaria e le sue richieste di cessate il fuoco e di rilascio degli ostaggi;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85</w:t>
      </w:r>
      <w:r>
        <w:rPr>
          <w:rStyle w:val="HideTWBExt"/>
        </w:rPr>
        <w:t>&lt;/NumAm&gt;</w:t>
      </w:r>
    </w:p>
    <w:p>
      <w:pPr>
        <w:pStyle w:val="NormalBold"/>
      </w:pPr>
      <w:r>
        <w:rPr>
          <w:rStyle w:val="HideTWBExt"/>
          <w:b w:val="0"/>
        </w:rPr>
        <w:t>&lt;RepeatBlock-By&gt;</w:t>
      </w:r>
      <w:r>
        <w:rPr>
          <w:rStyle w:val="HideTWBExt"/>
          <w:b w:val="0"/>
        </w:rPr>
        <w:t>&lt;Members&gt;</w:t>
      </w:r>
      <w:r>
        <w:t>Adam Bielan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 xml:space="preserve">riconosce gli sforzi compiuti dall'Arabia Saudita per promuovere un allentamento delle tensioni in relazione </w:t>
            </w:r>
            <w:r>
              <w:rPr>
                <w:b/>
                <w:i/>
              </w:rPr>
              <w:t>all'operazione militare israeliana</w:t>
            </w:r>
            <w:r>
              <w:t xml:space="preserve"> a Gaza, il suo sostegno all'assistenza umanitaria e le sue richieste di cessate il fuoco e di rilascio degli ostaggi;</w:t>
            </w:r>
          </w:p>
        </w:tc>
        <w:tc>
          <w:tcPr>
            <w:tcW w:w="4876" w:type="dxa"/>
            <w:tcBorders>
              <w:top w:val="nil"/>
              <w:left w:val="nil"/>
              <w:bottom w:val="nil"/>
              <w:right w:val="nil"/>
            </w:tcBorders>
          </w:tcPr>
          <w:p>
            <w:pPr>
              <w:pStyle w:val="Normal6a"/>
            </w:pPr>
            <w:r>
              <w:t>9.</w:t>
            </w:r>
            <w:r>
              <w:tab/>
            </w:r>
            <w:r>
              <w:t xml:space="preserve">riconosce gli sforzi compiuti dall'Arabia Saudita per promuovere un allentamento delle tensioni in relazione </w:t>
            </w:r>
            <w:r>
              <w:rPr>
                <w:b/>
                <w:i/>
              </w:rPr>
              <w:t>alla crisi in corso</w:t>
            </w:r>
            <w:r>
              <w:t xml:space="preserve"> a Gaza, il suo sostegno all'assistenza umanitaria e le sue richieste di cessate il fuoco e di rilascio degli ostaggi </w:t>
            </w:r>
            <w:r>
              <w:rPr>
                <w:b/>
                <w:i/>
              </w:rPr>
              <w:t>trattenuti da Hamas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86</w:t>
      </w:r>
      <w:r>
        <w:rPr>
          <w:rStyle w:val="HideTWBExt"/>
        </w:rPr>
        <w:t>&lt;/NumAm&gt;</w:t>
      </w:r>
    </w:p>
    <w:p>
      <w:pPr>
        <w:pStyle w:val="NormalBold"/>
      </w:pPr>
      <w:r>
        <w:rPr>
          <w:rStyle w:val="HideTWBExt"/>
          <w:b w:val="0"/>
        </w:rPr>
        <w:t>&lt;RepeatBlock-By&gt;</w:t>
      </w:r>
      <w:r>
        <w:rPr>
          <w:rStyle w:val="HideTWBExt"/>
          <w:b w:val="0"/>
        </w:rPr>
        <w:t>&lt;Members&gt;</w:t>
      </w:r>
      <w:r>
        <w:t>Bernard Guetta, Hilde Vautmans, Engin Eroglu,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9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 bis.</w:t>
            </w:r>
            <w:r>
              <w:tab/>
            </w:r>
            <w:r>
              <w:rPr>
                <w:b/>
                <w:i/>
              </w:rPr>
              <w:t>accoglie con favore la dichiarazione di New York rilasciata in occasione della conferenza internazionale di alto livello per la soluzione pacifica della questione palestinese e l'attuazione della soluzione dei due Stati, tenutasi dal 28 al 30 luglio 2025, copresieduta dall'Arabia Saudita e dalla Francia;</w:t>
            </w:r>
            <w:r>
              <w:t xml:space="preserve"> </w:t>
            </w:r>
            <w:r>
              <w:rPr>
                <w:b/>
                <w:i/>
              </w:rPr>
              <w:t>ribadisce l'impegno del Parlamento europeo a favore di una soluzione negoziata fondata sulla coesistenza di due Stati in base ai confini del 1967, che veda Israele e Palestina convivere fianco a fianco in pace e sicurezza come vicini democratici e sovrani che condividono la capitale Gerusalemme, e ritiene che si tratti dell'unico percorso praticabile verso una pace e una stabilità durature in Medio Oriente;</w:t>
            </w:r>
            <w:r>
              <w:t xml:space="preserve"> </w:t>
            </w:r>
            <w:r>
              <w:rPr>
                <w:b/>
                <w:i/>
              </w:rPr>
              <w:t>ribadisce che non vi possono essere prospettive di pace, sicurezza e stabilità per Gaza, né di riconciliazione tra la popolazione israeliana e palestinese, finché Hamas avrà un ruolo nella Striscia di Gaza;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87</w:t>
      </w:r>
      <w:r>
        <w:rPr>
          <w:rStyle w:val="HideTWBExt"/>
        </w:rPr>
        <w:t>&lt;/NumAm&gt;</w:t>
      </w:r>
    </w:p>
    <w:p>
      <w:pPr>
        <w:pStyle w:val="NormalBold"/>
      </w:pPr>
      <w:r>
        <w:rPr>
          <w:rStyle w:val="HideTWBExt"/>
          <w:b w:val="0"/>
        </w:rPr>
        <w:t>&lt;RepeatBlock-By&gt;</w:t>
      </w:r>
      <w:r>
        <w:rPr>
          <w:rStyle w:val="HideTWBExt"/>
          <w:b w:val="0"/>
        </w:rPr>
        <w:t>&lt;Members&gt;</w:t>
      </w:r>
      <w:r>
        <w:t>Antonio López-Istúriz White, Reinhold Lopatka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9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 bis.</w:t>
            </w:r>
            <w:r>
              <w:tab/>
            </w:r>
            <w:r>
              <w:rPr>
                <w:b/>
                <w:i/>
              </w:rPr>
              <w:t>invita l'Arabia Saudita a proseguire ulteriormente gli sforzi di normalizzazione con Israele;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88</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elogia il costante impegno dell'Arabia Saudita nei confronti della Siria, comprese le consultazioni regionali volte alla stabilizzazione e alla ripresa postbellica; sottolinea l'importanza di preservare l'integrità territoriale della Siria;</w:t>
            </w:r>
          </w:p>
        </w:tc>
        <w:tc>
          <w:tcPr>
            <w:tcW w:w="4876" w:type="dxa"/>
            <w:tcBorders>
              <w:top w:val="nil"/>
              <w:left w:val="nil"/>
              <w:bottom w:val="nil"/>
              <w:right w:val="nil"/>
            </w:tcBorders>
          </w:tcPr>
          <w:p>
            <w:pPr>
              <w:pStyle w:val="Normal6a"/>
            </w:pPr>
            <w:r>
              <w:t>10.</w:t>
            </w:r>
            <w:r>
              <w:tab/>
            </w:r>
            <w:r>
              <w:t xml:space="preserve">elogia il costante impegno dell'Arabia Saudita nei confronti della Siria, comprese le consultazioni regionali volte alla stabilizzazione e alla ripresa postbellica; sottolinea l'importanza di preservare l'integrità territoriale della Siria; </w:t>
            </w:r>
            <w:r>
              <w:rPr>
                <w:b/>
                <w:i/>
              </w:rPr>
              <w:t>chiede una cooperazione rafforzata tra l'UE e l'Arabia Saudita per garantire una transizione pacifica e inclusiva in Siria e per proteggere i cristiani e tutte le minoranze del paese, tutelandone la sicurezza, la libertà religiosa e il patrimonio culturale;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89</w:t>
      </w:r>
      <w:r>
        <w:rPr>
          <w:rStyle w:val="HideTWBExt"/>
        </w:rPr>
        <w:t>&lt;/NumAm&gt;</w:t>
      </w:r>
    </w:p>
    <w:p>
      <w:pPr>
        <w:pStyle w:val="NormalBold"/>
      </w:pPr>
      <w:r>
        <w:rPr>
          <w:rStyle w:val="HideTWBExt"/>
          <w:b w:val="0"/>
        </w:rPr>
        <w:t>&lt;RepeatBlock-By&gt;</w:t>
      </w:r>
      <w:r>
        <w:rPr>
          <w:rStyle w:val="HideTWBExt"/>
          <w:b w:val="0"/>
        </w:rPr>
        <w:t>&lt;Members&gt;</w:t>
      </w:r>
      <w:r>
        <w:t>Antonio López-Istúriz White, Reinhold Lopatka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 xml:space="preserve">elogia il </w:t>
            </w:r>
            <w:r>
              <w:rPr>
                <w:b/>
                <w:i/>
              </w:rPr>
              <w:t>costante</w:t>
            </w:r>
            <w:r>
              <w:t xml:space="preserve"> impegno dell'Arabia Saudita </w:t>
            </w:r>
            <w:r>
              <w:rPr>
                <w:b/>
                <w:i/>
              </w:rPr>
              <w:t>nei confronti della</w:t>
            </w:r>
            <w:r>
              <w:t xml:space="preserve"> Siria, </w:t>
            </w:r>
            <w:r>
              <w:rPr>
                <w:b/>
                <w:i/>
              </w:rPr>
              <w:t>comprese le</w:t>
            </w:r>
            <w:r>
              <w:t xml:space="preserve"> consultazioni regionali </w:t>
            </w:r>
            <w:r>
              <w:rPr>
                <w:b/>
                <w:i/>
              </w:rPr>
              <w:t>volte alla</w:t>
            </w:r>
            <w:r>
              <w:t xml:space="preserve"> stabilizzazione e </w:t>
            </w:r>
            <w:r>
              <w:rPr>
                <w:b/>
                <w:i/>
              </w:rPr>
              <w:t>alla ripresa postbellica</w:t>
            </w:r>
            <w:r>
              <w:t>; sottolinea l'importanza di preservare l'integrità territoriale della Siria;</w:t>
            </w:r>
          </w:p>
        </w:tc>
        <w:tc>
          <w:tcPr>
            <w:tcW w:w="4876" w:type="dxa"/>
            <w:tcBorders>
              <w:top w:val="nil"/>
              <w:left w:val="nil"/>
              <w:bottom w:val="nil"/>
              <w:right w:val="nil"/>
            </w:tcBorders>
          </w:tcPr>
          <w:p>
            <w:pPr>
              <w:pStyle w:val="Normal6a"/>
            </w:pPr>
            <w:r>
              <w:t>10.</w:t>
            </w:r>
            <w:r>
              <w:tab/>
            </w:r>
            <w:r>
              <w:t xml:space="preserve">elogia il </w:t>
            </w:r>
            <w:r>
              <w:rPr>
                <w:b/>
                <w:i/>
              </w:rPr>
              <w:t>notevole</w:t>
            </w:r>
            <w:r>
              <w:t xml:space="preserve"> impegno </w:t>
            </w:r>
            <w:r>
              <w:rPr>
                <w:b/>
                <w:i/>
              </w:rPr>
              <w:t>diplomatico e finanziario</w:t>
            </w:r>
            <w:r>
              <w:t xml:space="preserve"> dell'Arabia Saudita </w:t>
            </w:r>
            <w:r>
              <w:rPr>
                <w:b/>
                <w:i/>
              </w:rPr>
              <w:t>in</w:t>
            </w:r>
            <w:r>
              <w:t xml:space="preserve"> Siria, </w:t>
            </w:r>
            <w:r>
              <w:rPr>
                <w:b/>
                <w:i/>
              </w:rPr>
              <w:t>anche attraverso</w:t>
            </w:r>
            <w:r>
              <w:t xml:space="preserve"> consultazioni regionali </w:t>
            </w:r>
            <w:r>
              <w:rPr>
                <w:b/>
                <w:i/>
              </w:rPr>
              <w:t>e sforzi più ampi di</w:t>
            </w:r>
            <w:r>
              <w:t xml:space="preserve"> stabilizzazione e </w:t>
            </w:r>
            <w:r>
              <w:rPr>
                <w:b/>
                <w:i/>
              </w:rPr>
              <w:t>ricostruzione;</w:t>
            </w:r>
            <w:r>
              <w:t xml:space="preserve"> </w:t>
            </w:r>
            <w:r>
              <w:rPr>
                <w:b/>
                <w:i/>
              </w:rPr>
              <w:t>invita l'Arabia Saudita e i suoi partner nella regione ad assistere il governo siriano di transizione nella creazione di un'architettura politica e di sicurezza duratura e inclusiva</w:t>
            </w:r>
            <w:r>
              <w:t xml:space="preserve">; sottolinea l'importanza di preservare </w:t>
            </w:r>
            <w:r>
              <w:rPr>
                <w:b/>
                <w:i/>
              </w:rPr>
              <w:t>la sovranità e</w:t>
            </w:r>
            <w:r>
              <w:t xml:space="preserve"> l'integrità territoriale della Siria;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90</w:t>
      </w:r>
      <w:r>
        <w:rPr>
          <w:rStyle w:val="HideTWBExt"/>
        </w:rPr>
        <w:t>&lt;/NumAm&gt;</w:t>
      </w:r>
    </w:p>
    <w:p>
      <w:pPr>
        <w:pStyle w:val="NormalBold"/>
      </w:pPr>
      <w:r>
        <w:rPr>
          <w:rStyle w:val="HideTWBExt"/>
          <w:b w:val="0"/>
        </w:rPr>
        <w:t>&lt;RepeatBlock-By&gt;</w:t>
      </w:r>
      <w:r>
        <w:rPr>
          <w:rStyle w:val="HideTWBExt"/>
          <w:b w:val="0"/>
        </w:rPr>
        <w:t>&lt;Members&gt;</w:t>
      </w:r>
      <w:r>
        <w:t>Jordan Bardella, Pierre-Romain Thionnet, Matthieu Valet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rPr>
                <w:b/>
                <w:i/>
              </w:rPr>
              <w:t>elogia</w:t>
            </w:r>
            <w:r>
              <w:t xml:space="preserve"> il costante impegno dell'Arabia Saudita nei confronti della Siria, comprese le consultazioni regionali volte alla stabilizzazione e alla ripresa postbellica; sottolinea l'importanza di preservare l'integrità territoriale della Siria;</w:t>
            </w:r>
          </w:p>
        </w:tc>
        <w:tc>
          <w:tcPr>
            <w:tcW w:w="4876" w:type="dxa"/>
            <w:tcBorders>
              <w:top w:val="nil"/>
              <w:left w:val="nil"/>
              <w:bottom w:val="nil"/>
              <w:right w:val="nil"/>
            </w:tcBorders>
          </w:tcPr>
          <w:p>
            <w:pPr>
              <w:pStyle w:val="Normal6a"/>
            </w:pPr>
            <w:r>
              <w:t>10.</w:t>
            </w:r>
            <w:r>
              <w:tab/>
            </w:r>
            <w:r>
              <w:rPr>
                <w:b/>
                <w:i/>
              </w:rPr>
              <w:t>evidenzia</w:t>
            </w:r>
            <w:r>
              <w:t xml:space="preserve"> il costante impegno dell'Arabia Saudita nei confronti della Siria, comprese le consultazioni regionali volte alla stabilizzazione e alla ripresa postbellica; sottolinea l'importanza di preservare l'integrità territoriale della Siria; </w:t>
            </w:r>
            <w:r>
              <w:rPr>
                <w:b/>
                <w:i/>
              </w:rPr>
              <w:t>afferma che gli orientamenti politici del regime attuale compromettono la sicurezza regionale e la condizione delle minoranze religiose in Medio Oriente;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91</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10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 bis.</w:t>
            </w:r>
            <w:r>
              <w:tab/>
            </w:r>
            <w:r>
              <w:rPr>
                <w:b/>
                <w:i/>
              </w:rPr>
              <w:t>invita l'Arabia Saudita ad aumentare i finanziamenti per l'Agenzia delle Nazioni Unite per il soccorso e l'occupazione dei profughi palestinesi (UNRWA) al fine di sostenerne il ruolo fondamentale nel fornire servizi umanitari ed essenziali ai rifugiati palestinesi, in particolare alla luce della campagna israeliana contro l'Agenzia, e per compensare la sospensione dei contributi da parte di alcuni paesi donatori;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92</w:t>
      </w:r>
      <w:r>
        <w:rPr>
          <w:rStyle w:val="HideTWBExt"/>
        </w:rPr>
        <w:t>&lt;/NumAm&gt;</w:t>
      </w:r>
    </w:p>
    <w:p>
      <w:pPr>
        <w:pStyle w:val="NormalBold"/>
      </w:pPr>
      <w:r>
        <w:rPr>
          <w:rStyle w:val="HideTWBExt"/>
          <w:b w:val="0"/>
        </w:rPr>
        <w:t>&lt;RepeatBlock-By&gt;</w:t>
      </w:r>
      <w:r>
        <w:rPr>
          <w:rStyle w:val="HideTWBExt"/>
          <w:b w:val="0"/>
        </w:rPr>
        <w:t>&lt;Members&gt;</w:t>
      </w:r>
      <w:r>
        <w:t>Antonio López-Istúriz White, Reinhold Lopatka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ribadisce il supporto dell'UE alla ricostruzione politica e socioeconomica del Libano e sottolinea l'importanza della cooperazione UE-Arabia Saudita nell'attuazione della risoluzione 1701 (2006) del Consiglio di sicurezza delle Nazioni Unite</w:t>
            </w:r>
            <w:r>
              <w:rPr>
                <w:b/>
                <w:i/>
              </w:rPr>
              <w:t>, nel sostegno alle forze armate libanesi e nell'azione a</w:t>
            </w:r>
            <w:r>
              <w:t xml:space="preserve"> favore </w:t>
            </w:r>
            <w:r>
              <w:rPr>
                <w:b/>
                <w:i/>
              </w:rPr>
              <w:t>del</w:t>
            </w:r>
            <w:r>
              <w:t xml:space="preserve"> disarmo di Hezbollah</w:t>
            </w:r>
            <w:r>
              <w:rPr>
                <w:b/>
                <w:i/>
              </w:rPr>
              <w:t>, condannando nel contempo gli attacchi delle forze di difesa israeliane</w:t>
            </w:r>
            <w:r>
              <w:t>;</w:t>
            </w:r>
          </w:p>
        </w:tc>
        <w:tc>
          <w:tcPr>
            <w:tcW w:w="4876" w:type="dxa"/>
            <w:tcBorders>
              <w:top w:val="nil"/>
              <w:left w:val="nil"/>
              <w:bottom w:val="nil"/>
              <w:right w:val="nil"/>
            </w:tcBorders>
          </w:tcPr>
          <w:p>
            <w:pPr>
              <w:pStyle w:val="Normal6a"/>
            </w:pPr>
            <w:r>
              <w:t>11.</w:t>
            </w:r>
            <w:r>
              <w:tab/>
            </w:r>
            <w:r>
              <w:t>ribadisce il supporto dell'UE alla ricostruzione politica e socioeconomica del Libano e sottolinea l'importanza della cooperazione UE-Arabia Saudita nell'attuazione della risoluzione 1701 (2006) del Consiglio di sicurezza delle Nazioni Unite</w:t>
            </w:r>
            <w:r>
              <w:rPr>
                <w:b/>
                <w:i/>
              </w:rPr>
              <w:t>;</w:t>
            </w:r>
            <w:r>
              <w:t xml:space="preserve"> </w:t>
            </w:r>
            <w:r>
              <w:rPr>
                <w:b/>
                <w:i/>
              </w:rPr>
              <w:t>accoglie con</w:t>
            </w:r>
            <w:r>
              <w:t xml:space="preserve"> favore </w:t>
            </w:r>
            <w:r>
              <w:rPr>
                <w:b/>
                <w:i/>
              </w:rPr>
              <w:t>gli sforzi del governo libanese e chiede il</w:t>
            </w:r>
            <w:r>
              <w:t xml:space="preserve"> disarmo </w:t>
            </w:r>
            <w:r>
              <w:rPr>
                <w:b/>
                <w:i/>
              </w:rPr>
              <w:t>completo e incondizionato</w:t>
            </w:r>
            <w:r>
              <w:t xml:space="preserve"> di Hezbollah </w:t>
            </w:r>
            <w:r>
              <w:rPr>
                <w:b/>
                <w:i/>
              </w:rPr>
              <w:t>entro la fine del 2025, conformemente all'ultima tabella di marcia mediata dagli Stati Uniti</w:t>
            </w:r>
            <w:r>
              <w:t xml:space="preserve">; </w:t>
            </w:r>
            <w:r>
              <w:rPr>
                <w:b/>
                <w:i/>
              </w:rPr>
              <w:t>ribadisce l'importanza di preservare la sovranità e l'integrità territoriale del Libano;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93</w:t>
      </w:r>
      <w:r>
        <w:rPr>
          <w:rStyle w:val="HideTWBExt"/>
        </w:rPr>
        <w:t>&lt;/NumAm&gt;</w:t>
      </w:r>
    </w:p>
    <w:p>
      <w:pPr>
        <w:pStyle w:val="NormalBold"/>
      </w:pPr>
      <w:r>
        <w:rPr>
          <w:rStyle w:val="HideTWBExt"/>
          <w:b w:val="0"/>
        </w:rPr>
        <w:t>&lt;RepeatBlock-By&gt;</w:t>
      </w:r>
      <w:r>
        <w:rPr>
          <w:rStyle w:val="HideTWBExt"/>
          <w:b w:val="0"/>
        </w:rPr>
        <w:t>&lt;Members&gt;</w:t>
      </w:r>
      <w:r>
        <w:t>Marie-Agnes Strack-Zimmermann, Dan Barna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ribadisce il supporto dell'UE alla ricostruzione politica e socioeconomica del Libano e sottolinea l'importanza della cooperazione UE-Arabia Saudita nell'attuazione della risoluzione 1701 (2006) del Consiglio di sicurezza delle Nazioni Unite, nel sostegno alle forze armate libanesi e nell'azione a favore del disarmo di Hezbollah, condannando nel contempo gli attacchi delle forze di difesa israeliane;</w:t>
            </w:r>
          </w:p>
        </w:tc>
        <w:tc>
          <w:tcPr>
            <w:tcW w:w="4876" w:type="dxa"/>
            <w:tcBorders>
              <w:top w:val="nil"/>
              <w:left w:val="nil"/>
              <w:bottom w:val="nil"/>
              <w:right w:val="nil"/>
            </w:tcBorders>
          </w:tcPr>
          <w:p>
            <w:pPr>
              <w:pStyle w:val="Normal6a"/>
            </w:pPr>
            <w:r>
              <w:t>11.</w:t>
            </w:r>
            <w:r>
              <w:tab/>
            </w:r>
            <w:r>
              <w:t xml:space="preserve">ribadisce il supporto dell'UE alla ricostruzione politica e socioeconomica del Libano e sottolinea l'importanza della cooperazione UE-Arabia Saudita nell'attuazione della risoluzione 1701 (2006) del Consiglio di sicurezza delle Nazioni Unite, nel sostegno alle forze armate libanesi e nell'azione a favore del disarmo di Hezbollah, condannando nel contempo gli attacchi delle forze di difesa israeliane </w:t>
            </w:r>
            <w:r>
              <w:rPr>
                <w:b/>
                <w:i/>
              </w:rPr>
              <w:t>contro la Forza di interposizione in Libano delle Nazioni Unite (UNIFIL)</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94</w:t>
      </w:r>
      <w:r>
        <w:rPr>
          <w:rStyle w:val="HideTWBExt"/>
        </w:rPr>
        <w:t>&lt;/NumAm&gt;</w:t>
      </w:r>
    </w:p>
    <w:p>
      <w:pPr>
        <w:pStyle w:val="NormalBold"/>
      </w:pPr>
      <w:r>
        <w:rPr>
          <w:rStyle w:val="HideTWBExt"/>
          <w:b w:val="0"/>
        </w:rPr>
        <w:t>&lt;RepeatBlock-By&gt;</w:t>
      </w:r>
      <w:r>
        <w:rPr>
          <w:rStyle w:val="HideTWBExt"/>
          <w:b w:val="0"/>
        </w:rPr>
        <w:t>&lt;Members&gt;</w:t>
      </w:r>
      <w:r>
        <w:t>Arkadiusz Mularczyk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ribadisce il supporto dell'UE alla ricostruzione politica e socioeconomica del Libano e sottolinea l'importanza della cooperazione UE-Arabia Saudita nell'attuazione della risoluzione 1701 (2006) del Consiglio di sicurezza delle Nazioni Unite, nel sostegno alle forze armate libanesi e nell'azione a favore del disarmo di Hezbollah</w:t>
            </w:r>
            <w:r>
              <w:rPr>
                <w:b/>
                <w:i/>
              </w:rPr>
              <w:t>, condannando nel contempo gli attacchi delle forze di difesa israeliane</w:t>
            </w:r>
            <w:r>
              <w:t>;</w:t>
            </w:r>
          </w:p>
        </w:tc>
        <w:tc>
          <w:tcPr>
            <w:tcW w:w="4876" w:type="dxa"/>
            <w:tcBorders>
              <w:top w:val="nil"/>
              <w:left w:val="nil"/>
              <w:bottom w:val="nil"/>
              <w:right w:val="nil"/>
            </w:tcBorders>
          </w:tcPr>
          <w:p>
            <w:pPr>
              <w:pStyle w:val="Normal6a"/>
            </w:pPr>
            <w:r>
              <w:t>11.</w:t>
            </w:r>
            <w:r>
              <w:tab/>
            </w:r>
            <w:r>
              <w:t>ribadisce il supporto dell'UE alla ricostruzione politica e socioeconomica del Libano e sottolinea l'importanza della cooperazione UE-Arabia Saudita nell'attuazione della risoluzione 1701 (2006) del Consiglio di sicurezza delle Nazioni Unite, nel sostegno alle forze armate libanesi e nell'azione a favore del disarmo di Hezbollah;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95</w:t>
      </w:r>
      <w:r>
        <w:rPr>
          <w:rStyle w:val="HideTWBExt"/>
        </w:rPr>
        <w:t>&lt;/NumAm&gt;</w:t>
      </w:r>
    </w:p>
    <w:p>
      <w:pPr>
        <w:pStyle w:val="NormalBold"/>
      </w:pPr>
      <w:r>
        <w:rPr>
          <w:rStyle w:val="HideTWBExt"/>
          <w:b w:val="0"/>
        </w:rPr>
        <w:t>&lt;RepeatBlock-By&gt;</w:t>
      </w:r>
      <w:r>
        <w:rPr>
          <w:rStyle w:val="HideTWBExt"/>
          <w:b w:val="0"/>
        </w:rPr>
        <w:t>&lt;Members&gt;</w:t>
      </w:r>
      <w:r>
        <w:t>Adam Bielan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ribadisce il supporto dell'UE alla ricostruzione politica e socioeconomica del Libano e sottolinea l'importanza della cooperazione UE-Arabia Saudita nell'attuazione della risoluzione 1701 (2006) del Consiglio di sicurezza delle Nazioni Unite, nel sostegno alle forze armate libanesi e nell'azione a favore del disarmo di Hezbollah</w:t>
            </w:r>
            <w:r>
              <w:rPr>
                <w:b/>
                <w:i/>
              </w:rPr>
              <w:t>, condannando nel contempo gli attacchi delle forze di difesa israeliane</w:t>
            </w:r>
            <w:r>
              <w:t>;</w:t>
            </w:r>
          </w:p>
        </w:tc>
        <w:tc>
          <w:tcPr>
            <w:tcW w:w="4876" w:type="dxa"/>
            <w:tcBorders>
              <w:top w:val="nil"/>
              <w:left w:val="nil"/>
              <w:bottom w:val="nil"/>
              <w:right w:val="nil"/>
            </w:tcBorders>
          </w:tcPr>
          <w:p>
            <w:pPr>
              <w:pStyle w:val="Normal6a"/>
            </w:pPr>
            <w:r>
              <w:t>11.</w:t>
            </w:r>
            <w:r>
              <w:tab/>
            </w:r>
            <w:r>
              <w:t>ribadisce il supporto dell'UE alla ricostruzione politica e socioeconomica del Libano e sottolinea l'importanza della cooperazione UE-Arabia Saudita nell'attuazione della risoluzione 1701 (2006) del Consiglio di sicurezza delle Nazioni Unite, nel sostegno alle forze armate libanesi e nell'azione a favore del disarmo di Hezbollah;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96</w:t>
      </w:r>
      <w:r>
        <w:rPr>
          <w:rStyle w:val="HideTWBExt"/>
        </w:rPr>
        <w:t>&lt;/NumAm&gt;</w:t>
      </w:r>
    </w:p>
    <w:p>
      <w:pPr>
        <w:pStyle w:val="NormalBold"/>
      </w:pPr>
      <w:r>
        <w:rPr>
          <w:rStyle w:val="HideTWBExt"/>
          <w:b w:val="0"/>
        </w:rPr>
        <w:t>&lt;RepeatBlock-By&gt;</w:t>
      </w:r>
      <w:r>
        <w:rPr>
          <w:rStyle w:val="HideTWBExt"/>
          <w:b w:val="0"/>
        </w:rPr>
        <w:t>&lt;Members&gt;</w:t>
      </w:r>
      <w:r>
        <w:t>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ribadisce il supporto dell'UE alla ricostruzione politica e socioeconomica del Libano e sottolinea l'importanza della cooperazione UE-Arabia Saudita nell'attuazione della risoluzione 1701 (2006) del Consiglio di sicurezza delle Nazioni Unite, nel sostegno alle forze armate libanesi e nell'azione a favore del disarmo di Hezbollah</w:t>
            </w:r>
            <w:r>
              <w:rPr>
                <w:b/>
                <w:i/>
              </w:rPr>
              <w:t>, condannando nel contempo gli attacchi delle forze di difesa israeliane</w:t>
            </w:r>
            <w:r>
              <w:t>;</w:t>
            </w:r>
          </w:p>
        </w:tc>
        <w:tc>
          <w:tcPr>
            <w:tcW w:w="4876" w:type="dxa"/>
            <w:tcBorders>
              <w:top w:val="nil"/>
              <w:left w:val="nil"/>
              <w:bottom w:val="nil"/>
              <w:right w:val="nil"/>
            </w:tcBorders>
          </w:tcPr>
          <w:p>
            <w:pPr>
              <w:pStyle w:val="Normal6a"/>
            </w:pPr>
            <w:r>
              <w:t>11.</w:t>
            </w:r>
            <w:r>
              <w:tab/>
            </w:r>
            <w:r>
              <w:t>ribadisce il supporto dell'UE alla ricostruzione politica e socioeconomica del Libano e sottolinea l'importanza della cooperazione UE-Arabia Saudita nell'attuazione della risoluzione 1701 (2006) del Consiglio di sicurezza delle Nazioni Unite, nel sostegno alle forze armate libanesi e nell'azione a favore del disarmo di Hezbollah;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97</w:t>
      </w:r>
      <w:r>
        <w:rPr>
          <w:rStyle w:val="HideTWBExt"/>
        </w:rPr>
        <w:t>&lt;/NumAm&gt;</w:t>
      </w:r>
    </w:p>
    <w:p>
      <w:pPr>
        <w:pStyle w:val="NormalBold"/>
      </w:pPr>
      <w:r>
        <w:rPr>
          <w:rStyle w:val="HideTWBExt"/>
          <w:b w:val="0"/>
        </w:rPr>
        <w:t>&lt;RepeatBlock-By&gt;</w:t>
      </w:r>
      <w:r>
        <w:rPr>
          <w:rStyle w:val="HideTWBExt"/>
          <w:b w:val="0"/>
        </w:rPr>
        <w:t>&lt;Members&gt;</w:t>
      </w:r>
      <w:r>
        <w:t>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riconosce l'approccio costruttivo dell'Arabia Saudita nelle attuali tensioni regionali, attraverso il suo percorso verso la normalizzazione diplomatica con l'Iran, ed evidenzia la posizione condivisa dell'UE e dell'Arabia Saudita contro i mandatari iraniani e lo sviluppo di un programma nucleare iraniano;</w:t>
            </w:r>
          </w:p>
        </w:tc>
        <w:tc>
          <w:tcPr>
            <w:tcW w:w="4876" w:type="dxa"/>
            <w:tcBorders>
              <w:top w:val="nil"/>
              <w:left w:val="nil"/>
              <w:bottom w:val="nil"/>
              <w:right w:val="nil"/>
            </w:tcBorders>
          </w:tcPr>
          <w:p>
            <w:pPr>
              <w:pStyle w:val="Normal6a"/>
            </w:pPr>
            <w:r>
              <w:t>12.</w:t>
            </w:r>
            <w:r>
              <w:tab/>
            </w:r>
            <w:r>
              <w:t xml:space="preserve">riconosce l'approccio costruttivo dell'Arabia Saudita nelle attuali tensioni regionali, attraverso il suo percorso verso la normalizzazione diplomatica con l'Iran, ed evidenzia la posizione condivisa dell'UE e dell'Arabia Saudita contro i mandatari iraniani e lo sviluppo di un programma nucleare iraniano; </w:t>
            </w:r>
            <w:r>
              <w:rPr>
                <w:b/>
                <w:i/>
              </w:rPr>
              <w:t>condanna a tale proposito anche i programmi iraniani relativi ai missili balistici e ai velivoli armati senza equipaggio (UAV);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98</w:t>
      </w:r>
      <w:r>
        <w:rPr>
          <w:rStyle w:val="HideTWBExt"/>
        </w:rPr>
        <w:t>&lt;/NumAm&gt;</w:t>
      </w:r>
    </w:p>
    <w:p>
      <w:pPr>
        <w:pStyle w:val="NormalBold"/>
      </w:pPr>
      <w:r>
        <w:rPr>
          <w:rStyle w:val="HideTWBExt"/>
          <w:b w:val="0"/>
        </w:rPr>
        <w:t>&lt;RepeatBlock-By&gt;</w:t>
      </w:r>
      <w:r>
        <w:rPr>
          <w:rStyle w:val="HideTWBExt"/>
          <w:b w:val="0"/>
        </w:rPr>
        <w:t>&lt;Members&gt;</w:t>
      </w:r>
      <w:r>
        <w:t>Antonio López-Istúriz White, Reinhold Lopatka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 xml:space="preserve">riconosce </w:t>
            </w:r>
            <w:r>
              <w:rPr>
                <w:b/>
                <w:i/>
              </w:rPr>
              <w:t>l'approccio</w:t>
            </w:r>
            <w:r>
              <w:t xml:space="preserve"> costruttivo dell'Arabia Saudita </w:t>
            </w:r>
            <w:r>
              <w:rPr>
                <w:b/>
                <w:i/>
              </w:rPr>
              <w:t>nelle</w:t>
            </w:r>
            <w:r>
              <w:t xml:space="preserve"> attuali tensioni regionali, </w:t>
            </w:r>
            <w:r>
              <w:rPr>
                <w:b/>
                <w:i/>
              </w:rPr>
              <w:t>attraverso il suo percorso verso la</w:t>
            </w:r>
            <w:r>
              <w:t xml:space="preserve"> normalizzazione diplomatica con l'Iran</w:t>
            </w:r>
            <w:r>
              <w:rPr>
                <w:b/>
                <w:i/>
              </w:rPr>
              <w:t>, ed</w:t>
            </w:r>
            <w:r>
              <w:t xml:space="preserve"> evidenzia </w:t>
            </w:r>
            <w:r>
              <w:rPr>
                <w:b/>
                <w:i/>
              </w:rPr>
              <w:t>la posizione condivisa dell'UE e dell'Arabia</w:t>
            </w:r>
            <w:r>
              <w:t xml:space="preserve"> Saudita </w:t>
            </w:r>
            <w:r>
              <w:rPr>
                <w:b/>
                <w:i/>
              </w:rPr>
              <w:t>contro</w:t>
            </w:r>
            <w:r>
              <w:t xml:space="preserve"> i mandatari iraniani e </w:t>
            </w:r>
            <w:r>
              <w:rPr>
                <w:b/>
                <w:i/>
              </w:rPr>
              <w:t>lo</w:t>
            </w:r>
            <w:r>
              <w:t xml:space="preserve"> sviluppo </w:t>
            </w:r>
            <w:r>
              <w:rPr>
                <w:b/>
                <w:i/>
              </w:rPr>
              <w:t>di un</w:t>
            </w:r>
            <w:r>
              <w:t xml:space="preserve"> programma nucleare iraniano;</w:t>
            </w:r>
          </w:p>
        </w:tc>
        <w:tc>
          <w:tcPr>
            <w:tcW w:w="4876" w:type="dxa"/>
            <w:tcBorders>
              <w:top w:val="nil"/>
              <w:left w:val="nil"/>
              <w:bottom w:val="nil"/>
              <w:right w:val="nil"/>
            </w:tcBorders>
          </w:tcPr>
          <w:p>
            <w:pPr>
              <w:pStyle w:val="Normal6a"/>
            </w:pPr>
            <w:r>
              <w:t>12.</w:t>
            </w:r>
            <w:r>
              <w:tab/>
            </w:r>
            <w:r>
              <w:t xml:space="preserve">riconosce </w:t>
            </w:r>
            <w:r>
              <w:rPr>
                <w:b/>
                <w:i/>
              </w:rPr>
              <w:t>il ruolo</w:t>
            </w:r>
            <w:r>
              <w:t xml:space="preserve"> costruttivo dell'Arabia Saudita </w:t>
            </w:r>
            <w:r>
              <w:rPr>
                <w:b/>
                <w:i/>
              </w:rPr>
              <w:t>nel contesto delle</w:t>
            </w:r>
            <w:r>
              <w:t xml:space="preserve"> attuali tensioni regionali, </w:t>
            </w:r>
            <w:r>
              <w:rPr>
                <w:b/>
                <w:i/>
              </w:rPr>
              <w:t>della maggiore cooperazione tra Arabia Saudita ed Emirati arabi uniti e della graduale</w:t>
            </w:r>
            <w:r>
              <w:t xml:space="preserve"> normalizzazione diplomatica con l'Iran</w:t>
            </w:r>
            <w:r>
              <w:rPr>
                <w:b/>
                <w:i/>
              </w:rPr>
              <w:t>;</w:t>
            </w:r>
            <w:r>
              <w:t xml:space="preserve"> evidenzia </w:t>
            </w:r>
            <w:r>
              <w:rPr>
                <w:b/>
                <w:i/>
              </w:rPr>
              <w:t>l'allineamento tra l'UE e l'Arabia</w:t>
            </w:r>
            <w:r>
              <w:t xml:space="preserve"> Saudita </w:t>
            </w:r>
            <w:r>
              <w:rPr>
                <w:b/>
                <w:i/>
              </w:rPr>
              <w:t>nel contenere</w:t>
            </w:r>
            <w:r>
              <w:t xml:space="preserve"> i mandatari iraniani e </w:t>
            </w:r>
            <w:r>
              <w:rPr>
                <w:b/>
                <w:i/>
              </w:rPr>
              <w:t>nell'arrestare l'ulteriore</w:t>
            </w:r>
            <w:r>
              <w:t xml:space="preserve"> sviluppo </w:t>
            </w:r>
            <w:r>
              <w:rPr>
                <w:b/>
                <w:i/>
              </w:rPr>
              <w:t>del</w:t>
            </w:r>
            <w:r>
              <w:t xml:space="preserve"> programma nucleare iraniano;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99</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 xml:space="preserve">sottolinea </w:t>
            </w:r>
            <w:r>
              <w:rPr>
                <w:b/>
                <w:i/>
              </w:rPr>
              <w:t>la priorità condivisa tra l'UE e</w:t>
            </w:r>
            <w:r>
              <w:t xml:space="preserve"> l'Arabia Saudita </w:t>
            </w:r>
            <w:r>
              <w:rPr>
                <w:b/>
                <w:i/>
              </w:rPr>
              <w:t>di instaurare una pace duratura nello</w:t>
            </w:r>
            <w:r>
              <w:t xml:space="preserve"> Yemen </w:t>
            </w:r>
            <w:r>
              <w:rPr>
                <w:b/>
                <w:i/>
              </w:rPr>
              <w:t>ed elogia il costante impegno</w:t>
            </w:r>
            <w:r>
              <w:t xml:space="preserve"> dell'Arabia Saudita </w:t>
            </w:r>
            <w:r>
              <w:rPr>
                <w:b/>
                <w:i/>
              </w:rPr>
              <w:t>a favore di una soluzione politica inclusiva nel paese</w:t>
            </w:r>
            <w:r>
              <w:t>;</w:t>
            </w:r>
          </w:p>
        </w:tc>
        <w:tc>
          <w:tcPr>
            <w:tcW w:w="4876" w:type="dxa"/>
            <w:tcBorders>
              <w:top w:val="nil"/>
              <w:left w:val="nil"/>
              <w:bottom w:val="nil"/>
              <w:right w:val="nil"/>
            </w:tcBorders>
          </w:tcPr>
          <w:p>
            <w:pPr>
              <w:pStyle w:val="Normal6a"/>
            </w:pPr>
            <w:r>
              <w:t>13.</w:t>
            </w:r>
            <w:r>
              <w:tab/>
            </w:r>
            <w:r>
              <w:t xml:space="preserve">sottolinea </w:t>
            </w:r>
            <w:r>
              <w:rPr>
                <w:b/>
                <w:i/>
              </w:rPr>
              <w:t>che</w:t>
            </w:r>
            <w:r>
              <w:t xml:space="preserve"> l'Arabia Saudita </w:t>
            </w:r>
            <w:r>
              <w:rPr>
                <w:b/>
                <w:i/>
              </w:rPr>
              <w:t>ha cambiato la propria politica estera nei confronti dello</w:t>
            </w:r>
            <w:r>
              <w:t xml:space="preserve"> Yemen </w:t>
            </w:r>
            <w:r>
              <w:rPr>
                <w:b/>
                <w:i/>
              </w:rPr>
              <w:t>passando da un intervento militare che ha provocato almeno 375 000 morti, principalmente per la fame causata dal blocco navale dello Yemen da parte dell'Arabia Saudita, distruzione generalizzata e una crisi umanitaria prolungata, a una soluzione diplomatica, a seguito delle pressioni internazionali e del ravvicinamento tra Arabia Saudita e Iran;</w:t>
            </w:r>
            <w:r>
              <w:t xml:space="preserve"> </w:t>
            </w:r>
            <w:r>
              <w:rPr>
                <w:b/>
                <w:i/>
              </w:rPr>
              <w:t>incoraggia un aumento degli aiuti umanitari dell'UE e</w:t>
            </w:r>
            <w:r>
              <w:t xml:space="preserve"> dell'Arabia Saudita </w:t>
            </w:r>
            <w:r>
              <w:rPr>
                <w:b/>
                <w:i/>
              </w:rPr>
              <w:t>allo Yemen e sforzi congiunti per contrastare gli attacchi rivolti agli operatori umanitari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100</w:t>
      </w:r>
      <w:r>
        <w:rPr>
          <w:rStyle w:val="HideTWBExt"/>
        </w:rPr>
        <w:t>&lt;/NumAm&gt;</w:t>
      </w:r>
    </w:p>
    <w:p>
      <w:pPr>
        <w:pStyle w:val="NormalBold"/>
      </w:pPr>
      <w:r>
        <w:rPr>
          <w:rStyle w:val="HideTWBExt"/>
          <w:b w:val="0"/>
        </w:rPr>
        <w:t>&lt;RepeatBlock-By&gt;</w:t>
      </w:r>
      <w:r>
        <w:rPr>
          <w:rStyle w:val="HideTWBExt"/>
          <w:b w:val="0"/>
        </w:rPr>
        <w:t>&lt;Members&gt;</w:t>
      </w:r>
      <w:r>
        <w:t>Robert Biedroń, Andreas Schieder, Evin Incir, Marco Tarquinio, Chloé Ridel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sottolinea la priorità condivisa tra l'UE e l'Arabia Saudita di instaurare una pace duratura nello Yemen ed elogia il costante impegno dell'Arabia Saudita a favore di una soluzione politica inclusiva nel paese;</w:t>
            </w:r>
          </w:p>
        </w:tc>
        <w:tc>
          <w:tcPr>
            <w:tcW w:w="4876" w:type="dxa"/>
            <w:tcBorders>
              <w:top w:val="nil"/>
              <w:left w:val="nil"/>
              <w:bottom w:val="nil"/>
              <w:right w:val="nil"/>
            </w:tcBorders>
          </w:tcPr>
          <w:p>
            <w:pPr>
              <w:pStyle w:val="Normal6a"/>
            </w:pPr>
            <w:r>
              <w:t>13.</w:t>
            </w:r>
            <w:r>
              <w:tab/>
            </w:r>
            <w:r>
              <w:t xml:space="preserve">sottolinea la priorità condivisa tra l'UE e l'Arabia Saudita di instaurare una pace duratura nello Yemen ed elogia il costante impegno dell'Arabia Saudita a favore di una soluzione politica inclusiva nel paese; </w:t>
            </w:r>
            <w:r>
              <w:rPr>
                <w:b/>
                <w:i/>
              </w:rPr>
              <w:t>invita l'Arabia Saudita a sostenere un meccanismo internazionale indipendente per indagare sulle violazioni del diritto internazionale umanitario commesse dalle sue forze, comprese le violazioni da parte della coalizione guidata dall'Arabia Saudita e dagli Emirati arabi uniti nello Yemen tra il 2015 e il 2022, e le uccisioni di massa dei migranti etiopi alla frontiera tra Yemen e Arabia Saudita tra il marzo 2022 e il giugno 2023;</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101</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13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 bis.</w:t>
            </w:r>
            <w:r>
              <w:tab/>
            </w:r>
            <w:r>
              <w:rPr>
                <w:b/>
                <w:i/>
              </w:rPr>
              <w:t>invita l'Arabia Saudita a sostenere un meccanismo internazionale indipendente e congiunto per indagare sulle violazioni del diritto internazionale umanitario commesse dalle sue forze, comprese le violazioni da parte della coalizione guidata dall'Arabia Saudita e dagli Emirati arabi uniti nello Yemen tra il 2015 e il 2022 e le uccisioni di massa dei migranti etiopi alla frontiera tra Yemen e Arabia Saudita, e sottolinea la necessità di garantire che sia fatta giustizia per le vittime di tali abusi, anche attraverso risarcimenti adeguati;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102</w:t>
      </w:r>
      <w:r>
        <w:rPr>
          <w:rStyle w:val="HideTWBExt"/>
        </w:rPr>
        <w:t>&lt;/NumAm&gt;</w:t>
      </w:r>
    </w:p>
    <w:p>
      <w:pPr>
        <w:pStyle w:val="NormalBold"/>
      </w:pPr>
      <w:r>
        <w:rPr>
          <w:rStyle w:val="HideTWBExt"/>
          <w:b w:val="0"/>
        </w:rPr>
        <w:t>&lt;RepeatBlock-By&gt;</w:t>
      </w:r>
      <w:r>
        <w:rPr>
          <w:rStyle w:val="HideTWBExt"/>
          <w:b w:val="0"/>
        </w:rPr>
        <w:t>&lt;Members&gt;</w:t>
      </w:r>
      <w:r>
        <w:t>Merja Kyllönen, Jonas Sjöstedt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13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 bis.</w:t>
            </w:r>
            <w:r>
              <w:tab/>
            </w:r>
            <w:r>
              <w:rPr>
                <w:b/>
                <w:i/>
              </w:rPr>
              <w:t>invita l'Arabia Saudita a sostenere un meccanismo internazionale indipendente e congiunto per indagare sulle violazioni del diritto internazionale umanitario commesse dalle sue forze, comprese le violazioni da parte della coalizione guidata dall'Arabia Saudita e dagli Emirati arabi uniti nello Yemen tra il 2015 e il 2022 e le uccisioni di massa dei migranti etiopi alla frontiera tra Yemen e Arabia Saudita, e sottolinea la necessità di garantire che sia fatta giustizia per le vittime di tali abusi, anche attraverso risarcimenti adeguati;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103</w:t>
      </w:r>
      <w:r>
        <w:rPr>
          <w:rStyle w:val="HideTWBExt"/>
        </w:rPr>
        <w:t>&lt;/NumAm&gt;</w:t>
      </w:r>
    </w:p>
    <w:p>
      <w:pPr>
        <w:pStyle w:val="NormalBold"/>
      </w:pPr>
      <w:r>
        <w:rPr>
          <w:rStyle w:val="HideTWBExt"/>
          <w:b w:val="0"/>
        </w:rPr>
        <w:t>&lt;RepeatBlock-By&gt;</w:t>
      </w:r>
      <w:r>
        <w:rPr>
          <w:rStyle w:val="HideTWBExt"/>
          <w:b w:val="0"/>
        </w:rPr>
        <w:t>&lt;Members&gt;</w:t>
      </w:r>
      <w:r>
        <w:t>Jordan Bardella, Pierre-Romain Thionnet, Matthieu Valet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sottolinea il fermo impegno dell'UE a garantire la protezione delle rotte marittime e dei diritti di navigazione internazionali nel Mar Rosso; sottolinea la cooperazione dell'Arabia Saudita in materia di intelligence con gli Stati membri dell'UE che partecipano all'operazione EUNAVFOR ASPIDES;</w:t>
            </w:r>
          </w:p>
        </w:tc>
        <w:tc>
          <w:tcPr>
            <w:tcW w:w="4876" w:type="dxa"/>
            <w:tcBorders>
              <w:top w:val="nil"/>
              <w:left w:val="nil"/>
              <w:bottom w:val="nil"/>
              <w:right w:val="nil"/>
            </w:tcBorders>
          </w:tcPr>
          <w:p>
            <w:pPr>
              <w:pStyle w:val="Normal6a"/>
            </w:pPr>
            <w:r>
              <w:t>15.</w:t>
            </w:r>
            <w:r>
              <w:tab/>
            </w:r>
            <w:r>
              <w:t xml:space="preserve">sottolinea il fermo impegno dell'UE a garantire la protezione delle rotte marittime e dei diritti di navigazione internazionali nel Mar Rosso; sottolinea la cooperazione dell'Arabia Saudita in materia di intelligence con gli Stati membri dell'UE che partecipano all'operazione EUNAVFOR ASPIDES; </w:t>
            </w:r>
            <w:r>
              <w:rPr>
                <w:b/>
                <w:i/>
              </w:rPr>
              <w:t>sottolinea che l'Arabia Saudita e gli altri paesi del Golfo devono svolgere un ruolo guida nel garantire la sicurezza delle rotte marittime che attraversano le loro acque territoriali;</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104</w:t>
      </w:r>
      <w:r>
        <w:rPr>
          <w:rStyle w:val="HideTWBExt"/>
        </w:rPr>
        <w:t>&lt;/NumAm&gt;</w:t>
      </w:r>
    </w:p>
    <w:p>
      <w:pPr>
        <w:pStyle w:val="NormalBold"/>
      </w:pPr>
      <w:r>
        <w:rPr>
          <w:rStyle w:val="HideTWBExt"/>
          <w:b w:val="0"/>
        </w:rPr>
        <w:t>&lt;RepeatBlock-By&gt;</w:t>
      </w:r>
      <w:r>
        <w:rPr>
          <w:rStyle w:val="HideTWBExt"/>
          <w:b w:val="0"/>
        </w:rPr>
        <w:t>&lt;Members&gt;</w:t>
      </w:r>
      <w:r>
        <w:t>Antonio López-Istúriz White, Reinhold Lopatka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 xml:space="preserve">sottolinea il fermo impegno dell'UE a garantire la protezione delle rotte marittime e dei diritti di navigazione internazionali nel Mar Rosso; sottolinea </w:t>
            </w:r>
            <w:r>
              <w:rPr>
                <w:b/>
                <w:i/>
              </w:rPr>
              <w:t>la cooperazione</w:t>
            </w:r>
            <w:r>
              <w:t xml:space="preserve"> dell'Arabia Saudita </w:t>
            </w:r>
            <w:r>
              <w:rPr>
                <w:b/>
                <w:i/>
              </w:rPr>
              <w:t>in materia</w:t>
            </w:r>
            <w:r>
              <w:t xml:space="preserve"> di intelligence con gli Stati membri dell'UE che partecipano all'operazione EUNAVFOR ASPIDES;</w:t>
            </w:r>
          </w:p>
        </w:tc>
        <w:tc>
          <w:tcPr>
            <w:tcW w:w="4876" w:type="dxa"/>
            <w:tcBorders>
              <w:top w:val="nil"/>
              <w:left w:val="nil"/>
              <w:bottom w:val="nil"/>
              <w:right w:val="nil"/>
            </w:tcBorders>
          </w:tcPr>
          <w:p>
            <w:pPr>
              <w:pStyle w:val="Normal6a"/>
            </w:pPr>
            <w:r>
              <w:t>15.</w:t>
            </w:r>
            <w:r>
              <w:tab/>
            </w:r>
            <w:r>
              <w:t xml:space="preserve">sottolinea il fermo impegno dell'UE a garantire la protezione delle rotte marittime e dei diritti di navigazione internazionali nel Mar Rosso; sottolinea </w:t>
            </w:r>
            <w:r>
              <w:rPr>
                <w:b/>
                <w:i/>
              </w:rPr>
              <w:t>l'impegno</w:t>
            </w:r>
            <w:r>
              <w:t xml:space="preserve"> dell'Arabia Saudita </w:t>
            </w:r>
            <w:r>
              <w:rPr>
                <w:b/>
                <w:i/>
              </w:rPr>
              <w:t>a favore della sicurezza marittima e chiede una più stretta cooperazione politica e</w:t>
            </w:r>
            <w:r>
              <w:t xml:space="preserve"> di intelligence con gli Stati membri dell'UE che partecipano all'operazione EUNAVFOR ASPIDES;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105</w:t>
      </w:r>
      <w:r>
        <w:rPr>
          <w:rStyle w:val="HideTWBExt"/>
        </w:rPr>
        <w:t>&lt;/NumAm&gt;</w:t>
      </w:r>
    </w:p>
    <w:p>
      <w:pPr>
        <w:pStyle w:val="NormalBold"/>
      </w:pPr>
      <w:r>
        <w:rPr>
          <w:rStyle w:val="HideTWBExt"/>
          <w:b w:val="0"/>
        </w:rPr>
        <w:t>&lt;RepeatBlock-By&gt;</w:t>
      </w:r>
      <w:r>
        <w:rPr>
          <w:rStyle w:val="HideTWBExt"/>
          <w:b w:val="0"/>
        </w:rPr>
        <w:t>&lt;Members&gt;</w:t>
      </w:r>
      <w:r>
        <w:t>Hana Jalloul Muro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 xml:space="preserve">sottolinea il fermo impegno dell'UE a garantire la protezione delle rotte marittime e dei diritti di navigazione internazionali nel Mar Rosso; sottolinea la cooperazione dell'Arabia Saudita in materia di intelligence con gli Stati membri dell'UE </w:t>
            </w:r>
            <w:r>
              <w:rPr>
                <w:b/>
                <w:i/>
              </w:rPr>
              <w:t>che partecipano all'operazione EUNAVFOR ASPIDES</w:t>
            </w:r>
            <w:r>
              <w:t>;</w:t>
            </w:r>
          </w:p>
        </w:tc>
        <w:tc>
          <w:tcPr>
            <w:tcW w:w="4876" w:type="dxa"/>
            <w:tcBorders>
              <w:top w:val="nil"/>
              <w:left w:val="nil"/>
              <w:bottom w:val="nil"/>
              <w:right w:val="nil"/>
            </w:tcBorders>
          </w:tcPr>
          <w:p>
            <w:pPr>
              <w:pStyle w:val="Normal6a"/>
            </w:pPr>
            <w:r>
              <w:t>15.</w:t>
            </w:r>
            <w:r>
              <w:tab/>
            </w:r>
            <w:r>
              <w:t xml:space="preserve">sottolinea il fermo impegno dell'UE a garantire la protezione delle rotte marittime e dei diritti di navigazione internazionali nel Mar Rosso; sottolinea la cooperazione dell'Arabia Saudita in materia di intelligence con </w:t>
            </w:r>
            <w:r>
              <w:rPr>
                <w:b/>
                <w:i/>
              </w:rPr>
              <w:t>l'operazione EUNAVFOR ASPIDES e, più in generale, con</w:t>
            </w:r>
            <w:r>
              <w:t xml:space="preserve"> gli Stati membri dell'UE;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106</w:t>
      </w:r>
      <w:r>
        <w:rPr>
          <w:rStyle w:val="HideTWBExt"/>
        </w:rPr>
        <w:t>&lt;/NumAm&gt;</w:t>
      </w:r>
    </w:p>
    <w:p>
      <w:pPr>
        <w:pStyle w:val="NormalBold"/>
      </w:pPr>
      <w:r>
        <w:rPr>
          <w:rStyle w:val="HideTWBExt"/>
          <w:b w:val="0"/>
        </w:rPr>
        <w:t>&lt;RepeatBlock-By&gt;</w:t>
      </w:r>
      <w:r>
        <w:rPr>
          <w:rStyle w:val="HideTWBExt"/>
          <w:b w:val="0"/>
        </w:rPr>
        <w:t>&lt;Members&gt;</w:t>
      </w:r>
      <w:r>
        <w:t>Bernard Guetta, Hilde Vautmans, Marie-Agnes Strack-Zimmermann, Engin Eroglu,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plaude alla partecipazione dell'Arabia Saudita quale paese ospitante dei negoziati per un cessate il fuoco della guerra in Ucraina;</w:t>
            </w:r>
          </w:p>
        </w:tc>
        <w:tc>
          <w:tcPr>
            <w:tcW w:w="4876" w:type="dxa"/>
            <w:tcBorders>
              <w:top w:val="nil"/>
              <w:left w:val="nil"/>
              <w:bottom w:val="nil"/>
              <w:right w:val="nil"/>
            </w:tcBorders>
          </w:tcPr>
          <w:p>
            <w:pPr>
              <w:pStyle w:val="Normal6a"/>
            </w:pPr>
            <w:r>
              <w:t>16.</w:t>
            </w:r>
            <w:r>
              <w:tab/>
            </w:r>
            <w:r>
              <w:t xml:space="preserve">plaude alla partecipazione dell'Arabia Saudita quale paese ospitante dei negoziati per un cessate il fuoco della guerra in Ucraina; </w:t>
            </w:r>
            <w:r>
              <w:rPr>
                <w:b/>
                <w:i/>
              </w:rPr>
              <w:t>esorta l'Arabia Saudita a cooperare maggiormente con i suoi partner per sostenere le sanzioni contro la Federazione russa e ad adottare misure che contribuiscano a porre fine alle attività della flotta ombra russa;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107</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17.</w:t>
            </w:r>
            <w:r>
              <w:tab/>
            </w:r>
            <w:r>
              <w:rPr>
                <w:b/>
                <w:i/>
              </w:rPr>
              <w:t>prende atto dell'impegno dell'Arabia Saudita di investire 600 miliardi di USD negli Stati Uniti, che include un accordo di difesa e la cooperazione strategica sulle tecnologie emergenti;</w:t>
            </w:r>
          </w:p>
        </w:tc>
        <w:tc>
          <w:tcPr>
            <w:tcW w:w="4876" w:type="dxa"/>
            <w:tcBorders>
              <w:top w:val="nil"/>
              <w:left w:val="nil"/>
              <w:bottom w:val="nil"/>
              <w:right w:val="nil"/>
            </w:tcBorders>
          </w:tcPr>
          <w:p>
            <w:pPr>
              <w:pStyle w:val="Normal6a"/>
            </w:pPr>
            <w:r>
              <w:rPr>
                <w:b/>
                <w:i/>
              </w:rPr>
              <w:t>soppresso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108</w:t>
      </w:r>
      <w:r>
        <w:rPr>
          <w:rStyle w:val="HideTWBExt"/>
        </w:rPr>
        <w:t>&lt;/NumAm&gt;</w:t>
      </w:r>
    </w:p>
    <w:p>
      <w:pPr>
        <w:pStyle w:val="NormalBold"/>
      </w:pPr>
      <w:r>
        <w:rPr>
          <w:rStyle w:val="HideTWBExt"/>
          <w:b w:val="0"/>
        </w:rPr>
        <w:t>&lt;RepeatBlock-By&gt;</w:t>
      </w:r>
      <w:r>
        <w:rPr>
          <w:rStyle w:val="HideTWBExt"/>
          <w:b w:val="0"/>
        </w:rPr>
        <w:t>&lt;Members&gt;</w:t>
      </w:r>
      <w:r>
        <w:t>Jordan Bardella, Pierre-Romain Thionnet, Matthieu Valet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prende atto dell'impegno dell'Arabia Saudita di investire 600 miliardi di USD negli Stati Uniti, che include un accordo di difesa e la cooperazione strategica sulle tecnologie emergenti;</w:t>
            </w:r>
          </w:p>
        </w:tc>
        <w:tc>
          <w:tcPr>
            <w:tcW w:w="4876" w:type="dxa"/>
            <w:tcBorders>
              <w:top w:val="nil"/>
              <w:left w:val="nil"/>
              <w:bottom w:val="nil"/>
              <w:right w:val="nil"/>
            </w:tcBorders>
          </w:tcPr>
          <w:p>
            <w:pPr>
              <w:pStyle w:val="Normal6a"/>
            </w:pPr>
            <w:r>
              <w:t>17.</w:t>
            </w:r>
            <w:r>
              <w:tab/>
            </w:r>
            <w:r>
              <w:t xml:space="preserve">prende atto dell'impegno dell'Arabia Saudita di investire 600 miliardi di USD negli Stati Uniti, che include un accordo di difesa e la cooperazione strategica sulle tecnologie emergenti; </w:t>
            </w:r>
            <w:r>
              <w:rPr>
                <w:b/>
                <w:i/>
              </w:rPr>
              <w:t>sottolinea la necessità che l'UE mantenga la propria autonomia strategica e difenda i propri interessi economici e tecnologici alla luce di tale sviluppo;</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109</w:t>
      </w:r>
      <w:r>
        <w:rPr>
          <w:rStyle w:val="HideTWBExt"/>
        </w:rPr>
        <w:t>&lt;/NumAm&gt;</w:t>
      </w:r>
    </w:p>
    <w:p>
      <w:pPr>
        <w:pStyle w:val="NormalBold"/>
      </w:pPr>
      <w:r>
        <w:rPr>
          <w:rStyle w:val="HideTWBExt"/>
          <w:b w:val="0"/>
        </w:rPr>
        <w:t>&lt;RepeatBlock-By&gt;</w:t>
      </w:r>
      <w:r>
        <w:rPr>
          <w:rStyle w:val="HideTWBExt"/>
          <w:b w:val="0"/>
        </w:rPr>
        <w:t>&lt;Members&gt;</w:t>
      </w:r>
      <w:r>
        <w:t>Antonio López-Istúriz White, Reinhold Lopatka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18.</w:t>
            </w:r>
            <w:r>
              <w:tab/>
            </w:r>
            <w:r>
              <w:t xml:space="preserve">riconosce il ruolo dell'Arabia Saudita nella cooperazione multilaterale, </w:t>
            </w:r>
            <w:r>
              <w:rPr>
                <w:b/>
                <w:i/>
              </w:rPr>
              <w:t>compreso</w:t>
            </w:r>
            <w:r>
              <w:t xml:space="preserve"> il suo crescente impegno in Africa, in particolare nel Sahel, e in Asia;</w:t>
            </w:r>
          </w:p>
        </w:tc>
        <w:tc>
          <w:tcPr>
            <w:tcW w:w="4876" w:type="dxa"/>
            <w:tcBorders>
              <w:top w:val="nil"/>
              <w:left w:val="nil"/>
              <w:bottom w:val="nil"/>
              <w:right w:val="nil"/>
            </w:tcBorders>
          </w:tcPr>
          <w:p>
            <w:pPr>
              <w:pStyle w:val="Normal6a"/>
            </w:pPr>
            <w:r>
              <w:t>18.</w:t>
            </w:r>
            <w:r>
              <w:tab/>
            </w:r>
            <w:r>
              <w:t xml:space="preserve">riconosce il ruolo dell'Arabia Saudita nella </w:t>
            </w:r>
            <w:r>
              <w:rPr>
                <w:b/>
                <w:i/>
              </w:rPr>
              <w:t>promuovere la</w:t>
            </w:r>
            <w:r>
              <w:t xml:space="preserve"> cooperazione multilaterale, </w:t>
            </w:r>
            <w:r>
              <w:rPr>
                <w:b/>
                <w:i/>
              </w:rPr>
              <w:t>anche attraverso</w:t>
            </w:r>
            <w:r>
              <w:t xml:space="preserve"> il suo crescente impegno in Africa, in particolare nel Sahel, e in Asia; </w:t>
            </w:r>
            <w:r>
              <w:rPr>
                <w:b/>
                <w:i/>
              </w:rPr>
              <w:t>chiede un più stretto coordinamento tra l'UE e l'Arabia Saudita in materia di cooperazione energetica, sviluppo delle infrastrutture transregionali, creazione di capacità, sviluppo del capitale umano, strumenti finanziari e meccanismi di investimento in tutto il continente africano;</w:t>
            </w:r>
            <w:r>
              <w:t xml:space="preserve"> </w:t>
            </w:r>
            <w:r>
              <w:rPr>
                <w:b/>
                <w:i/>
              </w:rPr>
              <w:t>sottolinea l'importanza di integrare i progetti a guida saudita nei quadri dell'UE, compresa l'iniziativa Global Gateway;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110</w:t>
      </w:r>
      <w:r>
        <w:rPr>
          <w:rStyle w:val="HideTWBExt"/>
        </w:rPr>
        <w:t>&lt;/NumAm&gt;</w:t>
      </w:r>
    </w:p>
    <w:p>
      <w:pPr>
        <w:pStyle w:val="NormalBold"/>
      </w:pPr>
      <w:r>
        <w:rPr>
          <w:rStyle w:val="HideTWBExt"/>
          <w:b w:val="0"/>
        </w:rPr>
        <w:t>&lt;RepeatBlock-By&gt;</w:t>
      </w:r>
      <w:r>
        <w:rPr>
          <w:rStyle w:val="HideTWBExt"/>
          <w:b w:val="0"/>
        </w:rPr>
        <w:t>&lt;Members&gt;</w:t>
      </w:r>
      <w:r>
        <w:t>Davor Ivo Stier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osserva che l'Arabia Saudita è stata formalmente invitata a diventare membro del gruppo di paesi BRICS;</w:t>
            </w:r>
          </w:p>
        </w:tc>
        <w:tc>
          <w:tcPr>
            <w:tcW w:w="4876" w:type="dxa"/>
            <w:tcBorders>
              <w:top w:val="nil"/>
              <w:left w:val="nil"/>
              <w:bottom w:val="nil"/>
              <w:right w:val="nil"/>
            </w:tcBorders>
          </w:tcPr>
          <w:p>
            <w:pPr>
              <w:pStyle w:val="Normal6a"/>
            </w:pPr>
            <w:r>
              <w:t>19.</w:t>
            </w:r>
            <w:r>
              <w:tab/>
            </w:r>
            <w:r>
              <w:t xml:space="preserve">osserva che l'Arabia Saudita è stata formalmente invitata a diventare membro del gruppo di paesi BRICS; </w:t>
            </w:r>
            <w:r>
              <w:rPr>
                <w:b/>
                <w:i/>
              </w:rPr>
              <w:t>constata che l'apertura dell'Arabia Saudita nei confronti dei BRICS riflette una tendenza verso alleanze diversificate, e invita l'UE a dialogare in modo costruttivo con l'Arabia Saudita nei consessi multilaterali al fine di tutelare gli interessi comuni in materia di scambi commerciali e investimenti;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111</w:t>
      </w:r>
      <w:r>
        <w:rPr>
          <w:rStyle w:val="HideTWBExt"/>
        </w:rPr>
        <w:t>&lt;/NumAm&gt;</w:t>
      </w:r>
    </w:p>
    <w:p>
      <w:pPr>
        <w:pStyle w:val="NormalBold"/>
      </w:pPr>
      <w:r>
        <w:rPr>
          <w:rStyle w:val="HideTWBExt"/>
          <w:b w:val="0"/>
        </w:rPr>
        <w:t>&lt;RepeatBlock-By&gt;</w:t>
      </w:r>
      <w:r>
        <w:rPr>
          <w:rStyle w:val="HideTWBExt"/>
          <w:b w:val="0"/>
        </w:rPr>
        <w:t>&lt;Members&gt;</w:t>
      </w:r>
      <w:r>
        <w:t>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osserva che l'Arabia Saudita è stata formalmente invitata a diventare membro del gruppo di paesi BRICS;</w:t>
            </w:r>
          </w:p>
        </w:tc>
        <w:tc>
          <w:tcPr>
            <w:tcW w:w="4876" w:type="dxa"/>
            <w:tcBorders>
              <w:top w:val="nil"/>
              <w:left w:val="nil"/>
              <w:bottom w:val="nil"/>
              <w:right w:val="nil"/>
            </w:tcBorders>
          </w:tcPr>
          <w:p>
            <w:pPr>
              <w:pStyle w:val="Normal6a"/>
            </w:pPr>
            <w:r>
              <w:t>19.</w:t>
            </w:r>
            <w:r>
              <w:tab/>
            </w:r>
            <w:r>
              <w:t xml:space="preserve">osserva </w:t>
            </w:r>
            <w:r>
              <w:rPr>
                <w:b/>
                <w:i/>
              </w:rPr>
              <w:t>con preoccupazione</w:t>
            </w:r>
            <w:r>
              <w:t xml:space="preserve"> che l'Arabia Saudita è stata formalmente invitata a diventare membro del gruppo di paesi BRICS;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112</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20.</w:t>
            </w:r>
            <w:r>
              <w:tab/>
            </w:r>
            <w:r>
              <w:rPr>
                <w:b/>
                <w:i/>
              </w:rPr>
              <w:t>prende atto del rafforzamento delle relazioni bilaterali tra l'Arabia Saudita e la Turchia, in particolare nei settori della sicurezza e della difesa;</w:t>
            </w:r>
          </w:p>
        </w:tc>
        <w:tc>
          <w:tcPr>
            <w:tcW w:w="4876" w:type="dxa"/>
            <w:tcBorders>
              <w:top w:val="nil"/>
              <w:left w:val="nil"/>
              <w:bottom w:val="nil"/>
              <w:right w:val="nil"/>
            </w:tcBorders>
          </w:tcPr>
          <w:p>
            <w:pPr>
              <w:pStyle w:val="Normal6a"/>
            </w:pPr>
            <w:r>
              <w:rPr>
                <w:b/>
                <w:i/>
              </w:rPr>
              <w:t>soppresso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113</w:t>
      </w:r>
      <w:r>
        <w:rPr>
          <w:rStyle w:val="HideTWBExt"/>
        </w:rPr>
        <w:t>&lt;/NumAm&gt;</w:t>
      </w:r>
    </w:p>
    <w:p>
      <w:pPr>
        <w:pStyle w:val="NormalBold"/>
      </w:pPr>
      <w:r>
        <w:rPr>
          <w:rStyle w:val="HideTWBExt"/>
          <w:b w:val="0"/>
        </w:rPr>
        <w:t>&lt;RepeatBlock-By&gt;</w:t>
      </w:r>
      <w:r>
        <w:rPr>
          <w:rStyle w:val="HideTWBExt"/>
          <w:b w:val="0"/>
        </w:rPr>
        <w:t>&lt;Members&gt;</w:t>
      </w:r>
      <w:r>
        <w:t>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20.</w:t>
            </w:r>
            <w:r>
              <w:tab/>
            </w:r>
            <w:r>
              <w:t>prende atto del rafforzamento delle relazioni bilaterali tra l'Arabia Saudita e la Turchia, in particolare nei settori della sicurezza e della difesa;</w:t>
            </w:r>
          </w:p>
        </w:tc>
        <w:tc>
          <w:tcPr>
            <w:tcW w:w="4876" w:type="dxa"/>
            <w:tcBorders>
              <w:top w:val="nil"/>
              <w:left w:val="nil"/>
              <w:bottom w:val="nil"/>
              <w:right w:val="nil"/>
            </w:tcBorders>
          </w:tcPr>
          <w:p>
            <w:pPr>
              <w:pStyle w:val="Normal6a"/>
            </w:pPr>
            <w:r>
              <w:t>20.</w:t>
            </w:r>
            <w:r>
              <w:tab/>
            </w:r>
            <w:r>
              <w:t xml:space="preserve">prende atto del rafforzamento delle relazioni bilaterali tra l'Arabia Saudita e la Turchia, in particolare nei settori della sicurezza e della difesa; </w:t>
            </w:r>
            <w:r>
              <w:rPr>
                <w:b/>
                <w:i/>
              </w:rPr>
              <w:t>esorta l'Arabia Saudita a usare tale relazione per convincere la Turchia a contribuire in modo costruttivo al processo di pace in Medio Oriente, riconoscendo Hamas quale organizzazione terroristica e ponendo fine al sostegno politico, economico e logistico;</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114</w:t>
      </w:r>
      <w:r>
        <w:rPr>
          <w:rStyle w:val="HideTWBExt"/>
        </w:rPr>
        <w:t>&lt;/NumAm&gt;</w:t>
      </w:r>
    </w:p>
    <w:p>
      <w:pPr>
        <w:pStyle w:val="NormalBold"/>
      </w:pPr>
      <w:r>
        <w:rPr>
          <w:rStyle w:val="HideTWBExt"/>
          <w:b w:val="0"/>
        </w:rPr>
        <w:t>&lt;RepeatBlock-By&gt;</w:t>
      </w:r>
      <w:r>
        <w:rPr>
          <w:rStyle w:val="HideTWBExt"/>
          <w:b w:val="0"/>
        </w:rPr>
        <w:t>&lt;Members&gt;</w:t>
      </w:r>
      <w:r>
        <w:t>Jordan Bardella, Pierre-Romain Thionnet, Matthieu Valet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20.</w:t>
            </w:r>
            <w:r>
              <w:tab/>
            </w:r>
            <w:r>
              <w:rPr>
                <w:b/>
                <w:i/>
              </w:rPr>
              <w:t>prende atto del</w:t>
            </w:r>
            <w:r>
              <w:t xml:space="preserve"> rafforzamento delle relazioni bilaterali tra l'Arabia Saudita e la Turchia, in particolare nei settori della sicurezza e della difesa;</w:t>
            </w:r>
          </w:p>
        </w:tc>
        <w:tc>
          <w:tcPr>
            <w:tcW w:w="4876" w:type="dxa"/>
            <w:tcBorders>
              <w:top w:val="nil"/>
              <w:left w:val="nil"/>
              <w:bottom w:val="nil"/>
              <w:right w:val="nil"/>
            </w:tcBorders>
          </w:tcPr>
          <w:p>
            <w:pPr>
              <w:pStyle w:val="Normal6a"/>
            </w:pPr>
            <w:r>
              <w:t>20.</w:t>
            </w:r>
            <w:r>
              <w:tab/>
            </w:r>
            <w:r>
              <w:rPr>
                <w:b/>
                <w:i/>
              </w:rPr>
              <w:t>deplora il</w:t>
            </w:r>
            <w:r>
              <w:t xml:space="preserve"> rafforzamento delle relazioni bilaterali tra l'Arabia Saudita e la Turchia, in particolare nei settori della sicurezza e della difesa; </w:t>
            </w:r>
            <w:r>
              <w:rPr>
                <w:b/>
                <w:i/>
              </w:rPr>
              <w:t>ricorda che la Turchia ha sostenuto un rovesciamento di regime in Siria che commette ripetuti abusi sulle minoranze religiose;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115</w:t>
      </w:r>
      <w:r>
        <w:rPr>
          <w:rStyle w:val="HideTWBExt"/>
        </w:rPr>
        <w:t>&lt;/NumAm&gt;</w:t>
      </w:r>
    </w:p>
    <w:p>
      <w:pPr>
        <w:pStyle w:val="NormalBold"/>
      </w:pPr>
      <w:r>
        <w:rPr>
          <w:rStyle w:val="HideTWBExt"/>
          <w:b w:val="0"/>
        </w:rPr>
        <w:t>&lt;RepeatBlock-By&gt;</w:t>
      </w:r>
      <w:r>
        <w:rPr>
          <w:rStyle w:val="HideTWBExt"/>
          <w:b w:val="0"/>
        </w:rPr>
        <w:t>&lt;Members&gt;</w:t>
      </w:r>
      <w:r>
        <w:t>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20.</w:t>
            </w:r>
            <w:r>
              <w:tab/>
            </w:r>
            <w:r>
              <w:t>prende atto del rafforzamento delle relazioni bilaterali tra l'Arabia Saudita e la Turchia, in particolare nei settori della sicurezza e della difesa;</w:t>
            </w:r>
          </w:p>
        </w:tc>
        <w:tc>
          <w:tcPr>
            <w:tcW w:w="4876" w:type="dxa"/>
            <w:tcBorders>
              <w:top w:val="nil"/>
              <w:left w:val="nil"/>
              <w:bottom w:val="nil"/>
              <w:right w:val="nil"/>
            </w:tcBorders>
          </w:tcPr>
          <w:p>
            <w:pPr>
              <w:pStyle w:val="Normal6a"/>
            </w:pPr>
            <w:r>
              <w:t>20.</w:t>
            </w:r>
            <w:r>
              <w:tab/>
            </w:r>
            <w:r>
              <w:t xml:space="preserve">prende atto </w:t>
            </w:r>
            <w:r>
              <w:rPr>
                <w:b/>
                <w:i/>
              </w:rPr>
              <w:t>con preoccupazione</w:t>
            </w:r>
            <w:r>
              <w:t xml:space="preserve"> del rafforzamento delle relazioni bilaterali tra l'Arabia Saudita e la Turchia, in particolare nei settori della sicurezza e della difesa;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116</w:t>
      </w:r>
      <w:r>
        <w:rPr>
          <w:rStyle w:val="HideTWBExt"/>
        </w:rPr>
        <w:t>&lt;/NumAm&gt;</w:t>
      </w:r>
    </w:p>
    <w:p>
      <w:pPr>
        <w:pStyle w:val="NormalBold"/>
      </w:pPr>
      <w:r>
        <w:rPr>
          <w:rStyle w:val="HideTWBExt"/>
          <w:b w:val="0"/>
        </w:rPr>
        <w:t>&lt;RepeatBlock-By&gt;</w:t>
      </w:r>
      <w:r>
        <w:rPr>
          <w:rStyle w:val="HideTWBExt"/>
          <w:b w:val="0"/>
        </w:rPr>
        <w:t>&lt;Members&gt;</w:t>
      </w:r>
      <w:r>
        <w:t>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20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 bis.</w:t>
            </w:r>
            <w:r>
              <w:tab/>
            </w:r>
            <w:r>
              <w:rPr>
                <w:b/>
                <w:i/>
              </w:rPr>
              <w:t>sottolinea che, pur sviluppando nuovi partenariati, l'Arabia Saudita dovrebbe garantire che le sue politiche restino coerenti con gli interessi e i valori condivisi con i partner storici, in particolare l'UE e i suoi Stati membri;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117</w:t>
      </w:r>
      <w:r>
        <w:rPr>
          <w:rStyle w:val="HideTWBExt"/>
        </w:rPr>
        <w:t>&lt;/NumAm&gt;</w:t>
      </w:r>
    </w:p>
    <w:p>
      <w:pPr>
        <w:pStyle w:val="NormalBold"/>
      </w:pPr>
      <w:r>
        <w:rPr>
          <w:rStyle w:val="HideTWBExt"/>
          <w:b w:val="0"/>
        </w:rPr>
        <w:t>&lt;RepeatBlock-By&gt;</w:t>
      </w:r>
      <w:r>
        <w:rPr>
          <w:rStyle w:val="HideTWBExt"/>
          <w:b w:val="0"/>
        </w:rPr>
        <w:t>&lt;Members&gt;</w:t>
      </w:r>
      <w:r>
        <w:t>Arkadiusz Mularczyk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20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 bis.</w:t>
            </w:r>
            <w:r>
              <w:tab/>
            </w:r>
            <w:r>
              <w:rPr>
                <w:b/>
                <w:i/>
              </w:rPr>
              <w:t>accoglie con favore la posizione costante dell'Arabia Saudita nel considerare i Fratelli musulmani un'organizzazione terroristica e invita l'UE e i suoi Stati membri a seguire l'esempio e a riconoscere i Fratelli musulmani quale organizzazione terroristica;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118</w:t>
      </w:r>
      <w:r>
        <w:rPr>
          <w:rStyle w:val="HideTWBExt"/>
        </w:rPr>
        <w:t>&lt;/NumAm&gt;</w:t>
      </w:r>
    </w:p>
    <w:p>
      <w:pPr>
        <w:pStyle w:val="NormalBold"/>
      </w:pPr>
      <w:r>
        <w:rPr>
          <w:rStyle w:val="HideTWBExt"/>
          <w:b w:val="0"/>
        </w:rPr>
        <w:t>&lt;RepeatBlock-By&gt;</w:t>
      </w:r>
      <w:r>
        <w:rPr>
          <w:rStyle w:val="HideTWBExt"/>
          <w:b w:val="0"/>
        </w:rPr>
        <w:t>&lt;Members&gt;</w:t>
      </w:r>
      <w:r>
        <w:t>Arkadiusz Mularczyk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20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 ter.</w:t>
            </w:r>
            <w:r>
              <w:tab/>
            </w:r>
            <w:r>
              <w:rPr>
                <w:b/>
                <w:i/>
              </w:rPr>
              <w:t>incoraggia il Regno dell'Arabia Saudita ad aderire agli accordi di Abramo al fine di promuovere la stabilità regionale e la normalizzazione delle relazioni con Israele;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119</w:t>
      </w:r>
      <w:r>
        <w:rPr>
          <w:rStyle w:val="HideTWBExt"/>
        </w:rPr>
        <w:t>&lt;/NumAm&gt;</w:t>
      </w:r>
    </w:p>
    <w:p>
      <w:pPr>
        <w:pStyle w:val="NormalBold"/>
      </w:pPr>
      <w:r>
        <w:rPr>
          <w:rStyle w:val="HideTWBExt"/>
          <w:b w:val="0"/>
        </w:rPr>
        <w:t>&lt;RepeatBlock-By&gt;</w:t>
      </w:r>
      <w:r>
        <w:rPr>
          <w:rStyle w:val="HideTWBExt"/>
          <w:b w:val="0"/>
        </w:rPr>
        <w:t>&lt;Members&gt;</w:t>
      </w:r>
      <w:r>
        <w:t>Jordan Bardella, Pierre-Romain Thionnet, Matthieu Valet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rPr>
                <w:b/>
                <w:i/>
              </w:rPr>
              <w:t>accoglie con favore l'ambizioso</w:t>
            </w:r>
            <w:r>
              <w:t xml:space="preserve"> programma "Vision 2030" dell'Arabia Saudita, che prevede riforme socioeconomiche significative per modernizzare il paese e le sue istituzioni, nonché per diversificare la sua economia;</w:t>
            </w:r>
          </w:p>
        </w:tc>
        <w:tc>
          <w:tcPr>
            <w:tcW w:w="4876" w:type="dxa"/>
            <w:tcBorders>
              <w:top w:val="nil"/>
              <w:left w:val="nil"/>
              <w:bottom w:val="nil"/>
              <w:right w:val="nil"/>
            </w:tcBorders>
          </w:tcPr>
          <w:p>
            <w:pPr>
              <w:pStyle w:val="Normal6a"/>
            </w:pPr>
            <w:r>
              <w:t>21.</w:t>
            </w:r>
            <w:r>
              <w:tab/>
            </w:r>
            <w:r>
              <w:rPr>
                <w:b/>
                <w:i/>
              </w:rPr>
              <w:t>prende atto dell'ambizioso</w:t>
            </w:r>
            <w:r>
              <w:t xml:space="preserve"> programma "Vision 2030" dell'Arabia Saudita, che prevede riforme socioeconomiche significative per modernizzare il paese e le sue istituzioni, nonché per diversificare la sua economia;</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120</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21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 bis.</w:t>
            </w:r>
            <w:r>
              <w:tab/>
            </w:r>
            <w:r>
              <w:rPr>
                <w:b/>
                <w:i/>
              </w:rPr>
              <w:t>accoglie con favore l'approccio del Regno dell'Arabia Saudita, sotto la guida del re Salman bin Abdulaziz e del principe ereditario e primo ministro Mohammed bin Salman Al Saud, teso a promuovere la tolleranza e abbandonare le politiche religiose restrittive;</w:t>
            </w:r>
            <w:r>
              <w:t xml:space="preserve"> </w:t>
            </w:r>
            <w:r>
              <w:rPr>
                <w:b/>
                <w:i/>
              </w:rPr>
              <w:t>prende atto del legame diretto tra tolleranza e crescita economica sostenibile, sottolineando che l'apertura e l'inclusività creano condizioni favorevoli per l'innovazione, gli investimenti e il progresso sociale;</w:t>
            </w:r>
            <w:r>
              <w:t xml:space="preserve"> </w:t>
            </w:r>
            <w:r>
              <w:rPr>
                <w:b/>
                <w:i/>
              </w:rPr>
              <w:t>ritiene che le riforme in corso in Arabia Saudita costituiscano un esempio importante per l'intera regione e dimostrino come la tolleranza possa fungere sia da base per la stabilità che da volano di prosperità;</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121</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21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 ter.</w:t>
            </w:r>
            <w:r>
              <w:tab/>
            </w:r>
            <w:r>
              <w:rPr>
                <w:b/>
                <w:i/>
              </w:rPr>
              <w:t>evidenzia l'impegno del Regno dell'Arabia Saudita a favore della transizione energetica, ricordando il suo impegno a realizzare l'azzeramento delle emissioni nette entro il 2060 e a produrre il 50 % della sua energia elettrica da fonti rinnovabili entro il 2030;</w:t>
            </w:r>
            <w:r>
              <w:t xml:space="preserve"> </w:t>
            </w:r>
            <w:r>
              <w:rPr>
                <w:b/>
                <w:i/>
              </w:rPr>
              <w:t>accoglie con favore, in tale contesto, il progetto faro per la produzione annuale di 4 milioni di tonnellate di idrogeno pulito entro il 2030, a dimostrazione dell'ambizione dell'Arabia Saudita di affermarsi come uno dei principali fornitori mondiali di idrogeno pulito</w:t>
            </w:r>
            <w:r>
              <w:rPr>
                <w:b/>
                <w:i/>
                <w:vertAlign w:val="superscript"/>
              </w:rPr>
              <w:t>1 bis</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 bis</w:t>
            </w:r>
            <w:r>
              <w:t xml:space="preserve"> </w:t>
            </w:r>
            <w:r>
              <w:rPr>
                <w:b/>
                <w:i/>
              </w:rPr>
              <w:t>https://www.sgi.gov.sa/saudi-global-climate-impact/.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122</w:t>
      </w:r>
      <w:r>
        <w:rPr>
          <w:rStyle w:val="HideTWBExt"/>
        </w:rPr>
        <w:t>&lt;/NumAm&gt;</w:t>
      </w:r>
    </w:p>
    <w:p>
      <w:pPr>
        <w:pStyle w:val="NormalBold"/>
      </w:pPr>
      <w:r>
        <w:rPr>
          <w:rStyle w:val="HideTWBExt"/>
          <w:b w:val="0"/>
        </w:rPr>
        <w:t>&lt;RepeatBlock-By&gt;</w:t>
      </w:r>
      <w:r>
        <w:rPr>
          <w:rStyle w:val="HideTWBExt"/>
          <w:b w:val="0"/>
        </w:rPr>
        <w:t>&lt;Members&gt;</w:t>
      </w:r>
      <w:r>
        <w:t>Arkadiusz Mularczyk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22.</w:t>
            </w:r>
            <w:r>
              <w:tab/>
            </w:r>
            <w:r>
              <w:rPr>
                <w:b/>
                <w:i/>
              </w:rPr>
              <w:t>invita l'Arabia Saudita a ridefinire il suo panorama energetico e a operare una transizione verso le energie rinnovabili e l'idrogeno verde nell'ambito del programma "Vision 2030";</w:t>
            </w:r>
            <w:r>
              <w:t xml:space="preserve"> </w:t>
            </w:r>
            <w:r>
              <w:rPr>
                <w:b/>
                <w:i/>
              </w:rPr>
              <w:t>osserva che l'UE è pronta a collaborare con le sue controparti saudite su progetti che promuovono gli obiettivi ambientali in entrambe le regioni;</w:t>
            </w:r>
          </w:p>
        </w:tc>
        <w:tc>
          <w:tcPr>
            <w:tcW w:w="4876" w:type="dxa"/>
            <w:tcBorders>
              <w:top w:val="nil"/>
              <w:left w:val="nil"/>
              <w:bottom w:val="nil"/>
              <w:right w:val="nil"/>
            </w:tcBorders>
          </w:tcPr>
          <w:p>
            <w:pPr>
              <w:pStyle w:val="Normal6a"/>
            </w:pPr>
            <w:r>
              <w:rPr>
                <w:b/>
                <w:i/>
              </w:rPr>
              <w:t>soppresso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123</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t>invita l'Arabia Saudita a ridefinire il suo panorama energetico e a operare una transizione verso le energie rinnovabili e l'idrogeno verde nell'ambito del programma "Vision 2030"; osserva che l'UE è pronta a collaborare con le sue controparti saudite su progetti che promuovono gli obiettivi ambientali in entrambe le regioni;</w:t>
            </w:r>
          </w:p>
        </w:tc>
        <w:tc>
          <w:tcPr>
            <w:tcW w:w="4876" w:type="dxa"/>
            <w:tcBorders>
              <w:top w:val="nil"/>
              <w:left w:val="nil"/>
              <w:bottom w:val="nil"/>
              <w:right w:val="nil"/>
            </w:tcBorders>
          </w:tcPr>
          <w:p>
            <w:pPr>
              <w:pStyle w:val="Normal6a"/>
            </w:pPr>
            <w:r>
              <w:t>22.</w:t>
            </w:r>
            <w:r>
              <w:tab/>
            </w:r>
            <w:r>
              <w:t xml:space="preserve">invita l'Arabia Saudita a ridefinire il suo panorama energetico e a operare una transizione verso le energie rinnovabili e l'idrogeno verde nell'ambito del programma "Vision 2030"; </w:t>
            </w:r>
            <w:r>
              <w:rPr>
                <w:b/>
                <w:i/>
              </w:rPr>
              <w:t>appoggia l'invito degli esperti delle Nazioni Unite all'Arabia Saudita a interrompere i suoi piani di espansione della produzione di petrolio greggio, nonché i suoi piani di ricercare ulteriori riserve di petrolio e gas per aumentare la capacità produttiva, i quali contribuiscono al rischio di superamento del bilancio del carbonio relativo all'obiettivo di 1,5 °C e all'aumento dell'impatto dei cambiamenti climatici sui diritti umani, in contrasto con le sue responsabilità in materia di diritti umani;</w:t>
            </w:r>
            <w:r>
              <w:t xml:space="preserve"> </w:t>
            </w:r>
            <w:r>
              <w:rPr>
                <w:b/>
                <w:i/>
              </w:rPr>
              <w:t>esorta Aramco a pubblicare informazioni chiave sulle sue emissioni complessive e sull'intensità di carbonio della sua produzione di petrolio greggio;</w:t>
            </w:r>
            <w:r>
              <w:t xml:space="preserve"> osserva che l'UE è pronta a collaborare con le sue controparti saudite su progetti che promuovono gli obiettivi ambientali in entrambe le regioni;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124</w:t>
      </w:r>
      <w:r>
        <w:rPr>
          <w:rStyle w:val="HideTWBExt"/>
        </w:rPr>
        <w:t>&lt;/NumAm&gt;</w:t>
      </w:r>
    </w:p>
    <w:p>
      <w:pPr>
        <w:pStyle w:val="NormalBold"/>
      </w:pPr>
      <w:r>
        <w:rPr>
          <w:rStyle w:val="HideTWBExt"/>
          <w:b w:val="0"/>
        </w:rPr>
        <w:t>&lt;RepeatBlock-By&gt;</w:t>
      </w:r>
      <w:r>
        <w:rPr>
          <w:rStyle w:val="HideTWBExt"/>
          <w:b w:val="0"/>
        </w:rPr>
        <w:t>&lt;Members&gt;</w:t>
      </w:r>
      <w:r>
        <w:t>Merja Kyllönen, Jonas Sjöstedt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t>invita l'Arabia Saudita a ridefinire il suo panorama energetico e a operare una transizione verso le energie rinnovabili e l'idrogeno verde nell'ambito del programma "Vision 2030"; osserva che l'UE è pronta a collaborare con le sue controparti saudite su progetti che promuovono gli obiettivi ambientali in entrambe le regioni;</w:t>
            </w:r>
          </w:p>
        </w:tc>
        <w:tc>
          <w:tcPr>
            <w:tcW w:w="4876" w:type="dxa"/>
            <w:tcBorders>
              <w:top w:val="nil"/>
              <w:left w:val="nil"/>
              <w:bottom w:val="nil"/>
              <w:right w:val="nil"/>
            </w:tcBorders>
          </w:tcPr>
          <w:p>
            <w:pPr>
              <w:pStyle w:val="Normal6a"/>
            </w:pPr>
            <w:r>
              <w:t>22.</w:t>
            </w:r>
            <w:r>
              <w:tab/>
            </w:r>
            <w:r>
              <w:t xml:space="preserve">invita l'Arabia Saudita a ridefinire il suo panorama energetico e a operare una transizione verso le energie rinnovabili e l'idrogeno verde nell'ambito del programma "Vision 2030"; </w:t>
            </w:r>
            <w:r>
              <w:rPr>
                <w:b/>
                <w:i/>
              </w:rPr>
              <w:t>appoggia l'invito degli esperti delle Nazioni Unite all'Arabia Saudita a interrompere i suoi piani di espansione della produzione di petrolio greggio, nonché i suoi piani di ricercare ulteriori riserve di petrolio e gas per aumentare la capacità produttiva, i quali contribuiscono al rischio di superamento del bilancio del carbonio relativo all'obiettivo di 1,5 °C e all'aumento dell'impatto dei cambiamenti climatici sui diritti umani, in contrasto con le sue responsabilità in materia di diritti umani;</w:t>
            </w:r>
            <w:r>
              <w:t xml:space="preserve"> </w:t>
            </w:r>
            <w:r>
              <w:rPr>
                <w:b/>
                <w:i/>
              </w:rPr>
              <w:t>esorta Aramco a pubblicare informazioni chiave sulle sue emissioni complessive e sull'intensità di carbonio della sua produzione di petrolio greggio;</w:t>
            </w:r>
            <w:r>
              <w:t xml:space="preserve"> osserva che l'UE è pronta a collaborare con le sue controparti saudite su progetti che promuovono gli obiettivi ambientali in entrambe le regioni;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125</w:t>
      </w:r>
      <w:r>
        <w:rPr>
          <w:rStyle w:val="HideTWBExt"/>
        </w:rPr>
        <w:t>&lt;/NumAm&gt;</w:t>
      </w:r>
    </w:p>
    <w:p>
      <w:pPr>
        <w:pStyle w:val="NormalBold"/>
      </w:pPr>
      <w:r>
        <w:rPr>
          <w:rStyle w:val="HideTWBExt"/>
          <w:b w:val="0"/>
        </w:rPr>
        <w:t>&lt;RepeatBlock-By&gt;</w:t>
      </w:r>
      <w:r>
        <w:rPr>
          <w:rStyle w:val="HideTWBExt"/>
          <w:b w:val="0"/>
        </w:rPr>
        <w:t>&lt;Members&gt;</w:t>
      </w:r>
      <w:r>
        <w:t>Robert Biedroń, Andreas Schieder, Evin Incir, Marco Tarquinio, Chloé Ridel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t>invita l'Arabia Saudita a ridefinire il suo panorama energetico e a operare una transizione verso le energie rinnovabili e l'idrogeno verde nell'ambito del programma "Vision 2030"; osserva che l'UE è pronta a collaborare con le sue controparti saudite su progetti che promuovono gli obiettivi ambientali in entrambe le regioni;</w:t>
            </w:r>
          </w:p>
        </w:tc>
        <w:tc>
          <w:tcPr>
            <w:tcW w:w="4876" w:type="dxa"/>
            <w:tcBorders>
              <w:top w:val="nil"/>
              <w:left w:val="nil"/>
              <w:bottom w:val="nil"/>
              <w:right w:val="nil"/>
            </w:tcBorders>
          </w:tcPr>
          <w:p>
            <w:pPr>
              <w:pStyle w:val="Normal6a"/>
            </w:pPr>
            <w:r>
              <w:t>22.</w:t>
            </w:r>
            <w:r>
              <w:tab/>
            </w:r>
            <w:r>
              <w:t xml:space="preserve">invita l'Arabia Saudita a ridefinire il suo panorama energetico e a operare una transizione verso le energie rinnovabili e l'idrogeno verde nell'ambito del programma "Vision 2030"; </w:t>
            </w:r>
            <w:r>
              <w:rPr>
                <w:b/>
                <w:i/>
              </w:rPr>
              <w:t>appoggia l'invito degli esperti delle Nazioni Unite all'Arabia Saudita a interrompere il suo piano di espansione della produzione di petrolio greggio data la sua incompatibilità con gli impegni assunti a norma dell'accordo di Parigi;</w:t>
            </w:r>
            <w:r>
              <w:t xml:space="preserve"> osserva che l'UE è pronta a collaborare con le sue controparti saudite su progetti che promuovono gli obiettivi ambientali in entrambe le regioni;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126</w:t>
      </w:r>
      <w:r>
        <w:rPr>
          <w:rStyle w:val="HideTWBExt"/>
        </w:rPr>
        <w:t>&lt;/NumAm&gt;</w:t>
      </w:r>
    </w:p>
    <w:p>
      <w:pPr>
        <w:pStyle w:val="NormalBold"/>
      </w:pPr>
      <w:r>
        <w:rPr>
          <w:rStyle w:val="HideTWBExt"/>
          <w:b w:val="0"/>
        </w:rPr>
        <w:t>&lt;RepeatBlock-By&gt;</w:t>
      </w:r>
      <w:r>
        <w:rPr>
          <w:rStyle w:val="HideTWBExt"/>
          <w:b w:val="0"/>
        </w:rPr>
        <w:t>&lt;Members&gt;</w:t>
      </w:r>
      <w:r>
        <w:t>Jordan Bardella, Pierre-Romain Thionnet, Matthieu Valet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t xml:space="preserve">invita l'Arabia Saudita a ridefinire il suo panorama energetico e a operare una transizione verso le energie rinnovabili </w:t>
            </w:r>
            <w:r>
              <w:rPr>
                <w:b/>
                <w:i/>
              </w:rPr>
              <w:t>e l'idrogeno verde nell'ambito del programma "Vision 2030";</w:t>
            </w:r>
            <w:r>
              <w:t xml:space="preserve"> </w:t>
            </w:r>
            <w:r>
              <w:rPr>
                <w:b/>
                <w:i/>
              </w:rPr>
              <w:t>osserva che l'UE è pronta a collaborare con le sue controparti saudite su progetti che promuovono gli obiettivi ambientali in entrambe le regioni</w:t>
            </w:r>
            <w:r>
              <w:t>;</w:t>
            </w:r>
          </w:p>
        </w:tc>
        <w:tc>
          <w:tcPr>
            <w:tcW w:w="4876" w:type="dxa"/>
            <w:tcBorders>
              <w:top w:val="nil"/>
              <w:left w:val="nil"/>
              <w:bottom w:val="nil"/>
              <w:right w:val="nil"/>
            </w:tcBorders>
          </w:tcPr>
          <w:p>
            <w:pPr>
              <w:pStyle w:val="Normal6a"/>
            </w:pPr>
            <w:r>
              <w:t>22.</w:t>
            </w:r>
            <w:r>
              <w:tab/>
            </w:r>
            <w:r>
              <w:t>invita l'Arabia Saudita a ridefinire il suo panorama energetico e a operare una transizione verso le energie rinnovabili</w:t>
            </w:r>
            <w:r>
              <w:rPr>
                <w:b/>
                <w:i/>
              </w:rPr>
              <w:t>, inclusa quella nucleare, tecnologia di cui gli Stati membri dell'Unione hanno una padronanza totale sul piano sia tecnologico che commerciale</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127</w:t>
      </w:r>
      <w:r>
        <w:rPr>
          <w:rStyle w:val="HideTWBExt"/>
        </w:rPr>
        <w:t>&lt;/NumAm&gt;</w:t>
      </w:r>
    </w:p>
    <w:p>
      <w:pPr>
        <w:pStyle w:val="NormalBold"/>
      </w:pPr>
      <w:r>
        <w:rPr>
          <w:rStyle w:val="HideTWBExt"/>
          <w:b w:val="0"/>
        </w:rPr>
        <w:t>&lt;RepeatBlock-By&gt;</w:t>
      </w:r>
      <w:r>
        <w:rPr>
          <w:rStyle w:val="HideTWBExt"/>
          <w:b w:val="0"/>
        </w:rPr>
        <w:t>&lt;Members&gt;</w:t>
      </w:r>
      <w:r>
        <w:t>Antonio López-Istúriz White, Reinhold Lopatka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22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22 bis.</w:t>
            </w:r>
            <w:r>
              <w:tab/>
            </w:r>
            <w:r>
              <w:rPr>
                <w:b/>
                <w:i/>
              </w:rPr>
              <w:t>sottolinea la crescente rilevanza dell'Arabia Saudita nelle catene di approvvigionamento minerario e i suoi sforzi per allinearsi alle migliori pratiche internazionali;</w:t>
            </w:r>
            <w:r>
              <w:t xml:space="preserve"> </w:t>
            </w:r>
            <w:r>
              <w:rPr>
                <w:b/>
                <w:i/>
              </w:rPr>
              <w:t>evidenzia che sarà fondamentale ampliare la portata della cooperazione tra l'UE e l'Arabia Saudita in tale ambito per consolidare ulteriormente la strategia di riduzione dei rischi dell'UE e perseguire il suo obiettivo di diversificare l'approvvigionamento delle materie prime;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128</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22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22 bis.</w:t>
            </w:r>
            <w:r>
              <w:tab/>
            </w:r>
            <w:r>
              <w:rPr>
                <w:b/>
                <w:i/>
              </w:rPr>
              <w:t>deplora che, pur avendo annunciato di voler produrre metà della sua energia elettrica da fonti rinnovabili entro il 2030, l'Arabia Saudita finora non abbia attuato politiche che ridurrebbero in modo sostanziale le sue emissioni di gas a effetto serra e la sua dipendenza dai combustibili fossili;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129</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22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22 ter.</w:t>
            </w:r>
            <w:r>
              <w:tab/>
            </w:r>
            <w:r>
              <w:rPr>
                <w:b/>
                <w:i/>
              </w:rPr>
              <w:t>osserva con preoccupazione che, in occasione della COP29, l'Arabia Saudita si è opposta agli impegni globali volti a eliminare gradualmente i combustibili fossili, compromettendo il conseguimento degli obiettivi dell'accordo di Parigi;</w:t>
            </w:r>
            <w:r>
              <w:t xml:space="preserve"> </w:t>
            </w:r>
            <w:r>
              <w:rPr>
                <w:b/>
                <w:i/>
              </w:rPr>
              <w:t>sottolinea che la cooperazione tra l'UE e l'Arabia Saudita deve essere subordinata a piani d'azione per il clima credibili con misure di attuazione vincolanti;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130</w:t>
      </w:r>
      <w:r>
        <w:rPr>
          <w:rStyle w:val="HideTWBExt"/>
        </w:rPr>
        <w:t>&lt;/NumAm&gt;</w:t>
      </w:r>
    </w:p>
    <w:p>
      <w:pPr>
        <w:pStyle w:val="NormalBold"/>
      </w:pPr>
      <w:r>
        <w:rPr>
          <w:rStyle w:val="HideTWBExt"/>
          <w:b w:val="0"/>
        </w:rPr>
        <w:t>&lt;RepeatBlock-By&gt;</w:t>
      </w:r>
      <w:r>
        <w:rPr>
          <w:rStyle w:val="HideTWBExt"/>
          <w:b w:val="0"/>
        </w:rPr>
        <w:t>&lt;Members&gt;</w:t>
      </w:r>
      <w:r>
        <w:t>Bernard Guetta, Hilde Vautmans, Marie-Agnes Strack-Zimmermann, Engin Eroglu,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 xml:space="preserve">riconosce che l'Arabia Saudita ha compiuto </w:t>
            </w:r>
            <w:r>
              <w:rPr>
                <w:b/>
                <w:i/>
              </w:rPr>
              <w:t>notevoli</w:t>
            </w:r>
            <w:r>
              <w:t xml:space="preserve"> progressi nel contrastare il suo elevato tasso di disoccupazione giovanile, riducendolo dal 35,01 % nel 2006 al 16 % entro il 2023; raccomanda all'Arabia Saudita di continuare a conferire priorità a tale questione;</w:t>
            </w:r>
          </w:p>
        </w:tc>
        <w:tc>
          <w:tcPr>
            <w:tcW w:w="4876" w:type="dxa"/>
            <w:tcBorders>
              <w:top w:val="nil"/>
              <w:left w:val="nil"/>
              <w:bottom w:val="nil"/>
              <w:right w:val="nil"/>
            </w:tcBorders>
          </w:tcPr>
          <w:p>
            <w:pPr>
              <w:pStyle w:val="Normal6a"/>
            </w:pPr>
            <w:r>
              <w:t>23.</w:t>
            </w:r>
            <w:r>
              <w:tab/>
            </w:r>
            <w:r>
              <w:t>riconosce che l'Arabia Saudita ha compiuto progressi nel contrastare il suo elevato tasso di disoccupazione giovanile, riducendolo dal 35,01 % nel 2006 al 16 % entro il 2023; raccomanda all'Arabia Saudita di continuare a conferire priorità a tale questione;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131</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23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 bis.</w:t>
            </w:r>
            <w:r>
              <w:tab/>
            </w:r>
            <w:r>
              <w:rPr>
                <w:b/>
                <w:i/>
              </w:rPr>
              <w:t>elogia le positive riforme dei programmi di studio attuate in Arabia Saudita, in particolare la rimozione dei contenuti antisemiti e anticristiani;</w:t>
            </w:r>
            <w:r>
              <w:t xml:space="preserve"> </w:t>
            </w:r>
            <w:r>
              <w:rPr>
                <w:b/>
                <w:i/>
              </w:rPr>
              <w:t>incoraggia l'Arabia Saudita a proseguire tali riforme;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132</w:t>
      </w:r>
      <w:r>
        <w:rPr>
          <w:rStyle w:val="HideTWBExt"/>
        </w:rPr>
        <w:t>&lt;/NumAm&gt;</w:t>
      </w:r>
    </w:p>
    <w:p>
      <w:pPr>
        <w:pStyle w:val="NormalBold"/>
      </w:pPr>
      <w:r>
        <w:rPr>
          <w:rStyle w:val="HideTWBExt"/>
          <w:b w:val="0"/>
        </w:rPr>
        <w:t>&lt;RepeatBlock-By&gt;</w:t>
      </w:r>
      <w:r>
        <w:rPr>
          <w:rStyle w:val="HideTWBExt"/>
          <w:b w:val="0"/>
        </w:rPr>
        <w:t>&lt;Members&gt;</w:t>
      </w:r>
      <w:r>
        <w:t>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sottolinea i progressi significativi compiuti dall'Arabia Saudita per quanto riguarda l'emancipazione femminile, dal momento che la partecipazione femminile alla forza lavoro è salita al 36 % e che alle donne è stato riconosciuto il diritto di guidare e viaggiare senza tutela maschile;</w:t>
            </w:r>
          </w:p>
        </w:tc>
        <w:tc>
          <w:tcPr>
            <w:tcW w:w="4876" w:type="dxa"/>
            <w:tcBorders>
              <w:top w:val="nil"/>
              <w:left w:val="nil"/>
              <w:bottom w:val="nil"/>
              <w:right w:val="nil"/>
            </w:tcBorders>
          </w:tcPr>
          <w:p>
            <w:pPr>
              <w:pStyle w:val="Normal6a"/>
            </w:pPr>
            <w:r>
              <w:t>24.</w:t>
            </w:r>
            <w:r>
              <w:tab/>
            </w:r>
            <w:r>
              <w:t xml:space="preserve">sottolinea i progressi significativi compiuti dall'Arabia Saudita per quanto riguarda l'emancipazione femminile, dal momento che la partecipazione femminile alla forza lavoro è salita al 36 % e che alle donne è stato riconosciuto il diritto di guidare e viaggiare senza tutela maschile; </w:t>
            </w:r>
            <w:r>
              <w:rPr>
                <w:b/>
                <w:i/>
              </w:rPr>
              <w:t>osserva, tuttavia, che numerose persone saudite che si battono per i diritti delle donne sono tuttora incarcerate o sottoposte a gravi restrizioni in Arabia Saudita;</w:t>
            </w:r>
            <w:r>
              <w:t xml:space="preserve"> </w:t>
            </w:r>
            <w:r>
              <w:rPr>
                <w:b/>
                <w:i/>
              </w:rPr>
              <w:t>invita le autorità saudite a liberare Manahel al-Otaibi e Salma al-Shehab e a revocare i divieti di viaggio e le restrizioni amministrative nei confronti di Loujain al-Hathloul, Mariam al-Otaibi e Fawzia al-Otaibi;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133</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 xml:space="preserve">sottolinea i progressi </w:t>
            </w:r>
            <w:r>
              <w:rPr>
                <w:b/>
                <w:i/>
              </w:rPr>
              <w:t>significativi</w:t>
            </w:r>
            <w:r>
              <w:t xml:space="preserve"> compiuti dall'Arabia Saudita per quanto riguarda </w:t>
            </w:r>
            <w:r>
              <w:rPr>
                <w:b/>
                <w:i/>
              </w:rPr>
              <w:t>l'emancipazione femminile</w:t>
            </w:r>
            <w:r>
              <w:t xml:space="preserve">, dal momento che la partecipazione </w:t>
            </w:r>
            <w:r>
              <w:rPr>
                <w:b/>
                <w:i/>
              </w:rPr>
              <w:t>femminile</w:t>
            </w:r>
            <w:r>
              <w:t xml:space="preserve"> alla forza lavoro è salita al 36 % e che alle donne è stato riconosciuto il diritto di guidare e viaggiare senza tutela maschile;</w:t>
            </w:r>
          </w:p>
        </w:tc>
        <w:tc>
          <w:tcPr>
            <w:tcW w:w="4876" w:type="dxa"/>
            <w:tcBorders>
              <w:top w:val="nil"/>
              <w:left w:val="nil"/>
              <w:bottom w:val="nil"/>
              <w:right w:val="nil"/>
            </w:tcBorders>
          </w:tcPr>
          <w:p>
            <w:pPr>
              <w:pStyle w:val="Normal6a"/>
            </w:pPr>
            <w:r>
              <w:t>24.</w:t>
            </w:r>
            <w:r>
              <w:tab/>
            </w:r>
            <w:r>
              <w:t xml:space="preserve">sottolinea i progressi compiuti dall'Arabia Saudita per quanto riguarda </w:t>
            </w:r>
            <w:r>
              <w:rPr>
                <w:b/>
                <w:i/>
              </w:rPr>
              <w:t>i diritti delle donne</w:t>
            </w:r>
            <w:r>
              <w:t xml:space="preserve">, dal momento che la partecipazione </w:t>
            </w:r>
            <w:r>
              <w:rPr>
                <w:b/>
                <w:i/>
              </w:rPr>
              <w:t>delle donne</w:t>
            </w:r>
            <w:r>
              <w:t xml:space="preserve"> alla forza lavoro è salita al 36 % e che alle donne è stato riconosciuto il diritto di guidare e viaggiare senza </w:t>
            </w:r>
            <w:r>
              <w:rPr>
                <w:b/>
                <w:i/>
              </w:rPr>
              <w:t>il permesso di un tutore di sesso maschile;</w:t>
            </w:r>
            <w:r>
              <w:t xml:space="preserve"> </w:t>
            </w:r>
            <w:r>
              <w:rPr>
                <w:b/>
                <w:i/>
              </w:rPr>
              <w:t>osserva che permangono sfide significative, anche a livello della legge sullo status personale, in particolare per quanto riguarda il matrimonio infantile, lo stupro da parte del coniuge e la discriminazione nei confronti delle donne in materia di matrimonio, divorzio, affidamento dei minori, eredità e diritti di proprietà;</w:t>
            </w:r>
            <w:r>
              <w:t xml:space="preserve"> </w:t>
            </w:r>
            <w:r>
              <w:rPr>
                <w:b/>
                <w:i/>
              </w:rPr>
              <w:t>denuncia la situazione delle persone saudite che si sono battute per i diritti delle donne, in particolare per il diritto di guidare e per la fine del sistema di</w:t>
            </w:r>
            <w:r>
              <w:t xml:space="preserve"> tutela maschile</w:t>
            </w:r>
            <w:r>
              <w:rPr>
                <w:b/>
                <w:i/>
              </w:rPr>
              <w:t>, in quanto continuano a essere punite e prese di mira dalle autorità saudite con l'imposizione di divieti di viaggio</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134</w:t>
      </w:r>
      <w:r>
        <w:rPr>
          <w:rStyle w:val="HideTWBExt"/>
        </w:rPr>
        <w:t>&lt;/NumAm&gt;</w:t>
      </w:r>
    </w:p>
    <w:p>
      <w:pPr>
        <w:pStyle w:val="NormalBold"/>
      </w:pPr>
      <w:r>
        <w:rPr>
          <w:rStyle w:val="HideTWBExt"/>
          <w:b w:val="0"/>
        </w:rPr>
        <w:t>&lt;RepeatBlock-By&gt;</w:t>
      </w:r>
      <w:r>
        <w:rPr>
          <w:rStyle w:val="HideTWBExt"/>
          <w:b w:val="0"/>
        </w:rPr>
        <w:t>&lt;Members&gt;</w:t>
      </w:r>
      <w:r>
        <w:t>Merja Kyllönen, Jonas Sjöstedt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sottolinea i progressi significativi compiuti dall'Arabia Saudita per quanto riguarda l'emancipazione femminile, dal momento che la partecipazione femminile alla forza lavoro è salita al 36 % e che alle donne è stato riconosciuto il diritto di guidare e viaggiare senza tutela maschile;</w:t>
            </w:r>
          </w:p>
        </w:tc>
        <w:tc>
          <w:tcPr>
            <w:tcW w:w="4876" w:type="dxa"/>
            <w:tcBorders>
              <w:top w:val="nil"/>
              <w:left w:val="nil"/>
              <w:bottom w:val="nil"/>
              <w:right w:val="nil"/>
            </w:tcBorders>
          </w:tcPr>
          <w:p>
            <w:pPr>
              <w:pStyle w:val="Normal6a"/>
            </w:pPr>
            <w:r>
              <w:t>24.</w:t>
            </w:r>
            <w:r>
              <w:tab/>
            </w:r>
            <w:r>
              <w:t>sottolinea i progressi significativi compiuti dall'Arabia Saudita per quanto riguarda l'emancipazione femminile, dal momento che la partecipazione femminile alla forza lavoro è salita al 36 % e che alle donne è stato riconosciuto il diritto di guidare e viaggiare senza tutela maschile</w:t>
            </w:r>
            <w:r>
              <w:rPr>
                <w:b/>
                <w:i/>
              </w:rPr>
              <w:t>, ma osserva che permangono sfide significative, anche a livello della legge sullo status personale, in particolare per quanto riguarda il matrimonio infantile, lo stupro da parte del coniuge e la discriminazione nei confronti delle donne in materia di matrimonio, divorzio, affidamento dei minori, eredità e diritti di proprietà</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135</w:t>
      </w:r>
      <w:r>
        <w:rPr>
          <w:rStyle w:val="HideTWBExt"/>
        </w:rPr>
        <w:t>&lt;/NumAm&gt;</w:t>
      </w:r>
    </w:p>
    <w:p>
      <w:pPr>
        <w:pStyle w:val="NormalBold"/>
      </w:pPr>
      <w:r>
        <w:rPr>
          <w:rStyle w:val="HideTWBExt"/>
          <w:b w:val="0"/>
        </w:rPr>
        <w:t>&lt;RepeatBlock-By&gt;</w:t>
      </w:r>
      <w:r>
        <w:rPr>
          <w:rStyle w:val="HideTWBExt"/>
          <w:b w:val="0"/>
        </w:rPr>
        <w:t>&lt;Members&gt;</w:t>
      </w:r>
      <w:r>
        <w:t>Robert Biedroń, Andreas Schieder, Evin Incir, Marco Tarquinio, Chloé Ridel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sottolinea i progressi significativi compiuti dall'Arabia Saudita per quanto riguarda l'emancipazione femminile, dal momento che la partecipazione femminile alla forza lavoro è salita al 36 % e che alle donne è stato riconosciuto il diritto di guidare e viaggiare senza tutela maschile;</w:t>
            </w:r>
          </w:p>
        </w:tc>
        <w:tc>
          <w:tcPr>
            <w:tcW w:w="4876" w:type="dxa"/>
            <w:tcBorders>
              <w:top w:val="nil"/>
              <w:left w:val="nil"/>
              <w:bottom w:val="nil"/>
              <w:right w:val="nil"/>
            </w:tcBorders>
          </w:tcPr>
          <w:p>
            <w:pPr>
              <w:pStyle w:val="Normal6a"/>
            </w:pPr>
            <w:r>
              <w:t>24.</w:t>
            </w:r>
            <w:r>
              <w:tab/>
            </w:r>
            <w:r>
              <w:t>sottolinea i progressi significativi compiuti dall'Arabia Saudita per quanto riguarda l'emancipazione femminile, dal momento che la partecipazione femminile alla forza lavoro è salita al 36 % e che alle donne è stato riconosciuto il diritto di guidare e viaggiare senza tutela maschile</w:t>
            </w:r>
            <w:r>
              <w:rPr>
                <w:b/>
                <w:i/>
              </w:rPr>
              <w:t>, ma osserva che permangono sfide significative, anche a livello della legge sullo status personale, in particolare per quanto riguarda il matrimonio infantile, lo stupro da parte del coniuge e la discriminazione nei confronti delle donne in materia di matrimonio, divorzio, affidamento dei minori, eredità e diritti di proprietà</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136</w:t>
      </w:r>
      <w:r>
        <w:rPr>
          <w:rStyle w:val="HideTWBExt"/>
        </w:rPr>
        <w:t>&lt;/NumAm&gt;</w:t>
      </w:r>
    </w:p>
    <w:p>
      <w:pPr>
        <w:pStyle w:val="NormalBold"/>
      </w:pPr>
      <w:r>
        <w:rPr>
          <w:rStyle w:val="HideTWBExt"/>
          <w:b w:val="0"/>
        </w:rPr>
        <w:t>&lt;RepeatBlock-By&gt;</w:t>
      </w:r>
      <w:r>
        <w:rPr>
          <w:rStyle w:val="HideTWBExt"/>
          <w:b w:val="0"/>
        </w:rPr>
        <w:t>&lt;Members&gt;</w:t>
      </w:r>
      <w:r>
        <w:t>Jordan Bardella, Pierre-Romain Thionnet, Matthieu Valet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rPr>
                <w:b/>
                <w:i/>
              </w:rPr>
              <w:t>sottolinea i</w:t>
            </w:r>
            <w:r>
              <w:t xml:space="preserve"> progressi significativi compiuti dall'Arabia Saudita per quanto riguarda l'emancipazione femminile, dal momento che la partecipazione femminile alla forza lavoro è salita al 36 % e che alle donne è stato riconosciuto il diritto di guidare e viaggiare senza tutela maschile;</w:t>
            </w:r>
          </w:p>
        </w:tc>
        <w:tc>
          <w:tcPr>
            <w:tcW w:w="4876" w:type="dxa"/>
            <w:tcBorders>
              <w:top w:val="nil"/>
              <w:left w:val="nil"/>
              <w:bottom w:val="nil"/>
              <w:right w:val="nil"/>
            </w:tcBorders>
          </w:tcPr>
          <w:p>
            <w:pPr>
              <w:pStyle w:val="Normal6a"/>
            </w:pPr>
            <w:r>
              <w:t>24.</w:t>
            </w:r>
            <w:r>
              <w:tab/>
            </w:r>
            <w:r>
              <w:rPr>
                <w:b/>
                <w:i/>
              </w:rPr>
              <w:t>prende atto dei</w:t>
            </w:r>
            <w:r>
              <w:t xml:space="preserve"> progressi significativi compiuti dall'Arabia Saudita per quanto riguarda l'emancipazione femminile, dal momento che la partecipazione femminile alla forza lavoro è salita al 36 % e che alle donne è stato riconosciuto il diritto di guidare e viaggiare senza tutela maschile;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137</w:t>
      </w:r>
      <w:r>
        <w:rPr>
          <w:rStyle w:val="HideTWBExt"/>
        </w:rPr>
        <w:t>&lt;/NumAm&gt;</w:t>
      </w:r>
    </w:p>
    <w:p>
      <w:pPr>
        <w:pStyle w:val="NormalBold"/>
      </w:pPr>
      <w:r>
        <w:rPr>
          <w:rStyle w:val="HideTWBExt"/>
          <w:b w:val="0"/>
        </w:rPr>
        <w:t>&lt;RepeatBlock-By&gt;</w:t>
      </w:r>
      <w:r>
        <w:rPr>
          <w:rStyle w:val="HideTWBExt"/>
          <w:b w:val="0"/>
        </w:rPr>
        <w:t>&lt;Members&gt;</w:t>
      </w:r>
      <w:r>
        <w:t>Roberto Vannacci, Silvia Sardone,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 xml:space="preserve">sottolinea i progressi </w:t>
            </w:r>
            <w:r>
              <w:rPr>
                <w:b/>
                <w:i/>
              </w:rPr>
              <w:t>significativi</w:t>
            </w:r>
            <w:r>
              <w:t xml:space="preserve"> compiuti dall'Arabia Saudita per quanto riguarda l'emancipazione femminile, dal momento che la partecipazione femminile alla forza lavoro è salita al 36 % e che alle donne è stato riconosciuto il diritto di guidare e viaggiare senza tutela maschile;</w:t>
            </w:r>
          </w:p>
        </w:tc>
        <w:tc>
          <w:tcPr>
            <w:tcW w:w="4876" w:type="dxa"/>
            <w:tcBorders>
              <w:top w:val="nil"/>
              <w:left w:val="nil"/>
              <w:bottom w:val="nil"/>
              <w:right w:val="nil"/>
            </w:tcBorders>
          </w:tcPr>
          <w:p>
            <w:pPr>
              <w:pStyle w:val="Normal6a"/>
            </w:pPr>
            <w:r>
              <w:t>24.</w:t>
            </w:r>
            <w:r>
              <w:tab/>
            </w:r>
            <w:r>
              <w:t>sottolinea i progressi compiuti dall'Arabia Saudita per quanto riguarda l'emancipazione femminile, dal momento che la partecipazione femminile alla forza lavoro è salita al 36 % e che alle donne è stato riconosciuto il diritto di guidare e viaggiare senza tutela maschile;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138</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25.</w:t>
            </w:r>
            <w:r>
              <w:tab/>
            </w:r>
            <w:r>
              <w:t>osserva che l'Arabia Saudita ha avviato una serie di ambiziosi progetti infrastrutturali in vista di ospitare l'EXPO 2030 e la Coppa del mondo FIFA 2034;</w:t>
            </w:r>
          </w:p>
        </w:tc>
        <w:tc>
          <w:tcPr>
            <w:tcW w:w="4876" w:type="dxa"/>
            <w:tcBorders>
              <w:top w:val="nil"/>
              <w:left w:val="nil"/>
              <w:bottom w:val="nil"/>
              <w:right w:val="nil"/>
            </w:tcBorders>
          </w:tcPr>
          <w:p>
            <w:pPr>
              <w:pStyle w:val="Normal6a"/>
            </w:pPr>
            <w:r>
              <w:t>25.</w:t>
            </w:r>
            <w:r>
              <w:tab/>
            </w:r>
            <w:r>
              <w:t xml:space="preserve">osserva che l'Arabia Saudita ha avviato una serie di ambiziosi progetti infrastrutturali in vista di ospitare l'EXPO 2030 e la Coppa del mondo FIFA 2034 </w:t>
            </w:r>
            <w:r>
              <w:rPr>
                <w:b/>
                <w:i/>
              </w:rPr>
              <w:t>ed esprime profonda preoccupazione per il fatto che, nonostante le riforme annunciate, i lavoratori migranti continuino a subire abusi diffusi nell'ambito del regime della kafala, di cui alcuni possono costituire situazioni di lavoro forzato</w:t>
            </w:r>
            <w:r>
              <w:t xml:space="preserve">; </w:t>
            </w:r>
            <w:r>
              <w:rPr>
                <w:b/>
                <w:i/>
              </w:rPr>
              <w:t>prende atto delle riforme introdotte nell'ambito dell'iniziativa per la riforma del lavoro ed esorta al contempo l'Arabia Saudita ad abolire completamente il regime della kafala nel diritto e nella pratica, eliminando il controllo dei datori di lavoro sulla mobilità dei lavoratori, anche per quanto riguarda l'uscita dal paese e il cambio di lavoro, a garantire i diritti dei lavoratori di sciopero, contrattazione collettiva e libera associazione, a prevenire lo sfratto forzato dei residenti e a porre fine alla repressione dei difensori dei diritti umani in relazione a tali eventi;</w:t>
            </w:r>
            <w:r>
              <w:t xml:space="preserve"> </w:t>
            </w:r>
            <w:r>
              <w:rPr>
                <w:b/>
                <w:i/>
              </w:rPr>
              <w:t>invita l'Arabia Saudita a garantire che tutti i lavoratori migranti, inclusi i lavoratori domestici, abbiano accesso alla giustizia e a meccanismi efficaci affinché i datori di lavoro che commettono abusi siano chiamati a risponderne;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139</w:t>
      </w:r>
      <w:r>
        <w:rPr>
          <w:rStyle w:val="HideTWBExt"/>
        </w:rPr>
        <w:t>&lt;/NumAm&gt;</w:t>
      </w:r>
    </w:p>
    <w:p>
      <w:pPr>
        <w:pStyle w:val="NormalBold"/>
      </w:pPr>
      <w:r>
        <w:rPr>
          <w:rStyle w:val="HideTWBExt"/>
          <w:b w:val="0"/>
        </w:rPr>
        <w:t>&lt;RepeatBlock-By&gt;</w:t>
      </w:r>
      <w:r>
        <w:rPr>
          <w:rStyle w:val="HideTWBExt"/>
          <w:b w:val="0"/>
        </w:rPr>
        <w:t>&lt;Members&gt;</w:t>
      </w:r>
      <w:r>
        <w:t>Robert Biedroń, Andreas Schieder, Evin Incir, Marco Tarquinio, Chloé Ridel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25.</w:t>
            </w:r>
            <w:r>
              <w:tab/>
            </w:r>
            <w:r>
              <w:t>osserva che l'Arabia Saudita ha avviato una serie di ambiziosi progetti infrastrutturali in vista di ospitare l'EXPO 2030 e la Coppa del mondo FIFA 2034;</w:t>
            </w:r>
          </w:p>
        </w:tc>
        <w:tc>
          <w:tcPr>
            <w:tcW w:w="4876" w:type="dxa"/>
            <w:tcBorders>
              <w:top w:val="nil"/>
              <w:left w:val="nil"/>
              <w:bottom w:val="nil"/>
              <w:right w:val="nil"/>
            </w:tcBorders>
          </w:tcPr>
          <w:p>
            <w:pPr>
              <w:pStyle w:val="Normal6a"/>
            </w:pPr>
            <w:r>
              <w:t>25.</w:t>
            </w:r>
            <w:r>
              <w:tab/>
            </w:r>
            <w:r>
              <w:t xml:space="preserve">osserva che l'Arabia Saudita ha avviato una serie di ambiziosi progetti infrastrutturali in vista di ospitare l'EXPO 2030 e la Coppa del mondo FIFA 2034; </w:t>
            </w:r>
            <w:r>
              <w:rPr>
                <w:b/>
                <w:i/>
              </w:rPr>
              <w:t>esprime profonda preoccupazione per l'elevato tasso di mortalità dei migranti negli infortuni sul lavoro in Arabia Saudita;</w:t>
            </w:r>
            <w:r>
              <w:t xml:space="preserve"> </w:t>
            </w:r>
            <w:r>
              <w:rPr>
                <w:b/>
                <w:i/>
              </w:rPr>
              <w:t>invita l'Arabia Saudita a smantellare il regime della kafala e a garantire i diritti di sciopero, contrattazione collettiva e libera associazione;</w:t>
            </w:r>
            <w:r>
              <w:t xml:space="preserve"> </w:t>
            </w:r>
            <w:r>
              <w:rPr>
                <w:b/>
                <w:i/>
              </w:rPr>
              <w:t>esorta l'Arabia Saudita a eliminare qualsiasi obbligo per i lavoratori migranti di ottenere il consenso dei datori di lavoro per uscire dal paese e cambiare lavoro;</w:t>
            </w:r>
            <w:r>
              <w:t xml:space="preserve"> </w:t>
            </w:r>
            <w:r>
              <w:rPr>
                <w:b/>
                <w:i/>
              </w:rPr>
              <w:t>esprime preoccupazione per il fatto che la Coppa del mondo sarà utilizzata come campagna di "sportswashing" piuttosto che come una concreta opportunità di attuare le necessarie riforme del diritto del lavoro;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140</w:t>
      </w:r>
      <w:r>
        <w:rPr>
          <w:rStyle w:val="HideTWBExt"/>
        </w:rPr>
        <w:t>&lt;/NumAm&gt;</w:t>
      </w:r>
    </w:p>
    <w:p>
      <w:pPr>
        <w:pStyle w:val="NormalBold"/>
      </w:pPr>
      <w:r>
        <w:rPr>
          <w:rStyle w:val="HideTWBExt"/>
          <w:b w:val="0"/>
        </w:rPr>
        <w:t>&lt;RepeatBlock-By&gt;</w:t>
      </w:r>
      <w:r>
        <w:rPr>
          <w:rStyle w:val="HideTWBExt"/>
          <w:b w:val="0"/>
        </w:rPr>
        <w:t>&lt;Members&gt;</w:t>
      </w:r>
      <w:r>
        <w:t>Merja Kyllönen, Jonas Sjöstedt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25.</w:t>
            </w:r>
            <w:r>
              <w:tab/>
            </w:r>
            <w:r>
              <w:t>osserva che l'Arabia Saudita ha avviato una serie di ambiziosi progetti infrastrutturali in vista di ospitare l'EXPO 2030 e la Coppa del mondo FIFA 2034;</w:t>
            </w:r>
          </w:p>
        </w:tc>
        <w:tc>
          <w:tcPr>
            <w:tcW w:w="4876" w:type="dxa"/>
            <w:tcBorders>
              <w:top w:val="nil"/>
              <w:left w:val="nil"/>
              <w:bottom w:val="nil"/>
              <w:right w:val="nil"/>
            </w:tcBorders>
          </w:tcPr>
          <w:p>
            <w:pPr>
              <w:pStyle w:val="Normal6a"/>
            </w:pPr>
            <w:r>
              <w:t>25.</w:t>
            </w:r>
            <w:r>
              <w:tab/>
            </w:r>
            <w:r>
              <w:t xml:space="preserve">osserva che l'Arabia Saudita ha avviato una serie di ambiziosi progetti infrastrutturali in vista di ospitare l'EXPO 2030 e la Coppa del mondo FIFA 2034 </w:t>
            </w:r>
            <w:r>
              <w:rPr>
                <w:b/>
                <w:i/>
              </w:rPr>
              <w:t>ed esprime profonda preoccupazione in merito a segnalazioni di lavoratori migranti vittime di abusi diffusi nell'ambito del regime della kafala, nonostante le riforme annunciate, di cui alcuni possono costituire situazioni di lavoro forzato, e invita l'Arabia Saudita a smantellare completamente tale regime e a garantire i diritti dei lavoratori di sciopero, contrattazione collettiva e libera associazione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141</w:t>
      </w:r>
      <w:r>
        <w:rPr>
          <w:rStyle w:val="HideTWBExt"/>
        </w:rPr>
        <w:t>&lt;/NumAm&gt;</w:t>
      </w:r>
    </w:p>
    <w:p>
      <w:pPr>
        <w:pStyle w:val="NormalBold"/>
      </w:pPr>
      <w:r>
        <w:rPr>
          <w:rStyle w:val="HideTWBExt"/>
          <w:b w:val="0"/>
        </w:rPr>
        <w:t>&lt;RepeatBlock-By&gt;</w:t>
      </w:r>
      <w:r>
        <w:rPr>
          <w:rStyle w:val="HideTWBExt"/>
          <w:b w:val="0"/>
        </w:rPr>
        <w:t>&lt;Members&gt;</w:t>
      </w:r>
      <w:r>
        <w:t>Hana Jalloul Muro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25.</w:t>
            </w:r>
            <w:r>
              <w:tab/>
            </w:r>
            <w:r>
              <w:t>osserva che l'Arabia Saudita ha avviato una serie di ambiziosi progetti infrastrutturali in vista di ospitare l'EXPO 2030 e la Coppa del mondo FIFA 2034;</w:t>
            </w:r>
          </w:p>
        </w:tc>
        <w:tc>
          <w:tcPr>
            <w:tcW w:w="4876" w:type="dxa"/>
            <w:tcBorders>
              <w:top w:val="nil"/>
              <w:left w:val="nil"/>
              <w:bottom w:val="nil"/>
              <w:right w:val="nil"/>
            </w:tcBorders>
          </w:tcPr>
          <w:p>
            <w:pPr>
              <w:pStyle w:val="Normal6a"/>
            </w:pPr>
            <w:r>
              <w:t>25.</w:t>
            </w:r>
            <w:r>
              <w:tab/>
            </w:r>
            <w:r>
              <w:t xml:space="preserve">osserva che l'Arabia Saudita ha avviato una serie di ambiziosi progetti infrastrutturali in vista di ospitare l'EXPO 2030 e la Coppa del mondo FIFA 2034; </w:t>
            </w:r>
            <w:r>
              <w:rPr>
                <w:b/>
                <w:i/>
              </w:rPr>
              <w:t>confida nella capacità del governo di garantire il diritto dei lavoratori alla libera associazione;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142</w:t>
      </w:r>
      <w:r>
        <w:rPr>
          <w:rStyle w:val="HideTWBExt"/>
        </w:rPr>
        <w:t>&lt;/NumAm&gt;</w:t>
      </w:r>
    </w:p>
    <w:p>
      <w:pPr>
        <w:pStyle w:val="NormalBold"/>
      </w:pPr>
      <w:r>
        <w:rPr>
          <w:rStyle w:val="HideTWBExt"/>
          <w:b w:val="0"/>
        </w:rPr>
        <w:t>&lt;RepeatBlock-By&gt;</w:t>
      </w:r>
      <w:r>
        <w:rPr>
          <w:rStyle w:val="HideTWBExt"/>
          <w:b w:val="0"/>
        </w:rPr>
        <w:t>&lt;Members&gt;</w:t>
      </w:r>
      <w:r>
        <w:t>Bernard Guetta, Hilde Vautmans, Marie-Agnes Strack-Zimmermann, Engin Eroglu,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25.</w:t>
            </w:r>
            <w:r>
              <w:tab/>
            </w:r>
            <w:r>
              <w:t>osserva che l'Arabia Saudita ha avviato una serie di ambiziosi progetti infrastrutturali in vista di ospitare l'EXPO 2030 e la Coppa del mondo FIFA 2034;</w:t>
            </w:r>
          </w:p>
        </w:tc>
        <w:tc>
          <w:tcPr>
            <w:tcW w:w="4876" w:type="dxa"/>
            <w:tcBorders>
              <w:top w:val="nil"/>
              <w:left w:val="nil"/>
              <w:bottom w:val="nil"/>
              <w:right w:val="nil"/>
            </w:tcBorders>
          </w:tcPr>
          <w:p>
            <w:pPr>
              <w:pStyle w:val="Normal6a"/>
            </w:pPr>
            <w:r>
              <w:t>25.</w:t>
            </w:r>
            <w:r>
              <w:tab/>
            </w:r>
            <w:r>
              <w:t>osserva che l'Arabia Saudita ha avviato una serie di ambiziosi progetti infrastrutturali in vista di ospitare l'EXPO 2030 e la Coppa del mondo FIFA 2034</w:t>
            </w:r>
            <w:r>
              <w:rPr>
                <w:b/>
                <w:i/>
              </w:rPr>
              <w:t> e sottolinea che permangono numerose preoccupazioni per quanto riguarda il trattamento dei lavoratori e i loro diritti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143</w:t>
      </w:r>
      <w:r>
        <w:rPr>
          <w:rStyle w:val="HideTWBExt"/>
        </w:rPr>
        <w:t>&lt;/NumAm&gt;</w:t>
      </w:r>
    </w:p>
    <w:p>
      <w:pPr>
        <w:pStyle w:val="NormalBold"/>
      </w:pPr>
      <w:r>
        <w:rPr>
          <w:rStyle w:val="HideTWBExt"/>
          <w:b w:val="0"/>
        </w:rPr>
        <w:t>&lt;RepeatBlock-By&gt;</w:t>
      </w:r>
      <w:r>
        <w:rPr>
          <w:rStyle w:val="HideTWBExt"/>
          <w:b w:val="0"/>
        </w:rPr>
        <w:t>&lt;Members&gt;</w:t>
      </w:r>
      <w:r>
        <w:t>Merja Kyllönen, Jonas Sjöstedt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25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 bis.</w:t>
            </w:r>
            <w:r>
              <w:tab/>
            </w:r>
            <w:r>
              <w:rPr>
                <w:b/>
                <w:i/>
              </w:rPr>
              <w:t>esorta l'Arabia Saudita a eliminare, nel frattempo, qualsiasi obbligo per i lavoratori migranti di ottenere il consenso dei datori di lavoro per uscire dal paese e cambiare lavoro;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144</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25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 bis.</w:t>
            </w:r>
            <w:r>
              <w:tab/>
            </w:r>
            <w:r>
              <w:rPr>
                <w:b/>
                <w:i/>
              </w:rPr>
              <w:t>esorta l'Arabia Saudita a eliminare, nel frattempo, qualsiasi obbligo per i lavoratori migranti di ottenere il consenso dei datori di lavoro per uscire dal paese e cambiare lavoro;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145</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25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 ter.</w:t>
            </w:r>
            <w:r>
              <w:tab/>
            </w:r>
            <w:r>
              <w:rPr>
                <w:b/>
                <w:i/>
              </w:rPr>
              <w:t>esorta l'Arabia Saudita a rafforzare il dovere di diligenza e il monitoraggio delle imprese di assunzione al fine di garantire che coprano tutti i costi e gli oneri correlati all'assunzione dei lavoratori e a creare un fondo per il rimborso delle spese di assunzione illegali ai lavoratori;</w:t>
            </w:r>
            <w:r>
              <w:t xml:space="preserve"> </w:t>
            </w:r>
            <w:r>
              <w:rPr>
                <w:b/>
                <w:i/>
              </w:rPr>
              <w:t>invita l'Arabia Saudita a introdurre un salario minimo non discriminatorio e a garantire l'accesso ai mezzi di ricorso per tutte le forme di furto di salario a danno dei lavoratori migranti affinché i lavoratori non retribuiti possano ricevere i salari e le prestazioni non corrisposti;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146</w:t>
      </w:r>
      <w:r>
        <w:rPr>
          <w:rStyle w:val="HideTWBExt"/>
        </w:rPr>
        <w:t>&lt;/NumAm&gt;</w:t>
      </w:r>
    </w:p>
    <w:p>
      <w:pPr>
        <w:pStyle w:val="NormalBold"/>
      </w:pPr>
      <w:r>
        <w:rPr>
          <w:rStyle w:val="HideTWBExt"/>
          <w:b w:val="0"/>
        </w:rPr>
        <w:t>&lt;RepeatBlock-By&gt;</w:t>
      </w:r>
      <w:r>
        <w:rPr>
          <w:rStyle w:val="HideTWBExt"/>
          <w:b w:val="0"/>
        </w:rPr>
        <w:t>&lt;Members&gt;</w:t>
      </w:r>
      <w:r>
        <w:t>Merja Kyllönen, Jonas Sjöstedt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25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 ter.</w:t>
            </w:r>
            <w:r>
              <w:tab/>
            </w:r>
            <w:r>
              <w:rPr>
                <w:b/>
                <w:i/>
              </w:rPr>
              <w:t>esorta l'Arabia Saudita a rafforzare il dovere di diligenza e il monitoraggio delle imprese di assunzione al fine di garantire che coprano tutti i costi e gli oneri correlati all'assunzione dei lavoratori e a creare un fondo per il rimborso delle spese di assunzione illegali ai lavoratori;</w:t>
            </w:r>
            <w:r>
              <w:t xml:space="preserve"> </w:t>
            </w:r>
            <w:r>
              <w:rPr>
                <w:b/>
                <w:i/>
              </w:rPr>
              <w:t>chiede di introdurre un salario minimo non discriminatorio e a garantire l'accesso ai mezzi di ricorso per tutte le forme di furto di salario a danno dei lavoratori migranti affinché i lavoratori non retribuiti possano ricevere i salari e le prestazioni non corrisposti;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147</w:t>
      </w:r>
      <w:r>
        <w:rPr>
          <w:rStyle w:val="HideTWBExt"/>
        </w:rPr>
        <w:t>&lt;/NumAm&gt;</w:t>
      </w:r>
    </w:p>
    <w:p>
      <w:pPr>
        <w:pStyle w:val="NormalBold"/>
      </w:pPr>
      <w:r>
        <w:rPr>
          <w:rStyle w:val="HideTWBExt"/>
          <w:b w:val="0"/>
        </w:rPr>
        <w:t>&lt;RepeatBlock-By&gt;</w:t>
      </w:r>
      <w:r>
        <w:rPr>
          <w:rStyle w:val="HideTWBExt"/>
          <w:b w:val="0"/>
        </w:rPr>
        <w:t>&lt;Members&gt;</w:t>
      </w:r>
      <w:r>
        <w:t>Engin Eroglu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26.</w:t>
            </w:r>
            <w:r>
              <w:tab/>
            </w:r>
            <w:r>
              <w:t>riconosce l'opportunità di una collaborazione tra l'UE e l'Arabia Saudita sull'iniziativa relativa ai corridoi economici India-Medio Oriente-Europa, che dovrebbe guidare gli investimenti nei cavi elettrici, nelle telecomunicazioni e nei cavi di dati sottomarini, nonché nei gasdotti per l'idrogeno verde;</w:t>
            </w:r>
          </w:p>
        </w:tc>
        <w:tc>
          <w:tcPr>
            <w:tcW w:w="4876" w:type="dxa"/>
            <w:tcBorders>
              <w:top w:val="nil"/>
              <w:left w:val="nil"/>
              <w:bottom w:val="nil"/>
              <w:right w:val="nil"/>
            </w:tcBorders>
          </w:tcPr>
          <w:p>
            <w:pPr>
              <w:pStyle w:val="Normal6a"/>
            </w:pPr>
            <w:r>
              <w:t>26.</w:t>
            </w:r>
            <w:r>
              <w:tab/>
            </w:r>
            <w:r>
              <w:t>riconosce l'opportunità di una collaborazione tra l'UE e l'Arabia Saudita</w:t>
            </w:r>
            <w:r>
              <w:rPr>
                <w:b/>
                <w:i/>
              </w:rPr>
              <w:t>, nell'ambito del partenariato strategico UE-CCG e attraverso l'iniziativa Global Gateway dell'UE,</w:t>
            </w:r>
            <w:r>
              <w:t xml:space="preserve"> sull'iniziativa relativa ai corridoi economici India-Medio Oriente-Europa, che dovrebbe guidare gli investimenti nei cavi elettrici, nelle telecomunicazioni e nei cavi di dati sottomarini, nonché nei gasdotti per l'idrogeno verde</w:t>
            </w:r>
            <w:r>
              <w:rPr>
                <w:b/>
                <w:i/>
              </w:rPr>
              <w:t>, e accoglie con favore la partecipazione degli Stati Uniti d'America</w:t>
            </w:r>
            <w:r>
              <w:t xml:space="preserve">; </w:t>
            </w:r>
            <w:r>
              <w:rPr>
                <w:b/>
                <w:i/>
              </w:rPr>
              <w:t>esorta ad affrontare il deficit di finanziamento dell'IMEC attraverso investimenti dell'UE, degli Stati Uniti e del Golfo e a promuovere lo sviluppo sostenibile delle infrastrutture;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148</w:t>
      </w:r>
      <w:r>
        <w:rPr>
          <w:rStyle w:val="HideTWBExt"/>
        </w:rPr>
        <w:t>&lt;/NumAm&gt;</w:t>
      </w:r>
    </w:p>
    <w:p>
      <w:pPr>
        <w:pStyle w:val="NormalBold"/>
      </w:pPr>
      <w:r>
        <w:rPr>
          <w:rStyle w:val="HideTWBExt"/>
          <w:b w:val="0"/>
        </w:rPr>
        <w:t>&lt;RepeatBlock-By&gt;</w:t>
      </w:r>
      <w:r>
        <w:rPr>
          <w:rStyle w:val="HideTWBExt"/>
          <w:b w:val="0"/>
        </w:rPr>
        <w:t>&lt;Members&gt;</w:t>
      </w:r>
      <w:r>
        <w:t>Merja Kyllönen, Jonas Sjöstedt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26.</w:t>
            </w:r>
            <w:r>
              <w:tab/>
            </w:r>
            <w:r>
              <w:t>riconosce l'opportunità di una collaborazione tra l'UE e l'Arabia Saudita sull'iniziativa relativa ai corridoi economici India-Medio Oriente-Europa, che dovrebbe guidare gli investimenti nei cavi elettrici, nelle telecomunicazioni e nei cavi di dati sottomarini, nonché nei gasdotti per l'idrogeno verde;</w:t>
            </w:r>
          </w:p>
        </w:tc>
        <w:tc>
          <w:tcPr>
            <w:tcW w:w="4876" w:type="dxa"/>
            <w:tcBorders>
              <w:top w:val="nil"/>
              <w:left w:val="nil"/>
              <w:bottom w:val="nil"/>
              <w:right w:val="nil"/>
            </w:tcBorders>
          </w:tcPr>
          <w:p>
            <w:pPr>
              <w:pStyle w:val="Normal6a"/>
            </w:pPr>
            <w:r>
              <w:t>26.</w:t>
            </w:r>
            <w:r>
              <w:tab/>
            </w:r>
            <w:r>
              <w:t>riconosce l'opportunità di una collaborazione tra l'UE e l'Arabia Saudita sull'iniziativa relativa ai corridoi economici India-Medio Oriente-Europa, che dovrebbe guidare gli investimenti nei cavi elettrici, nelle telecomunicazioni e nei cavi di dati sottomarini, nonché nei gasdotti per l'idrogeno verde</w:t>
            </w:r>
            <w:r>
              <w:rPr>
                <w:b/>
                <w:i/>
              </w:rPr>
              <w:t>, ma rileva la necessità di sviluppare e attuare una politica sul dovere di diligenza in materia di diritti umani in consultazione con i pertinenti titolari di diritti, quali i sindacati dei lavoratori indipendenti e altri portatori di interessi e in linea con i principi guida delle Nazioni Unite su imprese e diritti umani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149</w:t>
      </w:r>
      <w:r>
        <w:rPr>
          <w:rStyle w:val="HideTWBExt"/>
        </w:rPr>
        <w:t>&lt;/NumAm&gt;</w:t>
      </w:r>
    </w:p>
    <w:p>
      <w:pPr>
        <w:pStyle w:val="NormalBold"/>
      </w:pPr>
      <w:r>
        <w:rPr>
          <w:rStyle w:val="HideTWBExt"/>
          <w:b w:val="0"/>
        </w:rPr>
        <w:t>&lt;RepeatBlock-By&gt;</w:t>
      </w:r>
      <w:r>
        <w:rPr>
          <w:rStyle w:val="HideTWBExt"/>
          <w:b w:val="0"/>
        </w:rPr>
        <w:t>&lt;Members&gt;</w:t>
      </w:r>
      <w:r>
        <w:t>Hana Jalloul Muro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26.</w:t>
            </w:r>
            <w:r>
              <w:tab/>
            </w:r>
            <w:r>
              <w:t>riconosce l'opportunità di una collaborazione tra l'UE e l'Arabia Saudita sull'iniziativa relativa ai corridoi economici India-Medio Oriente-Europa, che dovrebbe guidare gli investimenti nei cavi elettrici, nelle telecomunicazioni e nei cavi di dati sottomarini, nonché nei gasdotti per l'idrogeno verde;</w:t>
            </w:r>
          </w:p>
        </w:tc>
        <w:tc>
          <w:tcPr>
            <w:tcW w:w="4876" w:type="dxa"/>
            <w:tcBorders>
              <w:top w:val="nil"/>
              <w:left w:val="nil"/>
              <w:bottom w:val="nil"/>
              <w:right w:val="nil"/>
            </w:tcBorders>
          </w:tcPr>
          <w:p>
            <w:pPr>
              <w:pStyle w:val="Normal6a"/>
            </w:pPr>
            <w:r>
              <w:t>26.</w:t>
            </w:r>
            <w:r>
              <w:tab/>
            </w:r>
            <w:r>
              <w:t xml:space="preserve">riconosce l'opportunità di una collaborazione tra l'UE e l'Arabia Saudita sull'iniziativa relativa ai corridoi economici India-Medio Oriente-Europa, che dovrebbe guidare gli investimenti nei cavi elettrici, nelle telecomunicazioni e nei cavi di dati sottomarini, nonché nei gasdotti per l'idrogeno verde; </w:t>
            </w:r>
            <w:r>
              <w:rPr>
                <w:b/>
                <w:i/>
              </w:rPr>
              <w:t>valuta il suo potenziale di collegare l'UE mediante collegamenti di trasporto multimodali;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150</w:t>
      </w:r>
      <w:r>
        <w:rPr>
          <w:rStyle w:val="HideTWBExt"/>
        </w:rPr>
        <w:t>&lt;/NumAm&gt;</w:t>
      </w:r>
    </w:p>
    <w:p>
      <w:pPr>
        <w:pStyle w:val="NormalBold"/>
      </w:pPr>
      <w:r>
        <w:rPr>
          <w:rStyle w:val="HideTWBExt"/>
          <w:b w:val="0"/>
        </w:rPr>
        <w:t>&lt;RepeatBlock-By&gt;</w:t>
      </w:r>
      <w:r>
        <w:rPr>
          <w:rStyle w:val="HideTWBExt"/>
          <w:b w:val="0"/>
        </w:rPr>
        <w:t>&lt;Members&gt;</w:t>
      </w:r>
      <w:r>
        <w:t>Adam Bielan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26.</w:t>
            </w:r>
            <w:r>
              <w:tab/>
            </w:r>
            <w:r>
              <w:t xml:space="preserve">riconosce l'opportunità </w:t>
            </w:r>
            <w:r>
              <w:rPr>
                <w:b/>
                <w:i/>
              </w:rPr>
              <w:t>di</w:t>
            </w:r>
            <w:r>
              <w:t xml:space="preserve"> una collaborazione tra l'UE e l'Arabia Saudita sull'iniziativa relativa ai corridoi economici India-Medio Oriente-Europa, che dovrebbe guidare gli investimenti nei cavi elettrici, nelle telecomunicazioni e nei cavi di dati sottomarini, nonché nei gasdotti per l'idrogeno verde;</w:t>
            </w:r>
          </w:p>
        </w:tc>
        <w:tc>
          <w:tcPr>
            <w:tcW w:w="4876" w:type="dxa"/>
            <w:tcBorders>
              <w:top w:val="nil"/>
              <w:left w:val="nil"/>
              <w:bottom w:val="nil"/>
              <w:right w:val="nil"/>
            </w:tcBorders>
          </w:tcPr>
          <w:p>
            <w:pPr>
              <w:pStyle w:val="Normal6a"/>
            </w:pPr>
            <w:r>
              <w:t>26.</w:t>
            </w:r>
            <w:r>
              <w:tab/>
            </w:r>
            <w:r>
              <w:t xml:space="preserve">riconosce l'opportunità </w:t>
            </w:r>
            <w:r>
              <w:rPr>
                <w:b/>
                <w:i/>
              </w:rPr>
              <w:t>e gli interessi convergenti per quanto riguarda</w:t>
            </w:r>
            <w:r>
              <w:t xml:space="preserve"> una collaborazione tra l'UE e l'Arabia Saudita sull'iniziativa relativa ai corridoi economici India-Medio Oriente-Europa, che dovrebbe guidare gli investimenti nei cavi elettrici, nelle telecomunicazioni e nei cavi di dati sottomarini, nonché nei gasdotti per l'idrogeno verde;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151</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26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26 bis.</w:t>
            </w:r>
            <w:r>
              <w:tab/>
            </w:r>
            <w:r>
              <w:rPr>
                <w:b/>
                <w:i/>
              </w:rPr>
              <w:t>sottolinea l'importanza strategica del corridoio IMEC quale catalizzatore della connettività regionale, dell'integrazione economica e della cooperazione geopolitica;</w:t>
            </w:r>
            <w:r>
              <w:t xml:space="preserve"> </w:t>
            </w:r>
            <w:r>
              <w:rPr>
                <w:b/>
                <w:i/>
              </w:rPr>
              <w:t>prende atto del potenziale di ampliamento della collaborazione in materia di infrastrutture digitali strategiche, comprese rotte di dati diversificate e sicure che colleghino il Golfo e l'Europa, con l'obiettivo condiviso di rafforzare la resilienza digitale, la sicurezza dei dati e la connettività dell'Europa con l'Asia e l'Africa;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152</w:t>
      </w:r>
      <w:r>
        <w:rPr>
          <w:rStyle w:val="HideTWBExt"/>
        </w:rPr>
        <w:t>&lt;/NumAm&gt;</w:t>
      </w:r>
    </w:p>
    <w:p>
      <w:pPr>
        <w:pStyle w:val="NormalBold"/>
      </w:pPr>
      <w:r>
        <w:rPr>
          <w:rStyle w:val="HideTWBExt"/>
          <w:b w:val="0"/>
        </w:rPr>
        <w:t>&lt;RepeatBlock-By&gt;</w:t>
      </w:r>
      <w:r>
        <w:rPr>
          <w:rStyle w:val="HideTWBExt"/>
          <w:b w:val="0"/>
        </w:rPr>
        <w:t>&lt;Members&gt;</w:t>
      </w:r>
      <w:r>
        <w:t>Antonio López-Istúriz White, Reinhold Lopatka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26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26 bis.</w:t>
            </w:r>
            <w:r>
              <w:tab/>
            </w:r>
            <w:r>
              <w:rPr>
                <w:b/>
                <w:i/>
              </w:rPr>
              <w:t>riconosce l'impegno continuo della Camera di commercio europea nel Regno dell'Arabia Saudita (ECCKSA) nel promuovere la collaborazione tra le imprese europee e l'Arabia Saudita in materia di infrastrutture logistiche e di trasporto;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153</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27.</w:t>
            </w:r>
            <w:r>
              <w:tab/>
            </w:r>
            <w:r>
              <w:t>chiede una più stretta cooperazione tra l'UE e l'Arabia Saudita in materia di diritti umani; accoglie con favore i dialoghi sui diritti umani UE-Regno dell'Arabia Saudita guidati dalla Commissione per i diritti umani dell'Arabia Saudita e dalla Commissione europea, il cui quarto ciclo si è svolto a Riyadh nel dicembre 2024;</w:t>
            </w:r>
          </w:p>
        </w:tc>
        <w:tc>
          <w:tcPr>
            <w:tcW w:w="4876" w:type="dxa"/>
            <w:tcBorders>
              <w:top w:val="nil"/>
              <w:left w:val="nil"/>
              <w:bottom w:val="nil"/>
              <w:right w:val="nil"/>
            </w:tcBorders>
          </w:tcPr>
          <w:p>
            <w:pPr>
              <w:pStyle w:val="Normal6a"/>
            </w:pPr>
            <w:r>
              <w:t>27.</w:t>
            </w:r>
            <w:r>
              <w:tab/>
            </w:r>
            <w:r>
              <w:t xml:space="preserve">chiede una più stretta cooperazione </w:t>
            </w:r>
            <w:r>
              <w:rPr>
                <w:b/>
                <w:i/>
              </w:rPr>
              <w:t>e maggiore controllo</w:t>
            </w:r>
            <w:r>
              <w:t xml:space="preserve"> tra l'UE e l'Arabia Saudita in materia di diritti umani; accoglie con favore i dialoghi sui diritti umani UE-Regno dell'Arabia Saudita guidati dalla Commissione per i diritti umani dell'Arabia Saudita e dalla Commissione europea, il cui quarto ciclo si è svolto a Riyadh nel dicembre 2024; </w:t>
            </w:r>
            <w:r>
              <w:rPr>
                <w:b/>
                <w:i/>
              </w:rPr>
              <w:t>sottolinea che questo dialogo e tutti gli altri dialoghi in materia di diritti umani che l'UE organizza dovrebbero mirare a garantire progressi concreti, misurabili e temporalmente definiti in materia di diritti umani, tra cui le riforme in materia di diritti umani, l'abolizione delle politiche abusive, la garanzia dell'assunzione di responsabilità per gli abusi commessi e il rilascio delle persone detenute ingiustamente;</w:t>
            </w:r>
            <w:r>
              <w:t xml:space="preserve"> </w:t>
            </w:r>
            <w:r>
              <w:rPr>
                <w:b/>
                <w:i/>
              </w:rPr>
              <w:t>ricorda che la cooperazione tra l'UE e l'Arabia Saudita in materia di diritti umani non deve limitarsi ai soli dialoghi sui diritti umani, ma deve essere estesa a tutte le relazioni tra l'UE e l'Arabia Saudita, a norma dell'articolo 21, TUE;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154</w:t>
      </w:r>
      <w:r>
        <w:rPr>
          <w:rStyle w:val="HideTWBExt"/>
        </w:rPr>
        <w:t>&lt;/NumAm&gt;</w:t>
      </w:r>
    </w:p>
    <w:p>
      <w:pPr>
        <w:pStyle w:val="NormalBold"/>
      </w:pPr>
      <w:r>
        <w:rPr>
          <w:rStyle w:val="HideTWBExt"/>
          <w:b w:val="0"/>
        </w:rPr>
        <w:t>&lt;RepeatBlock-By&gt;</w:t>
      </w:r>
      <w:r>
        <w:rPr>
          <w:rStyle w:val="HideTWBExt"/>
          <w:b w:val="0"/>
        </w:rPr>
        <w:t>&lt;Members&gt;</w:t>
      </w:r>
      <w:r>
        <w:t>Antonio López-Istúriz White, Reinhold Lopatka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27.</w:t>
            </w:r>
            <w:r>
              <w:tab/>
            </w:r>
            <w:r>
              <w:t>chiede una più stretta cooperazione tra l'UE e l'Arabia Saudita in materia di diritti umani; accoglie con favore i dialoghi sui diritti umani UE-Regno dell'Arabia Saudita guidati dalla Commissione per i diritti umani dell'Arabia Saudita e dalla Commissione europea, il cui quarto ciclo si è svolto a Riyadh nel dicembre 2024;</w:t>
            </w:r>
          </w:p>
        </w:tc>
        <w:tc>
          <w:tcPr>
            <w:tcW w:w="4876" w:type="dxa"/>
            <w:tcBorders>
              <w:top w:val="nil"/>
              <w:left w:val="nil"/>
              <w:bottom w:val="nil"/>
              <w:right w:val="nil"/>
            </w:tcBorders>
          </w:tcPr>
          <w:p>
            <w:pPr>
              <w:pStyle w:val="Normal6a"/>
            </w:pPr>
            <w:r>
              <w:t>27.</w:t>
            </w:r>
            <w:r>
              <w:tab/>
            </w:r>
            <w:r>
              <w:t xml:space="preserve">chiede una più stretta cooperazione tra l'UE e l'Arabia Saudita in materia di diritti umani; accoglie con favore i dialoghi sui diritti umani UE-Regno dell'Arabia Saudita guidati dalla Commissione per i diritti umani dell'Arabia Saudita e dalla Commissione europea, il cui quarto ciclo si è svolto a Riyadh nel dicembre 2024; </w:t>
            </w:r>
            <w:r>
              <w:rPr>
                <w:b/>
                <w:i/>
              </w:rPr>
              <w:t>osserva che le discussioni hanno riguardato un'ampia gamma di questioni relative ai diritti umani, tra cui i diritti delle donne e dei gruppi vulnerabili, lo stato di diritto, il diritto a un processo equo, la pena capitale, la libertà di espressione, riunione e associazione, la tratta di esseri umani, i diritti economici, sociali e culturali, nonché la cooperazione e le attività bilaterali tra l'UE e il Regno dell'Arabia Saudita nei consessi multilaterali in materia di diritti umani;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155</w:t>
      </w:r>
      <w:r>
        <w:rPr>
          <w:rStyle w:val="HideTWBExt"/>
        </w:rPr>
        <w:t>&lt;/NumAm&gt;</w:t>
      </w:r>
    </w:p>
    <w:p>
      <w:pPr>
        <w:pStyle w:val="NormalBold"/>
      </w:pPr>
      <w:r>
        <w:rPr>
          <w:rStyle w:val="HideTWBExt"/>
          <w:b w:val="0"/>
        </w:rPr>
        <w:t>&lt;RepeatBlock-By&gt;</w:t>
      </w:r>
      <w:r>
        <w:rPr>
          <w:rStyle w:val="HideTWBExt"/>
          <w:b w:val="0"/>
        </w:rPr>
        <w:t>&lt;Members&gt;</w:t>
      </w:r>
      <w:r>
        <w:t>Merja Kyllönen, Jonas Sjöstedt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27.</w:t>
            </w:r>
            <w:r>
              <w:tab/>
            </w:r>
            <w:r>
              <w:t>chiede una più stretta cooperazione tra l'UE e l'Arabia Saudita in materia di diritti umani; accoglie con favore i dialoghi sui diritti umani UE-Regno dell'Arabia Saudita guidati dalla Commissione per i diritti umani dell'Arabia Saudita e dalla Commissione europea, il cui quarto ciclo si è svolto a Riyadh nel dicembre 2024;</w:t>
            </w:r>
          </w:p>
        </w:tc>
        <w:tc>
          <w:tcPr>
            <w:tcW w:w="4876" w:type="dxa"/>
            <w:tcBorders>
              <w:top w:val="nil"/>
              <w:left w:val="nil"/>
              <w:bottom w:val="nil"/>
              <w:right w:val="nil"/>
            </w:tcBorders>
          </w:tcPr>
          <w:p>
            <w:pPr>
              <w:pStyle w:val="Normal6a"/>
            </w:pPr>
            <w:r>
              <w:t>27.</w:t>
            </w:r>
            <w:r>
              <w:tab/>
            </w:r>
            <w:r>
              <w:t>chiede una più stretta cooperazione tra l'UE e l'Arabia Saudita in materia di diritti umani; accoglie con favore i dialoghi sui diritti umani UE-Regno dell'Arabia Saudita guidati dalla Commissione per i diritti umani dell'Arabia Saudita e dalla Commissione europea, il cui quarto ciclo si è svolto a Riyadh nel dicembre 2024</w:t>
            </w:r>
            <w:r>
              <w:rPr>
                <w:b/>
                <w:i/>
              </w:rPr>
              <w:t>, e sottolinea che questo dialogo e tutti gli altri dialoghi in materia di diritti umani che l'UE organizza dovrebbero mirare a garantire progressi concreti, misurabili e temporalmente definiti in materia di diritti umani, tra cui le riforme in materia di diritti umani, l'abolizione delle politiche abusive, la garanzia dell'assunzione di responsabilità per gli abusi commessi e il rilascio delle persone detenute ingiustamente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156</w:t>
      </w:r>
      <w:r>
        <w:rPr>
          <w:rStyle w:val="HideTWBExt"/>
        </w:rPr>
        <w:t>&lt;/NumAm&gt;</w:t>
      </w:r>
    </w:p>
    <w:p>
      <w:pPr>
        <w:pStyle w:val="NormalBold"/>
      </w:pPr>
      <w:r>
        <w:rPr>
          <w:rStyle w:val="HideTWBExt"/>
          <w:b w:val="0"/>
        </w:rPr>
        <w:t>&lt;RepeatBlock-By&gt;</w:t>
      </w:r>
      <w:r>
        <w:rPr>
          <w:rStyle w:val="HideTWBExt"/>
          <w:b w:val="0"/>
        </w:rPr>
        <w:t>&lt;Members&gt;</w:t>
      </w:r>
      <w:r>
        <w:t>Bernard Guetta, Hilde Vautmans, Marie-Agnes Strack-Zimmermann, Engin Eroglu,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27.</w:t>
            </w:r>
            <w:r>
              <w:tab/>
            </w:r>
            <w:r>
              <w:t>chiede una più stretta cooperazione tra l'UE e l'Arabia Saudita in materia di diritti umani; accoglie con favore i dialoghi sui diritti umani UE-Regno dell'Arabia Saudita guidati dalla Commissione per i diritti umani dell'Arabia Saudita e dalla Commissione europea, il cui quarto ciclo si è svolto a Riyadh nel dicembre 2024;</w:t>
            </w:r>
          </w:p>
        </w:tc>
        <w:tc>
          <w:tcPr>
            <w:tcW w:w="4876" w:type="dxa"/>
            <w:tcBorders>
              <w:top w:val="nil"/>
              <w:left w:val="nil"/>
              <w:bottom w:val="nil"/>
              <w:right w:val="nil"/>
            </w:tcBorders>
          </w:tcPr>
          <w:p>
            <w:pPr>
              <w:pStyle w:val="Normal6a"/>
            </w:pPr>
            <w:r>
              <w:t>27.</w:t>
            </w:r>
            <w:r>
              <w:tab/>
            </w:r>
            <w:r>
              <w:t xml:space="preserve">chiede una più stretta cooperazione tra l'UE e l'Arabia Saudita in materia di diritti umani; accoglie con favore i dialoghi sui diritti umani UE-Regno dell'Arabia Saudita guidati dalla Commissione per i diritti umani dell'Arabia Saudita e dalla Commissione europea, il cui quarto ciclo si è svolto a Riyadh nel dicembre 2024; </w:t>
            </w:r>
            <w:r>
              <w:rPr>
                <w:b/>
                <w:i/>
              </w:rPr>
              <w:t>sottolinea che i dialoghi sui diritti umani costituiscono una piattaforma fondamentale per lo scambio di punti di vista sui diritti umani internazionali e per il rafforzamento della cooperazione multilaterale;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157</w:t>
      </w:r>
      <w:r>
        <w:rPr>
          <w:rStyle w:val="HideTWBExt"/>
        </w:rPr>
        <w:t>&lt;/NumAm&gt;</w:t>
      </w:r>
    </w:p>
    <w:p>
      <w:pPr>
        <w:pStyle w:val="NormalBold"/>
      </w:pPr>
      <w:r>
        <w:rPr>
          <w:rStyle w:val="HideTWBExt"/>
          <w:b w:val="0"/>
        </w:rPr>
        <w:t>&lt;RepeatBlock-By&gt;</w:t>
      </w:r>
      <w:r>
        <w:rPr>
          <w:rStyle w:val="HideTWBExt"/>
          <w:b w:val="0"/>
        </w:rPr>
        <w:t>&lt;Members&gt;</w:t>
      </w:r>
      <w:r>
        <w:t>Hana Jalloul Muro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27.</w:t>
            </w:r>
            <w:r>
              <w:tab/>
            </w:r>
            <w:r>
              <w:t>chiede una più stretta cooperazione tra l'UE e l'Arabia Saudita in materia di diritti umani; accoglie con favore i dialoghi sui diritti umani UE-Regno dell'Arabia Saudita guidati dalla Commissione per i diritti umani dell'Arabia Saudita e dalla Commissione europea, il cui quarto ciclo si è svolto a Riyadh nel dicembre 2024;</w:t>
            </w:r>
          </w:p>
        </w:tc>
        <w:tc>
          <w:tcPr>
            <w:tcW w:w="4876" w:type="dxa"/>
            <w:tcBorders>
              <w:top w:val="nil"/>
              <w:left w:val="nil"/>
              <w:bottom w:val="nil"/>
              <w:right w:val="nil"/>
            </w:tcBorders>
          </w:tcPr>
          <w:p>
            <w:pPr>
              <w:pStyle w:val="Normal6a"/>
            </w:pPr>
            <w:r>
              <w:t>27.</w:t>
            </w:r>
            <w:r>
              <w:tab/>
            </w:r>
            <w:r>
              <w:t xml:space="preserve">chiede una più stretta cooperazione tra l'UE e l'Arabia Saudita in materia di diritti umani; accoglie con favore i dialoghi sui diritti umani UE-Regno dell'Arabia Saudita guidati dalla Commissione per i diritti umani dell'Arabia Saudita e dalla Commissione europea, il cui quarto ciclo si è svolto a Riyadh nel dicembre 2024; </w:t>
            </w:r>
            <w:r>
              <w:rPr>
                <w:b/>
                <w:i/>
              </w:rPr>
              <w:t>sottolinea che tali dialoghi sui diritti umani dovrebbero mirare a garantire progressi e riforme concreti, misurabili e temporalmente definiti in materia di diritti umani;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158</w:t>
      </w:r>
      <w:r>
        <w:rPr>
          <w:rStyle w:val="HideTWBExt"/>
        </w:rPr>
        <w:t>&lt;/NumAm&gt;</w:t>
      </w:r>
    </w:p>
    <w:p>
      <w:pPr>
        <w:pStyle w:val="NormalBold"/>
      </w:pPr>
      <w:r>
        <w:rPr>
          <w:rStyle w:val="HideTWBExt"/>
          <w:b w:val="0"/>
        </w:rPr>
        <w:t>&lt;RepeatBlock-By&gt;</w:t>
      </w:r>
      <w:r>
        <w:rPr>
          <w:rStyle w:val="HideTWBExt"/>
          <w:b w:val="0"/>
        </w:rPr>
        <w:t>&lt;Members&gt;</w:t>
      </w:r>
      <w:r>
        <w:t>Robert Biedroń, Andreas Schieder, Evin Incir, Marco Tarquinio, Chloé Ridel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27.</w:t>
            </w:r>
            <w:r>
              <w:tab/>
            </w:r>
            <w:r>
              <w:t>chiede una più stretta cooperazione tra l'UE e l'Arabia Saudita in materia di diritti umani; accoglie con favore i dialoghi sui diritti umani UE-Regno dell'Arabia Saudita guidati dalla Commissione per i diritti umani dell'Arabia Saudita e dalla Commissione europea, il cui quarto ciclo si è svolto a Riyadh nel dicembre 2024;</w:t>
            </w:r>
          </w:p>
        </w:tc>
        <w:tc>
          <w:tcPr>
            <w:tcW w:w="4876" w:type="dxa"/>
            <w:tcBorders>
              <w:top w:val="nil"/>
              <w:left w:val="nil"/>
              <w:bottom w:val="nil"/>
              <w:right w:val="nil"/>
            </w:tcBorders>
          </w:tcPr>
          <w:p>
            <w:pPr>
              <w:pStyle w:val="Normal6a"/>
            </w:pPr>
            <w:r>
              <w:t>27.</w:t>
            </w:r>
            <w:r>
              <w:tab/>
            </w:r>
            <w:r>
              <w:t xml:space="preserve">chiede una più stretta cooperazione tra l'UE e l'Arabia Saudita in materia di diritti umani; accoglie con favore i dialoghi sui diritti umani UE-Regno dell'Arabia Saudita guidati dalla Commissione per i diritti umani dell'Arabia Saudita e dalla Commissione europea, il cui quarto ciclo si è svolto a Riyadh nel dicembre 2024; </w:t>
            </w:r>
            <w:r>
              <w:rPr>
                <w:b/>
                <w:i/>
              </w:rPr>
              <w:t>sottolinea che questo dialogo e tutti gli altri dialoghi sui diritti umani dovrebbero mirare a garantire impegni concreti, misurabili, temporalmente definiti e vincolanti;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159</w:t>
      </w:r>
      <w:r>
        <w:rPr>
          <w:rStyle w:val="HideTWBExt"/>
        </w:rPr>
        <w:t>&lt;/NumAm&gt;</w:t>
      </w:r>
    </w:p>
    <w:p>
      <w:pPr>
        <w:pStyle w:val="NormalBold"/>
      </w:pPr>
      <w:r>
        <w:rPr>
          <w:rStyle w:val="HideTWBExt"/>
          <w:b w:val="0"/>
        </w:rPr>
        <w:t>&lt;RepeatBlock-By&gt;</w:t>
      </w:r>
      <w:r>
        <w:rPr>
          <w:rStyle w:val="HideTWBExt"/>
          <w:b w:val="0"/>
        </w:rPr>
        <w:t>&lt;Members&gt;</w:t>
      </w:r>
      <w:r>
        <w:t>Hana Jalloul Muro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27.</w:t>
            </w:r>
            <w:r>
              <w:tab/>
            </w:r>
            <w:r>
              <w:t xml:space="preserve">chiede una più stretta cooperazione tra l'UE e l'Arabia Saudita in materia di diritti umani; accoglie con favore i dialoghi sui diritti umani UE-Regno dell'Arabia Saudita guidati dalla Commissione per i diritti umani dell'Arabia Saudita e </w:t>
            </w:r>
            <w:r>
              <w:rPr>
                <w:b/>
                <w:i/>
              </w:rPr>
              <w:t>dalla Commissione</w:t>
            </w:r>
            <w:r>
              <w:t xml:space="preserve"> europea, il cui quarto ciclo si è svolto a Riyadh nel dicembre 2024;</w:t>
            </w:r>
          </w:p>
        </w:tc>
        <w:tc>
          <w:tcPr>
            <w:tcW w:w="4876" w:type="dxa"/>
            <w:tcBorders>
              <w:top w:val="nil"/>
              <w:left w:val="nil"/>
              <w:bottom w:val="nil"/>
              <w:right w:val="nil"/>
            </w:tcBorders>
          </w:tcPr>
          <w:p>
            <w:pPr>
              <w:pStyle w:val="Normal6a"/>
            </w:pPr>
            <w:r>
              <w:t>27.</w:t>
            </w:r>
            <w:r>
              <w:tab/>
            </w:r>
            <w:r>
              <w:t xml:space="preserve">chiede una più stretta cooperazione tra l'UE e l'Arabia Saudita in materia di diritti umani; accoglie con favore i dialoghi sui diritti umani UE-Regno dell'Arabia Saudita guidati dalla Commissione per i diritti umani dell'Arabia Saudita e </w:t>
            </w:r>
            <w:r>
              <w:rPr>
                <w:b/>
                <w:i/>
              </w:rPr>
              <w:t>dal rappresentante speciale dell'Unione</w:t>
            </w:r>
            <w:r>
              <w:t xml:space="preserve"> europea </w:t>
            </w:r>
            <w:r>
              <w:rPr>
                <w:b/>
                <w:i/>
              </w:rPr>
              <w:t>per i diritti umani</w:t>
            </w:r>
            <w:r>
              <w:t>, il cui quarto ciclo si è svolto a Riyadh nel dicembre 2024;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160</w:t>
      </w:r>
      <w:r>
        <w:rPr>
          <w:rStyle w:val="HideTWBExt"/>
        </w:rPr>
        <w:t>&lt;/NumAm&gt;</w:t>
      </w:r>
    </w:p>
    <w:p>
      <w:pPr>
        <w:pStyle w:val="NormalBold"/>
      </w:pPr>
      <w:r>
        <w:rPr>
          <w:rStyle w:val="HideTWBExt"/>
          <w:b w:val="0"/>
        </w:rPr>
        <w:t>&lt;RepeatBlock-By&gt;</w:t>
      </w:r>
      <w:r>
        <w:rPr>
          <w:rStyle w:val="HideTWBExt"/>
          <w:b w:val="0"/>
        </w:rPr>
        <w:t>&lt;Members&gt;</w:t>
      </w:r>
      <w:r>
        <w:t>Jordan Bardella, Pierre-Romain Thionnet, Matthieu Valet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27.</w:t>
            </w:r>
            <w:r>
              <w:tab/>
            </w:r>
            <w:r>
              <w:t xml:space="preserve">chiede una più stretta cooperazione tra l'UE e l'Arabia Saudita in materia di </w:t>
            </w:r>
            <w:r>
              <w:rPr>
                <w:b/>
                <w:i/>
              </w:rPr>
              <w:t>diritti umani;</w:t>
            </w:r>
            <w:r>
              <w:t xml:space="preserve"> </w:t>
            </w:r>
            <w:r>
              <w:rPr>
                <w:b/>
                <w:i/>
              </w:rPr>
              <w:t>accoglie con favore i dialoghi sui diritti umani UE-Regno dell'Arabia Saudita guidati dalla Commissione per i diritti umani dell'Arabia Saudita e dalla Commissione europea, il cui quarto ciclo si è svolto a Riyadh nel dicembre 2024</w:t>
            </w:r>
            <w:r>
              <w:t>;</w:t>
            </w:r>
          </w:p>
        </w:tc>
        <w:tc>
          <w:tcPr>
            <w:tcW w:w="4876" w:type="dxa"/>
            <w:tcBorders>
              <w:top w:val="nil"/>
              <w:left w:val="nil"/>
              <w:bottom w:val="nil"/>
              <w:right w:val="nil"/>
            </w:tcBorders>
          </w:tcPr>
          <w:p>
            <w:pPr>
              <w:pStyle w:val="Normal6a"/>
            </w:pPr>
            <w:r>
              <w:t>27.</w:t>
            </w:r>
            <w:r>
              <w:tab/>
            </w:r>
            <w:r>
              <w:t xml:space="preserve">chiede una più stretta cooperazione tra l'UE e l'Arabia Saudita </w:t>
            </w:r>
            <w:r>
              <w:rPr>
                <w:b/>
                <w:i/>
              </w:rPr>
              <w:t>sui nostri interessi comuni</w:t>
            </w:r>
            <w:r>
              <w:t xml:space="preserve"> in materia di </w:t>
            </w:r>
            <w:r>
              <w:rPr>
                <w:b/>
                <w:i/>
              </w:rPr>
              <w:t>sicurezza, stabilità regionale, lotta all'immigrazione clandestina e cooperazione economica</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161</w:t>
      </w:r>
      <w:r>
        <w:rPr>
          <w:rStyle w:val="HideTWBExt"/>
        </w:rPr>
        <w:t>&lt;/NumAm&gt;</w:t>
      </w:r>
    </w:p>
    <w:p>
      <w:pPr>
        <w:pStyle w:val="NormalBold"/>
      </w:pPr>
      <w:r>
        <w:rPr>
          <w:rStyle w:val="HideTWBExt"/>
          <w:b w:val="0"/>
        </w:rPr>
        <w:t>&lt;RepeatBlock-By&gt;</w:t>
      </w:r>
      <w:r>
        <w:rPr>
          <w:rStyle w:val="HideTWBExt"/>
          <w:b w:val="0"/>
        </w:rPr>
        <w:t>&lt;Members&gt;</w:t>
      </w:r>
      <w:r>
        <w:t>Robert Biedroń, Andreas Schieder, Evin Incir, Marco Tarquinio, Chloé Ridel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27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 bis.</w:t>
            </w:r>
            <w:r>
              <w:tab/>
            </w:r>
            <w:r>
              <w:rPr>
                <w:b/>
                <w:i/>
              </w:rPr>
              <w:t>chiede il rilascio immediato e incondizionato di tutti i difensori dei diritti umani, dei difensori dei diritti delle donne, dei contestatori pacifici e degli attivisti;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162</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27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 bis.</w:t>
            </w:r>
            <w:r>
              <w:tab/>
            </w:r>
            <w:r>
              <w:rPr>
                <w:b/>
                <w:i/>
              </w:rPr>
              <w:t>chiede l'istituzione di un meccanismo di monitoraggio strutturato dell'UE con chiari parametri di riferimento, scadenze e conseguenze per la mancanza di progressi nelle riforme dei diritti umani in Arabia Saudita;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163</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28.</w:t>
            </w:r>
            <w:r>
              <w:tab/>
            </w:r>
            <w:r>
              <w:t xml:space="preserve">riconosce le </w:t>
            </w:r>
            <w:r>
              <w:rPr>
                <w:b/>
                <w:i/>
              </w:rPr>
              <w:t>significative</w:t>
            </w:r>
            <w:r>
              <w:t xml:space="preserve"> riforme sociali attuate dall'Arabia Saudita, </w:t>
            </w:r>
            <w:r>
              <w:rPr>
                <w:b/>
                <w:i/>
              </w:rPr>
              <w:t>quali le nuove leggi sulle transazioni civili,</w:t>
            </w:r>
            <w:r>
              <w:t xml:space="preserve"> i progressi </w:t>
            </w:r>
            <w:r>
              <w:rPr>
                <w:b/>
                <w:i/>
              </w:rPr>
              <w:t>nell'emancipazione femminile, i lavori sulla redazione di un</w:t>
            </w:r>
            <w:r>
              <w:t xml:space="preserve"> codice penale</w:t>
            </w:r>
            <w:r>
              <w:rPr>
                <w:b/>
                <w:i/>
              </w:rPr>
              <w:t>, il miglioramento del regime della kafala per i</w:t>
            </w:r>
            <w:r>
              <w:t xml:space="preserve"> lavoratori migranti </w:t>
            </w:r>
            <w:r>
              <w:rPr>
                <w:b/>
                <w:i/>
              </w:rPr>
              <w:t>e l'attuazione di nuove normative per i lavoratori</w:t>
            </w:r>
            <w:r>
              <w:t>;</w:t>
            </w:r>
          </w:p>
        </w:tc>
        <w:tc>
          <w:tcPr>
            <w:tcW w:w="4876" w:type="dxa"/>
            <w:tcBorders>
              <w:top w:val="nil"/>
              <w:left w:val="nil"/>
              <w:bottom w:val="nil"/>
              <w:right w:val="nil"/>
            </w:tcBorders>
          </w:tcPr>
          <w:p>
            <w:pPr>
              <w:pStyle w:val="Normal6a"/>
            </w:pPr>
            <w:r>
              <w:t>28.</w:t>
            </w:r>
            <w:r>
              <w:tab/>
            </w:r>
            <w:r>
              <w:t xml:space="preserve">riconosce le riforme sociali attuate dall'Arabia Saudita, </w:t>
            </w:r>
            <w:r>
              <w:rPr>
                <w:b/>
                <w:i/>
              </w:rPr>
              <w:t>sottolineando nel contempo che sono necessarie ulteriori misure per far progredire e consolidare</w:t>
            </w:r>
            <w:r>
              <w:t xml:space="preserve"> i progressi </w:t>
            </w:r>
            <w:r>
              <w:rPr>
                <w:b/>
                <w:i/>
              </w:rPr>
              <w:t>previsti, tra l'altro garantendo che il nuovo</w:t>
            </w:r>
            <w:r>
              <w:t xml:space="preserve"> codice penale </w:t>
            </w:r>
            <w:r>
              <w:rPr>
                <w:b/>
                <w:i/>
              </w:rPr>
              <w:t>qualifichi come reato il matrimonio infantile e lo stupro da parte del coniuge e depenalizzi il diritto alla libertà di parola, di riunione e di associazione;</w:t>
            </w:r>
            <w:r>
              <w:t xml:space="preserve"> </w:t>
            </w:r>
            <w:r>
              <w:rPr>
                <w:b/>
                <w:i/>
              </w:rPr>
              <w:t>continua a nutrire preoccupazione per la discriminazione prevalente nel diritto e nella pratica, anche nei confronti delle donne e dei</w:t>
            </w:r>
            <w:r>
              <w:t xml:space="preserve"> lavoratori migranti;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164</w:t>
      </w:r>
      <w:r>
        <w:rPr>
          <w:rStyle w:val="HideTWBExt"/>
        </w:rPr>
        <w:t>&lt;/NumAm&gt;</w:t>
      </w:r>
    </w:p>
    <w:p>
      <w:pPr>
        <w:pStyle w:val="NormalBold"/>
      </w:pPr>
      <w:r>
        <w:rPr>
          <w:rStyle w:val="HideTWBExt"/>
          <w:b w:val="0"/>
        </w:rPr>
        <w:t>&lt;RepeatBlock-By&gt;</w:t>
      </w:r>
      <w:r>
        <w:rPr>
          <w:rStyle w:val="HideTWBExt"/>
          <w:b w:val="0"/>
        </w:rPr>
        <w:t>&lt;Members&gt;</w:t>
      </w:r>
      <w:r>
        <w:t>Bernard Guetta, Hilde Vautmans, Marie-Agnes Strack-Zimmermann, Engin Eroglu,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28.</w:t>
            </w:r>
            <w:r>
              <w:tab/>
            </w:r>
            <w:r>
              <w:t xml:space="preserve">riconosce le </w:t>
            </w:r>
            <w:r>
              <w:rPr>
                <w:b/>
                <w:i/>
              </w:rPr>
              <w:t>significative</w:t>
            </w:r>
            <w:r>
              <w:t xml:space="preserve"> riforme sociali attuate dall'Arabia Saudita, quali le nuove leggi sulle transazioni civili, i progressi nell'emancipazione femminile, i lavori sulla redazione di un codice penale, il miglioramento del regime della kafala per i lavoratori migranti e l'attuazione di nuove normative per i lavoratori;</w:t>
            </w:r>
          </w:p>
        </w:tc>
        <w:tc>
          <w:tcPr>
            <w:tcW w:w="4876" w:type="dxa"/>
            <w:tcBorders>
              <w:top w:val="nil"/>
              <w:left w:val="nil"/>
              <w:bottom w:val="nil"/>
              <w:right w:val="nil"/>
            </w:tcBorders>
          </w:tcPr>
          <w:p>
            <w:pPr>
              <w:pStyle w:val="Normal6a"/>
            </w:pPr>
            <w:r>
              <w:t>28.</w:t>
            </w:r>
            <w:r>
              <w:tab/>
            </w:r>
            <w:r>
              <w:t xml:space="preserve">riconosce le riforme sociali attuate dall'Arabia Saudita, quali le nuove leggi sulle transazioni civili, i progressi nell'emancipazione femminile, i lavori sulla redazione di un codice penale, il miglioramento del regime della kafala per i lavoratori migranti e l'attuazione di nuove normative per i lavoratori; </w:t>
            </w:r>
            <w:r>
              <w:rPr>
                <w:b/>
                <w:i/>
              </w:rPr>
              <w:t>osserva tuttavia che il sistema giuridico dell'Arabia Saudita è caratterizzato da una duplice sfida, ossia la mancanza di un codice penale completo e leggi restrittive definite in modo vago.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165</w:t>
      </w:r>
      <w:r>
        <w:rPr>
          <w:rStyle w:val="HideTWBExt"/>
        </w:rPr>
        <w:t>&lt;/NumAm&gt;</w:t>
      </w:r>
    </w:p>
    <w:p>
      <w:pPr>
        <w:pStyle w:val="NormalBold"/>
      </w:pPr>
      <w:r>
        <w:rPr>
          <w:rStyle w:val="HideTWBExt"/>
          <w:b w:val="0"/>
        </w:rPr>
        <w:t>&lt;RepeatBlock-By&gt;</w:t>
      </w:r>
      <w:r>
        <w:rPr>
          <w:rStyle w:val="HideTWBExt"/>
          <w:b w:val="0"/>
        </w:rPr>
        <w:t>&lt;Members&gt;</w:t>
      </w:r>
      <w:r>
        <w:t>Robert Biedroń, Andreas Schieder, Evin Incir, Marco Tarquinio, Chloé Ridel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28.</w:t>
            </w:r>
            <w:r>
              <w:tab/>
            </w:r>
            <w:r>
              <w:t>riconosce le significative riforme sociali attuate dall'Arabia Saudita, quali le nuove leggi sulle transazioni civili</w:t>
            </w:r>
            <w:r>
              <w:rPr>
                <w:b/>
                <w:i/>
              </w:rPr>
              <w:t>,</w:t>
            </w:r>
            <w:r>
              <w:t xml:space="preserve"> i progressi nell'emancipazione femminile</w:t>
            </w:r>
            <w:r>
              <w:rPr>
                <w:b/>
                <w:i/>
              </w:rPr>
              <w:t>, i lavori sulla redazione di un codice penale, il miglioramento del regime della kafala per i lavoratori migranti e l'attuazione di nuove normative per i lavoratori</w:t>
            </w:r>
            <w:r>
              <w:t>;</w:t>
            </w:r>
          </w:p>
        </w:tc>
        <w:tc>
          <w:tcPr>
            <w:tcW w:w="4876" w:type="dxa"/>
            <w:tcBorders>
              <w:top w:val="nil"/>
              <w:left w:val="nil"/>
              <w:bottom w:val="nil"/>
              <w:right w:val="nil"/>
            </w:tcBorders>
          </w:tcPr>
          <w:p>
            <w:pPr>
              <w:pStyle w:val="Normal6a"/>
            </w:pPr>
            <w:r>
              <w:t>28.</w:t>
            </w:r>
            <w:r>
              <w:tab/>
            </w:r>
            <w:r>
              <w:t xml:space="preserve">riconosce le significative riforme sociali attuate dall'Arabia Saudita, quali le nuove leggi sulle transazioni civili </w:t>
            </w:r>
            <w:r>
              <w:rPr>
                <w:b/>
                <w:i/>
              </w:rPr>
              <w:t>e</w:t>
            </w:r>
            <w:r>
              <w:t xml:space="preserve"> i progressi nell'emancipazione femminile;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166</w:t>
      </w:r>
      <w:r>
        <w:rPr>
          <w:rStyle w:val="HideTWBExt"/>
        </w:rPr>
        <w:t>&lt;/NumAm&gt;</w:t>
      </w:r>
    </w:p>
    <w:p>
      <w:pPr>
        <w:pStyle w:val="NormalBold"/>
      </w:pPr>
      <w:r>
        <w:rPr>
          <w:rStyle w:val="HideTWBExt"/>
          <w:b w:val="0"/>
        </w:rPr>
        <w:t>&lt;RepeatBlock-By&gt;</w:t>
      </w:r>
      <w:r>
        <w:rPr>
          <w:rStyle w:val="HideTWBExt"/>
          <w:b w:val="0"/>
        </w:rPr>
        <w:t>&lt;Members&gt;</w:t>
      </w:r>
      <w:r>
        <w:t>Hana Jalloul Muro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28.</w:t>
            </w:r>
            <w:r>
              <w:tab/>
            </w:r>
            <w:r>
              <w:t xml:space="preserve">riconosce le significative riforme sociali attuate dall'Arabia Saudita, quali le nuove leggi sulle transazioni civili, i progressi nell'emancipazione femminile, i lavori sulla redazione di un codice penale, il miglioramento del regime </w:t>
            </w:r>
            <w:r>
              <w:rPr>
                <w:b/>
                <w:i/>
              </w:rPr>
              <w:t>della</w:t>
            </w:r>
            <w:r>
              <w:t xml:space="preserve"> kafala </w:t>
            </w:r>
            <w:r>
              <w:rPr>
                <w:b/>
                <w:i/>
              </w:rPr>
              <w:t>per i lavoratori migranti</w:t>
            </w:r>
            <w:r>
              <w:t xml:space="preserve"> e l'attuazione di nuove normative per i lavoratori;</w:t>
            </w:r>
          </w:p>
        </w:tc>
        <w:tc>
          <w:tcPr>
            <w:tcW w:w="4876" w:type="dxa"/>
            <w:tcBorders>
              <w:top w:val="nil"/>
              <w:left w:val="nil"/>
              <w:bottom w:val="nil"/>
              <w:right w:val="nil"/>
            </w:tcBorders>
          </w:tcPr>
          <w:p>
            <w:pPr>
              <w:pStyle w:val="Normal6a"/>
            </w:pPr>
            <w:r>
              <w:t>28.</w:t>
            </w:r>
            <w:r>
              <w:tab/>
            </w:r>
            <w:r>
              <w:t xml:space="preserve">riconosce le significative riforme sociali attuate dall'Arabia Saudita, quali le nuove leggi sulle transazioni civili, i progressi nell'emancipazione femminile, i lavori sulla redazione di un codice penale, il miglioramento del regime </w:t>
            </w:r>
            <w:r>
              <w:rPr>
                <w:b/>
                <w:i/>
              </w:rPr>
              <w:t>del patrocinio (</w:t>
            </w:r>
            <w:r>
              <w:t>kafala</w:t>
            </w:r>
            <w:r>
              <w:rPr>
                <w:b/>
                <w:i/>
              </w:rPr>
              <w:t>)</w:t>
            </w:r>
            <w:r>
              <w:t xml:space="preserve"> e l'attuazione di nuove normative per i lavoratori;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167</w:t>
      </w:r>
      <w:r>
        <w:rPr>
          <w:rStyle w:val="HideTWBExt"/>
        </w:rPr>
        <w:t>&lt;/NumAm&gt;</w:t>
      </w:r>
    </w:p>
    <w:p>
      <w:pPr>
        <w:pStyle w:val="NormalBold"/>
      </w:pPr>
      <w:r>
        <w:rPr>
          <w:rStyle w:val="HideTWBExt"/>
          <w:b w:val="0"/>
        </w:rPr>
        <w:t>&lt;RepeatBlock-By&gt;</w:t>
      </w:r>
      <w:r>
        <w:rPr>
          <w:rStyle w:val="HideTWBExt"/>
          <w:b w:val="0"/>
        </w:rPr>
        <w:t>&lt;Members&gt;</w:t>
      </w:r>
      <w:r>
        <w:t>Roberto Vannacci, Silvia Sardone,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28.</w:t>
            </w:r>
            <w:r>
              <w:tab/>
            </w:r>
            <w:r>
              <w:t xml:space="preserve">riconosce le </w:t>
            </w:r>
            <w:r>
              <w:rPr>
                <w:b/>
                <w:i/>
              </w:rPr>
              <w:t>significative</w:t>
            </w:r>
            <w:r>
              <w:t xml:space="preserve"> riforme sociali attuate dall'Arabia Saudita, quali le nuove leggi sulle transazioni civili, i progressi nell'emancipazione femminile, i lavori sulla redazione di un codice penale, il miglioramento del regime della kafala per i lavoratori migranti e l'attuazione di nuove normative per i lavoratori;</w:t>
            </w:r>
          </w:p>
        </w:tc>
        <w:tc>
          <w:tcPr>
            <w:tcW w:w="4876" w:type="dxa"/>
            <w:tcBorders>
              <w:top w:val="nil"/>
              <w:left w:val="nil"/>
              <w:bottom w:val="nil"/>
              <w:right w:val="nil"/>
            </w:tcBorders>
          </w:tcPr>
          <w:p>
            <w:pPr>
              <w:pStyle w:val="Normal6a"/>
            </w:pPr>
            <w:r>
              <w:t>28.</w:t>
            </w:r>
            <w:r>
              <w:tab/>
            </w:r>
            <w:r>
              <w:t>riconosce le riforme sociali attuate dall'Arabia Saudita, quali le nuove leggi sulle transazioni civili, i progressi nell'emancipazione femminile, i lavori sulla redazione di un codice penale, il miglioramento del regime della kafala per i lavoratori migranti e l'attuazione di nuove normative per i lavoratori;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168</w:t>
      </w:r>
      <w:r>
        <w:rPr>
          <w:rStyle w:val="HideTWBExt"/>
        </w:rPr>
        <w:t>&lt;/NumAm&gt;</w:t>
      </w:r>
    </w:p>
    <w:p>
      <w:pPr>
        <w:pStyle w:val="NormalBold"/>
      </w:pPr>
      <w:r>
        <w:rPr>
          <w:rStyle w:val="HideTWBExt"/>
          <w:b w:val="0"/>
        </w:rPr>
        <w:t>&lt;RepeatBlock-By&gt;</w:t>
      </w:r>
      <w:r>
        <w:rPr>
          <w:rStyle w:val="HideTWBExt"/>
          <w:b w:val="0"/>
        </w:rPr>
        <w:t>&lt;Members&gt;</w:t>
      </w:r>
      <w:r>
        <w:t>Antonio López-Istúriz White, Reinhold Lopatka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28.</w:t>
            </w:r>
            <w:r>
              <w:tab/>
            </w:r>
            <w:r>
              <w:t xml:space="preserve">riconosce le significative riforme sociali attuate dall'Arabia Saudita, quali le nuove leggi sulle transazioni civili, i progressi nell'emancipazione femminile, i lavori sulla redazione di un codice penale, il miglioramento del regime della kafala per i lavoratori migranti e l'attuazione di nuove normative </w:t>
            </w:r>
            <w:r>
              <w:rPr>
                <w:b/>
                <w:i/>
              </w:rPr>
              <w:t>per i lavoratori</w:t>
            </w:r>
            <w:r>
              <w:t>;</w:t>
            </w:r>
          </w:p>
        </w:tc>
        <w:tc>
          <w:tcPr>
            <w:tcW w:w="4876" w:type="dxa"/>
            <w:tcBorders>
              <w:top w:val="nil"/>
              <w:left w:val="nil"/>
              <w:bottom w:val="nil"/>
              <w:right w:val="nil"/>
            </w:tcBorders>
          </w:tcPr>
          <w:p>
            <w:pPr>
              <w:pStyle w:val="Normal6a"/>
            </w:pPr>
            <w:r>
              <w:t>28.</w:t>
            </w:r>
            <w:r>
              <w:tab/>
            </w:r>
            <w:r>
              <w:t xml:space="preserve">riconosce le significative riforme sociali attuate dall'Arabia Saudita, quali le nuove leggi sulle transazioni civili, i progressi nell'emancipazione femminile, i lavori sulla redazione di un codice penale, il miglioramento del regime della kafala per i lavoratori migranti e l'attuazione di nuove normative </w:t>
            </w:r>
            <w:r>
              <w:rPr>
                <w:b/>
                <w:i/>
              </w:rPr>
              <w:t>sul lavoro</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169</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28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28 bis.</w:t>
            </w:r>
            <w:r>
              <w:tab/>
            </w:r>
            <w:r>
              <w:rPr>
                <w:b/>
                <w:i/>
              </w:rPr>
              <w:t>prende atto del lavoro svolto dall'Arabia Saudita per l'elaborazione di un codice penale, sottolineando nel contempo che, secondo le organizzazioni per i diritti umani, il progetto di legge qualifica come reato i discorsi che sono tutelati dal diritto internazionale e non protegge le donne e le ragazze da tutte le forme di violenza di genere;</w:t>
            </w:r>
            <w:r>
              <w:t xml:space="preserve"> </w:t>
            </w:r>
            <w:r>
              <w:rPr>
                <w:b/>
                <w:i/>
              </w:rPr>
              <w:t>esorta le autorità saudite a modificare il progetto di codice penale in linea con gli obblighi internazionali del paese prima dell'adozione del codice e a garantire che le donne e le ragazze siano protette da tutte le forme di violenza di genere eliminando i "reati d'onore" dal lessico giuridico, garantendo un'adeguata protezione dalle molestie e dalla violenza domestica, qualificando come reato lo stupro da parte del coniuge e garantendo inoltre una consultazione significativa della società civile, compresi i difensori dei diritti umani delle donne, nel processo di elaborazione;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170</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28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28 bis.</w:t>
            </w:r>
            <w:r>
              <w:tab/>
            </w:r>
            <w:r>
              <w:rPr>
                <w:b/>
                <w:i/>
              </w:rPr>
              <w:t>sottolinea che la partecipazione delle donne alla forza lavoro in Arabia Saudita è più che raddoppiata dal 2017, raggiungendo il 37 %</w:t>
            </w:r>
            <w:r>
              <w:rPr>
                <w:b/>
                <w:i/>
                <w:vertAlign w:val="superscript"/>
              </w:rPr>
              <w:t>2 bis</w:t>
            </w:r>
            <w:r>
              <w:rPr>
                <w:b/>
                <w:i/>
              </w:rPr>
              <w:t>;</w:t>
            </w:r>
            <w:r>
              <w:t xml:space="preserve"> </w:t>
            </w:r>
            <w:r>
              <w:rPr>
                <w:b/>
                <w:i/>
              </w:rPr>
              <w:t>osserva che attualmente le donne saudite possiedono il 45 % delle PMI e il 17 % di tutte le imprese;</w:t>
            </w:r>
            <w:r>
              <w:t xml:space="preserve"> </w:t>
            </w:r>
            <w:r>
              <w:rPr>
                <w:b/>
                <w:i/>
              </w:rPr>
              <w:t>ritiene che tali sviluppi riflettano l'impatto delle riforme giuridiche introdotte dal 2018, tra cui la revoca del divieto di guida</w:t>
            </w:r>
            <w:r>
              <w:rPr>
                <w:b/>
                <w:i/>
                <w:vertAlign w:val="superscript"/>
              </w:rPr>
              <w:t>3 bis</w:t>
            </w:r>
            <w:r>
              <w:rPr>
                <w:b/>
                <w:i/>
              </w:rPr>
              <w:t>, l'adozione di una legge contro le molestie e nuove norme sullo status personale che innalzano l'età minima per il matrimonio a 18 anni e rafforzano l'autonomia delle donne;</w:t>
            </w:r>
            <w:r>
              <w:t xml:space="preserve"> </w:t>
            </w:r>
            <w:r>
              <w:rPr>
                <w:b/>
                <w:i/>
              </w:rPr>
              <w:t>si congratula con l'Arabia Saudita per tali risultati e la incoraggia a proseguire le riforme volte a promuovere ulteriormente i diritti delle donne e la partecipazione alla vita pubblica;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2 bis</w:t>
            </w:r>
            <w:r>
              <w:t xml:space="preserve"> </w:t>
            </w:r>
            <w:r>
              <w:rPr>
                <w:b/>
                <w:i/>
              </w:rPr>
              <w:t>https://genderdata.worldbank.org/en/economies/saudi-arabia#:~:text=In%20Saudi%20Arabia%2C%20the%20labor,labor%20force%20participation%20has%20increased</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3 bis</w:t>
            </w:r>
            <w:r>
              <w:t xml:space="preserve"> </w:t>
            </w:r>
            <w:r>
              <w:rPr>
                <w:b/>
                <w:i/>
              </w:rPr>
              <w:t>https://www.weforum.org/stories/2018/06/saudi-women-take-victory-lap-as-driving-ban-ends/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171</w:t>
      </w:r>
      <w:r>
        <w:rPr>
          <w:rStyle w:val="HideTWBExt"/>
        </w:rPr>
        <w:t>&lt;/NumAm&gt;</w:t>
      </w:r>
    </w:p>
    <w:p>
      <w:pPr>
        <w:pStyle w:val="NormalBold"/>
      </w:pPr>
      <w:r>
        <w:rPr>
          <w:rStyle w:val="HideTWBExt"/>
          <w:b w:val="0"/>
        </w:rPr>
        <w:t>&lt;RepeatBlock-By&gt;</w:t>
      </w:r>
      <w:r>
        <w:rPr>
          <w:rStyle w:val="HideTWBExt"/>
          <w:b w:val="0"/>
        </w:rPr>
        <w:t>&lt;Members&gt;</w:t>
      </w:r>
      <w:r>
        <w:t>Jordan Bardella, Pierre-Romain Thionnet, Matthieu Valet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28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28 bis.</w:t>
            </w:r>
            <w:r>
              <w:tab/>
            </w:r>
            <w:r>
              <w:rPr>
                <w:b/>
                <w:i/>
              </w:rPr>
              <w:t>sottolinea la mancanza di libertà religiosa in Arabia Saudita, in particolare per i cristiani;</w:t>
            </w:r>
            <w:r>
              <w:t xml:space="preserve"> </w:t>
            </w:r>
            <w:r>
              <w:rPr>
                <w:b/>
                <w:i/>
              </w:rPr>
              <w:t>ricorda che l'Arabia Saudita è spesso al secondo posto nell'elenco globale dei paesi che perseguitano le minoranze cristiane;</w:t>
            </w:r>
            <w:r>
              <w:t xml:space="preserve"> </w:t>
            </w:r>
            <w:r>
              <w:rPr>
                <w:b/>
                <w:i/>
              </w:rPr>
              <w:t>esorta le autorità saudite a revocare l'attuale divieto di ingresso nel paese per i membri del clero;</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172</w:t>
      </w:r>
      <w:r>
        <w:rPr>
          <w:rStyle w:val="HideTWBExt"/>
        </w:rPr>
        <w:t>&lt;/NumAm&gt;</w:t>
      </w:r>
    </w:p>
    <w:p>
      <w:pPr>
        <w:pStyle w:val="NormalBold"/>
      </w:pPr>
      <w:r>
        <w:rPr>
          <w:rStyle w:val="HideTWBExt"/>
          <w:b w:val="0"/>
        </w:rPr>
        <w:t>&lt;RepeatBlock-By&gt;</w:t>
      </w:r>
      <w:r>
        <w:rPr>
          <w:rStyle w:val="HideTWBExt"/>
          <w:b w:val="0"/>
        </w:rPr>
        <w:t>&lt;Members&gt;</w:t>
      </w:r>
      <w:r>
        <w:t>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28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28 bis.</w:t>
            </w:r>
            <w:r>
              <w:tab/>
            </w:r>
            <w:r>
              <w:rPr>
                <w:b/>
                <w:i/>
              </w:rPr>
              <w:t>prende atto delle preoccupazioni della minoranza sciita in Arabia Saudita e invita le autorità a garantire che goda di pari trattamento e opportunità nel Regno;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173</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28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28 ter.</w:t>
            </w:r>
            <w:r>
              <w:tab/>
            </w:r>
            <w:r>
              <w:rPr>
                <w:b/>
                <w:i/>
              </w:rPr>
              <w:t>elogia l'Arabia Saudita per aver nominato finora sei donne alla carica di ambasciatrici, il che rappresenta un passo importante per l'emancipazione femminile, e sottolinea che ciò segna solo l'inizio di ulteriori progressi nella promozione della rappresentanza e della leadership delle donne;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174</w:t>
      </w:r>
      <w:r>
        <w:rPr>
          <w:rStyle w:val="HideTWBExt"/>
        </w:rPr>
        <w:t>&lt;/NumAm&gt;</w:t>
      </w:r>
    </w:p>
    <w:p>
      <w:pPr>
        <w:pStyle w:val="NormalBold"/>
      </w:pPr>
      <w:r>
        <w:rPr>
          <w:rStyle w:val="HideTWBExt"/>
          <w:b w:val="0"/>
        </w:rPr>
        <w:t>&lt;RepeatBlock-By&gt;</w:t>
      </w:r>
      <w:r>
        <w:rPr>
          <w:rStyle w:val="HideTWBExt"/>
          <w:b w:val="0"/>
        </w:rPr>
        <w:t>&lt;Members&gt;</w:t>
      </w:r>
      <w:r>
        <w:t>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28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28 ter.</w:t>
            </w:r>
            <w:r>
              <w:tab/>
            </w:r>
            <w:r>
              <w:rPr>
                <w:b/>
                <w:i/>
              </w:rPr>
              <w:t>accoglie con favore la liberazione del vincitore del premio Sacharov 2015 Raif Badawi nel marzo 2022; invita tuttavia le autorità saudite a revocare i divieti di viaggio e di comunicazione molto restrittivi nei suoi confronti, affinché possa ricongiungersi con la sua famiglia;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175</w:t>
      </w:r>
      <w:r>
        <w:rPr>
          <w:rStyle w:val="HideTWBExt"/>
        </w:rPr>
        <w:t>&lt;/NumAm&gt;</w:t>
      </w:r>
    </w:p>
    <w:p>
      <w:pPr>
        <w:pStyle w:val="NormalBold"/>
      </w:pPr>
      <w:r>
        <w:rPr>
          <w:rStyle w:val="HideTWBExt"/>
          <w:b w:val="0"/>
        </w:rPr>
        <w:t>&lt;RepeatBlock-By&gt;</w:t>
      </w:r>
      <w:r>
        <w:rPr>
          <w:rStyle w:val="HideTWBExt"/>
          <w:b w:val="0"/>
        </w:rPr>
        <w:t>&lt;Members&gt;</w:t>
      </w:r>
      <w:r>
        <w:t>Bernard Guetta, Hilde Vautmans, Marie-Agnes Strack-Zimmermann, Engin Eroglu,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29.</w:t>
            </w:r>
            <w:r>
              <w:tab/>
            </w:r>
            <w:r>
              <w:t>riconosce la crescente partecipazione della società civile nel Regno, che conta oltre 5 400 associazioni e organizzazioni registrate, e chiede ulteriori misure per sostenere e mantenere tale tendenza positiva;</w:t>
            </w:r>
          </w:p>
        </w:tc>
        <w:tc>
          <w:tcPr>
            <w:tcW w:w="4876" w:type="dxa"/>
            <w:tcBorders>
              <w:top w:val="nil"/>
              <w:left w:val="nil"/>
              <w:bottom w:val="nil"/>
              <w:right w:val="nil"/>
            </w:tcBorders>
          </w:tcPr>
          <w:p>
            <w:pPr>
              <w:pStyle w:val="Normal6a"/>
            </w:pPr>
            <w:r>
              <w:t>29.</w:t>
            </w:r>
            <w:r>
              <w:tab/>
            </w:r>
            <w:r>
              <w:t xml:space="preserve">riconosce la crescente partecipazione della società civile nel Regno, che conta oltre 5 400 associazioni e organizzazioni registrate, e chiede ulteriori misure per sostenere e mantenere tale tendenza positiva; </w:t>
            </w:r>
            <w:r>
              <w:rPr>
                <w:b/>
                <w:i/>
              </w:rPr>
              <w:t>esprime tuttavia preoccupazione per l'aumento degli attacchi contro attivisti pacifici e comuni cittadini e per il loro arresto arbitrario per aver esercitato il loro diritto alla libertà di espressione, sia online che offline, conformemente al diritto internazionale in materia di diritti umani;</w:t>
            </w:r>
            <w:r>
              <w:t xml:space="preserve"> </w:t>
            </w:r>
            <w:r>
              <w:rPr>
                <w:b/>
                <w:i/>
              </w:rPr>
              <w:t>incoraggia l'Arabia Saudita a rivedere la definizione di terrorismo in linea con le norme internazionali, anche mediante la modifica della legislazione contro la criminalità informatica e la lotta al terrorismo, al fine di garantire che l'uso dei social media per l'espressione pacifica non sia considerato reato;</w:t>
            </w:r>
            <w:r>
              <w:t xml:space="preserve"> </w:t>
            </w:r>
            <w:r>
              <w:rPr>
                <w:b/>
                <w:i/>
              </w:rPr>
              <w:t>ricorda che il Parlamento europeo ha conferito il premio Sacharov 2015 al blogger saudita Raif Badawi;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176</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29.</w:t>
            </w:r>
            <w:r>
              <w:tab/>
            </w:r>
            <w:r>
              <w:rPr>
                <w:b/>
                <w:i/>
              </w:rPr>
              <w:t>riconosce la crescente partecipazione</w:t>
            </w:r>
            <w:r>
              <w:t xml:space="preserve"> della società civile </w:t>
            </w:r>
            <w:r>
              <w:rPr>
                <w:b/>
                <w:i/>
              </w:rPr>
              <w:t>nel Regno</w:t>
            </w:r>
            <w:r>
              <w:t xml:space="preserve">, </w:t>
            </w:r>
            <w:r>
              <w:rPr>
                <w:b/>
                <w:i/>
              </w:rPr>
              <w:t>che conta</w:t>
            </w:r>
            <w:r>
              <w:t xml:space="preserve"> oltre 5 400 associazioni e organizzazioni </w:t>
            </w:r>
            <w:r>
              <w:rPr>
                <w:b/>
                <w:i/>
              </w:rPr>
              <w:t>registrate</w:t>
            </w:r>
            <w:r>
              <w:t xml:space="preserve">, </w:t>
            </w:r>
            <w:r>
              <w:rPr>
                <w:b/>
                <w:i/>
              </w:rPr>
              <w:t>e chiede ulteriori misure per sostenere e mantenere tale tendenza positiva</w:t>
            </w:r>
            <w:r>
              <w:t>;</w:t>
            </w:r>
          </w:p>
        </w:tc>
        <w:tc>
          <w:tcPr>
            <w:tcW w:w="4876" w:type="dxa"/>
            <w:tcBorders>
              <w:top w:val="nil"/>
              <w:left w:val="nil"/>
              <w:bottom w:val="nil"/>
              <w:right w:val="nil"/>
            </w:tcBorders>
          </w:tcPr>
          <w:p>
            <w:pPr>
              <w:pStyle w:val="Normal6a"/>
            </w:pPr>
            <w:r>
              <w:t>29.</w:t>
            </w:r>
            <w:r>
              <w:tab/>
            </w:r>
            <w:r>
              <w:rPr>
                <w:b/>
                <w:i/>
              </w:rPr>
              <w:t>sottolinea la repressione generalizzata</w:t>
            </w:r>
            <w:r>
              <w:t xml:space="preserve"> della società civile </w:t>
            </w:r>
            <w:r>
              <w:rPr>
                <w:b/>
                <w:i/>
              </w:rPr>
              <w:t>saudita indipendente e l'arresto arbitrario di dissidenti pacifici</w:t>
            </w:r>
            <w:r>
              <w:t xml:space="preserve">, </w:t>
            </w:r>
            <w:r>
              <w:rPr>
                <w:b/>
                <w:i/>
              </w:rPr>
              <w:t>intellettuali pubblici, difensori dei diritti umani e attivisti;</w:t>
            </w:r>
            <w:r>
              <w:t xml:space="preserve"> </w:t>
            </w:r>
            <w:r>
              <w:rPr>
                <w:b/>
                <w:i/>
              </w:rPr>
              <w:t>riconosce che, nonostante la registrazione di</w:t>
            </w:r>
            <w:r>
              <w:t xml:space="preserve"> oltre 5 400 associazioni e organizzazioni </w:t>
            </w:r>
            <w:r>
              <w:rPr>
                <w:b/>
                <w:i/>
              </w:rPr>
              <w:t>nel Regno</w:t>
            </w:r>
            <w:r>
              <w:t xml:space="preserve">, </w:t>
            </w:r>
            <w:r>
              <w:rPr>
                <w:b/>
                <w:i/>
              </w:rPr>
              <w:t>sono vietati la creazione e il funzionamento di organizzazioni indipendenti e non governative per i diritti umani, nonché il monitoraggio indipendente;</w:t>
            </w:r>
            <w:r>
              <w:t xml:space="preserve"> </w:t>
            </w:r>
            <w:r>
              <w:rPr>
                <w:b/>
                <w:i/>
              </w:rPr>
              <w:t>esorta l'Arabia Saudita a modificare la legge sulle associazioni per renderla pienamente conforme al diritto e alle norme internazionali e consentire la formazione di organizzazioni indipendenti per i diritti umani e sindacati</w:t>
            </w:r>
            <w:r>
              <w:t xml:space="preserve">; </w:t>
            </w:r>
            <w:r>
              <w:rPr>
                <w:b/>
                <w:i/>
              </w:rPr>
              <w:t>invita l'Arabia Saudita a porre fine agli arresti e alla detenzione arbitrari di difensori dei diritti umani, accademici ed esponenti del clero, per aver esercitato i loro diritti alla libertà di espressione e di associazione, garantendo che il diritto alla libertà di espressione sia tutelato nel futuro codice penale;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177</w:t>
      </w:r>
      <w:r>
        <w:rPr>
          <w:rStyle w:val="HideTWBExt"/>
        </w:rPr>
        <w:t>&lt;/NumAm&gt;</w:t>
      </w:r>
    </w:p>
    <w:p>
      <w:pPr>
        <w:pStyle w:val="NormalBold"/>
      </w:pPr>
      <w:r>
        <w:rPr>
          <w:rStyle w:val="HideTWBExt"/>
          <w:b w:val="0"/>
        </w:rPr>
        <w:t>&lt;RepeatBlock-By&gt;</w:t>
      </w:r>
      <w:r>
        <w:rPr>
          <w:rStyle w:val="HideTWBExt"/>
          <w:b w:val="0"/>
        </w:rPr>
        <w:t>&lt;Members&gt;</w:t>
      </w:r>
      <w:r>
        <w:t>Hana Jalloul Muro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29.</w:t>
            </w:r>
            <w:r>
              <w:tab/>
            </w:r>
            <w:r>
              <w:t>riconosce la crescente partecipazione della società civile nel Regno, che conta oltre 5 400 associazioni e organizzazioni registrate, e chiede ulteriori misure per sostenere e mantenere tale tendenza positiva;</w:t>
            </w:r>
          </w:p>
        </w:tc>
        <w:tc>
          <w:tcPr>
            <w:tcW w:w="4876" w:type="dxa"/>
            <w:tcBorders>
              <w:top w:val="nil"/>
              <w:left w:val="nil"/>
              <w:bottom w:val="nil"/>
              <w:right w:val="nil"/>
            </w:tcBorders>
          </w:tcPr>
          <w:p>
            <w:pPr>
              <w:pStyle w:val="Normal6a"/>
            </w:pPr>
            <w:r>
              <w:t>29.</w:t>
            </w:r>
            <w:r>
              <w:tab/>
            </w:r>
            <w:r>
              <w:t xml:space="preserve">riconosce la crescente partecipazione della società civile nel Regno, che conta oltre 5 400 associazioni e organizzazioni registrate, e chiede ulteriori misure per sostenere e mantenere tale tendenza positiva; </w:t>
            </w:r>
            <w:r>
              <w:rPr>
                <w:b/>
                <w:i/>
              </w:rPr>
              <w:t>chiede la protezione della libertà di parola e invita l'Arabia Saudita a consentire l'effettiva partecipazione sul campo delle organizzazioni internazionali per i diritti umani;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178</w:t>
      </w:r>
      <w:r>
        <w:rPr>
          <w:rStyle w:val="HideTWBExt"/>
        </w:rPr>
        <w:t>&lt;/NumAm&gt;</w:t>
      </w:r>
    </w:p>
    <w:p>
      <w:pPr>
        <w:pStyle w:val="NormalBold"/>
      </w:pPr>
      <w:r>
        <w:rPr>
          <w:rStyle w:val="HideTWBExt"/>
          <w:b w:val="0"/>
        </w:rPr>
        <w:t>&lt;RepeatBlock-By&gt;</w:t>
      </w:r>
      <w:r>
        <w:rPr>
          <w:rStyle w:val="HideTWBExt"/>
          <w:b w:val="0"/>
        </w:rPr>
        <w:t>&lt;Members&gt;</w:t>
      </w:r>
      <w:r>
        <w:t>Robert Biedroń, Andreas Schieder, Evin Incir, Marco Tarquinio, Chloé Ridel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29.</w:t>
            </w:r>
            <w:r>
              <w:tab/>
            </w:r>
            <w:r>
              <w:rPr>
                <w:b/>
                <w:i/>
              </w:rPr>
              <w:t>riconosce la crescente partecipazione</w:t>
            </w:r>
            <w:r>
              <w:t xml:space="preserve"> della società civile </w:t>
            </w:r>
            <w:r>
              <w:rPr>
                <w:b/>
                <w:i/>
              </w:rPr>
              <w:t>nel Regno, che conta</w:t>
            </w:r>
            <w:r>
              <w:t xml:space="preserve"> oltre 5 400 associazioni e organizzazioni </w:t>
            </w:r>
            <w:r>
              <w:rPr>
                <w:b/>
                <w:i/>
              </w:rPr>
              <w:t>registrate, e chiede ulteriori misure per sostenere e mantenere tale tendenza positiva</w:t>
            </w:r>
            <w:r>
              <w:t>;</w:t>
            </w:r>
          </w:p>
        </w:tc>
        <w:tc>
          <w:tcPr>
            <w:tcW w:w="4876" w:type="dxa"/>
            <w:tcBorders>
              <w:top w:val="nil"/>
              <w:left w:val="nil"/>
              <w:bottom w:val="nil"/>
              <w:right w:val="nil"/>
            </w:tcBorders>
          </w:tcPr>
          <w:p>
            <w:pPr>
              <w:pStyle w:val="Normal6a"/>
            </w:pPr>
            <w:r>
              <w:t>29.</w:t>
            </w:r>
            <w:r>
              <w:tab/>
            </w:r>
            <w:r>
              <w:rPr>
                <w:b/>
                <w:i/>
              </w:rPr>
              <w:t>sottolinea la repressione continua</w:t>
            </w:r>
            <w:r>
              <w:t xml:space="preserve"> della società civile </w:t>
            </w:r>
            <w:r>
              <w:rPr>
                <w:b/>
                <w:i/>
              </w:rPr>
              <w:t>saudita indipendente e l'arresto arbitrario di dissidenti pacifici, intellettuali pubblici, difensori dei diritti umani e attivisti;</w:t>
            </w:r>
            <w:r>
              <w:t xml:space="preserve"> </w:t>
            </w:r>
            <w:r>
              <w:rPr>
                <w:b/>
                <w:i/>
              </w:rPr>
              <w:t>riconosce la registrazione di</w:t>
            </w:r>
            <w:r>
              <w:t xml:space="preserve"> oltre 5 400 associazioni e organizzazioni;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179</w:t>
      </w:r>
      <w:r>
        <w:rPr>
          <w:rStyle w:val="HideTWBExt"/>
        </w:rPr>
        <w:t>&lt;/NumAm&gt;</w:t>
      </w:r>
    </w:p>
    <w:p>
      <w:pPr>
        <w:pStyle w:val="NormalBold"/>
      </w:pPr>
      <w:r>
        <w:rPr>
          <w:rStyle w:val="HideTWBExt"/>
          <w:b w:val="0"/>
        </w:rPr>
        <w:t>&lt;RepeatBlock-By&gt;</w:t>
      </w:r>
      <w:r>
        <w:rPr>
          <w:rStyle w:val="HideTWBExt"/>
          <w:b w:val="0"/>
        </w:rPr>
        <w:t>&lt;Members&gt;</w:t>
      </w:r>
      <w:r>
        <w:t>Antonio López-Istúriz White, Reinhold Lopatka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29.</w:t>
            </w:r>
            <w:r>
              <w:tab/>
            </w:r>
            <w:r>
              <w:t>riconosce la crescente partecipazione della società civile nel Regno, che conta oltre 5 400 associazioni e organizzazioni registrate, e chiede ulteriori misure per sostenere e mantenere tale tendenza positiva;</w:t>
            </w:r>
          </w:p>
        </w:tc>
        <w:tc>
          <w:tcPr>
            <w:tcW w:w="4876" w:type="dxa"/>
            <w:tcBorders>
              <w:top w:val="nil"/>
              <w:left w:val="nil"/>
              <w:bottom w:val="nil"/>
              <w:right w:val="nil"/>
            </w:tcBorders>
          </w:tcPr>
          <w:p>
            <w:pPr>
              <w:pStyle w:val="Normal6a"/>
            </w:pPr>
            <w:r>
              <w:t>29.</w:t>
            </w:r>
            <w:r>
              <w:tab/>
            </w:r>
            <w:r>
              <w:t xml:space="preserve">riconosce la crescente partecipazione della società civile </w:t>
            </w:r>
            <w:r>
              <w:rPr>
                <w:b/>
                <w:i/>
              </w:rPr>
              <w:t>saudita</w:t>
            </w:r>
            <w:r>
              <w:t xml:space="preserve"> nel Regno, che conta oltre 5 400 associazioni e organizzazioni registrate, e chiede ulteriori misure per sostenere e mantenere tale tendenza positiva;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180</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29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29 bis.</w:t>
            </w:r>
            <w:r>
              <w:tab/>
            </w:r>
            <w:r>
              <w:rPr>
                <w:b/>
                <w:i/>
              </w:rPr>
              <w:t>prende atto con soddisfazione dei notevoli progressi compiuti nel rafforzare la partecipazione delle donne alla vita pubblica, dal momento che le donne rappresentano attualmente il 41 % della funzione pubblica, comprese le alte cariche diplomatiche, e il 20 % dei membri del Consiglio della Shura</w:t>
            </w:r>
            <w:r>
              <w:rPr>
                <w:b/>
                <w:i/>
                <w:vertAlign w:val="superscript"/>
              </w:rPr>
              <w:t>2 bis</w:t>
            </w:r>
            <w:r>
              <w:rPr>
                <w:b/>
                <w:i/>
              </w:rPr>
              <w:t>;</w:t>
            </w:r>
            <w:r>
              <w:t xml:space="preserve"> </w:t>
            </w:r>
            <w:r>
              <w:rPr>
                <w:b/>
                <w:i/>
              </w:rPr>
              <w:t>sottolinea inoltre la storica pietra miliare del maggio 2023, quando l'astronauta Rayyanah Barnawi è diventata la prima donna musulmana saudita e araba ad andare nello spazio, simboleggiando l'impegno del Regno a favore dell'emancipazione, dell'innovazione e dell'eliminazione delle barriere</w:t>
            </w:r>
            <w:r>
              <w:rPr>
                <w:b/>
                <w:i/>
                <w:vertAlign w:val="superscript"/>
              </w:rPr>
              <w:t>3 bis</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2 bis</w:t>
            </w:r>
            <w:r>
              <w:t xml:space="preserve"> </w:t>
            </w:r>
            <w:r>
              <w:rPr>
                <w:b/>
                <w:i/>
              </w:rPr>
              <w:t>https://data.ipu.org/parliament/SA/SA-LC01/data-on-women/</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3 bis</w:t>
            </w:r>
            <w:r>
              <w:t xml:space="preserve"> </w:t>
            </w:r>
            <w:r>
              <w:rPr>
                <w:b/>
                <w:i/>
              </w:rPr>
              <w:t>https://sites.ungeneva.org/not-a-womans-job/2024/en/permanent-missions/rayanna-barnawi.html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181</w:t>
      </w:r>
      <w:r>
        <w:rPr>
          <w:rStyle w:val="HideTWBExt"/>
        </w:rPr>
        <w:t>&lt;/NumAm&gt;</w:t>
      </w:r>
    </w:p>
    <w:p>
      <w:pPr>
        <w:pStyle w:val="NormalBold"/>
      </w:pPr>
      <w:r>
        <w:rPr>
          <w:rStyle w:val="HideTWBExt"/>
          <w:b w:val="0"/>
        </w:rPr>
        <w:t>&lt;RepeatBlock-By&gt;</w:t>
      </w:r>
      <w:r>
        <w:rPr>
          <w:rStyle w:val="HideTWBExt"/>
          <w:b w:val="0"/>
        </w:rPr>
        <w:t>&lt;Members&gt;</w:t>
      </w:r>
      <w:r>
        <w:t>Merja Kyllönen, Jonas Sjöstedt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29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29 bis.</w:t>
            </w:r>
            <w:r>
              <w:tab/>
            </w:r>
            <w:r>
              <w:rPr>
                <w:b/>
                <w:i/>
              </w:rPr>
              <w:t>esorta l'Arabia Saudita a consentire visite nel paese da parte di osservatori indipendenti dei diritti umani e a richiedere relazioni periodiche indipendenti sul contesto dei diritti umani con chiari parametri di riferimento per i progressi sulla situazione dei diritti umani in Arabia Saudita;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182</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29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29 bis.</w:t>
            </w:r>
            <w:r>
              <w:tab/>
            </w:r>
            <w:r>
              <w:rPr>
                <w:b/>
                <w:i/>
              </w:rPr>
              <w:t>esorta l'Arabia Saudita a consentire visite nel paese da parte di osservatori indipendenti dei diritti umani e a richiedere relazioni periodiche indipendenti sul contesto dei diritti umani con chiari parametri di riferimento per i progressi sulla situazione dei diritti umani in Arabia Saudita;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183</w:t>
      </w:r>
      <w:r>
        <w:rPr>
          <w:rStyle w:val="HideTWBExt"/>
        </w:rPr>
        <w:t>&lt;/NumAm&gt;</w:t>
      </w:r>
    </w:p>
    <w:p>
      <w:pPr>
        <w:pStyle w:val="NormalBold"/>
      </w:pPr>
      <w:r>
        <w:rPr>
          <w:rStyle w:val="HideTWBExt"/>
          <w:b w:val="0"/>
        </w:rPr>
        <w:t>&lt;RepeatBlock-By&gt;</w:t>
      </w:r>
      <w:r>
        <w:rPr>
          <w:rStyle w:val="HideTWBExt"/>
          <w:b w:val="0"/>
        </w:rPr>
        <w:t>&lt;Members&gt;</w:t>
      </w:r>
      <w:r>
        <w:t>Robert Biedroń, Andreas Schieder, Evin Incir, Marco Tarquinio, Chloé Ridel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29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29 bis.</w:t>
            </w:r>
            <w:r>
              <w:tab/>
            </w:r>
            <w:r>
              <w:rPr>
                <w:b/>
                <w:i/>
              </w:rPr>
              <w:t>esorta l'Arabia Saudita a consentire visite nel paese da parte di osservatori indipendenti dei diritti umani;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184</w:t>
      </w:r>
      <w:r>
        <w:rPr>
          <w:rStyle w:val="HideTWBExt"/>
        </w:rPr>
        <w:t>&lt;/NumAm&gt;</w:t>
      </w:r>
    </w:p>
    <w:p>
      <w:pPr>
        <w:pStyle w:val="NormalBold"/>
      </w:pPr>
      <w:r>
        <w:rPr>
          <w:rStyle w:val="HideTWBExt"/>
          <w:b w:val="0"/>
        </w:rPr>
        <w:t>&lt;RepeatBlock-By&gt;</w:t>
      </w:r>
      <w:r>
        <w:rPr>
          <w:rStyle w:val="HideTWBExt"/>
          <w:b w:val="0"/>
        </w:rPr>
        <w:t>&lt;Members&gt;</w:t>
      </w:r>
      <w:r>
        <w:t>Merja Kyllönen, Jonas Sjöstedt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29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29 ter.</w:t>
            </w:r>
            <w:r>
              <w:tab/>
            </w:r>
            <w:r>
              <w:rPr>
                <w:b/>
                <w:i/>
              </w:rPr>
              <w:t>chiede il rilascio immediato delle persone detenute per aver esercitato in modo pacifico i loro diritti, in particolare attivisti chiave, accademici ed esponenti del clero;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185</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30.</w:t>
            </w:r>
            <w:r>
              <w:tab/>
            </w:r>
            <w:r>
              <w:t>prende atto della strategia dell'Arabia Saudita in materia di diritti umani per la Coppa del mondo FIFA 2034; ribadisce che l'UE è pronta a sostenere le riforme in corso in materia di diritti umani e lavoro; chiede una cooperazione rafforzata con le Nazioni Unite e l'Organizzazione internazionale del lavoro per quanto riguarda i diritti dei lavoratori migranti, in particolare in vista dell'EXPO 2030 e del torneo;</w:t>
            </w:r>
          </w:p>
        </w:tc>
        <w:tc>
          <w:tcPr>
            <w:tcW w:w="4876" w:type="dxa"/>
            <w:tcBorders>
              <w:top w:val="nil"/>
              <w:left w:val="nil"/>
              <w:bottom w:val="nil"/>
              <w:right w:val="nil"/>
            </w:tcBorders>
          </w:tcPr>
          <w:p>
            <w:pPr>
              <w:pStyle w:val="Normal6a"/>
            </w:pPr>
            <w:r>
              <w:t>30.</w:t>
            </w:r>
            <w:r>
              <w:tab/>
            </w:r>
            <w:r>
              <w:t>prende atto della strategia dell'Arabia Saudita in materia di diritti umani per la Coppa del mondo FIFA 2034</w:t>
            </w:r>
            <w:r>
              <w:rPr>
                <w:b/>
                <w:i/>
              </w:rPr>
              <w:t>, ma deplora che alcuni dei più gravi rischi in materia di diritti umani, quali l'abuso e lo sfruttamento del lavoro, la repressione delle libertà e le violazioni del diritto alla vita privata attraverso la sorveglianza di massa non siano stati affrontati in modo significativo o neppure menzionati</w:t>
            </w:r>
            <w:r>
              <w:t>; ribadisce che l'UE è pronta a sostenere le riforme in corso in materia di diritti umani e lavoro; chiede una cooperazione rafforzata con le Nazioni Unite e l'Organizzazione internazionale del lavoro per quanto riguarda i diritti dei lavoratori migranti, in particolare in vista dell'EXPO 2030 e del torneo</w:t>
            </w:r>
            <w:r>
              <w:rPr>
                <w:b/>
                <w:i/>
              </w:rPr>
              <w:t>, al fine di garantire condizioni di lavoro adeguate per tutti i lavoratori, in particolare misure di protezione dal calore basate su dati concreti, una retribuzione piena e tempestiva e, in caso di decesso, garantire indagini adeguate e un risarcimento alle famiglie dei defunti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186</w:t>
      </w:r>
      <w:r>
        <w:rPr>
          <w:rStyle w:val="HideTWBExt"/>
        </w:rPr>
        <w:t>&lt;/NumAm&gt;</w:t>
      </w:r>
    </w:p>
    <w:p>
      <w:pPr>
        <w:pStyle w:val="NormalBold"/>
      </w:pPr>
      <w:r>
        <w:rPr>
          <w:rStyle w:val="HideTWBExt"/>
          <w:b w:val="0"/>
        </w:rPr>
        <w:t>&lt;RepeatBlock-By&gt;</w:t>
      </w:r>
      <w:r>
        <w:rPr>
          <w:rStyle w:val="HideTWBExt"/>
          <w:b w:val="0"/>
        </w:rPr>
        <w:t>&lt;Members&gt;</w:t>
      </w:r>
      <w:r>
        <w:t>Merja Kyllönen, Jonas Sjöstedt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30.</w:t>
            </w:r>
            <w:r>
              <w:tab/>
            </w:r>
            <w:r>
              <w:t xml:space="preserve">prende atto della strategia dell'Arabia Saudita in materia di diritti umani per la Coppa del mondo FIFA 2034; ribadisce che l'UE è pronta a sostenere le riforme in corso in materia di diritti umani e lavoro; chiede una cooperazione rafforzata con le Nazioni Unite e l'Organizzazione internazionale </w:t>
            </w:r>
            <w:r>
              <w:rPr>
                <w:b/>
                <w:i/>
              </w:rPr>
              <w:t>del lavoro</w:t>
            </w:r>
            <w:r>
              <w:t xml:space="preserve"> per quanto riguarda i diritti dei lavoratori migranti, in particolare in vista dell'EXPO 2030 e del torneo;</w:t>
            </w:r>
          </w:p>
        </w:tc>
        <w:tc>
          <w:tcPr>
            <w:tcW w:w="4876" w:type="dxa"/>
            <w:tcBorders>
              <w:top w:val="nil"/>
              <w:left w:val="nil"/>
              <w:bottom w:val="nil"/>
              <w:right w:val="nil"/>
            </w:tcBorders>
          </w:tcPr>
          <w:p>
            <w:pPr>
              <w:pStyle w:val="Normal6a"/>
            </w:pPr>
            <w:r>
              <w:t>30.</w:t>
            </w:r>
            <w:r>
              <w:tab/>
            </w:r>
            <w:r>
              <w:t>prende atto della strategia dell'Arabia Saudita in materia di diritti umani per la Coppa del mondo FIFA 2034; ribadisce che l'UE è pronta a sostenere le riforme in corso in materia di diritti umani e lavoro; chiede una cooperazione rafforzata con le Nazioni Unite e l'Organizzazione internazionale per quanto riguarda i diritti dei lavoratori migranti, in particolare in vista dell'EXPO 2030 e del torneo</w:t>
            </w:r>
            <w:r>
              <w:rPr>
                <w:b/>
                <w:i/>
              </w:rPr>
              <w:t>, al fine di garantire che tutti i decessi di lavoratori migranti, indipendentemente dalla causa, dal tempo e dal luogo percepiti, siano oggetto di indagini adeguate e che le famiglie dei lavoratori deceduti ricevano un risarcimento equo e tempestivo</w:t>
            </w:r>
            <w:r>
              <w:t xml:space="preserve">; </w:t>
            </w:r>
            <w:r>
              <w:rPr>
                <w:b/>
                <w:i/>
              </w:rPr>
              <w:t>chiede misure adeguate di protezione dal calore basate su dati concreti e che tutti i lavoratori siano retribuiti tempestivamente e integralmente;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187</w:t>
      </w:r>
      <w:r>
        <w:rPr>
          <w:rStyle w:val="HideTWBExt"/>
        </w:rPr>
        <w:t>&lt;/NumAm&gt;</w:t>
      </w:r>
    </w:p>
    <w:p>
      <w:pPr>
        <w:pStyle w:val="NormalBold"/>
      </w:pPr>
      <w:r>
        <w:rPr>
          <w:rStyle w:val="HideTWBExt"/>
          <w:b w:val="0"/>
        </w:rPr>
        <w:t>&lt;RepeatBlock-By&gt;</w:t>
      </w:r>
      <w:r>
        <w:rPr>
          <w:rStyle w:val="HideTWBExt"/>
          <w:b w:val="0"/>
        </w:rPr>
        <w:t>&lt;Members&gt;</w:t>
      </w:r>
      <w:r>
        <w:t>Robert Biedroń, Andreas Schieder, Evin Incir, Marco Tarquinio, Chloé Ridel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30.</w:t>
            </w:r>
            <w:r>
              <w:tab/>
            </w:r>
            <w:r>
              <w:t>prende atto della strategia dell'Arabia Saudita in materia di diritti umani per la Coppa del mondo FIFA 2034; ribadisce che l'UE è pronta a sostenere le riforme in corso in materia di diritti umani e lavoro; chiede una cooperazione rafforzata con le Nazioni Unite e l'Organizzazione internazionale del lavoro per quanto riguarda i diritti dei lavoratori migranti, in particolare in vista dell'EXPO 2030 e del torneo;</w:t>
            </w:r>
          </w:p>
        </w:tc>
        <w:tc>
          <w:tcPr>
            <w:tcW w:w="4876" w:type="dxa"/>
            <w:tcBorders>
              <w:top w:val="nil"/>
              <w:left w:val="nil"/>
              <w:bottom w:val="nil"/>
              <w:right w:val="nil"/>
            </w:tcBorders>
          </w:tcPr>
          <w:p>
            <w:pPr>
              <w:pStyle w:val="Normal6a"/>
            </w:pPr>
            <w:r>
              <w:t>30.</w:t>
            </w:r>
            <w:r>
              <w:tab/>
            </w:r>
            <w:r>
              <w:t>prende atto della strategia dell'Arabia Saudita in materia di diritti umani per la Coppa del mondo FIFA 2034; ribadisce che l'UE è pronta a sostenere le riforme in corso in materia di diritti umani e lavoro; chiede una cooperazione rafforzata con le Nazioni Unite e l'Organizzazione internazionale del lavoro per quanto riguarda i diritti dei lavoratori migranti, in particolare in vista dell'EXPO 2030 e del torneo</w:t>
            </w:r>
            <w:r>
              <w:rPr>
                <w:b/>
                <w:i/>
              </w:rPr>
              <w:t>, al fine di garantire che tutti i decessi di lavoratori migranti siano oggetto di indagini adeguate e che le famiglie dei lavoratori deceduti ricevano un indennizzo equo e tempestivo, che siano in atto adeguate misure di protezione dal calore basate su dati concreti e che tutti i lavoratori siano pagati tempestivamente e integralmente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188</w:t>
      </w:r>
      <w:r>
        <w:rPr>
          <w:rStyle w:val="HideTWBExt"/>
        </w:rPr>
        <w:t>&lt;/NumAm&gt;</w:t>
      </w:r>
    </w:p>
    <w:p>
      <w:pPr>
        <w:pStyle w:val="NormalBold"/>
      </w:pPr>
      <w:r>
        <w:rPr>
          <w:rStyle w:val="HideTWBExt"/>
          <w:b w:val="0"/>
        </w:rPr>
        <w:t>&lt;RepeatBlock-By&gt;</w:t>
      </w:r>
      <w:r>
        <w:rPr>
          <w:rStyle w:val="HideTWBExt"/>
          <w:b w:val="0"/>
        </w:rPr>
        <w:t>&lt;Members&gt;</w:t>
      </w:r>
      <w:r>
        <w:t>Hana Jalloul Muro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30.</w:t>
            </w:r>
            <w:r>
              <w:tab/>
            </w:r>
            <w:r>
              <w:t>prende atto della strategia dell'Arabia Saudita in materia di diritti umani per la Coppa del mondo FIFA 2034; ribadisce che l'UE è pronta a sostenere le riforme in corso in materia di diritti umani e lavoro; chiede una cooperazione rafforzata con le Nazioni Unite e l'Organizzazione internazionale del lavoro per quanto riguarda i diritti dei lavoratori migranti, in particolare in vista dell'EXPO 2030 e del torneo;</w:t>
            </w:r>
          </w:p>
        </w:tc>
        <w:tc>
          <w:tcPr>
            <w:tcW w:w="4876" w:type="dxa"/>
            <w:tcBorders>
              <w:top w:val="nil"/>
              <w:left w:val="nil"/>
              <w:bottom w:val="nil"/>
              <w:right w:val="nil"/>
            </w:tcBorders>
          </w:tcPr>
          <w:p>
            <w:pPr>
              <w:pStyle w:val="Normal6a"/>
            </w:pPr>
            <w:r>
              <w:t>30.</w:t>
            </w:r>
            <w:r>
              <w:tab/>
            </w:r>
            <w:r>
              <w:t>prende atto della strategia dell'Arabia Saudita in materia di diritti umani per la Coppa del mondo FIFA 2034; ribadisce che l'UE è pronta a sostenere le riforme in corso in materia di diritti umani e lavoro; chiede una cooperazione rafforzata con le Nazioni Unite e l'Organizzazione internazionale del lavoro per quanto riguarda i diritti dei lavoratori migranti, in particolare in vista dell'EXPO 2030 e del torneo</w:t>
            </w:r>
            <w:r>
              <w:rPr>
                <w:b/>
                <w:i/>
              </w:rPr>
              <w:t>,</w:t>
            </w:r>
            <w:r>
              <w:t xml:space="preserve"> </w:t>
            </w:r>
            <w:r>
              <w:rPr>
                <w:b/>
                <w:i/>
              </w:rPr>
              <w:t>al fine di garantire che tutti i decessi e gli infortuni dei lavoratori migranti, indipendentemente dalla causa, dal tempo e dal luogo percepiti, siano oggetto di indagini adeguate e che le famiglie dei lavoratori deceduti ricevano un risarcimento equo e tempestivo</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189</w:t>
      </w:r>
      <w:r>
        <w:rPr>
          <w:rStyle w:val="HideTWBExt"/>
        </w:rPr>
        <w:t>&lt;/NumAm&gt;</w:t>
      </w:r>
    </w:p>
    <w:p>
      <w:pPr>
        <w:pStyle w:val="NormalBold"/>
      </w:pPr>
      <w:r>
        <w:rPr>
          <w:rStyle w:val="HideTWBExt"/>
          <w:b w:val="0"/>
        </w:rPr>
        <w:t>&lt;RepeatBlock-By&gt;</w:t>
      </w:r>
      <w:r>
        <w:rPr>
          <w:rStyle w:val="HideTWBExt"/>
          <w:b w:val="0"/>
        </w:rPr>
        <w:t>&lt;Members&gt;</w:t>
      </w:r>
      <w:r>
        <w:t>Bernard Guetta, Hilde Vautmans, Marie-Agnes Strack-Zimmermann, Engin Eroglu,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30.</w:t>
            </w:r>
            <w:r>
              <w:tab/>
            </w:r>
            <w:r>
              <w:t>prende atto della strategia dell'Arabia Saudita in materia di diritti umani per la Coppa del mondo FIFA 2034; ribadisce che l'UE è pronta a sostenere le riforme in corso in materia di diritti umani e lavoro; chiede una cooperazione rafforzata con le Nazioni Unite e l'Organizzazione internazionale del lavoro per quanto riguarda i diritti dei lavoratori migranti, in particolare in vista dell'EXPO 2030 e del torneo;</w:t>
            </w:r>
          </w:p>
        </w:tc>
        <w:tc>
          <w:tcPr>
            <w:tcW w:w="4876" w:type="dxa"/>
            <w:tcBorders>
              <w:top w:val="nil"/>
              <w:left w:val="nil"/>
              <w:bottom w:val="nil"/>
              <w:right w:val="nil"/>
            </w:tcBorders>
          </w:tcPr>
          <w:p>
            <w:pPr>
              <w:pStyle w:val="Normal6a"/>
            </w:pPr>
            <w:r>
              <w:t>30.</w:t>
            </w:r>
            <w:r>
              <w:tab/>
            </w:r>
            <w:r>
              <w:t xml:space="preserve">prende atto della strategia dell'Arabia Saudita in materia di diritti umani per la Coppa del mondo FIFA 2034; ribadisce che l'UE è pronta a sostenere le riforme in corso in materia di diritti umani e lavoro; chiede una cooperazione rafforzata con le Nazioni Unite e l'Organizzazione internazionale del lavoro per quanto riguarda i diritti dei lavoratori migranti, </w:t>
            </w:r>
            <w:r>
              <w:rPr>
                <w:b/>
                <w:i/>
              </w:rPr>
              <w:t>nel perseguire ulteriori riforme del lavoro globali e inclusive in linea con le norme internazionali,</w:t>
            </w:r>
            <w:r>
              <w:t xml:space="preserve"> in particolare in vista dell'EXPO 2030 e del torneo;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190</w:t>
      </w:r>
      <w:r>
        <w:rPr>
          <w:rStyle w:val="HideTWBExt"/>
        </w:rPr>
        <w:t>&lt;/NumAm&gt;</w:t>
      </w:r>
    </w:p>
    <w:p>
      <w:pPr>
        <w:pStyle w:val="NormalBold"/>
      </w:pPr>
      <w:r>
        <w:rPr>
          <w:rStyle w:val="HideTWBExt"/>
          <w:b w:val="0"/>
        </w:rPr>
        <w:t>&lt;RepeatBlock-By&gt;</w:t>
      </w:r>
      <w:r>
        <w:rPr>
          <w:rStyle w:val="HideTWBExt"/>
          <w:b w:val="0"/>
        </w:rPr>
        <w:t>&lt;Members&gt;</w:t>
      </w:r>
      <w:r>
        <w:t>Bernard Guetta, Hilde Vautmans, Marie-Agnes Strack-Zimmermann, Engin Eroglu,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30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30 bis.</w:t>
            </w:r>
            <w:r>
              <w:tab/>
            </w:r>
            <w:r>
              <w:rPr>
                <w:b/>
                <w:i/>
              </w:rPr>
              <w:t>incoraggia l'Arabia Saudita ad attuare le riforme giuridiche in corso per migliorare la trasparenza giudiziaria e prevenire la detenzione a tempo indeterminato al fine di garantire la trasparenza dei procedimenti giudiziari;</w:t>
            </w:r>
            <w:r>
              <w:t xml:space="preserve"> </w:t>
            </w:r>
            <w:r>
              <w:rPr>
                <w:b/>
                <w:i/>
              </w:rPr>
              <w:t>invita l'Arabia Saudita a riformare i tribunali penali per garantire che conducano processi equi per tutti gli imputati, emettano pene eque per i reati sulla base di orientamenti, pubblichino i registri giudiziari e proteggano gli imputati da detenzioni arbitrarie e maltrattamenti;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191</w:t>
      </w:r>
      <w:r>
        <w:rPr>
          <w:rStyle w:val="HideTWBExt"/>
        </w:rPr>
        <w:t>&lt;/NumAm&gt;</w:t>
      </w:r>
    </w:p>
    <w:p>
      <w:pPr>
        <w:pStyle w:val="NormalBold"/>
      </w:pPr>
      <w:r>
        <w:rPr>
          <w:rStyle w:val="HideTWBExt"/>
          <w:b w:val="0"/>
        </w:rPr>
        <w:t>&lt;RepeatBlock-By&gt;</w:t>
      </w:r>
      <w:r>
        <w:rPr>
          <w:rStyle w:val="HideTWBExt"/>
          <w:b w:val="0"/>
        </w:rPr>
        <w:t>&lt;Members&gt;</w:t>
      </w:r>
      <w:r>
        <w:t>Roberto Vannacci, Silvia Sardone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30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30 bis.</w:t>
            </w:r>
            <w:r>
              <w:tab/>
            </w:r>
            <w:r>
              <w:rPr>
                <w:b/>
                <w:i/>
              </w:rPr>
              <w:t>sottolinea che la libertà di espressione è fortemente limitata e sottolinea che Internet è ancora fortemente monitorato e che post critici sui social media possono condurre all'arresto.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192</w:t>
      </w:r>
      <w:r>
        <w:rPr>
          <w:rStyle w:val="HideTWBExt"/>
        </w:rPr>
        <w:t>&lt;/NumAm&gt;</w:t>
      </w:r>
    </w:p>
    <w:p>
      <w:pPr>
        <w:pStyle w:val="NormalBold"/>
      </w:pPr>
      <w:r>
        <w:rPr>
          <w:rStyle w:val="HideTWBExt"/>
          <w:b w:val="0"/>
        </w:rPr>
        <w:t>&lt;RepeatBlock-By&gt;</w:t>
      </w:r>
      <w:r>
        <w:rPr>
          <w:rStyle w:val="HideTWBExt"/>
          <w:b w:val="0"/>
        </w:rPr>
        <w:t>&lt;Members&gt;</w:t>
      </w:r>
      <w:r>
        <w:t>Bernard Guetta, Hilde Vautmans, Marie-Agnes Strack-Zimmermann, Engin Eroglu,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31.</w:t>
            </w:r>
            <w:r>
              <w:tab/>
            </w:r>
            <w:r>
              <w:t xml:space="preserve">ribadisce l'impegno di principio dell'UE a collaborare con l'Arabia Saudita per </w:t>
            </w:r>
            <w:r>
              <w:rPr>
                <w:b/>
                <w:i/>
              </w:rPr>
              <w:t>l'abolizione della pena di morte</w:t>
            </w:r>
            <w:r>
              <w:t>;</w:t>
            </w:r>
          </w:p>
        </w:tc>
        <w:tc>
          <w:tcPr>
            <w:tcW w:w="4876" w:type="dxa"/>
            <w:tcBorders>
              <w:top w:val="nil"/>
              <w:left w:val="nil"/>
              <w:bottom w:val="nil"/>
              <w:right w:val="nil"/>
            </w:tcBorders>
          </w:tcPr>
          <w:p>
            <w:pPr>
              <w:pStyle w:val="Normal6a"/>
            </w:pPr>
            <w:r>
              <w:t>31.</w:t>
            </w:r>
            <w:r>
              <w:tab/>
            </w:r>
            <w:r>
              <w:rPr>
                <w:b/>
                <w:i/>
              </w:rPr>
              <w:t>ribadisce la sua opposizione ferma e inequivocabile al ricorso alla pena di morte, sempre e comunque;</w:t>
            </w:r>
            <w:r>
              <w:t xml:space="preserve"> </w:t>
            </w:r>
            <w:r>
              <w:rPr>
                <w:b/>
                <w:i/>
              </w:rPr>
              <w:t>esprime preoccupazione per il ricorso alla pena di morte in Arabia Saudita, che ha registrato un drastico aumento nel 2024, raggiungendo livelli senza precedenti con oltre 345 esecuzioni;</w:t>
            </w:r>
            <w:r>
              <w:t xml:space="preserve"> </w:t>
            </w:r>
            <w:r>
              <w:rPr>
                <w:b/>
                <w:i/>
              </w:rPr>
              <w:t>invita l'Arabia Saudita a istituire una moratoria sulle esecuzioni al fine di abolire la pena di morte e</w:t>
            </w:r>
            <w:r>
              <w:t xml:space="preserve"> ribadisce l'impegno di principio dell'UE a collaborare con l'Arabia Saudita per </w:t>
            </w:r>
            <w:r>
              <w:rPr>
                <w:b/>
                <w:i/>
              </w:rPr>
              <w:t>conseguire tale obiettivo</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193</w:t>
      </w:r>
      <w:r>
        <w:rPr>
          <w:rStyle w:val="HideTWBExt"/>
        </w:rPr>
        <w:t>&lt;/NumAm&gt;</w:t>
      </w:r>
    </w:p>
    <w:p>
      <w:pPr>
        <w:pStyle w:val="NormalBold"/>
      </w:pPr>
      <w:r>
        <w:rPr>
          <w:rStyle w:val="HideTWBExt"/>
          <w:b w:val="0"/>
        </w:rPr>
        <w:t>&lt;RepeatBlock-By&gt;</w:t>
      </w:r>
      <w:r>
        <w:rPr>
          <w:rStyle w:val="HideTWBExt"/>
          <w:b w:val="0"/>
        </w:rPr>
        <w:t>&lt;Members&gt;</w:t>
      </w:r>
      <w:r>
        <w:t>Robert Biedroń, Andreas Schieder, Evin Incir, Marco Tarquinio, Chloé Ridel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31.</w:t>
            </w:r>
            <w:r>
              <w:tab/>
            </w:r>
            <w:r>
              <w:t xml:space="preserve">ribadisce </w:t>
            </w:r>
            <w:r>
              <w:rPr>
                <w:b/>
                <w:i/>
              </w:rPr>
              <w:t>l'impegno</w:t>
            </w:r>
            <w:r>
              <w:t xml:space="preserve"> di principio dell'UE </w:t>
            </w:r>
            <w:r>
              <w:rPr>
                <w:b/>
                <w:i/>
              </w:rPr>
              <w:t>a collaborare con</w:t>
            </w:r>
            <w:r>
              <w:t xml:space="preserve"> l'Arabia Saudita </w:t>
            </w:r>
            <w:r>
              <w:rPr>
                <w:b/>
                <w:i/>
              </w:rPr>
              <w:t>per l'abolizione</w:t>
            </w:r>
            <w:r>
              <w:t xml:space="preserve"> della </w:t>
            </w:r>
            <w:r>
              <w:rPr>
                <w:b/>
                <w:i/>
              </w:rPr>
              <w:t>pena di</w:t>
            </w:r>
            <w:r>
              <w:t xml:space="preserve"> morte;</w:t>
            </w:r>
          </w:p>
        </w:tc>
        <w:tc>
          <w:tcPr>
            <w:tcW w:w="4876" w:type="dxa"/>
            <w:tcBorders>
              <w:top w:val="nil"/>
              <w:left w:val="nil"/>
              <w:bottom w:val="nil"/>
              <w:right w:val="nil"/>
            </w:tcBorders>
          </w:tcPr>
          <w:p>
            <w:pPr>
              <w:pStyle w:val="Normal6a"/>
            </w:pPr>
            <w:r>
              <w:t>31.</w:t>
            </w:r>
            <w:r>
              <w:tab/>
            </w:r>
            <w:r>
              <w:t xml:space="preserve">ribadisce </w:t>
            </w:r>
            <w:r>
              <w:rPr>
                <w:b/>
                <w:i/>
              </w:rPr>
              <w:t>la posizione</w:t>
            </w:r>
            <w:r>
              <w:t xml:space="preserve"> di principio dell'UE </w:t>
            </w:r>
            <w:r>
              <w:rPr>
                <w:b/>
                <w:i/>
              </w:rPr>
              <w:t>contro la pena di morte ed esorta</w:t>
            </w:r>
            <w:r>
              <w:t xml:space="preserve"> l'Arabia Saudita </w:t>
            </w:r>
            <w:r>
              <w:rPr>
                <w:b/>
                <w:i/>
              </w:rPr>
              <w:t>ad attuare immediatamente una moratoria sulle condanne a morte e sulle esecuzioni, in particolare per le persone nel braccio</w:t>
            </w:r>
            <w:r>
              <w:t xml:space="preserve"> della morte </w:t>
            </w:r>
            <w:r>
              <w:rPr>
                <w:b/>
                <w:i/>
              </w:rPr>
              <w:t>per reati commessi quando erano minori, al fine di abolire completamente tale pratica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194</w:t>
      </w:r>
      <w:r>
        <w:rPr>
          <w:rStyle w:val="HideTWBExt"/>
        </w:rPr>
        <w:t>&lt;/NumAm&gt;</w:t>
      </w:r>
    </w:p>
    <w:p>
      <w:pPr>
        <w:pStyle w:val="NormalBold"/>
      </w:pPr>
      <w:r>
        <w:rPr>
          <w:rStyle w:val="HideTWBExt"/>
          <w:b w:val="0"/>
        </w:rPr>
        <w:t>&lt;RepeatBlock-By&gt;</w:t>
      </w:r>
      <w:r>
        <w:rPr>
          <w:rStyle w:val="HideTWBExt"/>
          <w:b w:val="0"/>
        </w:rPr>
        <w:t>&lt;Members&gt;</w:t>
      </w:r>
      <w:r>
        <w:t>Merja Kyllönen, Jonas Sjöstedt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31.</w:t>
            </w:r>
            <w:r>
              <w:tab/>
            </w:r>
            <w:r>
              <w:t xml:space="preserve">ribadisce </w:t>
            </w:r>
            <w:r>
              <w:rPr>
                <w:b/>
                <w:i/>
              </w:rPr>
              <w:t>l'impegno</w:t>
            </w:r>
            <w:r>
              <w:t xml:space="preserve"> di principio dell'UE </w:t>
            </w:r>
            <w:r>
              <w:rPr>
                <w:b/>
                <w:i/>
              </w:rPr>
              <w:t>a collaborare con</w:t>
            </w:r>
            <w:r>
              <w:t xml:space="preserve"> l'Arabia Saudita </w:t>
            </w:r>
            <w:r>
              <w:rPr>
                <w:b/>
                <w:i/>
              </w:rPr>
              <w:t>per l'abolizione</w:t>
            </w:r>
            <w:r>
              <w:t xml:space="preserve"> della </w:t>
            </w:r>
            <w:r>
              <w:rPr>
                <w:b/>
                <w:i/>
              </w:rPr>
              <w:t>pena di</w:t>
            </w:r>
            <w:r>
              <w:t xml:space="preserve"> morte;</w:t>
            </w:r>
          </w:p>
        </w:tc>
        <w:tc>
          <w:tcPr>
            <w:tcW w:w="4876" w:type="dxa"/>
            <w:tcBorders>
              <w:top w:val="nil"/>
              <w:left w:val="nil"/>
              <w:bottom w:val="nil"/>
              <w:right w:val="nil"/>
            </w:tcBorders>
          </w:tcPr>
          <w:p>
            <w:pPr>
              <w:pStyle w:val="Normal6a"/>
            </w:pPr>
            <w:r>
              <w:t>31.</w:t>
            </w:r>
            <w:r>
              <w:tab/>
            </w:r>
            <w:r>
              <w:t xml:space="preserve">ribadisce </w:t>
            </w:r>
            <w:r>
              <w:rPr>
                <w:b/>
                <w:i/>
              </w:rPr>
              <w:t>la posizione</w:t>
            </w:r>
            <w:r>
              <w:t xml:space="preserve"> di principio dell'UE </w:t>
            </w:r>
            <w:r>
              <w:rPr>
                <w:b/>
                <w:i/>
              </w:rPr>
              <w:t>contro la pena di morte ed esorta</w:t>
            </w:r>
            <w:r>
              <w:t xml:space="preserve"> l'Arabia Saudita </w:t>
            </w:r>
            <w:r>
              <w:rPr>
                <w:b/>
                <w:i/>
              </w:rPr>
              <w:t>ad attuare una moratoria sulle condanne a morte e sulle esecuzioni, a partire dalle persone nel braccio</w:t>
            </w:r>
            <w:r>
              <w:t xml:space="preserve"> della morte </w:t>
            </w:r>
            <w:r>
              <w:rPr>
                <w:b/>
                <w:i/>
              </w:rPr>
              <w:t>per reati commessi quando erano minori, al fine di abolirla completamente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195</w:t>
      </w:r>
      <w:r>
        <w:rPr>
          <w:rStyle w:val="HideTWBExt"/>
        </w:rPr>
        <w:t>&lt;/NumAm&gt;</w:t>
      </w:r>
    </w:p>
    <w:p>
      <w:pPr>
        <w:pStyle w:val="NormalBold"/>
      </w:pPr>
      <w:r>
        <w:rPr>
          <w:rStyle w:val="HideTWBExt"/>
          <w:b w:val="0"/>
        </w:rPr>
        <w:t>&lt;RepeatBlock-By&gt;</w:t>
      </w:r>
      <w:r>
        <w:rPr>
          <w:rStyle w:val="HideTWBExt"/>
          <w:b w:val="0"/>
        </w:rPr>
        <w:t>&lt;Members&gt;</w:t>
      </w:r>
      <w:r>
        <w:t>Hana Jalloul Muro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31.</w:t>
            </w:r>
            <w:r>
              <w:tab/>
            </w:r>
            <w:r>
              <w:t>ribadisce l'impegno di principio dell'UE a collaborare con l'Arabia Saudita per l'abolizione della pena di morte;</w:t>
            </w:r>
          </w:p>
        </w:tc>
        <w:tc>
          <w:tcPr>
            <w:tcW w:w="4876" w:type="dxa"/>
            <w:tcBorders>
              <w:top w:val="nil"/>
              <w:left w:val="nil"/>
              <w:bottom w:val="nil"/>
              <w:right w:val="nil"/>
            </w:tcBorders>
          </w:tcPr>
          <w:p>
            <w:pPr>
              <w:pStyle w:val="Normal6a"/>
            </w:pPr>
            <w:r>
              <w:t>31.</w:t>
            </w:r>
            <w:r>
              <w:tab/>
            </w:r>
            <w:r>
              <w:t xml:space="preserve">ribadisce l'impegno di principio dell'UE a collaborare con l'Arabia Saudita per l'abolizione della pena di morte; </w:t>
            </w:r>
            <w:r>
              <w:rPr>
                <w:b/>
                <w:i/>
              </w:rPr>
              <w:t>con la possibilità di adottare una moratoria sulle condanne a morte e sulle esecuzioni;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196</w:t>
      </w:r>
      <w:r>
        <w:rPr>
          <w:rStyle w:val="HideTWBExt"/>
        </w:rPr>
        <w:t>&lt;/NumAm&gt;</w:t>
      </w:r>
    </w:p>
    <w:p>
      <w:pPr>
        <w:pStyle w:val="NormalBold"/>
      </w:pPr>
      <w:r>
        <w:rPr>
          <w:rStyle w:val="HideTWBExt"/>
          <w:b w:val="0"/>
        </w:rPr>
        <w:t>&lt;RepeatBlock-By&gt;</w:t>
      </w:r>
      <w:r>
        <w:rPr>
          <w:rStyle w:val="HideTWBExt"/>
          <w:b w:val="0"/>
        </w:rPr>
        <w:t>&lt;Members&gt;</w:t>
      </w:r>
      <w:r>
        <w:t>Roberto Vannacci, Silvia Sardone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31.</w:t>
            </w:r>
            <w:r>
              <w:tab/>
            </w:r>
            <w:r>
              <w:t>ribadisce l'impegno di principio dell'UE a collaborare con l'Arabia Saudita per l'abolizione della pena di morte;</w:t>
            </w:r>
          </w:p>
        </w:tc>
        <w:tc>
          <w:tcPr>
            <w:tcW w:w="4876" w:type="dxa"/>
            <w:tcBorders>
              <w:top w:val="nil"/>
              <w:left w:val="nil"/>
              <w:bottom w:val="nil"/>
              <w:right w:val="nil"/>
            </w:tcBorders>
          </w:tcPr>
          <w:p>
            <w:pPr>
              <w:pStyle w:val="Normal6a"/>
            </w:pPr>
            <w:r>
              <w:t>31.</w:t>
            </w:r>
            <w:r>
              <w:tab/>
            </w:r>
            <w:r>
              <w:t xml:space="preserve">ribadisce l'impegno di principio dell'UE a collaborare con l'Arabia Saudita per l'abolizione della pena di morte </w:t>
            </w:r>
            <w:r>
              <w:rPr>
                <w:b/>
                <w:i/>
              </w:rPr>
              <w:t>e sottolinea che le esecuzioni pubbliche sono ancora praticate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197</w:t>
      </w:r>
      <w:r>
        <w:rPr>
          <w:rStyle w:val="HideTWBExt"/>
        </w:rPr>
        <w:t>&lt;/NumAm&gt;</w:t>
      </w:r>
    </w:p>
    <w:p>
      <w:pPr>
        <w:pStyle w:val="NormalBold"/>
      </w:pPr>
      <w:r>
        <w:rPr>
          <w:rStyle w:val="HideTWBExt"/>
          <w:b w:val="0"/>
        </w:rPr>
        <w:t>&lt;RepeatBlock-By&gt;</w:t>
      </w:r>
      <w:r>
        <w:rPr>
          <w:rStyle w:val="HideTWBExt"/>
          <w:b w:val="0"/>
        </w:rPr>
        <w:t>&lt;Members&gt;</w:t>
      </w:r>
      <w:r>
        <w:t>Jordan Bardella, Pierre-Romain Thionnet, Matthieu Valet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31.</w:t>
            </w:r>
            <w:r>
              <w:tab/>
            </w:r>
            <w:r>
              <w:t>ribadisce l'impegno di principio dell'UE a collaborare con l'Arabia Saudita per l'abolizione della pena di morte;</w:t>
            </w:r>
          </w:p>
        </w:tc>
        <w:tc>
          <w:tcPr>
            <w:tcW w:w="4876" w:type="dxa"/>
            <w:tcBorders>
              <w:top w:val="nil"/>
              <w:left w:val="nil"/>
              <w:bottom w:val="nil"/>
              <w:right w:val="nil"/>
            </w:tcBorders>
          </w:tcPr>
          <w:p>
            <w:pPr>
              <w:pStyle w:val="Normal6a"/>
            </w:pPr>
            <w:r>
              <w:t>31.</w:t>
            </w:r>
            <w:r>
              <w:tab/>
            </w:r>
            <w:r>
              <w:t xml:space="preserve">ribadisce l'impegno di principio dell'UE a collaborare con l'Arabia Saudita per l'abolizione della pena di morte </w:t>
            </w:r>
            <w:r>
              <w:rPr>
                <w:b/>
                <w:i/>
              </w:rPr>
              <w:t>e le punizioni corporali</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198</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31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31 bis.</w:t>
            </w:r>
            <w:r>
              <w:tab/>
            </w:r>
            <w:r>
              <w:rPr>
                <w:b/>
                <w:i/>
              </w:rPr>
              <w:t>esprime profonda preoccupazione per l'allarmante escalation del ricorso alla pena di morte in Arabia Saudita, con almeno 345 esecuzioni effettuate nel 2024, ossia il numero più elevato registrato nella storia recente del Regno, e oltre 180 altre esecuzioni solo nel primo semestre del 2025, numeri che mettono il paese sulla strada per superare i record precedenti;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199</w:t>
      </w:r>
      <w:r>
        <w:rPr>
          <w:rStyle w:val="HideTWBExt"/>
        </w:rPr>
        <w:t>&lt;/NumAm&gt;</w:t>
      </w:r>
    </w:p>
    <w:p>
      <w:pPr>
        <w:pStyle w:val="NormalBold"/>
      </w:pPr>
      <w:r>
        <w:rPr>
          <w:rStyle w:val="HideTWBExt"/>
          <w:b w:val="0"/>
        </w:rPr>
        <w:t>&lt;RepeatBlock-By&gt;</w:t>
      </w:r>
      <w:r>
        <w:rPr>
          <w:rStyle w:val="HideTWBExt"/>
          <w:b w:val="0"/>
        </w:rPr>
        <w:t>&lt;Members&gt;</w:t>
      </w:r>
      <w:r>
        <w:t>Hana Jalloul Muro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31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31 bis.</w:t>
            </w:r>
            <w:r>
              <w:tab/>
            </w:r>
            <w:r>
              <w:rPr>
                <w:b/>
                <w:i/>
              </w:rPr>
              <w:t>ribadisce l'impegno di principio dell'UE a collaborare con l'Arabia Saudita per l'abolizione della pena di morte,</w:t>
            </w:r>
            <w:r>
              <w:t xml:space="preserve"> </w:t>
            </w:r>
            <w:r>
              <w:rPr>
                <w:b/>
                <w:i/>
              </w:rPr>
              <w:t>con la possibilità di adottare una moratoria sulle condanne a morte e sulle esecuzioni,</w:t>
            </w:r>
            <w:r>
              <w:t xml:space="preserve"> </w:t>
            </w:r>
            <w:r>
              <w:rPr>
                <w:b/>
                <w:i/>
              </w:rPr>
              <w:t>tenendo conto del fatto che le esecuzioni nel Regno sono aumentate;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200</w:t>
      </w:r>
      <w:r>
        <w:rPr>
          <w:rStyle w:val="HideTWBExt"/>
        </w:rPr>
        <w:t>&lt;/NumAm&gt;</w:t>
      </w:r>
    </w:p>
    <w:p>
      <w:pPr>
        <w:pStyle w:val="NormalBold"/>
      </w:pPr>
      <w:r>
        <w:rPr>
          <w:rStyle w:val="HideTWBExt"/>
          <w:b w:val="0"/>
        </w:rPr>
        <w:t>&lt;RepeatBlock-By&gt;</w:t>
      </w:r>
      <w:r>
        <w:rPr>
          <w:rStyle w:val="HideTWBExt"/>
          <w:b w:val="0"/>
        </w:rPr>
        <w:t>&lt;Members&gt;</w:t>
      </w:r>
      <w:r>
        <w:t>Robert Biedroń, Andreas Schieder, Evin Incir, Marco Tarquinio, Chloé Ridel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31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31 bis.</w:t>
            </w:r>
            <w:r>
              <w:tab/>
            </w:r>
            <w:r>
              <w:rPr>
                <w:b/>
                <w:i/>
              </w:rPr>
              <w:t>chiede la depenalizzazione delle attività sessuali tra persone dello stesso sesso;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201</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31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31 ter.</w:t>
            </w:r>
            <w:r>
              <w:tab/>
            </w:r>
            <w:r>
              <w:rPr>
                <w:b/>
                <w:i/>
              </w:rPr>
              <w:t>condanna il continuo ricorso alla pena di morte per reati non letali, in particolare i reati connessi alla droga, e invita l'Arabia Saudita ad attuare immediatamente una moratoria sulle esecuzioni per tali reati in linea con le norme internazionali in materia di diritti umani;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202</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31 quater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31 quater.</w:t>
            </w:r>
            <w:r>
              <w:tab/>
            </w:r>
            <w:r>
              <w:rPr>
                <w:b/>
                <w:i/>
              </w:rPr>
              <w:t>esprime profonda preoccupazione per il fatto che nel 2025 oltre la metà di tutte le esecuzioni ha riguardato cittadini stranieri, molti dei quali hanno subito la pena capitale per reati non letali legati alla droga, spesso a seguito di processi che non hanno rispettato le norme internazionali in materia di equo processo;</w:t>
            </w:r>
            <w:r>
              <w:t xml:space="preserve"> </w:t>
            </w:r>
            <w:r>
              <w:rPr>
                <w:b/>
                <w:i/>
              </w:rPr>
              <w:t>ricorda che il ricorso alla pena di morte in tali casi costituisce una violazione del diritto internazionale in materia di diritti umani, che limita la sua applicazione ai soli "reati più gravi";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203</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31 quinquies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31 quinquies.</w:t>
            </w:r>
            <w:r>
              <w:tab/>
            </w:r>
            <w:r>
              <w:rPr>
                <w:b/>
                <w:i/>
              </w:rPr>
              <w:t>deplora la detenzione in corso di persone condannate a morte per reati commessi quando erano minori, tra cui Abdullah al-Howaiti, Abdullah al-Derazi e Youssef al-Manasif, e invita le autorità saudite a revocare le loro condanne a morte in linea con gli obblighi del Regno ai sensi del diritto internazionale e del suo regio decreto del 2020;</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204</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31 sexies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31 sexies.</w:t>
            </w:r>
            <w:r>
              <w:tab/>
            </w:r>
            <w:r>
              <w:rPr>
                <w:b/>
                <w:i/>
              </w:rPr>
              <w:t>condanna con la massima fermezza l'esecuzione del giornalista saudita Turki bin Abdulaziz al-Jasser a seguito di un processo segreto, nonché il procedimento in corso nei confronti di riformatori pacifici e figure religiose come Hassan al-Maliki e Salman Alodah, che rischiano la pena di morte unicamente per aver esercitato il loro diritto alla libertà di espressione;</w:t>
            </w:r>
            <w:r>
              <w:t xml:space="preserve"> </w:t>
            </w:r>
            <w:r>
              <w:rPr>
                <w:b/>
                <w:i/>
              </w:rPr>
              <w:t>invita l'Arabia Saudita a rilasciare immediatamente e incondizionatamente tutte le persone detenute per aver esercitato pacificamente i propri diritti umani;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205</w:t>
      </w:r>
      <w:r>
        <w:rPr>
          <w:rStyle w:val="HideTWBExt"/>
        </w:rPr>
        <w:t>&lt;/NumAm&gt;</w:t>
      </w:r>
    </w:p>
    <w:p>
      <w:pPr>
        <w:pStyle w:val="NormalBold"/>
      </w:pPr>
      <w:r>
        <w:rPr>
          <w:rStyle w:val="HideTWBExt"/>
          <w:b w:val="0"/>
        </w:rPr>
        <w:t>&lt;RepeatBlock-By&gt;</w:t>
      </w:r>
      <w:r>
        <w:rPr>
          <w:rStyle w:val="HideTWBExt"/>
          <w:b w:val="0"/>
        </w:rPr>
        <w:t>&lt;Members&gt;</w:t>
      </w:r>
      <w:r>
        <w:t>Roberto Vannacci, Silvia Sardone,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32.</w:t>
            </w:r>
            <w:r>
              <w:tab/>
            </w:r>
            <w:r>
              <w:rPr>
                <w:b/>
                <w:i/>
              </w:rPr>
              <w:t>invita l'Arabia Saudita a ratificare tutte le pertinenti convenzioni internazionali in materia di diritti umani;</w:t>
            </w:r>
          </w:p>
        </w:tc>
        <w:tc>
          <w:tcPr>
            <w:tcW w:w="4876" w:type="dxa"/>
            <w:tcBorders>
              <w:top w:val="nil"/>
              <w:left w:val="nil"/>
              <w:bottom w:val="nil"/>
              <w:right w:val="nil"/>
            </w:tcBorders>
          </w:tcPr>
          <w:p>
            <w:pPr>
              <w:pStyle w:val="Normal6a"/>
            </w:pPr>
            <w:r>
              <w:rPr>
                <w:b/>
                <w:i/>
              </w:rPr>
              <w:t>soppresso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206</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32.</w:t>
            </w:r>
            <w:r>
              <w:tab/>
            </w:r>
            <w:r>
              <w:t xml:space="preserve">invita l'Arabia Saudita a ratificare tutte le </w:t>
            </w:r>
            <w:r>
              <w:rPr>
                <w:b/>
                <w:i/>
              </w:rPr>
              <w:t>pertinenti</w:t>
            </w:r>
            <w:r>
              <w:t xml:space="preserve"> convenzioni internazionali in materia di diritti umani;</w:t>
            </w:r>
          </w:p>
        </w:tc>
        <w:tc>
          <w:tcPr>
            <w:tcW w:w="4876" w:type="dxa"/>
            <w:tcBorders>
              <w:top w:val="nil"/>
              <w:left w:val="nil"/>
              <w:bottom w:val="nil"/>
              <w:right w:val="nil"/>
            </w:tcBorders>
          </w:tcPr>
          <w:p>
            <w:pPr>
              <w:pStyle w:val="Normal6a"/>
            </w:pPr>
            <w:r>
              <w:t>32.</w:t>
            </w:r>
            <w:r>
              <w:tab/>
            </w:r>
            <w:r>
              <w:t xml:space="preserve">invita l'Arabia Saudita a ratificare tutte le convenzioni internazionali </w:t>
            </w:r>
            <w:r>
              <w:rPr>
                <w:b/>
                <w:i/>
              </w:rPr>
              <w:t>fondamentali</w:t>
            </w:r>
            <w:r>
              <w:t xml:space="preserve"> in materia di diritti umani </w:t>
            </w:r>
            <w:r>
              <w:rPr>
                <w:b/>
                <w:i/>
              </w:rPr>
              <w:t>e le convenzioni sui diritti del lavoro, compresi il Patto internazionale relativo ai diritti civili e politici, la Convenzione contro la tortura, l'ICESCR, la convenzione dell'OIL sui lavoratori domestici, la convenzione internazionale sulla protezione di tutti i lavoratori migranti e delle loro famiglie, la convenzione dell'OIL sulla libertà di associazione dei lavoratori e la tutela del diritto di sciopero, e a conformare le sue leggi nazionali alle norme internazionali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207</w:t>
      </w:r>
      <w:r>
        <w:rPr>
          <w:rStyle w:val="HideTWBExt"/>
        </w:rPr>
        <w:t>&lt;/NumAm&gt;</w:t>
      </w:r>
    </w:p>
    <w:p>
      <w:pPr>
        <w:pStyle w:val="NormalBold"/>
      </w:pPr>
      <w:r>
        <w:rPr>
          <w:rStyle w:val="HideTWBExt"/>
          <w:b w:val="0"/>
        </w:rPr>
        <w:t>&lt;RepeatBlock-By&gt;</w:t>
      </w:r>
      <w:r>
        <w:rPr>
          <w:rStyle w:val="HideTWBExt"/>
          <w:b w:val="0"/>
        </w:rPr>
        <w:t>&lt;Members&gt;</w:t>
      </w:r>
      <w:r>
        <w:t>Bernard Guetta, Hilde Vautmans, Marie-Agnes Strack-Zimmermann, Engin Eroglu,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32.</w:t>
            </w:r>
            <w:r>
              <w:tab/>
            </w:r>
            <w:r>
              <w:t>invita l'Arabia Saudita a ratificare tutte le pertinenti convenzioni internazionali in materia di diritti umani;</w:t>
            </w:r>
          </w:p>
        </w:tc>
        <w:tc>
          <w:tcPr>
            <w:tcW w:w="4876" w:type="dxa"/>
            <w:tcBorders>
              <w:top w:val="nil"/>
              <w:left w:val="nil"/>
              <w:bottom w:val="nil"/>
              <w:right w:val="nil"/>
            </w:tcBorders>
          </w:tcPr>
          <w:p>
            <w:pPr>
              <w:pStyle w:val="Normal6a"/>
            </w:pPr>
            <w:r>
              <w:t>32.</w:t>
            </w:r>
            <w:r>
              <w:tab/>
            </w:r>
            <w:r>
              <w:t xml:space="preserve">invita l'Arabia Saudita a ratificare tutte le pertinenti convenzioni internazionali in materia di diritti umani; </w:t>
            </w:r>
            <w:r>
              <w:rPr>
                <w:b/>
                <w:i/>
              </w:rPr>
              <w:t>incoraggia l'Arabia Saudita a garantire che tutta la legislazione esistente e nuova, compreso il codice penale, rispetti le norme internazionali in materia di diritti umani e sottolinea l'importanza di una stretta cooperazione con il sistema delle Nazioni Unite e la società civile indipendente;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208</w:t>
      </w:r>
      <w:r>
        <w:rPr>
          <w:rStyle w:val="HideTWBExt"/>
        </w:rPr>
        <w:t>&lt;/NumAm&gt;</w:t>
      </w:r>
    </w:p>
    <w:p>
      <w:pPr>
        <w:pStyle w:val="NormalBold"/>
      </w:pPr>
      <w:r>
        <w:rPr>
          <w:rStyle w:val="HideTWBExt"/>
          <w:b w:val="0"/>
        </w:rPr>
        <w:t>&lt;RepeatBlock-By&gt;</w:t>
      </w:r>
      <w:r>
        <w:rPr>
          <w:rStyle w:val="HideTWBExt"/>
          <w:b w:val="0"/>
        </w:rPr>
        <w:t>&lt;Members&gt;</w:t>
      </w:r>
      <w:r>
        <w:t>Hana Jalloul Muro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32.</w:t>
            </w:r>
            <w:r>
              <w:tab/>
            </w:r>
            <w:r>
              <w:t xml:space="preserve">invita l'Arabia Saudita a ratificare tutte le </w:t>
            </w:r>
            <w:r>
              <w:rPr>
                <w:b/>
                <w:i/>
              </w:rPr>
              <w:t>pertinenti</w:t>
            </w:r>
            <w:r>
              <w:t xml:space="preserve"> convenzioni internazionali in materia di diritti umani;</w:t>
            </w:r>
          </w:p>
        </w:tc>
        <w:tc>
          <w:tcPr>
            <w:tcW w:w="4876" w:type="dxa"/>
            <w:tcBorders>
              <w:top w:val="nil"/>
              <w:left w:val="nil"/>
              <w:bottom w:val="nil"/>
              <w:right w:val="nil"/>
            </w:tcBorders>
          </w:tcPr>
          <w:p>
            <w:pPr>
              <w:pStyle w:val="Normal6a"/>
            </w:pPr>
            <w:r>
              <w:t>32.</w:t>
            </w:r>
            <w:r>
              <w:tab/>
            </w:r>
            <w:r>
              <w:t xml:space="preserve">invita l'Arabia Saudita a ratificare tutte le convenzioni internazionali </w:t>
            </w:r>
            <w:r>
              <w:rPr>
                <w:b/>
                <w:i/>
              </w:rPr>
              <w:t>fondamentali</w:t>
            </w:r>
            <w:r>
              <w:t xml:space="preserve"> in materia di diritti umani;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209</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a nome del gruppo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32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31 bis.</w:t>
            </w:r>
            <w:r>
              <w:tab/>
            </w:r>
            <w:r>
              <w:rPr>
                <w:b/>
                <w:i/>
              </w:rPr>
              <w:t>esorta l'UE e gli Stati membri a subordinare la ratifica di un accordo di partenariato bilaterale con l'Arabia Saudita ai progressi in materia di diritti umani, in particolare la ratifica da parte dell'Arabia Saudita delle convenzioni fondamentali in materia di diritti umani e diritti del lavoro, il rilascio delle persone ingiustamente detenute e le riforme dei diritti umani e del lavoro necessarie per rispettare le norme internazionali;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210</w:t>
      </w:r>
      <w:r>
        <w:rPr>
          <w:rStyle w:val="HideTWBExt"/>
        </w:rPr>
        <w:t>&lt;/NumAm&gt;</w:t>
      </w:r>
    </w:p>
    <w:p>
      <w:pPr>
        <w:pStyle w:val="NormalBold"/>
      </w:pPr>
      <w:r>
        <w:rPr>
          <w:rStyle w:val="HideTWBExt"/>
          <w:b w:val="0"/>
        </w:rPr>
        <w:t>&lt;RepeatBlock-By&gt;</w:t>
      </w:r>
      <w:r>
        <w:rPr>
          <w:rStyle w:val="HideTWBExt"/>
          <w:b w:val="0"/>
        </w:rPr>
        <w:t>&lt;Members&gt;</w:t>
      </w:r>
      <w:r>
        <w:t>Merja Kyllönen, Jonas Sjöstedt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32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31 bis.</w:t>
            </w:r>
            <w:r>
              <w:tab/>
            </w:r>
            <w:r>
              <w:rPr>
                <w:b/>
                <w:i/>
              </w:rPr>
              <w:t>esorta l'UE e gli Stati membri a stabilire condizioni in materia di diritti umani per compiere progressi nei negoziati e nella ratifica di un accordo di partenariato bilaterale, inclusa la ratifica da parte dell'Arabia Saudita delle convenzioni fondamentali in materia di diritti umani e diritti del lavoro, il rilascio delle persone ingiustamente detenute e le riforme dei diritti umani e del lavoro necessarie per rispettare le norme internazionali;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211</w:t>
      </w:r>
      <w:r>
        <w:rPr>
          <w:rStyle w:val="HideTWBExt"/>
        </w:rPr>
        <w:t>&lt;/NumAm&gt;</w:t>
      </w:r>
    </w:p>
    <w:p>
      <w:pPr>
        <w:pStyle w:val="NormalBold"/>
      </w:pPr>
      <w:r>
        <w:rPr>
          <w:rStyle w:val="HideTWBExt"/>
          <w:b w:val="0"/>
        </w:rPr>
        <w:t>&lt;RepeatBlock-By&gt;</w:t>
      </w:r>
      <w:r>
        <w:rPr>
          <w:rStyle w:val="HideTWBExt"/>
          <w:b w:val="0"/>
        </w:rPr>
        <w:t>&lt;Members&gt;</w:t>
      </w:r>
      <w:r>
        <w:t>Robert Biedroń, Andreas Schieder, Evin Incir, Marco Tarquinio, Chloé Ridel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32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31 bis.</w:t>
            </w:r>
            <w:r>
              <w:tab/>
            </w:r>
            <w:r>
              <w:rPr>
                <w:b/>
                <w:i/>
              </w:rPr>
              <w:t>esorta l'UE e gli Stati membri a stabilire le condizioni in materia di diritti umani per compiere progressi nei negoziati e nella ratifica di un accordo di partenariato bilaterale, compresa, tra l'altro, la ratifica da parte dell'Arabia Saudita delle convenzioni fondamentali in materia di diritti umani e diritti del lavoro, nonché il rilascio delle persone ingiustamente detenute;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Emendamento</w:t>
      </w:r>
      <w:r>
        <w:tab/>
      </w:r>
      <w:r>
        <w:tab/>
      </w:r>
      <w:r>
        <w:rPr>
          <w:rStyle w:val="HideTWBExt"/>
        </w:rPr>
        <w:t>&lt;NumAm&gt;</w:t>
      </w:r>
      <w:r>
        <w:t>212</w:t>
      </w:r>
      <w:r>
        <w:rPr>
          <w:rStyle w:val="HideTWBExt"/>
        </w:rPr>
        <w:t>&lt;/NumAm&gt;</w:t>
      </w:r>
    </w:p>
    <w:p>
      <w:pPr>
        <w:pStyle w:val="NormalBold"/>
      </w:pPr>
      <w:r>
        <w:rPr>
          <w:rStyle w:val="HideTWBExt"/>
          <w:b w:val="0"/>
        </w:rPr>
        <w:t>&lt;RepeatBlock-By&gt;</w:t>
      </w:r>
      <w:r>
        <w:rPr>
          <w:rStyle w:val="HideTWBExt"/>
          <w:b w:val="0"/>
        </w:rPr>
        <w:t>&lt;Members&gt;</w:t>
      </w:r>
      <w:r>
        <w:t>Antonio López-Istúriz White, Reinhold Lopatka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Proposta di risoluzione</w:t>
      </w:r>
      <w:r>
        <w:rPr>
          <w:rStyle w:val="HideTWBExt"/>
        </w:rPr>
        <w:t>&lt;/DocAmend&gt;</w:t>
      </w:r>
    </w:p>
    <w:p>
      <w:pPr>
        <w:pStyle w:val="NormalBold"/>
      </w:pPr>
      <w:r>
        <w:rPr>
          <w:rStyle w:val="HideTWBExt"/>
        </w:rPr>
        <w:t>&lt;Article&gt;</w:t>
      </w:r>
      <w:r>
        <w:t>Paragrafo 33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33.</w:t>
            </w:r>
            <w:r>
              <w:tab/>
            </w:r>
            <w:r>
              <w:t xml:space="preserve">incarica la sua Presidente di trasmettere la presente risoluzione al Consiglio </w:t>
            </w:r>
            <w:r>
              <w:rPr>
                <w:b/>
                <w:i/>
              </w:rPr>
              <w:t>e</w:t>
            </w:r>
            <w:r>
              <w:t xml:space="preserve"> alla Commissione.</w:t>
            </w:r>
          </w:p>
        </w:tc>
        <w:tc>
          <w:tcPr>
            <w:tcW w:w="4876" w:type="dxa"/>
            <w:tcBorders>
              <w:top w:val="nil"/>
              <w:left w:val="nil"/>
              <w:bottom w:val="nil"/>
              <w:right w:val="nil"/>
            </w:tcBorders>
          </w:tcPr>
          <w:p>
            <w:pPr>
              <w:pStyle w:val="Normal6a"/>
            </w:pPr>
            <w:r>
              <w:t>33.</w:t>
            </w:r>
            <w:r>
              <w:tab/>
            </w:r>
            <w:r>
              <w:t>incarica la sua Presidente di trasmettere la presente risoluzione al Consiglio</w:t>
            </w:r>
            <w:r>
              <w:rPr>
                <w:b/>
                <w:i/>
              </w:rPr>
              <w:t>,</w:t>
            </w:r>
            <w:r>
              <w:t xml:space="preserve"> alla Commissione</w:t>
            </w:r>
            <w:r>
              <w:rPr>
                <w:b/>
                <w:i/>
              </w:rPr>
              <w:t>, alla vicepresidente della Commissione/alta rappresentante dell'Unione per gli affari esteri e la politica di sicurezza, a Sua Maestà il Re Salman bin Abdulaziz Al Saud, al Principe ereditario Mohammad Bin Salman Al Saud, al governo del Regno dell'Arabia Saudita e al Consiglio della Shura;</w:t>
            </w:r>
            <w:r>
              <w:t xml:space="preserve"> </w:t>
            </w:r>
            <w:r>
              <w:rPr>
                <w:b/>
                <w:i/>
              </w:rPr>
              <w:t>chiede che la presente risoluzione sia tradotta in arabo</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776.795</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104</w:t>
    </w:r>
    <w:r>
      <w:fldChar w:fldCharType="end"/>
    </w:r>
    <w:r>
      <w:t>/</w:t>
    </w:r>
    <w:r>
      <w:fldChar w:fldCharType="begin"/>
    </w:r>
    <w:r>
      <w:instrText xml:space="preserve"> NUMPAGES </w:instrText>
    </w:r>
    <w:r>
      <w:fldChar w:fldCharType="separate"/>
    </w:r>
    <w:r>
      <w:t>105</w:t>
    </w:r>
    <w:r>
      <w:fldChar w:fldCharType="end"/>
    </w:r>
    <w:r>
      <w:tab/>
    </w:r>
    <w:r>
      <w:rPr>
        <w:rStyle w:val="HideTWBExt"/>
      </w:rPr>
      <w:t>&lt;PathFdR&gt;</w:t>
    </w:r>
    <w:r>
      <w:t>AM\1326564IT.docx</w:t>
    </w:r>
    <w:r>
      <w:rPr>
        <w:rStyle w:val="HideTWBExt"/>
      </w:rPr>
      <w:t>&lt;/PathFdR&gt;</w:t>
    </w:r>
  </w:p>
  <w:p>
    <w:pPr>
      <w:pStyle w:val="EPFooter2"/>
    </w:pPr>
    <w:r>
      <w:t>IT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AM\1326564IT.docx</w:t>
    </w:r>
    <w:r>
      <w:rPr>
        <w:rStyle w:val="HideTWBExt"/>
      </w:rPr>
      <w:t>&lt;/PathFdR&gt;</w:t>
    </w:r>
    <w:r>
      <w:tab/>
    </w:r>
    <w:r>
      <w:fldChar w:fldCharType="begin"/>
    </w:r>
    <w:r>
      <w:instrText xml:space="preserve"> PAGE </w:instrText>
    </w:r>
    <w:r>
      <w:fldChar w:fldCharType="separate"/>
    </w:r>
    <w:r>
      <w:t>105</w:t>
    </w:r>
    <w:r>
      <w:fldChar w:fldCharType="end"/>
    </w:r>
    <w:r>
      <w:t>/</w:t>
    </w:r>
    <w:r>
      <w:fldChar w:fldCharType="begin"/>
    </w:r>
    <w:r>
      <w:instrText xml:space="preserve"> NUMPAGES </w:instrText>
    </w:r>
    <w:r>
      <w:fldChar w:fldCharType="separate"/>
    </w:r>
    <w:r>
      <w:t>105</w:t>
    </w:r>
    <w:r>
      <w:fldChar w:fldCharType="end"/>
    </w:r>
    <w:r>
      <w:tab/>
    </w:r>
    <w:r>
      <w:t>PE</w:t>
    </w:r>
    <w:r>
      <w:rPr>
        <w:rStyle w:val="HideTWBExt"/>
      </w:rPr>
      <w:t>&lt;NoPE&gt;</w:t>
    </w:r>
    <w:r>
      <w:t>776.795</w:t>
    </w:r>
    <w:r>
      <w:rPr>
        <w:rStyle w:val="HideTWBExt"/>
      </w:rPr>
      <w:t>&lt;/NoPE&gt;</w:t>
    </w:r>
    <w:r>
      <w:rPr>
        <w:rStyle w:val="HideTWBExt"/>
      </w:rPr>
      <w:t>&lt;Version&gt;</w:t>
    </w:r>
    <w:r>
      <w:t>v01-00</w:t>
    </w:r>
    <w:r>
      <w:rPr>
        <w:rStyle w:val="HideTWBExt"/>
      </w:rPr>
      <w:t>&lt;/Version&gt;</w:t>
    </w:r>
  </w:p>
  <w:p>
    <w:pPr>
      <w:pStyle w:val="EPFooter2"/>
    </w:pPr>
    <w:r>
      <w:tab/>
    </w:r>
    <w:r>
      <w:tab/>
    </w:r>
    <w:r>
      <w:t>IT</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AM\1326564IT.docx</w:t>
    </w:r>
    <w:r>
      <w:rPr>
        <w:rStyle w:val="HideTWBExt"/>
      </w:rPr>
      <w:t>&lt;/PathFdR&gt;</w:t>
    </w:r>
    <w:r>
      <w:tab/>
    </w:r>
    <w:r>
      <w:tab/>
    </w:r>
    <w:r>
      <w:t>PE</w:t>
    </w:r>
    <w:r>
      <w:rPr>
        <w:rStyle w:val="HideTWBExt"/>
      </w:rPr>
      <w:t>&lt;NoPE&gt;</w:t>
    </w:r>
    <w:r>
      <w:t>776.795</w:t>
    </w:r>
    <w:r>
      <w:rPr>
        <w:rStyle w:val="HideTWBExt"/>
      </w:rPr>
      <w:t>&lt;/NoPE&gt;</w:t>
    </w:r>
    <w:r>
      <w:rPr>
        <w:rStyle w:val="HideTWBExt"/>
      </w:rPr>
      <w:t>&lt;Version&gt;</w:t>
    </w:r>
    <w:r>
      <w:t>v01-00</w:t>
    </w:r>
    <w:r>
      <w:rPr>
        <w:rStyle w:val="HideTWBExt"/>
      </w:rPr>
      <w:t>&lt;/Version&gt;</w:t>
    </w:r>
  </w:p>
  <w:p>
    <w:pPr>
      <w:pStyle w:val="EPFooter2"/>
    </w:pPr>
    <w:r>
      <w:t>IT</w:t>
    </w:r>
    <w:r>
      <w:tab/>
    </w:r>
    <w:r>
      <w:rPr>
        <w:rStyle w:val="EPFooter2Motto"/>
      </w:rPr>
      <w:t>Unita nella diversità</w:t>
    </w:r>
    <w:r>
      <w:tab/>
    </w:r>
    <w:r>
      <w:t>IT</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140430 HideTWBExt;}{\s16\qr \li0\ri0\sb240\sa240\nowidctlpar\wrapdefault\aspalpha\aspnum\faauto\adjustright\rin0\lin0\itap0 \rtlch\fcs1 \af0\afs20\alang1025 \ltrch\fcs0 &#13;_x000a_\fs24\lang2057\langfe2057\cgrid\langnp2057\langfenp2057 \sbasedon0 \snext16 \spriority0 \styrsid1140430 AmOrLang;}{\s17\ql \li0\ri0\sa120\nowidctlpar\wrapdefault\aspalpha\aspnum\faauto\adjustright\rin0\lin0\itap0 \rtlch\fcs1 \af0\afs20\alang1025 &#13;_x000a_\ltrch\fcs0 \fs24\lang2057\langfe2057\cgrid\langnp2057\langfenp2057 \sbasedon0 \snext17 \spriority0 \styrsid1140430 Normal6a;}{\s18\ql \li0\ri0\nowidctlpar\wrapdefault\aspalpha\aspnum\faauto\adjustright\rin0\lin0\itap0 \rtlch\fcs1 \af0\afs20\alang1025 &#13;_x000a_\ltrch\fcs0 \b\fs24\lang2057\langfe2057\cgrid\langnp2057\langfenp2057 \sbasedon0 \snext18 \spriority0 \styrsid1140430 NormalBold;}{\s19\qc \li0\ri0\sa240\nowidctlpar\wrapdefault\aspalpha\aspnum\faauto\adjustright\rin0\lin0\itap0 \rtlch\fcs1 &#13;_x000a_\af0\afs20\alang1025 \ltrch\fcs0 \i\fs24\lang2057\langfe2057\cgrid\langnp2057\langfenp2057 \sbasedon0 \snext19 \spriority0 \styrsid1140430 AmColumnHeading;}{\s20\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0 \spriority0 \styrsid1140430 AmNumberTabs;}}{\*\rsidtbl \rsid24658\rsid358857\rsid735077\rsid787282\rsid1140430\rsid2892074\rsid3622648\rsid4666813\rsid5708216&#13;_x000a_\rsid6641733\rsid7553164\rsid8465581\rsid8681905\rsid8724649\rsid9636012\rsid9862312\rsid11215221\rsid11370291\rsid11434737\rsid11607138\rsid11824949\rsid12154954\rsid12213393\rsid14424199\rsid15204470\rsid15285974\rsid15535219\rsid15950462\rsid16324206&#13;_x000a_\rsid16662270}{\mmathPr\mmathFont34\mbrkBin0\mbrkBinSub0\msmallFrac0\mdispDef1\mlMargin0\mrMargin0\mdefJc1\mwrapIndent1440\mintLim0\mnaryLim1}{\info{\author FELIX Karina}{\operator FELIX Karina}{\creatim\yr2019\mo7\dy3\hr17\min21}&#13;_x000a_{\revtim\yr2019\mo7\dy3\hr17\min21}{\version1}{\edmins0}{\nofpages1}{\nofwords25}{\nofchars291}{\*\company European Parliament}{\nofcharsws294}{\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140430\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2213393 &#13;_x000a_\chftnsep &#13;_x000a_\par }}{\*\ftnsepc \ltrpar \pard\plain \ltrpar\ql \li0\ri0\widctlpar\wrapdefault\aspalpha\aspnum\faauto\adjustright\rin0\lin0\itap0 \rtlch\fcs1 \af0\afs20\alang1025 \ltrch\fcs0 \fs24\lang2057\langfe2057\cgrid\langnp2057\langfenp2057 {\rtlch\fcs1 \af0 &#13;_x000a_\ltrch\fcs0 \insrsid12213393 \chftnsepc &#13;_x000a_\par }}{\*\aftnsep \ltrpar \pard\plain \ltrpar\ql \li0\ri0\widctlpar\wrapdefault\aspalpha\aspnum\faauto\adjustright\rin0\lin0\itap0 \rtlch\fcs1 \af0\afs20\alang1025 \ltrch\fcs0 \fs24\lang2057\langfe2057\cgrid\langnp2057\langfenp2057 {\rtlch\fcs1 \af0 &#13;_x000a_\ltrch\fcs0 \insrsid12213393 \chftnsep &#13;_x000a_\par }}{\*\aftnsepc \ltrpar \pard\plain \ltrpar\ql \li0\ri0\widctlpar\wrapdefault\aspalpha\aspnum\faauto\adjustright\rin0\lin0\itap0 \rtlch\fcs1 \af0\afs20\alang1025 \ltrch\fcs0 \fs24\lang2057\langfe2057\cgrid\langnp2057\langfenp2057 {\rtlch\fcs1 \af0 &#13;_x000a_\ltrch\fcs0 \insrsid1221339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0\ql \li0\ri0\sb240\keepn\nowidctlpar\tx879\tx936\tx1021\tx1077\tx1134\tx1191\tx1247\tx1304\tx1361\tx1418\tx1474\tx1531\tx1588\tx1644\tx1701\tx1758\tx1814\tx1871\tx2070\tx2126\tx3374\tx3430\wrapdefault\aspalpha\aspnum\faauto\adjustright\rin0&#13;_x000a_\lin0\itap0\pararsid1140430 \rtlch\fcs1 \af0\afs20\alang1025 \ltrch\fcs0 \b\fs24\lang2057\langfe2057\cgrid\langnp2057\langfenp2057 {\rtlch\fcs1 \af0 \ltrch\fcs0 \cs15\b0\v\f1\fs20\cf9\lang1024\langfe1024\noproof\insrsid1140430\charrsid4417459 &#13;_x000a_{\*\bkmkstart restart}&lt;Amend&gt;}{\rtlch\fcs1 \af0 \ltrch\fcs0 \insrsid1140430\charrsid1799708 [ZAMENDMENT]}{\rtlch\fcs1 \af0 \ltrch\fcs0 \insrsid1140430 \tab \tab }{\rtlch\fcs1 \af0 \ltrch\fcs0 &#13;_x000a_\cs15\b0\v\f1\fs20\cf9\lang1024\langfe1024\noproof\insrsid1140430\charrsid4417459 &lt;NumAm&gt;}{\rtlch\fcs1 \af0 \ltrch\fcs0 \insrsid1140430\charrsid1799708 [ZNRAM]}{\rtlch\fcs1 \af0 \ltrch\fcs0 &#13;_x000a_\cs15\b0\v\f1\fs20\cf9\lang1024\langfe1024\noproof\insrsid1140430\charrsid4417459 &lt;/NumAm&gt;}{\rtlch\fcs1 \af0 \ltrch\fcs0 \insrsid1140430\charrsid4080556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14699840 &lt;RepeatBlock-By&gt;}{\rtlch\fcs1 \af0 \ltrch\fcs0 \lang1024\langfe1024\noproof\insrsid1140430\charrsid14699840 [RepeatMembers]}{\rtlch\fcs1 \af0 \ltrch\fcs0 &#13;_x000a_\cs15\b0\v\f1\fs20\cf9\lang1024\langfe1024\noproof\insrsid1140430\charrsid14699840 &lt;Members&gt;}{\rtlch\fcs1 \af0 \ltrch\fcs0 \insrsid1140430\charrsid14699840 [ZMEMBERS]}{\rtlch\fcs1 \af0 \ltrch\fcs0 &#13;_x000a_\cs15\b0\v\f1\fs20\cf9\lang1024\langfe1024\noproof\insrsid1140430\charrsid14699840 &lt;/Members&gt;}{\rtlch\fcs1 \af0 \ltrch\fcs0 \insrsid1140430\charrsid14699840 &#13;_x000a_\par }\pard\plain \ltrpar\ql \li0\ri0\widctlpar\wrapdefault\aspalpha\aspnum\faauto\adjustright\rin0\lin0\itap0\pararsid1140430 \rtlch\fcs1 \af0\afs20\alang1025 \ltrch\fcs0 \fs24\lang2057\langfe2057\cgrid\langnp2057\langfenp2057 {\rtlch\fcs1 \af0 \ltrch\fcs0 &#13;_x000a_\cs15\v\f1\fs20\cf9\lang1024\langfe1024\noproof\langnp1043\insrsid1140430\charrsid14424489 &lt;AuNomDe&gt;&lt;OptDel&gt;}{\rtlch\fcs1 \af0 \ltrch\fcs0 \lang1043\langfe2057\langnp1043\insrsid1140430\charrsid14424489 [ZONBEHALF]}{\rtlch\fcs1 \af0 \ltrch\fcs0 &#13;_x000a_\cs15\v\f1\fs20\cf9\lang1024\langfe1024\noproof\langnp1043\insrsid1140430\charrsid14424489 &lt;/OptDel&gt;&lt;/AuNomDe&gt;}{\rtlch\fcs1 \af0 \ltrch\fcs0 \lang1043\langfe2057\langnp1043\insrsid1140430\charrsid14424489 &#13;_x000a_\par }{\rtlch\fcs1 \af0 \ltrch\fcs0 \insrsid1140430\charrsid14699840 &lt;&lt;&lt;}{\rtlch\fcs1 \af0 \ltrch\fcs0 \cs15\v\f1\fs20\cf9\lang1024\langfe1024\noproof\insrsid1140430\charrsid14699840 &lt;/RepeatBlock-By&gt;}{\rtlch\fcs1 \af0 \ltrch\fcs0 &#13;_x000a_\insrsid1140430\charrsid14699840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4737239 &lt;DocAmend&gt;}{\rtlch\fcs1 \af0 \ltrch\fcs0 \insrsid1140430\charrsid1799708 [Z}{\rtlch\fcs1 \af0 \ltrch\fcs0 \insrsid1140430 AMDOC}{\rtlch\fcs1 \af0 \ltrch\fcs0 &#13;_x000a_\insrsid1140430\charrsid1799708 ]}{\rtlch\fcs1 \af0 \ltrch\fcs0 \cs15\b0\v\f1\fs20\cf9\lang1024\langfe1024\noproof\insrsid1140430\charrsid4737239 &lt;/DocAmend&gt;}{\rtlch\fcs1 \af0 \ltrch\fcs0 \insrsid1140430\charrsid1799708 &#13;_x000a_\par }{\rtlch\fcs1 \af0 \ltrch\fcs0 \cs15\b0\v\f1\fs20\cf9\lang1024\langfe1024\noproof\insrsid1140430\charrsid1799708 &lt;Article&gt;}{\rtlch\fcs1 \af0 \ltrch\fcs0 \insrsid1140430\charrsid1799708 [ZAMPART]}{\rtlch\fcs1 \af0 \ltrch\fcs0 &#13;_x000a_\cs15\b0\v\f1\fs20\cf9\lang1024\langfe1024\noproof\insrsid1140430\charrsid1799708 &lt;/Article&gt;}{\rtlch\fcs1 \af0 \ltrch\fcs0 \insrsid1140430\charrsid1799708 &#13;_x000a_\par \ltrrow}\trowd \irow0\irowband0\ltrrow\ts11\trqc\trgaph340\trleft-340\trftsWidth3\trwWidth9752\trftsWidthB3\trpaddl340\trpaddr340\trpaddfl3\trpaddft3\trpaddfb3\trpaddfr3\tblrsid7949889\tblind0\tblindtype3 \clvertalt\clbrdrt\brdrtbl \clbrdrl\brdrtbl &#13;_x000a_\clbrdrb\brdrtbl \clbrdrr\brdrtbl \cltxlrtb\clftsWidth3\clwWidth9752\clshdrawnil \cellx9412\pard\plain \ltrpar\ql \li0\ri0\keepn\widctlpar\intbl\wrapdefault\aspalpha\aspnum\faauto\adjustright\rin0\lin0\pararsid13053803 \rtlch\fcs1 \af0\afs20\alang1025 &#13;_x000a_\ltrch\fcs0 \fs24\lang2057\langfe2057\cgrid\langnp2057\langfenp2057 {\rtlch\fcs1 \af0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0\irowband0\ltrrow&#13;_x000a_\ts11\trqc\trgaph340\trleft-340\trftsWidth3\trwWidth9752\trftsWidthB3\trpaddl340\trpaddr340\trpaddfl3\trpaddft3\trpaddfb3\trpaddfr3\tblrsid7949889\tblind0\tblindtype3 \clvertalt\clbrdrt\brdrtbl \clbrdrl\brdrtbl \clbrdrb\brdrtbl \clbrdrr\brdrtbl &#13;_x000a_\cltxlrtb\clftsWidth3\clwWidth9752\clshdrawnil \cellx9412\row \ltrrow}\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19\qc \li0\ri0\sa240\keepn\nowidctlpar\intbl\wrapdefault\aspalpha\aspnum\faauto\adjustright\rin0\lin0\pararsid13053803 \rtlch\fcs1 \af0\afs20\alang1025 \ltrch\fcs0 \i\fs24\lang2057\langfe2057\cgrid\langnp2057\langfenp2057 {\rtlch\fcs1 \af0 \ltrch\fcs0 &#13;_x000a_\insrsid1140430\charrsid1799708 [ZLEFT]\cell [ZRIGHT]\cell }\pard\plain \ltrpar\ql \li0\ri0\widctlpar\intbl\wrapdefault\aspalpha\aspnum\faauto\adjustright\rin0\lin0 \rtlch\fcs1 \af0\afs20\alang1025 \ltrch\fcs0 &#13;_x000a_\fs24\lang2057\langfe2057\cgrid\langnp2057\langfenp2057 {\rtlch\fcs1 \af0 \ltrch\fcs0 \insrsid1140430\charrsid1799708 \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7\ql \li0\ri0\sa120\nowidctlpar\intbl\wrapdefault\aspalpha\aspnum\faauto\adjustright\rin0\lin0\pararsid7949889 \rtlch\fcs1 \af0\afs20\alang1025 \ltrch\fcs0 \fs24\lang2057\langfe2057\cgrid\langnp2057\langfenp2057 {\rtlch\fcs1 \af0 \ltrch\fcs0 &#13;_x000a_\insrsid1140430\charrsid1799708 [ZTEXTL]\cell [ZTEXTR]}{\rtlch\fcs1 \af0\afs24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2\irowband2\lastrow \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16\qr \li0\ri0\sb240\sa240\nowidctlpar\wrapdefault\aspalpha\aspnum\faauto\adjustright\rin0\lin0\itap0\pararsid1140430 \rtlch\fcs1 \af0\afs20\alang1025 \ltrch\fcs0 \fs24\lang2057\langfe2057\cgrid\langnp2057\langfenp2057 {\rtlch\fcs1 \af0 \ltrch\fcs0 &#13;_x000a_\insrsid1140430\charrsid1799708 Or. }{\rtlch\fcs1 \af0 \ltrch\fcs0 \cs15\v\f1\fs20\cf9\lang1024\langfe1024\noproof\insrsid1140430\charrsid1799708 &lt;Original&gt;}{\rtlch\fcs1 \af0 \ltrch\fcs0 \insrsid1140430\charrsid1799708 [ZORLANG]}{\rtlch\fcs1 \af0 &#13;_x000a_\ltrch\fcs0 \cs15\v\f1\fs20\cf9\lang1024\langfe1024\noproof\insrsid1140430\charrsid1799708 &lt;/Original&gt;}{\rtlch\fcs1 \af0 \ltrch\fcs0 \insrsid1140430\charrsid1799708 &#13;_x000a_\par }\pard\plain \ltrpar\ql \li0\ri0\widctlpar\wrapdefault\aspalpha\aspnum\faauto\adjustright\rin0\lin0\itap0\pararsid1140430 \rtlch\fcs1 \af0\afs20\alang1025 \ltrch\fcs0 \fs24\lang2057\langfe2057\cgrid\langnp2057\langfenp2057 {\rtlch\fcs1 \af0 \ltrch\fcs0 &#13;_x000a_\cs15\v\f1\fs20\cf9\lang1024\langfe1024\noproof\insrsid1140430\charrsid1799708 &lt;/Amend&gt;}{\rtlch\fcs1 \af0 \ltrch\fcs0 \insrsid24658\charrsid16324206 {\*\bkmkend restart}&#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6054&#13;_x000a_9504b3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EPName">
    <w:name w:val="EPName"/>
    <w:basedOn w:val="Normal"/>
    <w:pPr>
      <w:widowControl w:val="0"/>
      <w:spacing w:before="80" w:after="80"/>
    </w:pPr>
    <w:rPr>
      <w:rFonts w:ascii="Arial Narrow" w:eastAsia="Arial" w:hAnsi="Arial Narrow" w:cs="Arial"/>
      <w:b/>
      <w:sz w:val="32"/>
    </w:rPr>
  </w:style>
  <w:style w:type="paragraph" w:customStyle="1" w:styleId="CoverNormal24a">
    <w:name w:val="CoverNormal24a"/>
    <w:basedOn w:val="Normal"/>
    <w:pPr>
      <w:widowControl w:val="0"/>
      <w:spacing w:after="480"/>
      <w:ind w:left="1416"/>
    </w:pPr>
  </w:style>
  <w:style w:type="paragraph" w:customStyle="1" w:styleId="CoverNormal">
    <w:name w:val="CoverNormal"/>
    <w:basedOn w:val="Normal"/>
    <w:pPr>
      <w:widowControl w:val="0"/>
      <w:ind w:left="1418"/>
    </w:pPr>
  </w:style>
  <w:style w:type="paragraph" w:customStyle="1" w:styleId="CoverReference">
    <w:name w:val="CoverReference"/>
    <w:basedOn w:val="Normal"/>
    <w:pPr>
      <w:widowControl w:val="0"/>
      <w:spacing w:before="1080"/>
      <w:jc w:val="right"/>
    </w:pPr>
    <w:rPr>
      <w:rFonts w:ascii="Arial" w:eastAsia="Arial" w:hAnsi="Arial" w:cs="Arial"/>
      <w:b/>
    </w:rPr>
  </w:style>
  <w:style w:type="paragraph" w:customStyle="1" w:styleId="CoverDocType">
    <w:name w:val="CoverDocType"/>
    <w:basedOn w:val="Normal"/>
    <w:pPr>
      <w:widowControl w:val="0"/>
      <w:ind w:left="1418"/>
    </w:pPr>
    <w:rPr>
      <w:rFonts w:ascii="Arial" w:hAnsi="Arial"/>
      <w:b/>
      <w:sz w:val="48"/>
    </w:rPr>
  </w:style>
  <w:style w:type="paragraph" w:customStyle="1" w:styleId="CoverDate">
    <w:name w:val="CoverDate"/>
    <w:basedOn w:val="Normal"/>
    <w:pPr>
      <w:widowControl w:val="0"/>
      <w:spacing w:before="240" w:after="1200"/>
    </w:pPr>
  </w:style>
  <w:style w:type="paragraph" w:customStyle="1" w:styleId="CoverDocType24a">
    <w:name w:val="CoverDocType24a"/>
    <w:basedOn w:val="Normal"/>
    <w:pPr>
      <w:widowControl w:val="0"/>
      <w:spacing w:after="480"/>
      <w:ind w:left="1416"/>
    </w:pPr>
    <w:rPr>
      <w:rFonts w:ascii="Arial" w:eastAsia="Arial" w:hAnsi="Arial" w:cs="Arial"/>
      <w:b/>
      <w:sz w:val="48"/>
    </w:rPr>
  </w:style>
  <w:style w:type="paragraph" w:customStyle="1" w:styleId="CoverBold">
    <w:name w:val="CoverBold"/>
    <w:basedOn w:val="Normal"/>
    <w:pPr>
      <w:widowControl w:val="0"/>
      <w:ind w:left="1416"/>
    </w:pPr>
    <w:rPr>
      <w:b/>
    </w:rPr>
  </w:style>
  <w:style w:type="paragraph" w:customStyle="1" w:styleId="EPBody">
    <w:name w:val="EPBody"/>
    <w:basedOn w:val="Normal"/>
    <w:pPr>
      <w:widowControl w:val="0"/>
      <w:jc w:val="center"/>
    </w:pPr>
    <w:rPr>
      <w:rFonts w:ascii="Arial" w:eastAsia="Arial" w:hAnsi="Arial" w:cs="Arial"/>
      <w:i/>
      <w:sz w:val="22"/>
    </w:rPr>
  </w:style>
  <w:style w:type="paragraph" w:customStyle="1" w:styleId="LineTop">
    <w:name w:val="LineTop"/>
    <w:basedOn w:val="Normal"/>
    <w:next w:val="Normal"/>
    <w:pPr>
      <w:widowControl w:val="0"/>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val="0"/>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val="0"/>
      <w:spacing w:after="80"/>
    </w:pPr>
    <w:rPr>
      <w:rFonts w:ascii="Arial" w:eastAsia="Arial" w:hAnsi="Arial" w:cs="Arial"/>
      <w:sz w:val="20"/>
    </w:rPr>
  </w:style>
  <w:style w:type="paragraph" w:customStyle="1" w:styleId="EPLogo">
    <w:name w:val="EPLogo"/>
    <w:basedOn w:val="Normal"/>
    <w:pPr>
      <w:widowControl w:val="0"/>
      <w:jc w:val="right"/>
    </w:pPr>
  </w:style>
  <w:style w:type="paragraph" w:customStyle="1" w:styleId="EPFooter">
    <w:name w:val="EPFooter"/>
    <w:basedOn w:val="Normal"/>
    <w:pPr>
      <w:widowControl w:val="0"/>
      <w:tabs>
        <w:tab w:val="center" w:pos="4534"/>
        <w:tab w:val="right" w:pos="9070"/>
      </w:tabs>
      <w:spacing w:before="240" w:after="240"/>
    </w:pPr>
    <w:rPr>
      <w:sz w:val="22"/>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val="0"/>
    </w:pPr>
    <w:rPr>
      <w:b/>
    </w:rPr>
  </w:style>
  <w:style w:type="paragraph" w:customStyle="1" w:styleId="AmOrLang">
    <w:name w:val="AmOrLang"/>
    <w:basedOn w:val="Normal"/>
    <w:pPr>
      <w:widowControl w:val="0"/>
      <w:spacing w:before="240" w:after="240"/>
      <w:jc w:val="right"/>
    </w:pPr>
  </w:style>
  <w:style w:type="paragraph" w:customStyle="1" w:styleId="Normal6a">
    <w:name w:val="Normal6a"/>
    <w:basedOn w:val="Normal"/>
    <w:pPr>
      <w:widowControl w:val="0"/>
      <w:spacing w:after="120"/>
    </w:pPr>
  </w:style>
  <w:style w:type="paragraph" w:customStyle="1" w:styleId="AmColumnHeading">
    <w:name w:val="AmColumnHeading"/>
    <w:basedOn w:val="Normal"/>
    <w:pPr>
      <w:widowControl w:val="0"/>
      <w:spacing w:after="240"/>
      <w:jc w:val="center"/>
    </w:pPr>
    <w:rPr>
      <w:i/>
    </w:rPr>
  </w:style>
  <w:style w:type="paragraph" w:customStyle="1" w:styleId="AmNumberTabs">
    <w:name w:val="AmNumberTabs"/>
    <w:basedOn w:val="Normal"/>
    <w:pPr>
      <w:widowControl w:val="0"/>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AmCrossRef">
    <w:name w:val="AmCrossRef"/>
    <w:basedOn w:val="Normal"/>
    <w:pPr>
      <w:widowControl w:val="0"/>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pPr>
      <w:widowControl w:val="0"/>
    </w:pPr>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PMissingStyle">
    <w:name w:val="P_MissingStyle"/>
    <w:basedOn w:val="Normal"/>
    <w:pPr>
      <w:widowControl w:val="0"/>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val="0"/>
      <w:spacing w:after="240"/>
    </w:pPr>
  </w:style>
  <w:style w:type="paragraph" w:customStyle="1" w:styleId="NormalBold12b">
    <w:name w:val="NormalBold12b"/>
    <w:basedOn w:val="Normal"/>
    <w:pPr>
      <w:widowControl w:val="0"/>
      <w:spacing w:before="240"/>
    </w:pPr>
    <w:rPr>
      <w:b/>
    </w:rPr>
  </w:style>
  <w:style w:type="paragraph" w:customStyle="1" w:styleId="AmJustTitle">
    <w:name w:val="AmJustTitle"/>
    <w:basedOn w:val="Normal"/>
    <w:next w:val="AmJustText"/>
    <w:pPr>
      <w:keepNext/>
      <w:widowControl w:val="0"/>
      <w:spacing w:before="240" w:after="240"/>
      <w:jc w:val="center"/>
    </w:pPr>
    <w:rPr>
      <w:i/>
    </w:rPr>
  </w:style>
  <w:style w:type="paragraph" w:customStyle="1" w:styleId="AmJustText">
    <w:name w:val="AmJustText"/>
    <w:basedOn w:val="Normal"/>
    <w:pPr>
      <w:widowControl w:val="0"/>
      <w:spacing w:after="240"/>
    </w:pPr>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105</Pages>
  <Words>21729</Words>
  <Characters>130968</Characters>
  <Application>Microsoft Office Word</Application>
  <DocSecurity>0</DocSecurity>
  <Lines>1</Lines>
  <Paragraphs>1889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151030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IT</vt:lpwstr>
  </property>
  <property fmtid="{D5CDD505-2E9C-101B-9397-08002B2CF9AE}" pid="3" name="&lt;FdR&gt;">
    <vt:lpwstr>1326564</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245973</vt:lpwstr>
  </property>
  <property fmtid="{D5CDD505-2E9C-101B-9397-08002B2CF9AE}" pid="7" name="dmxml.render.traceId">
    <vt:lpwstr>68d514136f59f8c8c5d1d5fa64cd5d08</vt:lpwstr>
  </property>
  <property fmtid="{D5CDD505-2E9C-101B-9397-08002B2CF9AE}" pid="8" name="FooterPath">
    <vt:lpwstr>AM\1326564IT.docx</vt:lpwstr>
  </property>
  <property fmtid="{D5CDD505-2E9C-101B-9397-08002B2CF9AE}" pid="9" name="PE Number">
    <vt:lpwstr>776.795</vt:lpwstr>
  </property>
  <property fmtid="{D5CDD505-2E9C-101B-9397-08002B2CF9AE}" pid="10" name="UID">
    <vt:lpwstr>eu.europa.europarl-DIN1-2025-0000164417_01.00-it-01.00_text-xml</vt:lpwstr>
  </property>
</Properties>
</file>