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Commissie buitenlandse zaken</w:t>
      </w:r>
      <w:r>
        <w:rPr>
          <w:rStyle w:val="HideTWBExt"/>
        </w:rPr>
        <w:t>&lt;/Commission&gt;</w:t>
      </w:r>
    </w:p>
    <w:p>
      <w:pPr>
        <w:pStyle w:val="LineBottom"/>
      </w:pPr>
      <w:r>
        <w:t xml:space="preserve"> </w:t>
      </w:r>
    </w:p>
    <w:p>
      <w:pPr>
        <w:pStyle w:val="CoverReference"/>
      </w:pPr>
      <w:r>
        <w:rPr>
          <w:rStyle w:val="HideTWBExt"/>
        </w:rPr>
        <w:t>&lt;RefProc&gt;</w:t>
      </w:r>
      <w:r>
        <w:t>2025/2082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10.9.2025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Hana Jalloul Muro</w:t>
      </w:r>
      <w:r>
        <w:rPr>
          <w:rStyle w:val="HideTWBExt"/>
        </w:rPr>
        <w:t>&lt;/Rapporteur&gt;</w:t>
      </w:r>
    </w:p>
    <w:p>
      <w:pPr>
        <w:pStyle w:val="CoverNormal24a"/>
      </w:pPr>
      <w:r>
        <w:rPr>
          <w:rStyle w:val="HideTWBExt"/>
        </w:rPr>
        <w:t>&lt;DocRefPE&gt;</w:t>
      </w:r>
      <w:r>
        <w:t>(PE775.425v01-00)</w:t>
      </w:r>
      <w:r>
        <w:rPr>
          <w:rStyle w:val="HideTWBExt"/>
        </w:rPr>
        <w:t>&lt;/DocRefPE&gt;</w:t>
      </w:r>
    </w:p>
    <w:p>
      <w:pPr>
        <w:pStyle w:val="CoverNormal"/>
      </w:pPr>
      <w:r>
        <w:rPr>
          <w:rStyle w:val="HideTWBExt"/>
        </w:rPr>
        <w:t>&lt;Titre&gt;</w:t>
      </w:r>
      <w:r>
        <w:t>De betrekkingen tussen de EU en Saudi-Arabië</w:t>
      </w:r>
      <w:r>
        <w:rPr>
          <w:rStyle w:val="HideTWBExt"/>
        </w:rPr>
        <w:t>&lt;/Titre&gt;</w:t>
      </w:r>
    </w:p>
    <w:p>
      <w:pPr>
        <w:pStyle w:val="CoverNormal24a"/>
      </w:pPr>
      <w:r>
        <w:rPr>
          <w:rStyle w:val="HideTWBExt"/>
        </w:rPr>
        <w:t>&lt;DocRef&gt;</w:t>
      </w:r>
      <w:r>
        <w:t>(2025/2082(INI))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eerdere resoluties over Saudi-Arabië, met name die van 25 oktober 2018 over de moord op de journalist Jamal Khashoggi in het Saudische consulaat in Istanbul en die van 8 juli 2021 over de doodstraf in Saudi-Arabië, in het bijzonder de gevallen van Mustafa Hashem al-Darwish en Abdullah al-Howaiti,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eerdere resoluties en met name die van 11 februari 2021 over de humanitaire en politieke situatie in Jemen en die van 8 juli 2021 over de doodstraf in Saudi-Arabië, in het bijzonder de gevallen van Mustafa Hashem al-Darwish en Abdullah al-Howaiti,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VN-Verdrag inzake de uitbanning van alle vormen van discriminatie van vrouwen (CEDAW),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EU-richtsnoeren over mensenrechtenverdedigers,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wereldwijde EU-sanctieregeling voor de mensenrechten,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gezien de gezamenlijke verklaring van de </w:t>
            </w:r>
            <w:r>
              <w:rPr>
                <w:b/>
                <w:i/>
              </w:rPr>
              <w:t>top van de Europese Unie en de Samenwerkingsraad van de Golf</w:t>
            </w:r>
            <w:r>
              <w:t xml:space="preserve"> van 16 oktober 2024,</w:t>
            </w:r>
          </w:p>
        </w:tc>
        <w:tc>
          <w:tcPr>
            <w:tcW w:w="4876" w:type="dxa"/>
            <w:tcBorders>
              <w:top w:val="nil"/>
              <w:left w:val="nil"/>
              <w:bottom w:val="nil"/>
              <w:right w:val="nil"/>
            </w:tcBorders>
          </w:tcPr>
          <w:p>
            <w:pPr>
              <w:pStyle w:val="Normal6a"/>
            </w:pPr>
            <w:r>
              <w:t>–</w:t>
            </w:r>
            <w:r>
              <w:tab/>
            </w:r>
            <w:r>
              <w:t xml:space="preserve">gezien de gezamenlijke verklaring van de </w:t>
            </w:r>
            <w:r>
              <w:rPr>
                <w:b/>
                <w:i/>
              </w:rPr>
              <w:t>eerste EU-GCC-top</w:t>
            </w:r>
            <w:r>
              <w:t xml:space="preserve"> van 16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samenwerkingsovereenkomst van 3 oktober 2021 tussen de EDEO en het Ministerie van Buitenlandse Zaken van het Koninkrijk Saudi-Arabië,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w:t>
            </w:r>
            <w:r>
              <w:rPr>
                <w:b/>
                <w:i/>
              </w:rPr>
              <w:t>Saoedi-Arabië</w:t>
            </w:r>
            <w:r>
              <w:t xml:space="preserve"> een belangrijke bilaterale en regionale partner van de EU is;</w:t>
            </w:r>
          </w:p>
        </w:tc>
        <w:tc>
          <w:tcPr>
            <w:tcW w:w="4876" w:type="dxa"/>
            <w:tcBorders>
              <w:top w:val="nil"/>
              <w:left w:val="nil"/>
              <w:bottom w:val="nil"/>
              <w:right w:val="nil"/>
            </w:tcBorders>
          </w:tcPr>
          <w:p>
            <w:pPr>
              <w:pStyle w:val="Normal6a"/>
            </w:pPr>
            <w:r>
              <w:t>A.</w:t>
            </w:r>
            <w:r>
              <w:tab/>
            </w:r>
            <w:r>
              <w:t xml:space="preserve">overwegende dat </w:t>
            </w:r>
            <w:r>
              <w:rPr>
                <w:b/>
                <w:i/>
              </w:rPr>
              <w:t>Saudi-Arabië</w:t>
            </w:r>
            <w:r>
              <w:t xml:space="preserve"> een belangrijke bilaterale en regionale partner van de EU is; </w:t>
            </w:r>
            <w:r>
              <w:rPr>
                <w:b/>
                <w:i/>
              </w:rPr>
              <w:t>overwegende dat het belangrijk is onze betrekkingen te verdiepen in de richting van een strategisch partnerschap dat gericht is op het versterken van de bilaterale betrekkingen en het bevorderen van samenwerking in verschillende sectoren, waaronder defensie, cultuur en innovatie, maar vooral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w:t>
            </w:r>
            <w:r>
              <w:rPr>
                <w:b/>
                <w:i/>
              </w:rPr>
              <w:t>Saoedi-Arabië</w:t>
            </w:r>
            <w:r>
              <w:t xml:space="preserve"> een belangrijke bilaterale en regionale partner van de EU </w:t>
            </w:r>
            <w:r>
              <w:rPr>
                <w:b/>
                <w:i/>
              </w:rPr>
              <w:t>is</w:t>
            </w:r>
            <w:r>
              <w:t>;</w:t>
            </w:r>
          </w:p>
        </w:tc>
        <w:tc>
          <w:tcPr>
            <w:tcW w:w="4876" w:type="dxa"/>
            <w:tcBorders>
              <w:top w:val="nil"/>
              <w:left w:val="nil"/>
              <w:bottom w:val="nil"/>
              <w:right w:val="nil"/>
            </w:tcBorders>
          </w:tcPr>
          <w:p>
            <w:pPr>
              <w:pStyle w:val="Normal6a"/>
            </w:pPr>
            <w:r>
              <w:t>A.</w:t>
            </w:r>
            <w:r>
              <w:tab/>
            </w:r>
            <w:r>
              <w:t xml:space="preserve">overwegende dat </w:t>
            </w:r>
            <w:r>
              <w:rPr>
                <w:b/>
                <w:i/>
              </w:rPr>
              <w:t>Saudi-Arabië het potentieel heeft om</w:t>
            </w:r>
            <w:r>
              <w:t xml:space="preserve"> een belangrijke bilaterale en regionale partner van de EU </w:t>
            </w:r>
            <w:r>
              <w:rPr>
                <w:b/>
                <w:i/>
              </w:rPr>
              <w:t>te worden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Saudi-Arabië een belangrijke mondiale olieleverancier is en een belangrijke speler binnen de OPEC, en dat de invoer van energie een cruciaal onderdeel is van de handel tussen de EU en Saudi-Arabië;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Saudi-Arabië en China de afgelopen tien jaar hun banden hebben aangehaald in het kader van het initiatief Vision 2030 en de Nieuwe Zijderoute;</w:t>
            </w:r>
            <w:r>
              <w:t xml:space="preserve"> </w:t>
            </w:r>
            <w:r>
              <w:rPr>
                <w:b/>
                <w:i/>
              </w:rPr>
              <w:t>overwegende dat China sinds 2019 de belangrijkste afnemer van Saudische ruwe olie is;</w:t>
            </w:r>
            <w:r>
              <w:t xml:space="preserve"> </w:t>
            </w:r>
            <w:r>
              <w:rPr>
                <w:b/>
                <w:i/>
              </w:rPr>
              <w:t>overwegende dat Saudi-Arabië en China hun samenwerking op het gebied van buitenlands beleid, veiligheid, energie, handel en technologie hebben versterkt door middel van de oprichting van een Gemengd Comité op hoog niveau (HLJC) en subcomités in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China via de Nieuwe Zijderoute het meest investeert in Saudi-Arabië, waarbij het onder meer gaat om investeringen in strategische infrastructuur zoals havens en digitale netwerken;</w:t>
            </w:r>
            <w:r>
              <w:t xml:space="preserve"> </w:t>
            </w:r>
            <w:r>
              <w:rPr>
                <w:b/>
                <w:i/>
              </w:rPr>
              <w:t>overwegende dat de groeiende economische voetafdruk van China in het Koninkrijk Saudi-Arabië ertoe kan leiden dat de politieke invloed van China in het land toeneemt;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de EU een van de belangrijkste handelspartners van Saudi-Arabië is, en dat Saudi-Arabië voornamelijk olie en petrochemische producten naar de EU uitvoert, terwijl de EU voornamelijk machines, elektronische apparatuur, chemische stoffen en geneesmiddelen naar Saudi-Arabië uitvoert;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mensenrechtenorganisaties ernstige bezorgdheid hebben geuit over het feit dat het Public Investment Fund (PIF) van Saudi-Arabië mensenrechtenschendingen faciliteert en daarvan profiteert;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er ernstige bezorgdheid is geuit over het feit dat het Public Investment Fund (PIF) van Saudi-Arabië in verband wordt gebracht met mensenrechtenschendingen;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Saudi-Arabië bezig is om zijn betrekkingen met India te versterken, met name via de economische corridor India – Midden-Oosten – Europa (IMEC), een project dat tot doel heeft de connectiviteit tussen Azië en Europa via het Arabisch schiereiland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Saudi-Arabië zijn rol als regionale bemiddelaar en internationale speler vergroot;</w:t>
            </w:r>
          </w:p>
        </w:tc>
        <w:tc>
          <w:tcPr>
            <w:tcW w:w="4876" w:type="dxa"/>
            <w:tcBorders>
              <w:top w:val="nil"/>
              <w:left w:val="nil"/>
              <w:bottom w:val="nil"/>
              <w:right w:val="nil"/>
            </w:tcBorders>
          </w:tcPr>
          <w:p>
            <w:pPr>
              <w:pStyle w:val="Normal6a"/>
            </w:pPr>
            <w:r>
              <w:t>C.</w:t>
            </w:r>
            <w:r>
              <w:tab/>
            </w:r>
            <w:r>
              <w:t xml:space="preserve">overwegende dat Saudi-Arabië zijn rol als regionale bemiddelaar en internationale speler vergroot </w:t>
            </w:r>
            <w:r>
              <w:rPr>
                <w:b/>
                <w:i/>
              </w:rPr>
              <w:t>en dat het van cruciaal belang is dat bij dit proces de mensenrechten en het internationaal recht volledig worden geëerbiedigd en worden bevorderd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Saudi-Arabië zijn rol als regionale bemiddelaar en internationale speler vergroot;</w:t>
            </w:r>
          </w:p>
        </w:tc>
        <w:tc>
          <w:tcPr>
            <w:tcW w:w="4876" w:type="dxa"/>
            <w:tcBorders>
              <w:top w:val="nil"/>
              <w:left w:val="nil"/>
              <w:bottom w:val="nil"/>
              <w:right w:val="nil"/>
            </w:tcBorders>
          </w:tcPr>
          <w:p>
            <w:pPr>
              <w:pStyle w:val="Normal6a"/>
            </w:pPr>
            <w:r>
              <w:t>C.</w:t>
            </w:r>
            <w:r>
              <w:tab/>
            </w:r>
            <w:r>
              <w:t xml:space="preserve">overwegende dat Saudi-Arabië zijn rol als regionale bemiddelaar en internationale speler vergroot </w:t>
            </w:r>
            <w:r>
              <w:rPr>
                <w:b/>
                <w:i/>
              </w:rPr>
              <w:t>en dat het van cruciaal belang is dat bij dit proces de mensenrechten en het internationaal recht volledig worden geëerbiedigd en worden bevorderd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Saudi-Arabië zijn </w:t>
            </w:r>
            <w:r>
              <w:rPr>
                <w:b/>
                <w:i/>
              </w:rPr>
              <w:t>rol als</w:t>
            </w:r>
            <w:r>
              <w:t xml:space="preserve"> regionale bemiddelaar en </w:t>
            </w:r>
            <w:r>
              <w:rPr>
                <w:b/>
                <w:i/>
              </w:rPr>
              <w:t>internationale</w:t>
            </w:r>
            <w:r>
              <w:t xml:space="preserve"> speler </w:t>
            </w:r>
            <w:r>
              <w:rPr>
                <w:b/>
                <w:i/>
              </w:rPr>
              <w:t>vergroot</w:t>
            </w:r>
            <w:r>
              <w:t>;</w:t>
            </w:r>
          </w:p>
        </w:tc>
        <w:tc>
          <w:tcPr>
            <w:tcW w:w="4876" w:type="dxa"/>
            <w:tcBorders>
              <w:top w:val="nil"/>
              <w:left w:val="nil"/>
              <w:bottom w:val="nil"/>
              <w:right w:val="nil"/>
            </w:tcBorders>
          </w:tcPr>
          <w:p>
            <w:pPr>
              <w:pStyle w:val="Normal6a"/>
            </w:pPr>
            <w:r>
              <w:t>C.</w:t>
            </w:r>
            <w:r>
              <w:tab/>
            </w:r>
            <w:r>
              <w:t xml:space="preserve">overwegende dat Saudi-Arabië zijn </w:t>
            </w:r>
            <w:r>
              <w:rPr>
                <w:b/>
                <w:i/>
              </w:rPr>
              <w:t>status als betrouwbare</w:t>
            </w:r>
            <w:r>
              <w:t xml:space="preserve"> regionale bemiddelaar en </w:t>
            </w:r>
            <w:r>
              <w:rPr>
                <w:b/>
                <w:i/>
              </w:rPr>
              <w:t>belangrijke mondiale</w:t>
            </w:r>
            <w:r>
              <w:t xml:space="preserve"> speler </w:t>
            </w:r>
            <w:r>
              <w:rPr>
                <w:b/>
                <w:i/>
              </w:rPr>
              <w:t>verder consolideert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Saudi-Arabië in 2024 345 mensen heeft geëxecuteerd en in 2025 (tot 5 augustus) ten minste 241 mensen;</w:t>
            </w:r>
            <w:r>
              <w:t xml:space="preserve"> </w:t>
            </w:r>
            <w:r>
              <w:rPr>
                <w:b/>
                <w:i/>
              </w:rPr>
              <w:t>overwegende dat tussen november 2022 en december 2024 ten minste 214 mensen zijn geëxecuteerd wegens drugscriminaliteit;</w:t>
            </w:r>
            <w:r>
              <w:t xml:space="preserve"> </w:t>
            </w:r>
            <w:r>
              <w:rPr>
                <w:b/>
                <w:i/>
              </w:rPr>
              <w:t>overwegende dat het aantal executies de afgelopen jaren steeds verder toeneemt, ondanks toezeggingen van de Saudische autoriteiten om minder vaak de doodstraf op te leggen;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er berichten zijn dat Rusland en Saudi-Arabië hun banden aanhalen en dat Saudi-Arabië Rusland helpt om zich, via de schaduwvloot, aan de sancties te onttrekken;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Saudi-Arabië de dialoog en samenwerking met de EU op het gebied van mensenrechten versterkt;</w:t>
            </w:r>
          </w:p>
        </w:tc>
        <w:tc>
          <w:tcPr>
            <w:tcW w:w="4876" w:type="dxa"/>
            <w:tcBorders>
              <w:top w:val="nil"/>
              <w:left w:val="nil"/>
              <w:bottom w:val="nil"/>
              <w:right w:val="nil"/>
            </w:tcBorders>
          </w:tcPr>
          <w:p>
            <w:pPr>
              <w:pStyle w:val="Normal6a"/>
            </w:pPr>
            <w:r>
              <w:t>D.</w:t>
            </w:r>
            <w:r>
              <w:tab/>
            </w:r>
            <w:r>
              <w:t xml:space="preserve">overwegende dat Saudi-Arabië de dialoog en samenwerking met de EU op het gebied van mensenrechten versterkt; </w:t>
            </w:r>
            <w:r>
              <w:rPr>
                <w:b/>
                <w:i/>
              </w:rPr>
              <w:t>overwegende dat er nog steeds veel bezorgdheid bestaat over de situatie op het gebied van de mensenrechten in Saudi-Arabië, met name als het gaat om de rechten van vrouwen, arbeidsrechten en de vrijheid van meningsuiting, en over het feit dat Saudi-Arabië het internationaal recht inzake de mensenrechten schendt;</w:t>
            </w:r>
            <w:r>
              <w:t xml:space="preserve"> </w:t>
            </w:r>
            <w:r>
              <w:rPr>
                <w:b/>
                <w:i/>
              </w:rPr>
              <w:t>overwegende dat het recht op vrijheid van meningsuiting in Saudi-Arabië door het wetboek van strafrecht ernstig wordt beperkt;</w:t>
            </w:r>
            <w:r>
              <w:t xml:space="preserve"> </w:t>
            </w:r>
            <w:r>
              <w:rPr>
                <w:b/>
                <w:i/>
              </w:rPr>
              <w:t>overwegende dat de Saudische autoriteiten de afgelopen jaren steeds vaker hardhandig optreden tegen personen die online hun mening uiten, en dat deze personen in veel gevallen het recht op een eerlijke vertegenwoordiging in rechte, een eerlijke rechtsbedeling en een eerlijke rechtsgang wordt ontzegd;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Saudi-Arabië de dialoog en samenwerking met de EU </w:t>
            </w:r>
            <w:r>
              <w:rPr>
                <w:b/>
                <w:i/>
              </w:rPr>
              <w:t>op het gebied van mensenrechten</w:t>
            </w:r>
            <w:r>
              <w:t xml:space="preserve"> versterkt;</w:t>
            </w:r>
          </w:p>
        </w:tc>
        <w:tc>
          <w:tcPr>
            <w:tcW w:w="4876" w:type="dxa"/>
            <w:tcBorders>
              <w:top w:val="nil"/>
              <w:left w:val="nil"/>
              <w:bottom w:val="nil"/>
              <w:right w:val="nil"/>
            </w:tcBorders>
          </w:tcPr>
          <w:p>
            <w:pPr>
              <w:pStyle w:val="Normal6a"/>
            </w:pPr>
            <w:r>
              <w:t>D.</w:t>
            </w:r>
            <w:r>
              <w:tab/>
            </w:r>
            <w:r>
              <w:t>overwegende dat Saudi-Arabië de dialoog en samenwerking met de EU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VN-Comité voor de uitbanning van discriminatie van vrouwen (CEDAW) zijn bezorgdheid heeft geuit over diepgewortelde discriminerende praktijken, intimidatie van vrouwelijke activisten en de impact van strafmaatregelen, waaronder de toepassing van de doodstraf, in het algemeen;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de volgende EU-GCC-top, die in 2026 in Riyad zal plaatsvinden, van cruciaal belang zal zijn om de reikwijdte van de betrekkingen tussen de EU en Saudi-Arabië verder uit te breiden en de samenwerking met betrekking tot belangrijke kwesties van wederzijds belang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bevorderen van de eerbiediging van de mensenrechten en het internationaal recht in het buitenlands beleid, waaronder het handelsbeleid, voor de Europese Unie een verdragsverplichting is die verankerd is in de artikelen 3 en 21 VEU;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beschermen van de mensenrechten in het buitenlands beleid, waaronder het handelsbeleid, voor de EU een verdragsverplichting is die verankerd is in de artikelen 3 en 21 van het Verdrag betreffende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bevorderen van de eerbiediging van de mensenrechten en het internationaal recht in het buitenlands beleid, waaronder het handelsbeleid, voor de Europese Unie een verdragsverplichting is die verankerd is in de artikelen 3 en 21 VEU;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bevorderen van de eerbiediging van de mensenrechten en het internationaal recht in het buitenlands beleid, waaronder het handelsbeleid, voor de Europese Unie een verdragsverplichting is die verankerd is in de artikelen 3 en 21 VEU;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overwegende dat Saudi-Arabië twee grote internationale evenementen organiseert, namelijk de Wereldtentoonstelling van 2030 en het WK voetbal van 2034, waarvoor grote aantallen arbeidsmigranten ingeschakeld worden, en dat het belangrijk is dat de rechten van deze personen worden geëerbiedigd en gehandhaafd;</w:t>
            </w:r>
            <w:r>
              <w:t xml:space="preserve"> </w:t>
            </w:r>
            <w:r>
              <w:rPr>
                <w:b/>
                <w:i/>
              </w:rPr>
              <w:t>overwegende dat deze arbeidsmigranten volgens maatschappelijke organisaties zeer slecht behandeld worden en nauwelijks of geen rechten hebben;</w:t>
            </w:r>
            <w:r>
              <w:t xml:space="preserve"> </w:t>
            </w:r>
            <w:r>
              <w:rPr>
                <w:b/>
                <w:i/>
              </w:rPr>
              <w:t>overwegende dat de Saudische autoriteiten er veel te weinig aan doen om sterfgevallen op het werk te voorkomen, onvoldoende onderzoek doen naar ongevallen op de werkplek, werkgerelateerd overlijden aanmerken als overlijden door een natuurlijke oorzaak, en niet zorgen voor tijdige en adequate schadevergoedingen; overwegende dat het feit dat Saudi-Arabië deze evenementen organiseert zal leiden tot nog meer schendingen van de mensenrechten door het land;</w:t>
            </w:r>
            <w:r>
              <w:t xml:space="preserve"> </w:t>
            </w:r>
            <w:r>
              <w:rPr>
                <w:b/>
                <w:i/>
              </w:rPr>
              <w:t>overwegende dat er voor deze arbeidsmigranten krachtige en omvattende beschermende maatregelen moeten worden genomen en dat er voor hen een minimumloon moet worden vastgesteld;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overwegende dat Saudi-Arabië recentelijk de samenwerking op economisch en veiligheidsgebied met de Verenigde Staten heeft versterkt en daarnaast streeft naar het lidmaatschap van de BRICS, waaruit blijkt dat het zowel toenadering zoekt tot het westelijke blok als tot multipolaire blokken;</w:t>
            </w:r>
            <w:r>
              <w:t xml:space="preserve"> </w:t>
            </w:r>
            <w:r>
              <w:rPr>
                <w:b/>
                <w:i/>
              </w:rPr>
              <w:t>overwegende dat dit nieuwe uitdagingen en kansen met zich meebrengt voor de strategische autonomie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topontmoeting tussen de EU en de Samenwerkingsraad van de Golf;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Saoedi-Arabië</w:t>
            </w:r>
            <w:r>
              <w:t xml:space="preserve"> moeten verhelpen, waardoor het potentieel voor diepere en bredere samenwerking op gebieden als veiligheid, handel, energie, klimaat, onderzoek, innovatie, artificiële intelligentie, connectiviteit, digitaal bestuur, onderwijs, cultuur, onderzoek, jongeren en persoonlijke contacten kan worden benut;</w:t>
            </w:r>
          </w:p>
        </w:tc>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topontmoeting tussen de EU en de Samenwerkingsraad van de Golf;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Saudi-Arabië</w:t>
            </w:r>
            <w:r>
              <w:t xml:space="preserve"> moeten verhelpen, waardoor het potentieel voor diepere en bredere samenwerking op gebieden als veiligheid, handel, energie, klimaat, onderzoek, innovatie, artificiële intelligentie, connectiviteit, digitaal bestuur, onderwijs, cultuur, onderzoek, jongeren en persoonlijke contacten </w:t>
            </w:r>
            <w:r>
              <w:rPr>
                <w:b/>
                <w:i/>
              </w:rPr>
              <w:t>en voor het waarborgen van de broodnodige hervormingen op het gebied van mensenrechten en arbeidsrechten in de GCC-landen</w:t>
            </w:r>
            <w:r>
              <w:t xml:space="preserve"> kan worden benut;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topontmoeting tussen de EU en de Samenwerkingsraad van de Golf;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Saoedi-Arabië</w:t>
            </w:r>
            <w:r>
              <w:t xml:space="preserve"> moeten verhelpen, waardoor het potentieel voor diepere en bredere samenwerking op gebieden als veiligheid, handel, energie, klimaat, onderzoek, innovatie, artificiële intelligentie, connectiviteit, digitaal bestuur, onderwijs, cultuur, onderzoek, jongeren en persoonlijke contacten kan worden benut;</w:t>
            </w:r>
          </w:p>
        </w:tc>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topontmoeting tussen de EU en de Samenwerkingsraad van de Golf;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Saudi-Arabië</w:t>
            </w:r>
            <w:r>
              <w:t xml:space="preserve"> moeten verhelpen, waardoor het potentieel voor diepere en bredere samenwerking op gebieden als veiligheid, handel, energie, klimaat, onderzoek, innovatie, artificiële intelligentie, connectiviteit, digitaal bestuur, onderwijs, cultuur, onderzoek, jongeren en persoonlijke contacten </w:t>
            </w:r>
            <w:r>
              <w:rPr>
                <w:b/>
                <w:i/>
              </w:rPr>
              <w:t>en voor het waarborgen van de broodnodige hervormingen op het gebied van mensenrechten en arbeidsrechten in de GCC-landen</w:t>
            </w:r>
            <w:r>
              <w:t xml:space="preserve"> kan worden benut;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w:t>
            </w:r>
            <w:r>
              <w:rPr>
                <w:b/>
                <w:i/>
              </w:rPr>
              <w:t>topontmoeting tussen de EU en de Samenwerkingsraad van de Golf</w:t>
            </w:r>
            <w:r>
              <w:t xml:space="preserve">;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Saoedi-Arabië</w:t>
            </w:r>
            <w:r>
              <w:t xml:space="preserve"> moeten verhelpen, waardoor het potentieel voor diepere en bredere samenwerking op gebieden als </w:t>
            </w:r>
            <w:r>
              <w:rPr>
                <w:b/>
                <w:i/>
              </w:rPr>
              <w:t>veiligheid</w:t>
            </w:r>
            <w:r>
              <w:t>, handel, energie</w:t>
            </w:r>
            <w:r>
              <w:rPr>
                <w:b/>
                <w:i/>
              </w:rPr>
              <w:t>,</w:t>
            </w:r>
            <w:r>
              <w:t xml:space="preserve"> klimaat, onderzoek</w:t>
            </w:r>
            <w:r>
              <w:rPr>
                <w:b/>
                <w:i/>
              </w:rPr>
              <w:t>,</w:t>
            </w:r>
            <w:r>
              <w:t xml:space="preserve"> innovatie, artificiële intelligentie, connectiviteit, digitaal bestuur, onderwijs, cultuur, onderzoek, jongeren en persoonlijke contacten kan worden benut;</w:t>
            </w:r>
          </w:p>
        </w:tc>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w:t>
            </w:r>
            <w:r>
              <w:rPr>
                <w:b/>
                <w:i/>
              </w:rPr>
              <w:t>eerste EU-GCC-top</w:t>
            </w:r>
            <w:r>
              <w:t xml:space="preserve">;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Saudi-Arabië</w:t>
            </w:r>
            <w:r>
              <w:t xml:space="preserve"> moeten verhelpen, waardoor het potentieel voor diepere en bredere samenwerking op gebieden als </w:t>
            </w:r>
            <w:r>
              <w:rPr>
                <w:b/>
                <w:i/>
              </w:rPr>
              <w:t>buitenlands en veiligheidsbeleid, justitie en rechtshandhaving</w:t>
            </w:r>
            <w:r>
              <w:t xml:space="preserve">, handel </w:t>
            </w:r>
            <w:r>
              <w:rPr>
                <w:b/>
                <w:i/>
              </w:rPr>
              <w:t>en investeringen</w:t>
            </w:r>
            <w:r>
              <w:t xml:space="preserve">, energie </w:t>
            </w:r>
            <w:r>
              <w:rPr>
                <w:b/>
                <w:i/>
              </w:rPr>
              <w:t>en</w:t>
            </w:r>
            <w:r>
              <w:t xml:space="preserve"> klimaat</w:t>
            </w:r>
            <w:r>
              <w:rPr>
                <w:b/>
                <w:i/>
              </w:rPr>
              <w:t>, de digitale transitie, milieu</w:t>
            </w:r>
            <w:r>
              <w:t xml:space="preserve">, onderzoek </w:t>
            </w:r>
            <w:r>
              <w:rPr>
                <w:b/>
                <w:i/>
              </w:rPr>
              <w:t>en</w:t>
            </w:r>
            <w:r>
              <w:t xml:space="preserve"> innovatie, artificiële intelligentie, connectiviteit, digitaal bestuur, onderwijs, cultuur, onderzoek, jongeren en persoonlijke contacten kan worden benut;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wijst op de positieve samenwerking tussen de EU en de Samenwerkingsraad van de Golf tijdens de topontmoeting tussen de EU en de Samenwerkingsraad van de Golf;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Saoedi-Arabië</w:t>
            </w:r>
            <w:r>
              <w:t xml:space="preserve"> moeten verhelpen, waardoor het potentieel voor diepere en bredere samenwerking op gebieden als veiligheid, handel, energie, klimaat, onderzoek, innovatie, artificiële intelligentie, connectiviteit, digitaal bestuur, onderwijs, cultuur, onderzoek, jongeren en persoonlijke contacten kan worden benut;</w:t>
            </w:r>
          </w:p>
        </w:tc>
        <w:tc>
          <w:tcPr>
            <w:tcW w:w="4876" w:type="dxa"/>
            <w:tcBorders>
              <w:top w:val="nil"/>
              <w:left w:val="nil"/>
              <w:bottom w:val="nil"/>
              <w:right w:val="nil"/>
            </w:tcBorders>
          </w:tcPr>
          <w:p>
            <w:pPr>
              <w:pStyle w:val="Normal6a"/>
            </w:pPr>
            <w:r>
              <w:t>1.</w:t>
            </w:r>
            <w:r>
              <w:tab/>
            </w:r>
            <w:r>
              <w:t>wijst op de positieve samenwerking tussen de EU en de Samenwerkingsraad van de Golf</w:t>
            </w:r>
            <w:r>
              <w:rPr>
                <w:b/>
                <w:i/>
              </w:rPr>
              <w:t>, als twee van de belangrijkste actoren in het Middellandse Zeegebied in ruimere zin,</w:t>
            </w:r>
            <w:r>
              <w:t xml:space="preserve"> tijdens de topontmoeting tussen de EU en de Samenwerkingsraad van de Golf; bevestigt dat de EU ernaar streeft de bilaterale banden met elke partner van de Samenwerkingsraad van de Golf te versterken door middel van partnerschapsovereenkomsten die het huidige gebrek aan een juridisch bindend kader voor de bilaterale betrekkingen tussen de EU en </w:t>
            </w:r>
            <w:r>
              <w:rPr>
                <w:b/>
                <w:i/>
              </w:rPr>
              <w:t>Saudi-Arabië</w:t>
            </w:r>
            <w:r>
              <w:t xml:space="preserve"> moeten verhelpen, waardoor het potentieel voor diepere en bredere samenwerking op gebieden als veiligheid, handel, energie, klimaat, onderzoek, innovatie, artificiële intelligentie, connectiviteit, digitaal bestuur, onderwijs, cultuur, onderzoek, jongeren en persoonlijke contacten kan worden benut;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spreekt zijn steun uit voor het besluit van de Raad om de Europese Commissie en de hoge vertegenwoordiger te machtigen onderhandelingen te openen over de totstandbrenging van een strategisch partnerschap met het Koninkrijk Saudi-Arabië;</w:t>
            </w:r>
            <w:r>
              <w:t xml:space="preserve"> </w:t>
            </w:r>
            <w:r>
              <w:rPr>
                <w:b/>
                <w:i/>
              </w:rPr>
              <w:t>wijst erop dat dit initiatief een cruciale kans biedt om de strategische belangen van de Unie en de regionale stabiliteit te bevorderen en de samenwerking op het gebied van energie en veiligheid te versterken;</w:t>
            </w:r>
            <w:r>
              <w:t xml:space="preserve"> </w:t>
            </w:r>
            <w:r>
              <w:rPr>
                <w:b/>
                <w:i/>
              </w:rPr>
              <w:t>dringt erop aan dat beide partijen zich tijdens het onderhandelingsproces actief en coöperatief opstellen, zodat de onderhandelingen snel tot een goed einde kunnen worden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wijst erop dat Saudi-Arabië nog steeds een grote mondiale speler is op de markten voor conventionele energie, maar daarnaast ook ambitieuze stappen zet op het gebied van diversificatie en duurzaamheid, en voorloper is als het gaat om investeringen in hernieuwbare energie, met name in grootschalige projecten op het gebied van zonne- en waterstofenergie;</w:t>
            </w:r>
            <w:r>
              <w:t xml:space="preserve"> </w:t>
            </w:r>
            <w:r>
              <w:rPr>
                <w:b/>
                <w:i/>
              </w:rPr>
              <w:t>merkt op dat Saudi-Arabië momenteel tot de top 10 van de grootste markten voor energieopslag ter wereld behoort, waarmee het zijn leiderschap op het gebied van hernieuwbare energie nog verder versterkt</w:t>
            </w:r>
            <w:r>
              <w:rPr>
                <w:b/>
                <w:i/>
                <w:vertAlign w:val="superscript"/>
              </w:rPr>
              <w:t>1 bis</w:t>
            </w:r>
            <w:r>
              <w:rPr>
                <w:b/>
                <w:i/>
              </w:rPr>
              <w:t>;</w:t>
            </w:r>
            <w:r>
              <w:t xml:space="preserve"> </w:t>
            </w:r>
            <w:r>
              <w:rPr>
                <w:b/>
                <w:i/>
              </w:rPr>
              <w:t>benadrukt dat nauwere samenwerking met Saudi-Arabië de EU kansen biedt om haar energiezekerheid te versterken en haar energiebronnen te diversifiëren;</w:t>
            </w:r>
            <w:r>
              <w:t xml:space="preserve"> </w:t>
            </w:r>
            <w:r>
              <w:rPr>
                <w:b/>
                <w:i/>
              </w:rPr>
              <w:t>benadrukt dat het enorme potentieel van Saudi-Arabië op het gebied van zonne-energie, in combinatie met de geavanceerde technologieën van de EU op het gebied van hernieuwbare energie, benut kan worden door middel van gezamenlijke initiatieven op het gebied van groene waterstof, duurzame brandstoffen en energie-infrastructuur van de volgende generatie, waardoor innovatie wordt bevorderd en beide partners zich kunnen positioneren als wereldleiders op het gebied van partnerschappen voor hernieuwbare energie</w:t>
            </w:r>
            <w:r>
              <w:rPr>
                <w:b/>
                <w:i/>
                <w:vertAlign w:val="superscript"/>
              </w:rPr>
              <w:t>10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https://www.moenergy.gov.sa/en/media-center/news/saudi-arabia-ranks-among-worlds-top-10-energy-storage-markets-advancing-leadership-renewable-energy.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bis</w:t>
            </w:r>
            <w:r>
              <w:t xml:space="preserve"> </w:t>
            </w:r>
            <w:r>
              <w:rPr>
                <w:b/>
                <w:i/>
              </w:rPr>
              <w:t>https://www.weforum.org/publications/fostering-effective-energy-transition-2023/in-full/saudi-arabia/;</w:t>
            </w:r>
            <w:r>
              <w:t xml:space="preserve"> </w:t>
            </w:r>
            <w:r>
              <w:rPr>
                <w:b/>
                <w:i/>
              </w:rPr>
              <w:t>https://unfccc.int/sites/default/files/resource/KSA_BTR1_20250320-2.pdf;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wijst op de samenwerking tussen </w:t>
            </w:r>
            <w:r>
              <w:rPr>
                <w:b/>
                <w:i/>
              </w:rPr>
              <w:t>Saoedi-Arabië</w:t>
            </w:r>
            <w:r>
              <w:t xml:space="preserve"> en de EU op het gebied van buitenlands en veiligheidsbeleid;</w:t>
            </w:r>
          </w:p>
        </w:tc>
        <w:tc>
          <w:tcPr>
            <w:tcW w:w="4876" w:type="dxa"/>
            <w:tcBorders>
              <w:top w:val="nil"/>
              <w:left w:val="nil"/>
              <w:bottom w:val="nil"/>
              <w:right w:val="nil"/>
            </w:tcBorders>
          </w:tcPr>
          <w:p>
            <w:pPr>
              <w:pStyle w:val="Normal6a"/>
            </w:pPr>
            <w:r>
              <w:t>2.</w:t>
            </w:r>
            <w:r>
              <w:tab/>
            </w:r>
            <w:r>
              <w:t xml:space="preserve">wijst op de samenwerking tussen </w:t>
            </w:r>
            <w:r>
              <w:rPr>
                <w:b/>
                <w:i/>
              </w:rPr>
              <w:t>Saudi-Arabië</w:t>
            </w:r>
            <w:r>
              <w:t xml:space="preserve"> en de EU op het gebied van buitenlands en veiligheidsbeleid </w:t>
            </w:r>
            <w:r>
              <w:rPr>
                <w:b/>
                <w:i/>
              </w:rPr>
              <w:t>en op het gebied van de bestrijding van radicalisering en terrorisme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wijst op de samenwerking tussen </w:t>
            </w:r>
            <w:r>
              <w:rPr>
                <w:b/>
                <w:i/>
              </w:rPr>
              <w:t>Saoedi-Arabië</w:t>
            </w:r>
            <w:r>
              <w:t xml:space="preserve"> en de EU op het gebied van buitenlands en veiligheidsbeleid;</w:t>
            </w:r>
          </w:p>
        </w:tc>
        <w:tc>
          <w:tcPr>
            <w:tcW w:w="4876" w:type="dxa"/>
            <w:tcBorders>
              <w:top w:val="nil"/>
              <w:left w:val="nil"/>
              <w:bottom w:val="nil"/>
              <w:right w:val="nil"/>
            </w:tcBorders>
          </w:tcPr>
          <w:p>
            <w:pPr>
              <w:pStyle w:val="Normal6a"/>
            </w:pPr>
            <w:r>
              <w:t>2.</w:t>
            </w:r>
            <w:r>
              <w:tab/>
            </w:r>
            <w:r>
              <w:t xml:space="preserve">wijst op de </w:t>
            </w:r>
            <w:r>
              <w:rPr>
                <w:b/>
                <w:i/>
              </w:rPr>
              <w:t>hoge mate van afstemming en</w:t>
            </w:r>
            <w:r>
              <w:t xml:space="preserve"> samenwerking tussen </w:t>
            </w:r>
            <w:r>
              <w:rPr>
                <w:b/>
                <w:i/>
              </w:rPr>
              <w:t>Saudi-Arabië</w:t>
            </w:r>
            <w:r>
              <w:t xml:space="preserve"> en de EU op het gebied van buitenlands en veiligheidsbeleid;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wijst op de samenwerking tussen </w:t>
            </w:r>
            <w:r>
              <w:rPr>
                <w:b/>
                <w:i/>
              </w:rPr>
              <w:t>Saoedi-Arabië</w:t>
            </w:r>
            <w:r>
              <w:t xml:space="preserve"> en de EU op het gebied van buitenlands en veiligheidsbeleid;</w:t>
            </w:r>
          </w:p>
        </w:tc>
        <w:tc>
          <w:tcPr>
            <w:tcW w:w="4876" w:type="dxa"/>
            <w:tcBorders>
              <w:top w:val="nil"/>
              <w:left w:val="nil"/>
              <w:bottom w:val="nil"/>
              <w:right w:val="nil"/>
            </w:tcBorders>
          </w:tcPr>
          <w:p>
            <w:pPr>
              <w:pStyle w:val="Normal6a"/>
            </w:pPr>
            <w:r>
              <w:t>2.</w:t>
            </w:r>
            <w:r>
              <w:tab/>
            </w:r>
            <w:r>
              <w:t xml:space="preserve">wijst op de samenwerking tussen </w:t>
            </w:r>
            <w:r>
              <w:rPr>
                <w:b/>
                <w:i/>
              </w:rPr>
              <w:t>Saudi-Arabië</w:t>
            </w:r>
            <w:r>
              <w:t xml:space="preserve"> en de EU op het gebied van buitenlands en veiligheidsbeleid </w:t>
            </w:r>
            <w:r>
              <w:rPr>
                <w:b/>
                <w:i/>
              </w:rPr>
              <w:t>en terrorismebestrijding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is ingenomen met de mogelijkheden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t xml:space="preserve">is ingenomen met de mogelijkheden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 </w:t>
            </w:r>
            <w:r>
              <w:rPr>
                <w:b/>
                <w:i/>
              </w:rPr>
              <w:t>benadrukt dat deze samenwerking echter niet mag leiden tot overnames van EU-bedrijven die actief zijn in strategische sectoren, zoals bij de recente transacties van het staatsfonds van Saudi-Arabië het geval was;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is ingenomen met</w:t>
            </w:r>
            <w:r>
              <w:t xml:space="preserve"> de mogelijkheden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rPr>
                <w:b/>
                <w:i/>
              </w:rPr>
              <w:t>wijst op</w:t>
            </w:r>
            <w:r>
              <w:t xml:space="preserve"> de mogelijkheden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 </w:t>
            </w:r>
            <w:r>
              <w:rPr>
                <w:b/>
                <w:i/>
              </w:rPr>
              <w:t>uit zijn bezorgdheid over het feit dat er bewijzen zijn dat het PIF in verband kan worden gebracht met mensenrechtenschendingen, en wijst erop dat bedrijven, als zij overwegen economische activiteiten te ontplooien waarbij het PIF direct of indirect betrokken is, ervoor moeten zorgen dat zij zich houden aan de zorgvuldigheidsregels op het gebied van de mensenrechten;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is ingenomen met</w:t>
            </w:r>
            <w:r>
              <w:t xml:space="preserve"> de mogelijkheden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rPr>
                <w:b/>
                <w:i/>
              </w:rPr>
              <w:t>wijst op</w:t>
            </w:r>
            <w:r>
              <w:t xml:space="preserve"> de mogelijkheden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 </w:t>
            </w:r>
            <w:r>
              <w:rPr>
                <w:b/>
                <w:i/>
              </w:rPr>
              <w:t>uit zijn bezorgdheid over het feit dat er bewijzen zijn dat het PIF in verband kan worden gebracht met mensenrechtenschendingen, en wijst erop dat bedrijven, als zij overwegen economische activiteiten te ontplooien of zakelijke deals te sluiten waarbij het PIF direct of indirect betrokken is, ervoor moeten zorgen dat de zorgvuldigheidsregels op het gebied van de mensenrechten worden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is ingenomen met de mogelijkheden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t xml:space="preserve">is ingenomen met de mogelijkheden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 </w:t>
            </w:r>
            <w:r>
              <w:rPr>
                <w:b/>
                <w:i/>
              </w:rPr>
              <w:t>benadrukt dat bedrijven, als zij overwegen economische activiteiten te ontplooien of zakelijke deals te sluiten waarbij het PIF direct of indirect betrokken is, moeten waarborgen dat de zorgvuldigheidsregels op het gebied van de mensenrechten worden nageleefd, gezien de berichten waaruit blijkt dat het PIF in verband kan worden gebracht met mensenrechtenschendingen;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is ingenomen met de mogelijkheden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t xml:space="preserve">is ingenomen met de mogelijkheden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 </w:t>
            </w:r>
            <w:r>
              <w:rPr>
                <w:b/>
                <w:i/>
              </w:rPr>
              <w:t>dringt erop aan dat er op deze gebieden meer tussen de EU en Saudi-Arabië wordt samengewerkt;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is ingenomen met</w:t>
            </w:r>
            <w:r>
              <w:t xml:space="preserve"> de mogelijkheden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rPr>
                <w:b/>
                <w:i/>
              </w:rPr>
              <w:t>wijst op</w:t>
            </w:r>
            <w:r>
              <w:t xml:space="preserve"> de mogelijkheden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is ingenomen met de mogelijkheden</w:t>
            </w:r>
            <w:r>
              <w:t xml:space="preserve"> voor verdere economische samenwerking tussen de EU en </w:t>
            </w:r>
            <w:r>
              <w:rPr>
                <w:b/>
                <w:i/>
              </w:rPr>
              <w:t>Saoedi-Arabië</w:t>
            </w:r>
            <w:r>
              <w:t xml:space="preserve"> op het gebied van duurzame energie, kritieke grondstoffen, informatietechnologie en ondernemerschap, en merkt op dat economische samenwerking tussen de EU en </w:t>
            </w:r>
            <w:r>
              <w:rPr>
                <w:b/>
                <w:i/>
              </w:rPr>
              <w:t>Saoedi-Arabië</w:t>
            </w:r>
            <w:r>
              <w:t xml:space="preserve"> de hoeksteen vormt van de bilaterale betrekkingen;</w:t>
            </w:r>
          </w:p>
        </w:tc>
        <w:tc>
          <w:tcPr>
            <w:tcW w:w="4876" w:type="dxa"/>
            <w:tcBorders>
              <w:top w:val="nil"/>
              <w:left w:val="nil"/>
              <w:bottom w:val="nil"/>
              <w:right w:val="nil"/>
            </w:tcBorders>
          </w:tcPr>
          <w:p>
            <w:pPr>
              <w:pStyle w:val="Normal6a"/>
            </w:pPr>
            <w:r>
              <w:t>3.</w:t>
            </w:r>
            <w:r>
              <w:tab/>
            </w:r>
            <w:r>
              <w:rPr>
                <w:b/>
                <w:i/>
              </w:rPr>
              <w:t>pleit</w:t>
            </w:r>
            <w:r>
              <w:t xml:space="preserve"> voor verdere economische samenwerking tussen de EU en </w:t>
            </w:r>
            <w:r>
              <w:rPr>
                <w:b/>
                <w:i/>
              </w:rPr>
              <w:t>Saudi-Arabië</w:t>
            </w:r>
            <w:r>
              <w:t xml:space="preserve"> op het gebied van duurzame energie, kritieke grondstoffen, informatietechnologie en ondernemerschap, en merkt op dat economische samenwerking tussen de EU en </w:t>
            </w:r>
            <w:r>
              <w:rPr>
                <w:b/>
                <w:i/>
              </w:rPr>
              <w:t>Saudi-Arabië</w:t>
            </w:r>
            <w:r>
              <w:t xml:space="preserve"> de hoeksteen vormt van de bilaterale betrekkingen;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merkt op dat Saudi-Arabië een belangrijke partner zou kunnen worden bij de bestrijding van illegale immigratie en het beheer van migratiestromen uit het Midden-Oosten, Afrika, het Indiase subcontinent en Centraal-Azië;</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benadrukt dat een intensievere samenwerking tussen de EU en Saudi-Arabië op het gebied van energie en handel de strategische autonomie van de EU moet versterken door middel van diversificatie van betrouwbare bevoorradingsbronnen;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bevestigt opnieuw dat de EU zich verbonden heeft Saudi-Arabië te steunen bij het streven naar sociaal- economische diversificatie en hervormingen, waaronder de bevordering van duurzame ontwikkeling;</w:t>
            </w:r>
          </w:p>
        </w:tc>
        <w:tc>
          <w:tcPr>
            <w:tcW w:w="4876" w:type="dxa"/>
            <w:tcBorders>
              <w:top w:val="nil"/>
              <w:left w:val="nil"/>
              <w:bottom w:val="nil"/>
              <w:right w:val="nil"/>
            </w:tcBorders>
          </w:tcPr>
          <w:p>
            <w:pPr>
              <w:pStyle w:val="Normal6a"/>
            </w:pPr>
            <w:r>
              <w:t>4.</w:t>
            </w:r>
            <w:r>
              <w:tab/>
            </w:r>
            <w:r>
              <w:t>bevestigt opnieuw dat de EU zich verbonden heeft Saudi-Arabië te steunen bij het streven naar sociaal- economische diversificatie en hervormingen, waaronder de bevordering van duurzame ontwikkeling</w:t>
            </w:r>
            <w:r>
              <w:rPr>
                <w:b/>
                <w:i/>
              </w:rPr>
              <w:t> door de diversificatie van zijn energiebronnen, waaronder kernenergie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bevestigt opnieuw</w:t>
            </w:r>
            <w:r>
              <w:t xml:space="preserve"> dat de EU zich blijft inzetten voor een veilige, wederzijds voordelige regeling voor visumvrij reizen met de vijf resterende GCC-landen, teneinde een gelijke behandeling van deze landen te waarborgen;</w:t>
            </w:r>
          </w:p>
        </w:tc>
        <w:tc>
          <w:tcPr>
            <w:tcW w:w="4876" w:type="dxa"/>
            <w:tcBorders>
              <w:top w:val="nil"/>
              <w:left w:val="nil"/>
              <w:bottom w:val="nil"/>
              <w:right w:val="nil"/>
            </w:tcBorders>
          </w:tcPr>
          <w:p>
            <w:pPr>
              <w:pStyle w:val="Normal6a"/>
            </w:pPr>
            <w:r>
              <w:t>5.</w:t>
            </w:r>
            <w:r>
              <w:tab/>
            </w:r>
            <w:r>
              <w:rPr>
                <w:b/>
                <w:i/>
              </w:rPr>
              <w:t>neemt er nota van</w:t>
            </w:r>
            <w:r>
              <w:t xml:space="preserve"> dat de EU zich blijft inzetten voor een veilige, wederzijds voordelige regeling voor visumvrij reizen met de vijf resterende GCC-landen, teneinde een gelijke behandeling van deze landen te waarborgen; </w:t>
            </w:r>
            <w:r>
              <w:rPr>
                <w:b/>
                <w:i/>
              </w:rPr>
              <w:t>wijst op de risico’s die gepaard gaan met visumvrij reizen, zoals een toename van het aantal asielaanvragen, met name uit niet-democratische landen als Saudi-Arabië, en veiligheidsrisico’s in verband met terrorisme en extremisme;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bevestigt opnieuw dat de EU zich blijft inzetten voor een veilige, wederzijds voordelige regeling voor visumvrij reizen met de vijf resterende GCC-landen, teneinde een gelijke behandeling van deze landen te waarborgen;</w:t>
            </w:r>
          </w:p>
        </w:tc>
        <w:tc>
          <w:tcPr>
            <w:tcW w:w="4876" w:type="dxa"/>
            <w:tcBorders>
              <w:top w:val="nil"/>
              <w:left w:val="nil"/>
              <w:bottom w:val="nil"/>
              <w:right w:val="nil"/>
            </w:tcBorders>
          </w:tcPr>
          <w:p>
            <w:pPr>
              <w:pStyle w:val="Normal6a"/>
            </w:pPr>
            <w:r>
              <w:t>5.</w:t>
            </w:r>
            <w:r>
              <w:tab/>
            </w:r>
            <w:r>
              <w:t xml:space="preserve">bevestigt opnieuw dat de EU zich blijft inzetten voor een veilige, wederzijds voordelige regeling voor visumvrij reizen met de vijf resterende GCC-landen, teneinde een gelijke behandeling van deze landen te waarborgen; </w:t>
            </w:r>
            <w:r>
              <w:rPr>
                <w:b/>
                <w:i/>
              </w:rPr>
              <w:t>en dat dit zou kunnen worden geëvalueerd in het kader van de nieuwe visumstrategie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bevestigt opnieuw dat de EU zich blijft inzetten voor een veilige, wederzijds voordelige</w:t>
            </w:r>
            <w:r>
              <w:t xml:space="preserve"> regeling voor visumvrij reizen met de </w:t>
            </w:r>
            <w:r>
              <w:rPr>
                <w:b/>
                <w:i/>
              </w:rPr>
              <w:t>vijf resterende</w:t>
            </w:r>
            <w:r>
              <w:t xml:space="preserve"> GCC-landen</w:t>
            </w:r>
            <w:r>
              <w:rPr>
                <w:b/>
                <w:i/>
              </w:rPr>
              <w:t>, teneinde een gelijke behandeling van deze landen te</w:t>
            </w:r>
            <w:r>
              <w:t xml:space="preserve"> waarborgen;</w:t>
            </w:r>
          </w:p>
        </w:tc>
        <w:tc>
          <w:tcPr>
            <w:tcW w:w="4876" w:type="dxa"/>
            <w:tcBorders>
              <w:top w:val="nil"/>
              <w:left w:val="nil"/>
              <w:bottom w:val="nil"/>
              <w:right w:val="nil"/>
            </w:tcBorders>
          </w:tcPr>
          <w:p>
            <w:pPr>
              <w:pStyle w:val="Normal6a"/>
            </w:pPr>
            <w:r>
              <w:t>5.</w:t>
            </w:r>
            <w:r>
              <w:tab/>
            </w:r>
            <w:r>
              <w:rPr>
                <w:b/>
                <w:i/>
              </w:rPr>
              <w:t>benadrukt dat een eventuele discussie over een</w:t>
            </w:r>
            <w:r>
              <w:t xml:space="preserve"> regeling voor visumvrij reizen met de GCC-landen </w:t>
            </w:r>
            <w:r>
              <w:rPr>
                <w:b/>
                <w:i/>
              </w:rPr>
              <w:t>strikt afhankelijk moet worden gesteld van doeltreffende</w:t>
            </w:r>
            <w:r>
              <w:t xml:space="preserve"> waarborgen </w:t>
            </w:r>
            <w:r>
              <w:rPr>
                <w:b/>
                <w:i/>
              </w:rPr>
              <w:t>inzake veiligheid, beheer van migratie naar de Unie en maatregelen ter bestrijding van buitenlandse inmenging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bevestigt opnieuw dat de EU zich blijft inzetten voor een veilige, wederzijds voordelige regeling voor visumvrij reizen met </w:t>
            </w:r>
            <w:r>
              <w:rPr>
                <w:b/>
                <w:i/>
              </w:rPr>
              <w:t>de vijf resterende GCC-landen, teneinde een gelijke behandeling van deze landen te waarborgen</w:t>
            </w:r>
            <w:r>
              <w:t>;</w:t>
            </w:r>
          </w:p>
        </w:tc>
        <w:tc>
          <w:tcPr>
            <w:tcW w:w="4876" w:type="dxa"/>
            <w:tcBorders>
              <w:top w:val="nil"/>
              <w:left w:val="nil"/>
              <w:bottom w:val="nil"/>
              <w:right w:val="nil"/>
            </w:tcBorders>
          </w:tcPr>
          <w:p>
            <w:pPr>
              <w:pStyle w:val="Normal6a"/>
            </w:pPr>
            <w:r>
              <w:t>5.</w:t>
            </w:r>
            <w:r>
              <w:tab/>
            </w:r>
            <w:r>
              <w:t xml:space="preserve">bevestigt opnieuw dat de EU zich blijft inzetten voor een veilige, wederzijds voordelige regeling voor visumvrij reizen met </w:t>
            </w:r>
            <w:r>
              <w:rPr>
                <w:b/>
                <w:i/>
              </w:rPr>
              <w:t>het Koninkrijk Saudi-Arabië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wijst erop dat Saudische toeristen een belangrijke bron van inkomsten zijn voor de lidstaten en dat met name de horeca, de detailhandel en de culturele sector hiervan profiteren;</w:t>
            </w:r>
            <w:r>
              <w:t xml:space="preserve"> </w:t>
            </w:r>
            <w:r>
              <w:rPr>
                <w:b/>
                <w:i/>
              </w:rPr>
              <w:t>wijst erop dat Saudische burgers niet bijdragen tot het verhogen van de druk van irreguliere migratie en pleit daarom voor invoering van een visumvrijstelling voor het Schengengebied</w:t>
            </w:r>
            <w:r>
              <w:rPr>
                <w:b/>
                <w:i/>
                <w:vertAlign w:val="superscript"/>
              </w:rPr>
              <w:t>8 bis</w:t>
            </w:r>
            <w:r>
              <w:rPr>
                <w:b/>
                <w:i/>
              </w:rPr>
              <w:t>, om het toerisme te stimuleren, de uitwisseling van personen te bevorderen en de economische en culturele banden tussen de EU en het Koninkrijk Saudi-Arabië verder te versterken;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bis</w:t>
            </w:r>
            <w:r>
              <w:t xml:space="preserve"> </w:t>
            </w:r>
            <w:r>
              <w:rPr>
                <w:b/>
                <w:i/>
              </w:rPr>
              <w:t>https://home-affairs.ec.europa.eu/document/download/d22b298f-18db-48b1-bb53-cc4114bc40b3_en.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pleit voor sterkere partnerschappen tussen onderwijs- en onderzoeksinstellingen in de EU en Saudi-Arabië, onder meer via programma’s als Erasmus Mundus en Horizon Europa;</w:t>
            </w:r>
            <w:r>
              <w:t xml:space="preserve"> </w:t>
            </w:r>
            <w:r>
              <w:rPr>
                <w:b/>
                <w:i/>
              </w:rPr>
              <w:t>benadrukt dat het belangrijk is de noodzakelijke voorwaarden te scheppen voor meer studentenmobiliteit;</w:t>
            </w:r>
            <w:r>
              <w:t xml:space="preserve"> </w:t>
            </w:r>
            <w:r>
              <w:rPr>
                <w:b/>
                <w:i/>
              </w:rPr>
              <w:t>benadrukt dat betere uitwisselingsmogelijkheden voor jongeren aanzienlijk zullen bijdragen tot de consolidatie van de betrekkingen tussen de EU, Saudi-Arabië en de Golfregio als geheel;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is ingenomen met het feit dat Saudi-Arabië de Moslimbroederschap als terroristische organisatie heeft aangemerkt en met de recente stappen van de Verenigde Staten om hetzelfde te doen;</w:t>
            </w:r>
            <w:r>
              <w:t xml:space="preserve"> </w:t>
            </w:r>
            <w:r>
              <w:rPr>
                <w:b/>
                <w:i/>
              </w:rPr>
              <w:t>verzoekt de EU en de lidstaten om dit voorbeeld zo snel mogelijk te volgen en de Moslimbroederschap als terroristische organisatie aan te merkten;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roept de EU op om de samenwerking op regelgevingsgebied verder te vergemakkelijken, omdat dit Saudi-Arabië zal helpen regels en procedures vast te stellen voor succesvolle diversificatie en hervormingen;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is ingenomen met de Abraham-akkoorden die door de Verenigde Staten tot stand zijn gebracht en roept Saudi-Arabië op zich onverwijld bij deze akkoorden aan te sluiten;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is verheugd over het toenemende belang van </w:t>
            </w:r>
            <w:r>
              <w:rPr>
                <w:b/>
                <w:i/>
              </w:rPr>
              <w:t>Saoedi-Arabië</w:t>
            </w:r>
            <w:r>
              <w:t xml:space="preserve"> als diplomatieke speler </w:t>
            </w:r>
            <w:r>
              <w:rPr>
                <w:b/>
                <w:i/>
              </w:rPr>
              <w:t>die bijdraagt</w:t>
            </w:r>
            <w:r>
              <w:t xml:space="preserve"> aan de </w:t>
            </w:r>
            <w:r>
              <w:rPr>
                <w:b/>
                <w:i/>
              </w:rPr>
              <w:t>internationale</w:t>
            </w:r>
            <w:r>
              <w:t xml:space="preserve"> stabiliteit, met name in </w:t>
            </w:r>
            <w:r>
              <w:rPr>
                <w:b/>
                <w:i/>
              </w:rPr>
              <w:t>het kader</w:t>
            </w:r>
            <w:r>
              <w:t xml:space="preserve"> van de </w:t>
            </w:r>
            <w:r>
              <w:rPr>
                <w:b/>
                <w:i/>
              </w:rPr>
              <w:t>militaire operatie van Israël</w:t>
            </w:r>
            <w:r>
              <w:t xml:space="preserve"> in Gaza en </w:t>
            </w:r>
            <w:r>
              <w:rPr>
                <w:b/>
                <w:i/>
              </w:rPr>
              <w:t>tijdens</w:t>
            </w:r>
            <w:r>
              <w:t xml:space="preserve"> de recente ontwikkelingen in Syrië, Libanon, Jemen, de Rode Zee en </w:t>
            </w:r>
            <w:r>
              <w:rPr>
                <w:b/>
                <w:i/>
              </w:rPr>
              <w:t>Soedan</w:t>
            </w:r>
            <w:r>
              <w:t>;</w:t>
            </w:r>
          </w:p>
        </w:tc>
        <w:tc>
          <w:tcPr>
            <w:tcW w:w="4876" w:type="dxa"/>
            <w:tcBorders>
              <w:top w:val="nil"/>
              <w:left w:val="nil"/>
              <w:bottom w:val="nil"/>
              <w:right w:val="nil"/>
            </w:tcBorders>
          </w:tcPr>
          <w:p>
            <w:pPr>
              <w:pStyle w:val="Normal6a"/>
            </w:pPr>
            <w:r>
              <w:t>6.</w:t>
            </w:r>
            <w:r>
              <w:tab/>
            </w:r>
            <w:r>
              <w:t xml:space="preserve">is verheugd over het toenemende belang van </w:t>
            </w:r>
            <w:r>
              <w:rPr>
                <w:b/>
                <w:i/>
              </w:rPr>
              <w:t>Saudi-Arabië</w:t>
            </w:r>
            <w:r>
              <w:t xml:space="preserve"> als diplomatieke speler </w:t>
            </w:r>
            <w:r>
              <w:rPr>
                <w:b/>
                <w:i/>
              </w:rPr>
              <w:t>en over de aanzienlijke bijdragen die het land levert</w:t>
            </w:r>
            <w:r>
              <w:t xml:space="preserve"> aan de </w:t>
            </w:r>
            <w:r>
              <w:rPr>
                <w:b/>
                <w:i/>
              </w:rPr>
              <w:t>regionale en mondiale</w:t>
            </w:r>
            <w:r>
              <w:t xml:space="preserve"> stabiliteit, met name in </w:t>
            </w:r>
            <w:r>
              <w:rPr>
                <w:b/>
                <w:i/>
              </w:rPr>
              <w:t>de context</w:t>
            </w:r>
            <w:r>
              <w:t xml:space="preserve"> van de </w:t>
            </w:r>
            <w:r>
              <w:rPr>
                <w:b/>
                <w:i/>
              </w:rPr>
              <w:t>huidige oorlog</w:t>
            </w:r>
            <w:r>
              <w:t xml:space="preserve"> in Gaza en </w:t>
            </w:r>
            <w:r>
              <w:rPr>
                <w:b/>
                <w:i/>
              </w:rPr>
              <w:t>in verband met</w:t>
            </w:r>
            <w:r>
              <w:t xml:space="preserve"> de recente ontwikkelingen in Syrië, Libanon, Jemen, de Rode Zee en </w:t>
            </w:r>
            <w:r>
              <w:rPr>
                <w:b/>
                <w:i/>
              </w:rPr>
              <w:t>Sudan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is verheugd over het toenemende belang van </w:t>
            </w:r>
            <w:r>
              <w:rPr>
                <w:b/>
                <w:i/>
              </w:rPr>
              <w:t>Saoedi-Arabië</w:t>
            </w:r>
            <w:r>
              <w:t xml:space="preserve"> als diplomatieke speler die bijdraagt aan de internationale stabiliteit, met name in </w:t>
            </w:r>
            <w:r>
              <w:rPr>
                <w:b/>
                <w:i/>
              </w:rPr>
              <w:t>het kader</w:t>
            </w:r>
            <w:r>
              <w:t xml:space="preserve"> van de militaire operatie van Israël in Gaza en tijdens de recente ontwikkelingen in Syrië, Libanon</w:t>
            </w:r>
            <w:r>
              <w:rPr>
                <w:b/>
                <w:i/>
              </w:rPr>
              <w:t>, Jemen,</w:t>
            </w:r>
            <w:r>
              <w:t xml:space="preserve"> de Rode Zee </w:t>
            </w:r>
            <w:r>
              <w:rPr>
                <w:b/>
                <w:i/>
              </w:rPr>
              <w:t>en Soedan</w:t>
            </w:r>
            <w:r>
              <w:t>;</w:t>
            </w:r>
          </w:p>
        </w:tc>
        <w:tc>
          <w:tcPr>
            <w:tcW w:w="4876" w:type="dxa"/>
            <w:tcBorders>
              <w:top w:val="nil"/>
              <w:left w:val="nil"/>
              <w:bottom w:val="nil"/>
              <w:right w:val="nil"/>
            </w:tcBorders>
          </w:tcPr>
          <w:p>
            <w:pPr>
              <w:pStyle w:val="Normal6a"/>
            </w:pPr>
            <w:r>
              <w:t>6.</w:t>
            </w:r>
            <w:r>
              <w:tab/>
            </w:r>
            <w:r>
              <w:t xml:space="preserve">is verheugd over het toenemende belang van </w:t>
            </w:r>
            <w:r>
              <w:rPr>
                <w:b/>
                <w:i/>
              </w:rPr>
              <w:t>Saudi-Arabië</w:t>
            </w:r>
            <w:r>
              <w:t xml:space="preserve"> als diplomatieke speler die bijdraagt aan de internationale stabiliteit, met name in </w:t>
            </w:r>
            <w:r>
              <w:rPr>
                <w:b/>
                <w:i/>
              </w:rPr>
              <w:t>de context</w:t>
            </w:r>
            <w:r>
              <w:t xml:space="preserve"> van de militaire operatie van Israël in Gaza </w:t>
            </w:r>
            <w:r>
              <w:rPr>
                <w:b/>
                <w:i/>
              </w:rPr>
              <w:t>na de terreuraanslag van Hamas op 7 oktober, waarbij ongeveer 1 200 mensen werden gedood en meer dan 250 mensen gegijzeld werden,</w:t>
            </w:r>
            <w:r>
              <w:t xml:space="preserve"> en tijdens de recente ontwikkelingen in Syrië, Libanon </w:t>
            </w:r>
            <w:r>
              <w:rPr>
                <w:b/>
                <w:i/>
              </w:rPr>
              <w:t>en</w:t>
            </w:r>
            <w:r>
              <w:t xml:space="preserve"> de Rode Zee;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is verheugd over het toenemende belang van </w:t>
            </w:r>
            <w:r>
              <w:rPr>
                <w:b/>
                <w:i/>
              </w:rPr>
              <w:t>Saoedi-Arabië</w:t>
            </w:r>
            <w:r>
              <w:t xml:space="preserve"> als diplomatieke speler die bijdraagt aan de internationale stabiliteit, met name in het kader van de </w:t>
            </w:r>
            <w:r>
              <w:rPr>
                <w:b/>
                <w:i/>
              </w:rPr>
              <w:t>militaire operatie van Israël</w:t>
            </w:r>
            <w:r>
              <w:t xml:space="preserve"> in Gaza en tijdens de recente ontwikkelingen in Syrië, Libanon, Jemen, de Rode Zee en </w:t>
            </w:r>
            <w:r>
              <w:rPr>
                <w:b/>
                <w:i/>
              </w:rPr>
              <w:t>Soedan</w:t>
            </w:r>
            <w:r>
              <w:t>;</w:t>
            </w:r>
          </w:p>
        </w:tc>
        <w:tc>
          <w:tcPr>
            <w:tcW w:w="4876" w:type="dxa"/>
            <w:tcBorders>
              <w:top w:val="nil"/>
              <w:left w:val="nil"/>
              <w:bottom w:val="nil"/>
              <w:right w:val="nil"/>
            </w:tcBorders>
          </w:tcPr>
          <w:p>
            <w:pPr>
              <w:pStyle w:val="Normal6a"/>
            </w:pPr>
            <w:r>
              <w:t>6.</w:t>
            </w:r>
            <w:r>
              <w:tab/>
            </w:r>
            <w:r>
              <w:t xml:space="preserve">is verheugd over het toenemende belang van </w:t>
            </w:r>
            <w:r>
              <w:rPr>
                <w:b/>
                <w:i/>
              </w:rPr>
              <w:t>Saudi-Arabië</w:t>
            </w:r>
            <w:r>
              <w:t xml:space="preserve"> als diplomatieke speler die bijdraagt aan de internationale stabiliteit, met name in het kader van de </w:t>
            </w:r>
            <w:r>
              <w:rPr>
                <w:b/>
                <w:i/>
              </w:rPr>
              <w:t>oorlog</w:t>
            </w:r>
            <w:r>
              <w:t xml:space="preserve"> in Gaza en tijdens de recente ontwikkelingen in Syrië, Libanon, Jemen, de Rode Zee en </w:t>
            </w:r>
            <w:r>
              <w:rPr>
                <w:b/>
                <w:i/>
              </w:rPr>
              <w:t>Sudan, en niet in het minst gezien de toename van het aantal terroristische aanslagen in de regio</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is verheugd over het toenemende belang van </w:t>
            </w:r>
            <w:r>
              <w:rPr>
                <w:b/>
                <w:i/>
              </w:rPr>
              <w:t>Saoedi-Arabië</w:t>
            </w:r>
            <w:r>
              <w:t xml:space="preserve"> als diplomatieke speler die bijdraagt aan de internationale stabiliteit, met name in het </w:t>
            </w:r>
            <w:r>
              <w:rPr>
                <w:b/>
                <w:i/>
              </w:rPr>
              <w:t>kader van de militaire operatie van</w:t>
            </w:r>
            <w:r>
              <w:t xml:space="preserve"> Israël in Gaza en tijdens de recente ontwikkelingen in Syrië, Libanon, Jemen, de Rode Zee en </w:t>
            </w:r>
            <w:r>
              <w:rPr>
                <w:b/>
                <w:i/>
              </w:rPr>
              <w:t>Soedan</w:t>
            </w:r>
            <w:r>
              <w:t>;</w:t>
            </w:r>
          </w:p>
        </w:tc>
        <w:tc>
          <w:tcPr>
            <w:tcW w:w="4876" w:type="dxa"/>
            <w:tcBorders>
              <w:top w:val="nil"/>
              <w:left w:val="nil"/>
              <w:bottom w:val="nil"/>
              <w:right w:val="nil"/>
            </w:tcBorders>
          </w:tcPr>
          <w:p>
            <w:pPr>
              <w:pStyle w:val="Normal6a"/>
            </w:pPr>
            <w:r>
              <w:t>6.</w:t>
            </w:r>
            <w:r>
              <w:tab/>
            </w:r>
            <w:r>
              <w:t xml:space="preserve">is verheugd over het toenemende belang van </w:t>
            </w:r>
            <w:r>
              <w:rPr>
                <w:b/>
                <w:i/>
              </w:rPr>
              <w:t>Saudi-Arabië</w:t>
            </w:r>
            <w:r>
              <w:t xml:space="preserve"> als diplomatieke speler die bijdraagt aan de internationale stabiliteit, met name in het </w:t>
            </w:r>
            <w:r>
              <w:rPr>
                <w:b/>
                <w:i/>
              </w:rPr>
              <w:t>licht van het alsmaar toenemende bewijs dat</w:t>
            </w:r>
            <w:r>
              <w:t xml:space="preserve"> Israël </w:t>
            </w:r>
            <w:r>
              <w:rPr>
                <w:b/>
                <w:i/>
              </w:rPr>
              <w:t>genocide pleegt</w:t>
            </w:r>
            <w:r>
              <w:t xml:space="preserve"> in Gaza en tijdens de recente ontwikkelingen in Syrië, Libanon, Jemen, de Rode Zee en </w:t>
            </w:r>
            <w:r>
              <w:rPr>
                <w:b/>
                <w:i/>
              </w:rPr>
              <w:t>Sudan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is verheugd over</w:t>
            </w:r>
            <w:r>
              <w:t xml:space="preserve"> het toenemende belang van </w:t>
            </w:r>
            <w:r>
              <w:rPr>
                <w:b/>
                <w:i/>
              </w:rPr>
              <w:t>Saoedi-Arabië</w:t>
            </w:r>
            <w:r>
              <w:t xml:space="preserve"> als diplomatieke speler die bijdraagt aan de internationale stabiliteit, met name in het kader van de militaire operatie van Israël in Gaza en tijdens de recente ontwikkelingen in Syrië, Libanon, Jemen, de Rode Zee en </w:t>
            </w:r>
            <w:r>
              <w:rPr>
                <w:b/>
                <w:i/>
              </w:rPr>
              <w:t>Soedan</w:t>
            </w:r>
            <w:r>
              <w:t>;</w:t>
            </w:r>
          </w:p>
        </w:tc>
        <w:tc>
          <w:tcPr>
            <w:tcW w:w="4876" w:type="dxa"/>
            <w:tcBorders>
              <w:top w:val="nil"/>
              <w:left w:val="nil"/>
              <w:bottom w:val="nil"/>
              <w:right w:val="nil"/>
            </w:tcBorders>
          </w:tcPr>
          <w:p>
            <w:pPr>
              <w:pStyle w:val="Normal6a"/>
            </w:pPr>
            <w:r>
              <w:t>6.</w:t>
            </w:r>
            <w:r>
              <w:tab/>
            </w:r>
            <w:r>
              <w:rPr>
                <w:b/>
                <w:i/>
              </w:rPr>
              <w:t>wijst op</w:t>
            </w:r>
            <w:r>
              <w:t xml:space="preserve"> het toenemende belang van </w:t>
            </w:r>
            <w:r>
              <w:rPr>
                <w:b/>
                <w:i/>
              </w:rPr>
              <w:t>Saudi-Arabië</w:t>
            </w:r>
            <w:r>
              <w:t xml:space="preserve"> als diplomatieke speler die bijdraagt aan de internationale stabiliteit, met name in het kader van de militaire operatie van Israël in Gaza en tijdens de recente ontwikkelingen in Syrië, Libanon, Jemen, de Rode Zee en </w:t>
            </w:r>
            <w:r>
              <w:rPr>
                <w:b/>
                <w:i/>
              </w:rPr>
              <w:t>Sudan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is verheugd over het toenemende belang van </w:t>
            </w:r>
            <w:r>
              <w:rPr>
                <w:b/>
                <w:i/>
              </w:rPr>
              <w:t>Saoedi-Arabië</w:t>
            </w:r>
            <w:r>
              <w:t xml:space="preserve"> als diplomatieke speler die bijdraagt aan de internationale stabiliteit, met name in </w:t>
            </w:r>
            <w:r>
              <w:rPr>
                <w:b/>
                <w:i/>
              </w:rPr>
              <w:t>het kader van de militaire operatie van Israël in Gaza</w:t>
            </w:r>
            <w:r>
              <w:t xml:space="preserve"> en tijdens de recente ontwikkelingen in Syrië, Libanon, Jemen, de Rode Zee en </w:t>
            </w:r>
            <w:r>
              <w:rPr>
                <w:b/>
                <w:i/>
              </w:rPr>
              <w:t>Soedan</w:t>
            </w:r>
            <w:r>
              <w:t>;</w:t>
            </w:r>
          </w:p>
        </w:tc>
        <w:tc>
          <w:tcPr>
            <w:tcW w:w="4876" w:type="dxa"/>
            <w:tcBorders>
              <w:top w:val="nil"/>
              <w:left w:val="nil"/>
              <w:bottom w:val="nil"/>
              <w:right w:val="nil"/>
            </w:tcBorders>
          </w:tcPr>
          <w:p>
            <w:pPr>
              <w:pStyle w:val="Normal6a"/>
            </w:pPr>
            <w:r>
              <w:t>6.</w:t>
            </w:r>
            <w:r>
              <w:tab/>
            </w:r>
            <w:r>
              <w:t xml:space="preserve">is verheugd over het toenemende belang van </w:t>
            </w:r>
            <w:r>
              <w:rPr>
                <w:b/>
                <w:i/>
              </w:rPr>
              <w:t>Saudi-Arabië</w:t>
            </w:r>
            <w:r>
              <w:t xml:space="preserve"> als diplomatieke speler die bijdraagt aan de internationale stabiliteit, met name in </w:t>
            </w:r>
            <w:r>
              <w:rPr>
                <w:b/>
                <w:i/>
              </w:rPr>
              <w:t>de context van het Israëlisch-Palestijnse conflict</w:t>
            </w:r>
            <w:r>
              <w:t xml:space="preserve"> en tijdens de recente ontwikkelingen in Syrië, Libanon, Jemen, de Rode Zee en </w:t>
            </w:r>
            <w:r>
              <w:rPr>
                <w:b/>
                <w:i/>
              </w:rPr>
              <w:t>Sudan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is verheugd over het toenemende belang van </w:t>
            </w:r>
            <w:r>
              <w:rPr>
                <w:b/>
                <w:i/>
              </w:rPr>
              <w:t>Saoedi-Arabië</w:t>
            </w:r>
            <w:r>
              <w:t xml:space="preserve"> als diplomatieke speler die bijdraagt aan de internationale stabiliteit, met name in het kader van de </w:t>
            </w:r>
            <w:r>
              <w:rPr>
                <w:b/>
                <w:i/>
              </w:rPr>
              <w:t>militaire operatie van Israël</w:t>
            </w:r>
            <w:r>
              <w:t xml:space="preserve"> in Gaza en tijdens de recente ontwikkelingen in Syrië, Libanon, Jemen, de Rode Zee en </w:t>
            </w:r>
            <w:r>
              <w:rPr>
                <w:b/>
                <w:i/>
              </w:rPr>
              <w:t>Soedan</w:t>
            </w:r>
            <w:r>
              <w:t>;</w:t>
            </w:r>
          </w:p>
        </w:tc>
        <w:tc>
          <w:tcPr>
            <w:tcW w:w="4876" w:type="dxa"/>
            <w:tcBorders>
              <w:top w:val="nil"/>
              <w:left w:val="nil"/>
              <w:bottom w:val="nil"/>
              <w:right w:val="nil"/>
            </w:tcBorders>
          </w:tcPr>
          <w:p>
            <w:pPr>
              <w:pStyle w:val="Normal6a"/>
            </w:pPr>
            <w:r>
              <w:t>6.</w:t>
            </w:r>
            <w:r>
              <w:tab/>
            </w:r>
            <w:r>
              <w:t xml:space="preserve">is verheugd over het toenemende belang van </w:t>
            </w:r>
            <w:r>
              <w:rPr>
                <w:b/>
                <w:i/>
              </w:rPr>
              <w:t>Saudi-Arabië</w:t>
            </w:r>
            <w:r>
              <w:t xml:space="preserve"> als diplomatieke speler die bijdraagt aan de internationale stabiliteit, met name in het kader van de </w:t>
            </w:r>
            <w:r>
              <w:rPr>
                <w:b/>
                <w:i/>
              </w:rPr>
              <w:t>crisis</w:t>
            </w:r>
            <w:r>
              <w:t xml:space="preserve"> in Gaza en tijdens de recente ontwikkelingen in Syrië, Libanon, Jemen, de Rode Zee en </w:t>
            </w:r>
            <w:r>
              <w:rPr>
                <w:b/>
                <w:i/>
              </w:rPr>
              <w:t>Sudan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wijst op de inspanningen van Saudi-Arabië, een aantal andere Arabische landen en Israël om de diplomatieke betrekkingen te normaliseren in het kader van de Abraham-akkoorden;</w:t>
            </w:r>
            <w:r>
              <w:t xml:space="preserve"> </w:t>
            </w:r>
            <w:r>
              <w:rPr>
                <w:b/>
                <w:i/>
              </w:rPr>
              <w:t>roept de EU op initiatieven te ondersteunen die gericht zijn op het tot stand brengen van brede regionale en internationale steun voor betere Arabisch-Israëlische betrekkingen in de toekomst;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benadrukt dat het buitenlands beleid van Saudi-Arabië wordt beïnvloed door een combinatie van strategische, religieuze, economische en veiligheidsfactoren, waarbij de belangrijkste doelstellingen zijn: het handhaven van stabiliteit, het uitbreiden van de invloed van het koninkrijk in de regio en het beschermen van de energie- en geopolitieke belangen van het koninkrijk;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benadrukt dat nauwere samenwerking met Saudi-Arabië er ook op gericht moet zijn de gezamenlijke inzet op het gebied van vrede en stabiliteit te versterken en het multilaterale, op regels gebaseerde systeem te beschermen tegen systeemrivalen;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roept op tot nauwere buitenlandse en veiligheidssamenwerking in het licht van regionale escalaties; benadrukt dat zowel in de gezamenlijke mededeling over een strategisch partnerschap met de Golfstaten als in de toekomstige SPA wordt opgeroepen tot nauwere samenwerking op politiek en veiligheidsgebied;</w:t>
            </w:r>
          </w:p>
        </w:tc>
        <w:tc>
          <w:tcPr>
            <w:tcW w:w="4876" w:type="dxa"/>
            <w:tcBorders>
              <w:top w:val="nil"/>
              <w:left w:val="nil"/>
              <w:bottom w:val="nil"/>
              <w:right w:val="nil"/>
            </w:tcBorders>
          </w:tcPr>
          <w:p>
            <w:pPr>
              <w:pStyle w:val="Normal6a"/>
            </w:pPr>
            <w:r>
              <w:t>7.</w:t>
            </w:r>
            <w:r>
              <w:tab/>
            </w:r>
            <w:r>
              <w:t xml:space="preserve">roept op tot nauwere buitenlandse en veiligheidssamenwerking in het licht van regionale escalaties; benadrukt dat zowel in de gezamenlijke mededeling over een strategisch partnerschap met de Golfstaten als in de toekomstige SPA wordt opgeroepen tot nauwere samenwerking op politiek en veiligheidsgebied; </w:t>
            </w:r>
            <w:r>
              <w:rPr>
                <w:b/>
                <w:i/>
              </w:rPr>
              <w:t>benadrukt dat deze samenwerking gebaseerd moet zijn op een oprechte en gedeelde inzet voor de eerbiediging van het internationaal recht, met inbegrip van de mensenrechten, het internationaal humanitair recht en het VN-Handvest;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roept op tot nauwere buitenlandse en veiligheidssamenwerking in het licht van regionale escalaties; benadrukt dat zowel in de gezamenlijke mededeling over een strategisch partnerschap met de Golfstaten als in de toekomstige SPA wordt opgeroepen tot nauwere samenwerking op politiek en veiligheidsgebied;</w:t>
            </w:r>
          </w:p>
        </w:tc>
        <w:tc>
          <w:tcPr>
            <w:tcW w:w="4876" w:type="dxa"/>
            <w:tcBorders>
              <w:top w:val="nil"/>
              <w:left w:val="nil"/>
              <w:bottom w:val="nil"/>
              <w:right w:val="nil"/>
            </w:tcBorders>
          </w:tcPr>
          <w:p>
            <w:pPr>
              <w:pStyle w:val="Normal6a"/>
            </w:pPr>
            <w:r>
              <w:t>7.</w:t>
            </w:r>
            <w:r>
              <w:tab/>
            </w:r>
            <w:r>
              <w:t xml:space="preserve">roept op tot nauwere buitenlandse en veiligheidssamenwerking in het licht van regionale escalaties; benadrukt dat zowel in de gezamenlijke mededeling over een strategisch partnerschap met de Golfstaten als in de toekomstige SPA wordt opgeroepen tot nauwere samenwerking op politiek en veiligheidsgebied; </w:t>
            </w:r>
            <w:r>
              <w:rPr>
                <w:b/>
                <w:i/>
              </w:rPr>
              <w:t>benadrukt dat deze samenwerking gebaseerd moet zijn op een echte gezamenlijke inzet voor de eerbiediging van het internationaal recht, met inbegrip van de mensenrechten, het internationaal humanitair recht en het VN-Handvest;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roept op tot nauwere buitenlandse en veiligheidssamenwerking in het licht van regionale escalaties; benadrukt dat zowel in de gezamenlijke mededeling over een strategisch partnerschap met de Golfstaten als in de toekomstige SPA wordt opgeroepen tot nauwere samenwerking op politiek en veiligheidsgebied;</w:t>
            </w:r>
          </w:p>
        </w:tc>
        <w:tc>
          <w:tcPr>
            <w:tcW w:w="4876" w:type="dxa"/>
            <w:tcBorders>
              <w:top w:val="nil"/>
              <w:left w:val="nil"/>
              <w:bottom w:val="nil"/>
              <w:right w:val="nil"/>
            </w:tcBorders>
          </w:tcPr>
          <w:p>
            <w:pPr>
              <w:pStyle w:val="Normal6a"/>
            </w:pPr>
            <w:r>
              <w:t>7.</w:t>
            </w:r>
            <w:r>
              <w:tab/>
            </w:r>
            <w:r>
              <w:t xml:space="preserve">roept op tot nauwere buitenlandse en veiligheidssamenwerking in het licht van regionale escalaties; benadrukt dat zowel in de gezamenlijke mededeling over een strategisch partnerschap met de Golfstaten als in de toekomstige SPA wordt opgeroepen tot nauwere samenwerking op politiek en veiligheidsgebied; </w:t>
            </w:r>
            <w:r>
              <w:rPr>
                <w:b/>
                <w:i/>
              </w:rPr>
              <w:t>benadrukt dat deze samenwerking gebaseerd moet zijn op een gezamenlijke toezegging om het internationaal recht, met inbegrip van de mensenrechten, het internationaal humanitair recht en het VN-Handvest te eerbiedigen;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wijst erop dat Saudi-Arabië binnen de internationale diplomatie een belangrijke rol speelt, met name bij het ondersteunen van de-escalatie in Jemen, het versterken van de maritieme veiligheid in de Rode Zee, het organiseren van besprekingen over Oekraïne en het faciliteren van de dialoog over Sudan, en dat het land daarmee een constructieve bijdrage levert aan de regionale en internationale stabiliteit;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roept Saoedi-Arabië op om</w:t>
            </w:r>
            <w:r>
              <w:t xml:space="preserve"> de samenwerking tussen de EU en </w:t>
            </w:r>
            <w:r>
              <w:rPr>
                <w:b/>
                <w:i/>
              </w:rPr>
              <w:t>Saoedi-Arabië</w:t>
            </w:r>
            <w:r>
              <w:t xml:space="preserve"> op het gebied van terrorismebestrijding en preventie van radicalisering </w:t>
            </w:r>
            <w:r>
              <w:rPr>
                <w:b/>
                <w:i/>
              </w:rPr>
              <w:t>voort te zetten</w:t>
            </w:r>
            <w:r>
              <w:t>;</w:t>
            </w:r>
          </w:p>
        </w:tc>
        <w:tc>
          <w:tcPr>
            <w:tcW w:w="4876" w:type="dxa"/>
            <w:tcBorders>
              <w:top w:val="nil"/>
              <w:left w:val="nil"/>
              <w:bottom w:val="nil"/>
              <w:right w:val="nil"/>
            </w:tcBorders>
          </w:tcPr>
          <w:p>
            <w:pPr>
              <w:pStyle w:val="Normal6a"/>
            </w:pPr>
            <w:r>
              <w:t>8.</w:t>
            </w:r>
            <w:r>
              <w:tab/>
            </w:r>
            <w:r>
              <w:rPr>
                <w:b/>
                <w:i/>
              </w:rPr>
              <w:t>neemt kennis van</w:t>
            </w:r>
            <w:r>
              <w:t xml:space="preserve"> de samenwerking tussen de EU en </w:t>
            </w:r>
            <w:r>
              <w:rPr>
                <w:b/>
                <w:i/>
              </w:rPr>
              <w:t>Saudi-Arabië</w:t>
            </w:r>
            <w:r>
              <w:t xml:space="preserve"> op het gebied van terrorismebestrijding en preventie van radicalisering</w:t>
            </w:r>
            <w:r>
              <w:rPr>
                <w:b/>
                <w:i/>
              </w:rPr>
              <w:t>, en wijst erop dat die samenwerking dient plaats te vinden in overeenstemming met de internationale mensenrechtennormen</w:t>
            </w:r>
            <w:r>
              <w:t xml:space="preserve">; </w:t>
            </w:r>
            <w:r>
              <w:rPr>
                <w:b/>
                <w:i/>
              </w:rPr>
              <w:t>uit zijn bezorgdheid over het feit dat Saudi-Arabië antiterrorismewetgeving gebruikt om activisten het zwijgen op te leggen en andersdenkenden de mond te snoeren, wat blijkt uit de vele arrestaties, op verdenking van terrorisme, van burgers die op vreedzame wijze actief waren op sociale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roept </w:t>
            </w:r>
            <w:r>
              <w:rPr>
                <w:b/>
                <w:i/>
              </w:rPr>
              <w:t>Saoedi-Arabië</w:t>
            </w:r>
            <w:r>
              <w:t xml:space="preserve"> op om de samenwerking tussen de EU en </w:t>
            </w:r>
            <w:r>
              <w:rPr>
                <w:b/>
                <w:i/>
              </w:rPr>
              <w:t>Saoedi-Arabië</w:t>
            </w:r>
            <w:r>
              <w:t xml:space="preserve"> op het gebied van terrorismebestrijding en preventie van radicalisering voort te zetten;</w:t>
            </w:r>
          </w:p>
        </w:tc>
        <w:tc>
          <w:tcPr>
            <w:tcW w:w="4876" w:type="dxa"/>
            <w:tcBorders>
              <w:top w:val="nil"/>
              <w:left w:val="nil"/>
              <w:bottom w:val="nil"/>
              <w:right w:val="nil"/>
            </w:tcBorders>
          </w:tcPr>
          <w:p>
            <w:pPr>
              <w:pStyle w:val="Normal6a"/>
            </w:pPr>
            <w:r>
              <w:t>8.</w:t>
            </w:r>
            <w:r>
              <w:tab/>
            </w:r>
            <w:r>
              <w:t xml:space="preserve">roept </w:t>
            </w:r>
            <w:r>
              <w:rPr>
                <w:b/>
                <w:i/>
              </w:rPr>
              <w:t>Saudi-Arabië</w:t>
            </w:r>
            <w:r>
              <w:t xml:space="preserve"> op om de samenwerking tussen de EU en </w:t>
            </w:r>
            <w:r>
              <w:rPr>
                <w:b/>
                <w:i/>
              </w:rPr>
              <w:t>Saudi-Arabië</w:t>
            </w:r>
            <w:r>
              <w:t xml:space="preserve"> op het gebied van terrorismebestrijding en preventie van radicalisering voort te zetten; </w:t>
            </w:r>
            <w:r>
              <w:rPr>
                <w:b/>
                <w:i/>
              </w:rPr>
              <w:t>onderstreept dat elke samenwerking bij de bestrijding van terrorisme en radicalisering gepaard moet gaan met speciale maatregelen om de verspreiding van wahabitische extremistische doctrines, die nog steeds in grote mate met Saudi-Arabië worden geassocieerd, in het oog te houden;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roept </w:t>
            </w:r>
            <w:r>
              <w:rPr>
                <w:b/>
                <w:i/>
              </w:rPr>
              <w:t>Saoedi-Arabië</w:t>
            </w:r>
            <w:r>
              <w:t xml:space="preserve"> op om de samenwerking tussen de EU en </w:t>
            </w:r>
            <w:r>
              <w:rPr>
                <w:b/>
                <w:i/>
              </w:rPr>
              <w:t>Saoedi-Arabië</w:t>
            </w:r>
            <w:r>
              <w:t xml:space="preserve"> op het gebied van terrorismebestrijding en preventie van radicalisering voort te zetten;</w:t>
            </w:r>
          </w:p>
        </w:tc>
        <w:tc>
          <w:tcPr>
            <w:tcW w:w="4876" w:type="dxa"/>
            <w:tcBorders>
              <w:top w:val="nil"/>
              <w:left w:val="nil"/>
              <w:bottom w:val="nil"/>
              <w:right w:val="nil"/>
            </w:tcBorders>
          </w:tcPr>
          <w:p>
            <w:pPr>
              <w:pStyle w:val="Normal6a"/>
            </w:pPr>
            <w:r>
              <w:t>8.</w:t>
            </w:r>
            <w:r>
              <w:tab/>
            </w:r>
            <w:r>
              <w:t xml:space="preserve">roept </w:t>
            </w:r>
            <w:r>
              <w:rPr>
                <w:b/>
                <w:i/>
              </w:rPr>
              <w:t>Saudi-Arabië</w:t>
            </w:r>
            <w:r>
              <w:t xml:space="preserve"> op om de samenwerking tussen de EU en </w:t>
            </w:r>
            <w:r>
              <w:rPr>
                <w:b/>
                <w:i/>
              </w:rPr>
              <w:t>Saudi-Arabië</w:t>
            </w:r>
            <w:r>
              <w:t xml:space="preserve"> op het gebied van terrorismebestrijding en preventie van radicalisering voort te zetten; </w:t>
            </w:r>
            <w:r>
              <w:rPr>
                <w:b/>
                <w:i/>
              </w:rPr>
              <w:t>een en ander met inachtneming van de internationale mensenrechtennormen;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roept </w:t>
            </w:r>
            <w:r>
              <w:rPr>
                <w:b/>
                <w:i/>
              </w:rPr>
              <w:t>Saoedi-Arabië</w:t>
            </w:r>
            <w:r>
              <w:t xml:space="preserve"> op om de samenwerking tussen de EU en </w:t>
            </w:r>
            <w:r>
              <w:rPr>
                <w:b/>
                <w:i/>
              </w:rPr>
              <w:t>Saoedi-Arabië</w:t>
            </w:r>
            <w:r>
              <w:t xml:space="preserve"> op het gebied van terrorismebestrijding en preventie van radicalisering voort te zetten;</w:t>
            </w:r>
          </w:p>
        </w:tc>
        <w:tc>
          <w:tcPr>
            <w:tcW w:w="4876" w:type="dxa"/>
            <w:tcBorders>
              <w:top w:val="nil"/>
              <w:left w:val="nil"/>
              <w:bottom w:val="nil"/>
              <w:right w:val="nil"/>
            </w:tcBorders>
          </w:tcPr>
          <w:p>
            <w:pPr>
              <w:pStyle w:val="Normal6a"/>
            </w:pPr>
            <w:r>
              <w:t>8.</w:t>
            </w:r>
            <w:r>
              <w:tab/>
            </w:r>
            <w:r>
              <w:t xml:space="preserve">roept </w:t>
            </w:r>
            <w:r>
              <w:rPr>
                <w:b/>
                <w:i/>
              </w:rPr>
              <w:t>Saudi-Arabië</w:t>
            </w:r>
            <w:r>
              <w:t xml:space="preserve"> op om de samenwerking tussen de EU en </w:t>
            </w:r>
            <w:r>
              <w:rPr>
                <w:b/>
                <w:i/>
              </w:rPr>
              <w:t>Saudi-Arabië</w:t>
            </w:r>
            <w:r>
              <w:t xml:space="preserve"> op het gebied van terrorismebestrijding en preventie van radicalisering voort te zetten; </w:t>
            </w:r>
            <w:r>
              <w:rPr>
                <w:b/>
                <w:i/>
              </w:rPr>
              <w:t>wijst erop dat het belangrijk is dat de EU en Saudi-Arabië hun benaderingen ter zake op verregaande wijze op elkaar afstemmen;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roept </w:t>
            </w:r>
            <w:r>
              <w:rPr>
                <w:b/>
                <w:i/>
              </w:rPr>
              <w:t>Saoedi-Arabië</w:t>
            </w:r>
            <w:r>
              <w:t xml:space="preserve"> op om de samenwerking tussen de EU en </w:t>
            </w:r>
            <w:r>
              <w:rPr>
                <w:b/>
                <w:i/>
              </w:rPr>
              <w:t>Saoedi-Arabië</w:t>
            </w:r>
            <w:r>
              <w:t xml:space="preserve"> op het gebied van terrorismebestrijding en preventie van radicalisering voort te zetten;</w:t>
            </w:r>
          </w:p>
        </w:tc>
        <w:tc>
          <w:tcPr>
            <w:tcW w:w="4876" w:type="dxa"/>
            <w:tcBorders>
              <w:top w:val="nil"/>
              <w:left w:val="nil"/>
              <w:bottom w:val="nil"/>
              <w:right w:val="nil"/>
            </w:tcBorders>
          </w:tcPr>
          <w:p>
            <w:pPr>
              <w:pStyle w:val="Normal6a"/>
            </w:pPr>
            <w:r>
              <w:t>8.</w:t>
            </w:r>
            <w:r>
              <w:tab/>
            </w:r>
            <w:r>
              <w:t xml:space="preserve">roept </w:t>
            </w:r>
            <w:r>
              <w:rPr>
                <w:b/>
                <w:i/>
              </w:rPr>
              <w:t>Saudi-Arabië</w:t>
            </w:r>
            <w:r>
              <w:t xml:space="preserve"> op om de samenwerking tussen de EU en </w:t>
            </w:r>
            <w:r>
              <w:rPr>
                <w:b/>
                <w:i/>
              </w:rPr>
              <w:t>Saudi-Arabië</w:t>
            </w:r>
            <w:r>
              <w:t xml:space="preserve"> op het gebied van terrorismebestrijding en preventie van radicalisering voort te zetten; </w:t>
            </w:r>
            <w:r>
              <w:rPr>
                <w:b/>
                <w:i/>
              </w:rPr>
              <w:t>een en ander met inachtneming van de internationale mensenrechtennormen;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waardeert de inspanningen van </w:t>
            </w:r>
            <w:r>
              <w:rPr>
                <w:b/>
                <w:i/>
              </w:rPr>
              <w:t>Saoedi-Arabië</w:t>
            </w:r>
            <w:r>
              <w:t xml:space="preserve"> om de-escalatie te bevorderen in verband met de militaire operatie van Israël in Gaza, zijn steun voor humanitaire hulp en zijn oproepen tot een staakt-het-vuren en de vrijlating van gijzelaars;</w:t>
            </w:r>
          </w:p>
        </w:tc>
        <w:tc>
          <w:tcPr>
            <w:tcW w:w="4876" w:type="dxa"/>
            <w:tcBorders>
              <w:top w:val="nil"/>
              <w:left w:val="nil"/>
              <w:bottom w:val="nil"/>
              <w:right w:val="nil"/>
            </w:tcBorders>
          </w:tcPr>
          <w:p>
            <w:pPr>
              <w:pStyle w:val="Normal6a"/>
            </w:pPr>
            <w:r>
              <w:t>9.</w:t>
            </w:r>
            <w:r>
              <w:tab/>
            </w:r>
            <w:r>
              <w:t xml:space="preserve">waardeert de inspanningen van </w:t>
            </w:r>
            <w:r>
              <w:rPr>
                <w:b/>
                <w:i/>
              </w:rPr>
              <w:t>Saudi-Arabië</w:t>
            </w:r>
            <w:r>
              <w:t xml:space="preserve"> om de-escalatie te bevorderen in verband met de militaire operatie van Israël in Gaza, zijn steun voor humanitaire hulp en zijn oproepen tot een staakt-het-vuren en de vrijlating van gijzelaars; </w:t>
            </w:r>
            <w:r>
              <w:rPr>
                <w:b/>
                <w:i/>
              </w:rPr>
              <w:t>spreekt zijn diepe bezorgdheid uit over de dreiging van verdere militaire escalatie in de Gazastrook, en protesteert tegen alle schendingen van het internationaal recht in het kader van dit conflict, met inbegrip van alle verklaringen over territoriale of demografische veranderingen in het gebied;</w:t>
            </w:r>
            <w:r>
              <w:t xml:space="preserve"> </w:t>
            </w:r>
            <w:r>
              <w:rPr>
                <w:b/>
                <w:i/>
              </w:rPr>
              <w:t>roept op tot onmiddellijke en doeltreffende internationale actie om de onaanvaardbare humanitaire situatie in Gaza te verlichten tegen de achtergrond van de blokkade die door de Israëlische regering is ingesteld en die verhindert dat humanitaire hulp de burgerbevolking, die in onmenselijke omstandigheden leeft, bereikt;</w:t>
            </w:r>
            <w:r>
              <w:t xml:space="preserve"> </w:t>
            </w:r>
            <w:r>
              <w:rPr>
                <w:b/>
                <w:i/>
              </w:rPr>
              <w:t>dringt aan op een onmiddellijke en permanente beëindiging van het geweld;</w:t>
            </w:r>
            <w:r>
              <w:t xml:space="preserve"> </w:t>
            </w:r>
            <w:r>
              <w:rPr>
                <w:b/>
                <w:i/>
              </w:rPr>
              <w:t>eist de onmiddellijke en onvoorwaardelijke vrijlating van alle resterende Israëlische gijzelaars;</w:t>
            </w:r>
            <w:r>
              <w:t xml:space="preserve"> </w:t>
            </w:r>
            <w:r>
              <w:rPr>
                <w:b/>
                <w:i/>
              </w:rPr>
              <w:t>blijft aandringen op proactieve diplomatieke inspanningen van de EU om te werken aan een permanent staakt-het-vuren;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waardeert de inspanningen van </w:t>
            </w:r>
            <w:r>
              <w:rPr>
                <w:b/>
                <w:i/>
              </w:rPr>
              <w:t>Saoedi-Arabië om</w:t>
            </w:r>
            <w:r>
              <w:t xml:space="preserve"> de-escalatie te bevorderen in verband met </w:t>
            </w:r>
            <w:r>
              <w:rPr>
                <w:b/>
                <w:i/>
              </w:rPr>
              <w:t>de militaire operatie van</w:t>
            </w:r>
            <w:r>
              <w:t xml:space="preserve"> Israël </w:t>
            </w:r>
            <w:r>
              <w:rPr>
                <w:b/>
                <w:i/>
              </w:rPr>
              <w:t>in Gaza</w:t>
            </w:r>
            <w:r>
              <w:t xml:space="preserve">, zijn steun voor humanitaire hulp en </w:t>
            </w:r>
            <w:r>
              <w:rPr>
                <w:b/>
                <w:i/>
              </w:rPr>
              <w:t>zijn oproepen tot een staakt-het-vuren en</w:t>
            </w:r>
            <w:r>
              <w:t xml:space="preserve"> de vrijlating van gijzelaars;</w:t>
            </w:r>
          </w:p>
        </w:tc>
        <w:tc>
          <w:tcPr>
            <w:tcW w:w="4876" w:type="dxa"/>
            <w:tcBorders>
              <w:top w:val="nil"/>
              <w:left w:val="nil"/>
              <w:bottom w:val="nil"/>
              <w:right w:val="nil"/>
            </w:tcBorders>
          </w:tcPr>
          <w:p>
            <w:pPr>
              <w:pStyle w:val="Normal6a"/>
            </w:pPr>
            <w:r>
              <w:t>9.</w:t>
            </w:r>
            <w:r>
              <w:tab/>
            </w:r>
            <w:r>
              <w:t xml:space="preserve">waardeert de inspanningen van </w:t>
            </w:r>
            <w:r>
              <w:rPr>
                <w:b/>
                <w:i/>
              </w:rPr>
              <w:t>Saudi-Arabië om het Midden-Oosten te stabiliseren en</w:t>
            </w:r>
            <w:r>
              <w:t xml:space="preserve"> de-escalatie te bevorderen in verband met </w:t>
            </w:r>
            <w:r>
              <w:rPr>
                <w:b/>
                <w:i/>
              </w:rPr>
              <w:t>het conflict tussen</w:t>
            </w:r>
            <w:r>
              <w:t xml:space="preserve"> Israël </w:t>
            </w:r>
            <w:r>
              <w:rPr>
                <w:b/>
                <w:i/>
              </w:rPr>
              <w:t>en Hamas</w:t>
            </w:r>
            <w:r>
              <w:t xml:space="preserve">, zijn steun voor humanitaire hulp en </w:t>
            </w:r>
            <w:r>
              <w:rPr>
                <w:b/>
                <w:i/>
              </w:rPr>
              <w:t>voor</w:t>
            </w:r>
            <w:r>
              <w:t xml:space="preserve"> de vrijlating van </w:t>
            </w:r>
            <w:r>
              <w:rPr>
                <w:b/>
                <w:i/>
              </w:rPr>
              <w:t>alle</w:t>
            </w:r>
            <w:r>
              <w:t xml:space="preserve"> gijzelaars </w:t>
            </w:r>
            <w:r>
              <w:rPr>
                <w:b/>
                <w:i/>
              </w:rPr>
              <w:t>die nog steeds in Gaza worden vastgehouden en zijn inspanningen om een einde te maken aan het Israëlisch-Palestijnse conflict</w:t>
            </w:r>
            <w:r>
              <w:t xml:space="preserve">; </w:t>
            </w:r>
            <w:r>
              <w:rPr>
                <w:b/>
                <w:i/>
              </w:rPr>
              <w:t>benadrukt dat Saudi-Arabië met zijn goede reputatie als vredesbemiddelaar ook een waardevolle bijdrage kan leveren aan toekomstige inspanningen om de Palestijnse gebieden te stabiliseren;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waardeert de inspanningen van </w:t>
            </w:r>
            <w:r>
              <w:rPr>
                <w:b/>
                <w:i/>
              </w:rPr>
              <w:t>Saoedi-Arabië</w:t>
            </w:r>
            <w:r>
              <w:t xml:space="preserve"> om de-escalatie te bevorderen in verband met de militaire operatie van Israël in Gaza, zijn steun voor humanitaire hulp en zijn oproepen tot een staakt-het-vuren en de vrijlating van gijzelaars;</w:t>
            </w:r>
          </w:p>
        </w:tc>
        <w:tc>
          <w:tcPr>
            <w:tcW w:w="4876" w:type="dxa"/>
            <w:tcBorders>
              <w:top w:val="nil"/>
              <w:left w:val="nil"/>
              <w:bottom w:val="nil"/>
              <w:right w:val="nil"/>
            </w:tcBorders>
          </w:tcPr>
          <w:p>
            <w:pPr>
              <w:pStyle w:val="Normal6a"/>
            </w:pPr>
            <w:r>
              <w:t>9.</w:t>
            </w:r>
            <w:r>
              <w:tab/>
            </w:r>
            <w:r>
              <w:t xml:space="preserve">waardeert </w:t>
            </w:r>
            <w:r>
              <w:rPr>
                <w:b/>
                <w:i/>
              </w:rPr>
              <w:t>de veroordeling door Saudi-Arabië van de aanval van Hamas op Israël op 7 oktober,</w:t>
            </w:r>
            <w:r>
              <w:t xml:space="preserve"> de inspanningen van </w:t>
            </w:r>
            <w:r>
              <w:rPr>
                <w:b/>
                <w:i/>
              </w:rPr>
              <w:t>Saudi-Arabië</w:t>
            </w:r>
            <w:r>
              <w:t xml:space="preserve"> om de-escalatie te bevorderen in verband met de militaire operatie van Israël in Gaza, zijn steun voor humanitaire hulp en zijn oproepen tot een staakt-het-vuren en de vrijlating van gijzelaars; </w:t>
            </w:r>
            <w:r>
              <w:rPr>
                <w:b/>
                <w:i/>
              </w:rPr>
              <w:t>is verheugd dat Saudi-Arabië zich duidelijk heeft geschaard achter de verklaring van de Arabische Liga waarin wordt geëist dat Hamas de wapens neerlegt, alle gijzelaars vrijlaat en de macht in Gaza opgeeft;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waardeert de inspanningen van </w:t>
            </w:r>
            <w:r>
              <w:rPr>
                <w:b/>
                <w:i/>
              </w:rPr>
              <w:t>Saoedi-Arabië</w:t>
            </w:r>
            <w:r>
              <w:t xml:space="preserve"> om de-escalatie te bevorderen in verband met de militaire operatie van Israël in Gaza, zijn steun voor humanitaire hulp en zijn oproepen tot een staakt-het-vuren en de vrijlating van gijzelaars;</w:t>
            </w:r>
          </w:p>
        </w:tc>
        <w:tc>
          <w:tcPr>
            <w:tcW w:w="4876" w:type="dxa"/>
            <w:tcBorders>
              <w:top w:val="nil"/>
              <w:left w:val="nil"/>
              <w:bottom w:val="nil"/>
              <w:right w:val="nil"/>
            </w:tcBorders>
          </w:tcPr>
          <w:p>
            <w:pPr>
              <w:pStyle w:val="Normal6a"/>
            </w:pPr>
            <w:r>
              <w:t>9.</w:t>
            </w:r>
            <w:r>
              <w:tab/>
            </w:r>
            <w:r>
              <w:t xml:space="preserve">waardeert de inspanningen van </w:t>
            </w:r>
            <w:r>
              <w:rPr>
                <w:b/>
                <w:i/>
              </w:rPr>
              <w:t>Saudi-Arabië</w:t>
            </w:r>
            <w:r>
              <w:t xml:space="preserve"> om de-escalatie te bevorderen in verband met de militaire operatie van Israël in Gaza </w:t>
            </w:r>
            <w:r>
              <w:rPr>
                <w:b/>
                <w:i/>
              </w:rPr>
              <w:t>na de terroristische aanslagen door Hamas op 7 oktober, waarbij ongeveer 1 200 mensen werden gedood en meer dan 250 personen werden gegijzeld</w:t>
            </w:r>
            <w:r>
              <w:t>, zijn steun voor humanitaire hulp en zijn oproepen tot een staakt-het-vuren en de vrijlating van gijzelaars;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waardeert</w:t>
            </w:r>
            <w:r>
              <w:t xml:space="preserve"> de inspanningen van </w:t>
            </w:r>
            <w:r>
              <w:rPr>
                <w:b/>
                <w:i/>
              </w:rPr>
              <w:t>Saoedi-Arabië om de-escalatie te bevorderen in verband met de militaire operatie van Israël in Gaza, zijn steun voor</w:t>
            </w:r>
            <w:r>
              <w:t xml:space="preserve"> humanitaire hulp </w:t>
            </w:r>
            <w:r>
              <w:rPr>
                <w:b/>
                <w:i/>
              </w:rPr>
              <w:t>en zijn oproepen tot een</w:t>
            </w:r>
            <w:r>
              <w:t xml:space="preserve"> staakt-het-vuren en de vrijlating </w:t>
            </w:r>
            <w:r>
              <w:rPr>
                <w:b/>
                <w:i/>
              </w:rPr>
              <w:t>van</w:t>
            </w:r>
            <w:r>
              <w:t xml:space="preserve"> gijzelaars;</w:t>
            </w:r>
          </w:p>
        </w:tc>
        <w:tc>
          <w:tcPr>
            <w:tcW w:w="4876" w:type="dxa"/>
            <w:tcBorders>
              <w:top w:val="nil"/>
              <w:left w:val="nil"/>
              <w:bottom w:val="nil"/>
              <w:right w:val="nil"/>
            </w:tcBorders>
          </w:tcPr>
          <w:p>
            <w:pPr>
              <w:pStyle w:val="Normal6a"/>
            </w:pPr>
            <w:r>
              <w:t>9.</w:t>
            </w:r>
            <w:r>
              <w:tab/>
            </w:r>
            <w:r>
              <w:rPr>
                <w:b/>
                <w:i/>
              </w:rPr>
              <w:t>is ingenomen met</w:t>
            </w:r>
            <w:r>
              <w:t xml:space="preserve"> de inspanningen van </w:t>
            </w:r>
            <w:r>
              <w:rPr>
                <w:b/>
                <w:i/>
              </w:rPr>
              <w:t>Saudi-Arabië om</w:t>
            </w:r>
            <w:r>
              <w:t xml:space="preserve"> humanitaire hulp </w:t>
            </w:r>
            <w:r>
              <w:rPr>
                <w:b/>
                <w:i/>
              </w:rPr>
              <w:t>te verlenen, een duurzaam</w:t>
            </w:r>
            <w:r>
              <w:t xml:space="preserve"> staakt-het-vuren </w:t>
            </w:r>
            <w:r>
              <w:rPr>
                <w:b/>
                <w:i/>
              </w:rPr>
              <w:t>in Gaza te bereiken</w:t>
            </w:r>
            <w:r>
              <w:t xml:space="preserve"> en de vrijlating </w:t>
            </w:r>
            <w:r>
              <w:rPr>
                <w:b/>
                <w:i/>
              </w:rPr>
              <w:t>door Hamas van alle Israëlische</w:t>
            </w:r>
            <w:r>
              <w:t xml:space="preserve"> gijzelaars </w:t>
            </w:r>
            <w:r>
              <w:rPr>
                <w:b/>
                <w:i/>
              </w:rPr>
              <w:t>te bewerkstelligen</w:t>
            </w:r>
            <w:r>
              <w:t xml:space="preserve">; </w:t>
            </w:r>
            <w:r>
              <w:rPr>
                <w:b/>
                <w:i/>
              </w:rPr>
              <w:t>spreekt zijn waardering uit voor de actieve inzet van Saudi-Arabië voor een duurzame vrede en een tweestatenoplossing in overeenstemming met het internationaal 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waardeert de inspanningen van </w:t>
            </w:r>
            <w:r>
              <w:rPr>
                <w:b/>
                <w:i/>
              </w:rPr>
              <w:t>Saoedi-Arabië</w:t>
            </w:r>
            <w:r>
              <w:t xml:space="preserve"> om de-escalatie te bevorderen in </w:t>
            </w:r>
            <w:r>
              <w:rPr>
                <w:b/>
                <w:i/>
              </w:rPr>
              <w:t>verband met de militaire operatie van</w:t>
            </w:r>
            <w:r>
              <w:t xml:space="preserve"> Israël in Gaza, </w:t>
            </w:r>
            <w:r>
              <w:rPr>
                <w:b/>
                <w:i/>
              </w:rPr>
              <w:t>zijn</w:t>
            </w:r>
            <w:r>
              <w:t xml:space="preserve"> steun voor humanitaire hulp en zijn oproepen tot een staakt-het-vuren en de vrijlating van gijzelaars;</w:t>
            </w:r>
          </w:p>
        </w:tc>
        <w:tc>
          <w:tcPr>
            <w:tcW w:w="4876" w:type="dxa"/>
            <w:tcBorders>
              <w:top w:val="nil"/>
              <w:left w:val="nil"/>
              <w:bottom w:val="nil"/>
              <w:right w:val="nil"/>
            </w:tcBorders>
          </w:tcPr>
          <w:p>
            <w:pPr>
              <w:pStyle w:val="Normal6a"/>
            </w:pPr>
            <w:r>
              <w:t>9.</w:t>
            </w:r>
            <w:r>
              <w:tab/>
            </w:r>
            <w:r>
              <w:t xml:space="preserve">waardeert de inspanningen van </w:t>
            </w:r>
            <w:r>
              <w:rPr>
                <w:b/>
                <w:i/>
              </w:rPr>
              <w:t>Saudi-Arabië</w:t>
            </w:r>
            <w:r>
              <w:t xml:space="preserve"> om de-escalatie te bevorderen in </w:t>
            </w:r>
            <w:r>
              <w:rPr>
                <w:b/>
                <w:i/>
              </w:rPr>
              <w:t>het licht van het alsmaar toenemende bewijs dat</w:t>
            </w:r>
            <w:r>
              <w:t xml:space="preserve"> Israël </w:t>
            </w:r>
            <w:r>
              <w:rPr>
                <w:b/>
                <w:i/>
              </w:rPr>
              <w:t>genocide pleegt</w:t>
            </w:r>
            <w:r>
              <w:t xml:space="preserve"> in Gaza, </w:t>
            </w:r>
            <w:r>
              <w:rPr>
                <w:b/>
                <w:i/>
              </w:rPr>
              <w:t>de</w:t>
            </w:r>
            <w:r>
              <w:t xml:space="preserve"> steun </w:t>
            </w:r>
            <w:r>
              <w:rPr>
                <w:b/>
                <w:i/>
              </w:rPr>
              <w:t>van Saudi-Arabië</w:t>
            </w:r>
            <w:r>
              <w:t xml:space="preserve"> voor humanitaire hulp en zijn oproepen tot een staakt-het-vuren en de vrijlating van gijzelaars;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waardeert de inspanningen van </w:t>
            </w:r>
            <w:r>
              <w:rPr>
                <w:b/>
                <w:i/>
              </w:rPr>
              <w:t>Saoedi-Arabië</w:t>
            </w:r>
            <w:r>
              <w:t xml:space="preserve"> om de-escalatie te bevorderen in verband met de </w:t>
            </w:r>
            <w:r>
              <w:rPr>
                <w:b/>
                <w:i/>
              </w:rPr>
              <w:t>militaire operatie van Israël</w:t>
            </w:r>
            <w:r>
              <w:t xml:space="preserve"> in Gaza, zijn steun voor humanitaire hulp en zijn oproepen tot een staakt-het-vuren en de vrijlating van gijzelaars;</w:t>
            </w:r>
          </w:p>
        </w:tc>
        <w:tc>
          <w:tcPr>
            <w:tcW w:w="4876" w:type="dxa"/>
            <w:tcBorders>
              <w:top w:val="nil"/>
              <w:left w:val="nil"/>
              <w:bottom w:val="nil"/>
              <w:right w:val="nil"/>
            </w:tcBorders>
          </w:tcPr>
          <w:p>
            <w:pPr>
              <w:pStyle w:val="Normal6a"/>
            </w:pPr>
            <w:r>
              <w:t>9.</w:t>
            </w:r>
            <w:r>
              <w:tab/>
            </w:r>
            <w:r>
              <w:t xml:space="preserve">waardeert de inspanningen van </w:t>
            </w:r>
            <w:r>
              <w:rPr>
                <w:b/>
                <w:i/>
              </w:rPr>
              <w:t>Saudi-Arabië</w:t>
            </w:r>
            <w:r>
              <w:t xml:space="preserve"> om de-escalatie te bevorderen in verband met de </w:t>
            </w:r>
            <w:r>
              <w:rPr>
                <w:b/>
                <w:i/>
              </w:rPr>
              <w:t>huidige crisis</w:t>
            </w:r>
            <w:r>
              <w:t xml:space="preserve"> in Gaza, zijn steun voor humanitaire hulp en zijn oproepen tot een staakt-het-vuren en de vrijlating van gijzelaars </w:t>
            </w:r>
            <w:r>
              <w:rPr>
                <w:b/>
                <w:i/>
              </w:rPr>
              <w:t>die door Hamas worden vastgehouden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Bernard Guetta, Hilde Vautmans,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is ingenomen met de verklaring van New York die werd uitgebracht na afloop van de internationale conferentie op hoog niveau voor de vreedzame regeling van de Palestijnse kwestie en de implementatie van de tweestatenoplossing, die van 28 tot en met 30 juli 2025 plaatsvond en die werd voorgezeten door Saudi-Arabië en Frankrijk;</w:t>
            </w:r>
            <w:r>
              <w:t xml:space="preserve"> </w:t>
            </w:r>
            <w:r>
              <w:rPr>
                <w:b/>
                <w:i/>
              </w:rPr>
              <w:t>deelt nogmaals mee dat het Europees Parlement zich inzet voor een via onderhandelingen tot stand gekomen tweestatenoplossing op basis van de grenzen van 1967, met Israël en Palestina als democratische en soevereine buurlanden die naast elkaar bestaan in vrede en veiligheid en met Jeruzalem als hun gedeelde hoofdstad, en ziet dit als de enige realistische weg naar duurzame vrede en stabiliteit in het Midden-Oosten;</w:t>
            </w:r>
            <w:r>
              <w:t xml:space="preserve"> </w:t>
            </w:r>
            <w:r>
              <w:rPr>
                <w:b/>
                <w:i/>
              </w:rPr>
              <w:t>stelt nogmaals dat er geen perspectief is op vrede, veiligheid en stabiliteit voor Gaza of op verzoening tussen de Israëlische en de Palestijnse bevolking zolang Hamas een rol speelt in de Gazastrook;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verzoekt Saudi-Arabië de inspanningen tot normalisering van de betrekkingen met Israël voort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prijst de voortdurende betrokkenheid van </w:t>
            </w:r>
            <w:r>
              <w:rPr>
                <w:b/>
                <w:i/>
              </w:rPr>
              <w:t>Saoedi-Arabië</w:t>
            </w:r>
            <w:r>
              <w:t xml:space="preserve"> bij Syrië, waaronder regionale overleggen gericht op stabilisatie en herstel na het conflict; benadrukt het belang van het behoud van de territoriale integriteit van Syrië;</w:t>
            </w:r>
          </w:p>
        </w:tc>
        <w:tc>
          <w:tcPr>
            <w:tcW w:w="4876" w:type="dxa"/>
            <w:tcBorders>
              <w:top w:val="nil"/>
              <w:left w:val="nil"/>
              <w:bottom w:val="nil"/>
              <w:right w:val="nil"/>
            </w:tcBorders>
          </w:tcPr>
          <w:p>
            <w:pPr>
              <w:pStyle w:val="Normal6a"/>
            </w:pPr>
            <w:r>
              <w:t>10.</w:t>
            </w:r>
            <w:r>
              <w:tab/>
            </w:r>
            <w:r>
              <w:t xml:space="preserve">prijst de voortdurende betrokkenheid van </w:t>
            </w:r>
            <w:r>
              <w:rPr>
                <w:b/>
                <w:i/>
              </w:rPr>
              <w:t>Saudi-Arabië</w:t>
            </w:r>
            <w:r>
              <w:t xml:space="preserve"> bij Syrië, waaronder regionale overleggen gericht op stabilisatie en herstel na het conflict; benadrukt het belang van het behoud van de territoriale integriteit van Syrië; </w:t>
            </w:r>
            <w:r>
              <w:rPr>
                <w:b/>
                <w:i/>
              </w:rPr>
              <w:t>dringt aan op nauwere samenwerking tussen de EU en Saudi-Arabië om een vreedzame en inclusieve transitie in Syrië te waarborgen en christenen en alle minderheidsgemeenschappen in Syrië te beschermen, waarbij hun veiligheid, godsdienstvrijheid alsook de bescherming van hun cultureel erfgoed worden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prijst de voortdurende betrokkenheid van Saoedi-Arabië bij</w:t>
            </w:r>
            <w:r>
              <w:t xml:space="preserve"> Syrië, </w:t>
            </w:r>
            <w:r>
              <w:rPr>
                <w:b/>
                <w:i/>
              </w:rPr>
              <w:t>waaronder regionale overleggen gericht op</w:t>
            </w:r>
            <w:r>
              <w:t xml:space="preserve"> stabilisatie en </w:t>
            </w:r>
            <w:r>
              <w:rPr>
                <w:b/>
                <w:i/>
              </w:rPr>
              <w:t>herstel na het conflict</w:t>
            </w:r>
            <w:r>
              <w:t>; benadrukt het belang van het behoud van de territoriale integriteit van Syrië;</w:t>
            </w:r>
          </w:p>
        </w:tc>
        <w:tc>
          <w:tcPr>
            <w:tcW w:w="4876" w:type="dxa"/>
            <w:tcBorders>
              <w:top w:val="nil"/>
              <w:left w:val="nil"/>
              <w:bottom w:val="nil"/>
              <w:right w:val="nil"/>
            </w:tcBorders>
          </w:tcPr>
          <w:p>
            <w:pPr>
              <w:pStyle w:val="Normal6a"/>
            </w:pPr>
            <w:r>
              <w:t>10.</w:t>
            </w:r>
            <w:r>
              <w:tab/>
            </w:r>
            <w:r>
              <w:rPr>
                <w:b/>
                <w:i/>
              </w:rPr>
              <w:t>spreekt zijn waardering uit voor de aanzienlijke diplomatieke inspanningen en financiële steun van Saudi-Arabië ten behoeve van</w:t>
            </w:r>
            <w:r>
              <w:t xml:space="preserve"> Syrië, </w:t>
            </w:r>
            <w:r>
              <w:rPr>
                <w:b/>
                <w:i/>
              </w:rPr>
              <w:t>onder meer via regionaal overleg en bredere inspanningen op het gebied van</w:t>
            </w:r>
            <w:r>
              <w:t xml:space="preserve"> stabilisatie en </w:t>
            </w:r>
            <w:r>
              <w:rPr>
                <w:b/>
                <w:i/>
              </w:rPr>
              <w:t>wederopbouw;</w:t>
            </w:r>
            <w:r>
              <w:t xml:space="preserve"> </w:t>
            </w:r>
            <w:r>
              <w:rPr>
                <w:b/>
                <w:i/>
              </w:rPr>
              <w:t>dringt er bij Saudi-Arabië en zijn partners in de regio op aan de Syrische overgangsregering ondersteuning te bieden bij de totstandbrenging van een duurzame en inclusieve politieke en veiligheidsarchitectuur</w:t>
            </w:r>
            <w:r>
              <w:t xml:space="preserve">; benadrukt het belang van het behoud van de </w:t>
            </w:r>
            <w:r>
              <w:rPr>
                <w:b/>
                <w:i/>
              </w:rPr>
              <w:t>soevereiniteit en</w:t>
            </w:r>
            <w:r>
              <w:t xml:space="preserve"> territoriale integriteit van Syrië;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prijst</w:t>
            </w:r>
            <w:r>
              <w:t xml:space="preserve"> de voortdurende betrokkenheid van </w:t>
            </w:r>
            <w:r>
              <w:rPr>
                <w:b/>
                <w:i/>
              </w:rPr>
              <w:t>Saoedi-Arabië</w:t>
            </w:r>
            <w:r>
              <w:t xml:space="preserve"> bij Syrië, waaronder regionale overleggen gericht op stabilisatie en herstel na het conflict; benadrukt het belang van het behoud van de territoriale integriteit van Syrië;</w:t>
            </w:r>
          </w:p>
        </w:tc>
        <w:tc>
          <w:tcPr>
            <w:tcW w:w="4876" w:type="dxa"/>
            <w:tcBorders>
              <w:top w:val="nil"/>
              <w:left w:val="nil"/>
              <w:bottom w:val="nil"/>
              <w:right w:val="nil"/>
            </w:tcBorders>
          </w:tcPr>
          <w:p>
            <w:pPr>
              <w:pStyle w:val="Normal6a"/>
            </w:pPr>
            <w:r>
              <w:t>10.</w:t>
            </w:r>
            <w:r>
              <w:tab/>
            </w:r>
            <w:r>
              <w:rPr>
                <w:b/>
                <w:i/>
              </w:rPr>
              <w:t>wijst op</w:t>
            </w:r>
            <w:r>
              <w:t xml:space="preserve"> de voortdurende betrokkenheid van </w:t>
            </w:r>
            <w:r>
              <w:rPr>
                <w:b/>
                <w:i/>
              </w:rPr>
              <w:t>Saudi-Arabië</w:t>
            </w:r>
            <w:r>
              <w:t xml:space="preserve"> bij Syrië, waaronder regionale overleggen gericht op stabilisatie en herstel na het conflict; benadrukt het belang van het behoud van de territoriale integriteit van Syrië; </w:t>
            </w:r>
            <w:r>
              <w:rPr>
                <w:b/>
                <w:i/>
              </w:rPr>
              <w:t>wijst erop dat de politieke koers van het huidige regime nefast is voor de regionale veiligheid en de situatie van religieuze minderheden in het Midden-Oosten;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verzoekt Saudi-Arabië om de financiering voor de Organisatie van de Verenigde Naties voor hulpverlening aan Palestijnse vluchtelingen (UNRWA) te verhogen zodat deze organisatie beter in staat is om zijn uiterst belangrijke rol bij het verlenen van humanitaire en essentiële diensten aan Palestijnse vluchtelingen te vervullen, met name in het licht van de campagne van Israël tegen de UNRWA, en om de opschorting van de bijdragen van sommige donorlanden te compenseren;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w:t>
            </w:r>
            <w:r>
              <w:rPr>
                <w:b/>
                <w:i/>
              </w:rPr>
              <w:t>, waarin steun wordt verleend aan</w:t>
            </w:r>
            <w:r>
              <w:t xml:space="preserve"> de Libanese </w:t>
            </w:r>
            <w:r>
              <w:rPr>
                <w:b/>
                <w:i/>
              </w:rPr>
              <w:t>strijdkrachten en de</w:t>
            </w:r>
            <w:r>
              <w:t xml:space="preserve"> ontwapening van Hezbollah </w:t>
            </w:r>
            <w:r>
              <w:rPr>
                <w:b/>
                <w:i/>
              </w:rPr>
              <w:t>wordt bevorderd, en tegelijkertijd de aanvallen</w:t>
            </w:r>
            <w:r>
              <w:t xml:space="preserve"> van de </w:t>
            </w:r>
            <w:r>
              <w:rPr>
                <w:b/>
                <w:i/>
              </w:rPr>
              <w:t>Israëlische strijdkrachten</w:t>
            </w:r>
            <w:r>
              <w:t xml:space="preserve"> worden </w:t>
            </w:r>
            <w:r>
              <w:rPr>
                <w:b/>
                <w:i/>
              </w:rPr>
              <w:t>veroordeeld</w:t>
            </w:r>
            <w:r>
              <w:t>;</w:t>
            </w:r>
          </w:p>
        </w:tc>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w:t>
            </w:r>
            <w:r>
              <w:rPr>
                <w:b/>
                <w:i/>
              </w:rPr>
              <w:t>;</w:t>
            </w:r>
            <w:r>
              <w:t xml:space="preserve"> </w:t>
            </w:r>
            <w:r>
              <w:rPr>
                <w:b/>
                <w:i/>
              </w:rPr>
              <w:t>is ingenomen met de inspanningen van</w:t>
            </w:r>
            <w:r>
              <w:t xml:space="preserve"> de Libanese </w:t>
            </w:r>
            <w:r>
              <w:rPr>
                <w:b/>
                <w:i/>
              </w:rPr>
              <w:t>regering en dringt aan op de volledige en onvoorwaardelijke</w:t>
            </w:r>
            <w:r>
              <w:t xml:space="preserve"> ontwapening van Hezbollah </w:t>
            </w:r>
            <w:r>
              <w:rPr>
                <w:b/>
                <w:i/>
              </w:rPr>
              <w:t>tegen eind 2025, overeenkomstig de meest recente met bemiddeling</w:t>
            </w:r>
            <w:r>
              <w:t xml:space="preserve"> van de </w:t>
            </w:r>
            <w:r>
              <w:rPr>
                <w:b/>
                <w:i/>
              </w:rPr>
              <w:t>VS tot stand gekomen routekaart;</w:t>
            </w:r>
            <w:r>
              <w:t xml:space="preserve"> </w:t>
            </w:r>
            <w:r>
              <w:rPr>
                <w:b/>
                <w:i/>
              </w:rPr>
              <w:t>wijst nogmaals op dat het belangrijk is dat de soevereiniteit en de territoriale integriteit van Libanon</w:t>
            </w:r>
            <w:r>
              <w:t xml:space="preserve"> worden </w:t>
            </w:r>
            <w:r>
              <w:rPr>
                <w:b/>
                <w:i/>
              </w:rPr>
              <w:t>geëerbiedigd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Marie-Agnes Strack-Zimmermann,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 en tegelijkertijd de aanvallen van de Israëlische strijdkrachten worden veroordeeld;</w:t>
            </w:r>
          </w:p>
        </w:tc>
        <w:tc>
          <w:tcPr>
            <w:tcW w:w="4876" w:type="dxa"/>
            <w:tcBorders>
              <w:top w:val="nil"/>
              <w:left w:val="nil"/>
              <w:bottom w:val="nil"/>
              <w:right w:val="nil"/>
            </w:tcBorders>
          </w:tcPr>
          <w:p>
            <w:pPr>
              <w:pStyle w:val="Normal6a"/>
            </w:pPr>
            <w:r>
              <w:t>11.</w:t>
            </w:r>
            <w:r>
              <w:tab/>
            </w:r>
            <w:r>
              <w:t xml:space="preserve">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 en tegelijkertijd de aanvallen van de Israëlische strijdkrachten </w:t>
            </w:r>
            <w:r>
              <w:rPr>
                <w:b/>
                <w:i/>
              </w:rPr>
              <w:t>op de vredeshandhavers van de Interim-Vredesmacht van de Verenigde Naties in Libanon (Unifil)</w:t>
            </w:r>
            <w:r>
              <w:t xml:space="preserve"> worden veroordeeld;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w:t>
            </w:r>
            <w:r>
              <w:rPr>
                <w:b/>
                <w:i/>
              </w:rPr>
              <w:t>, en tegelijkertijd de aanvallen van de Israëlische strijdkrachten worden veroordeeld</w:t>
            </w:r>
            <w:r>
              <w:t>;</w:t>
            </w:r>
          </w:p>
        </w:tc>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w:t>
            </w:r>
            <w:r>
              <w:rPr>
                <w:b/>
                <w:i/>
              </w:rPr>
              <w:t>, en tegelijkertijd de aanvallen van de Israëlische strijdkrachten worden veroordeeld</w:t>
            </w:r>
            <w:r>
              <w:t>;</w:t>
            </w:r>
          </w:p>
        </w:tc>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w:t>
            </w:r>
            <w:r>
              <w:rPr>
                <w:b/>
                <w:i/>
              </w:rPr>
              <w:t>, en tegelijkertijd de aanvallen van de Israëlische strijdkrachten worden veroordeeld</w:t>
            </w:r>
            <w:r>
              <w:t>;</w:t>
            </w:r>
          </w:p>
        </w:tc>
        <w:tc>
          <w:tcPr>
            <w:tcW w:w="4876" w:type="dxa"/>
            <w:tcBorders>
              <w:top w:val="nil"/>
              <w:left w:val="nil"/>
              <w:bottom w:val="nil"/>
              <w:right w:val="nil"/>
            </w:tcBorders>
          </w:tcPr>
          <w:p>
            <w:pPr>
              <w:pStyle w:val="Normal6a"/>
            </w:pPr>
            <w:r>
              <w:t>11.</w:t>
            </w:r>
            <w:r>
              <w:tab/>
            </w:r>
            <w:r>
              <w:t>bevestigt opnieuw de steun van de EU voor de politieke en sociaal-economische wederopbouw van Libanon en benadrukt het belang van samenwerking tussen de EU en Saoedi-Arabië bij de uitvoering van Resolutie 1701 (2006) van de Veiligheidsraad van de Verenigde Naties, waarin steun wordt verleend aan de Libanese strijdkrachten en de ontwapening van Hezbollah wordt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erkent de constructieve houding van </w:t>
            </w:r>
            <w:r>
              <w:rPr>
                <w:b/>
                <w:i/>
              </w:rPr>
              <w:t>Saoedi-Arabië</w:t>
            </w:r>
            <w:r>
              <w:t xml:space="preserve"> te midden van de huidige regionale spanningen, door zijn streven naar diplomatieke normalisatie met Iran, en wijst op de gezamenlijke stellingname van de EU en </w:t>
            </w:r>
            <w:r>
              <w:rPr>
                <w:b/>
                <w:i/>
              </w:rPr>
              <w:t>Saoedi-Arabië</w:t>
            </w:r>
            <w:r>
              <w:t xml:space="preserve"> tegen Iraanse handlangers en de ontwikkeling van een Iraans nucleair programma;</w:t>
            </w:r>
          </w:p>
        </w:tc>
        <w:tc>
          <w:tcPr>
            <w:tcW w:w="4876" w:type="dxa"/>
            <w:tcBorders>
              <w:top w:val="nil"/>
              <w:left w:val="nil"/>
              <w:bottom w:val="nil"/>
              <w:right w:val="nil"/>
            </w:tcBorders>
          </w:tcPr>
          <w:p>
            <w:pPr>
              <w:pStyle w:val="Normal6a"/>
            </w:pPr>
            <w:r>
              <w:t>12.</w:t>
            </w:r>
            <w:r>
              <w:tab/>
            </w:r>
            <w:r>
              <w:t xml:space="preserve">erkent de constructieve houding van </w:t>
            </w:r>
            <w:r>
              <w:rPr>
                <w:b/>
                <w:i/>
              </w:rPr>
              <w:t>Saudi-Arabië</w:t>
            </w:r>
            <w:r>
              <w:t xml:space="preserve"> te midden van de huidige regionale spanningen, door zijn streven naar diplomatieke normalisatie met Iran, en wijst op de gezamenlijke stellingname van de EU en </w:t>
            </w:r>
            <w:r>
              <w:rPr>
                <w:b/>
                <w:i/>
              </w:rPr>
              <w:t>Saudi-Arabië</w:t>
            </w:r>
            <w:r>
              <w:t xml:space="preserve"> tegen Iraanse handlangers en de ontwikkeling van een Iraans nucleair programma; </w:t>
            </w:r>
            <w:r>
              <w:rPr>
                <w:b/>
                <w:i/>
              </w:rPr>
              <w:t>veroordeelt in dit kader ook de programma’s van Iran voor ballistische raketten en bewapende drones (UAV’s);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erkent</w:t>
            </w:r>
            <w:r>
              <w:t xml:space="preserve"> de constructieve </w:t>
            </w:r>
            <w:r>
              <w:rPr>
                <w:b/>
                <w:i/>
              </w:rPr>
              <w:t>houding van Saoedi-Arabië te midden</w:t>
            </w:r>
            <w:r>
              <w:t xml:space="preserve"> van de huidige regionale spanningen, </w:t>
            </w:r>
            <w:r>
              <w:rPr>
                <w:b/>
                <w:i/>
              </w:rPr>
              <w:t>door zijn streven naar diplomatieke</w:t>
            </w:r>
            <w:r>
              <w:t xml:space="preserve"> normalisatie met Iran</w:t>
            </w:r>
            <w:r>
              <w:rPr>
                <w:b/>
                <w:i/>
              </w:rPr>
              <w:t>, en wijst op de gezamenlijke stellingname van</w:t>
            </w:r>
            <w:r>
              <w:t xml:space="preserve"> de EU en </w:t>
            </w:r>
            <w:r>
              <w:rPr>
                <w:b/>
                <w:i/>
              </w:rPr>
              <w:t>Saoedi-Arabië tegen Iraanse handlangers en de</w:t>
            </w:r>
            <w:r>
              <w:t xml:space="preserve"> ontwikkeling van </w:t>
            </w:r>
            <w:r>
              <w:rPr>
                <w:b/>
                <w:i/>
              </w:rPr>
              <w:t>een Iraans nucleair</w:t>
            </w:r>
            <w:r>
              <w:t xml:space="preserve"> programma;</w:t>
            </w:r>
          </w:p>
        </w:tc>
        <w:tc>
          <w:tcPr>
            <w:tcW w:w="4876" w:type="dxa"/>
            <w:tcBorders>
              <w:top w:val="nil"/>
              <w:left w:val="nil"/>
              <w:bottom w:val="nil"/>
              <w:right w:val="nil"/>
            </w:tcBorders>
          </w:tcPr>
          <w:p>
            <w:pPr>
              <w:pStyle w:val="Normal6a"/>
            </w:pPr>
            <w:r>
              <w:t>12.</w:t>
            </w:r>
            <w:r>
              <w:tab/>
            </w:r>
            <w:r>
              <w:rPr>
                <w:b/>
                <w:i/>
              </w:rPr>
              <w:t>wijst op</w:t>
            </w:r>
            <w:r>
              <w:t xml:space="preserve"> de constructieve </w:t>
            </w:r>
            <w:r>
              <w:rPr>
                <w:b/>
                <w:i/>
              </w:rPr>
              <w:t>rol van Saudi-Arabië in het licht</w:t>
            </w:r>
            <w:r>
              <w:t xml:space="preserve"> van de huidige regionale spanningen, </w:t>
            </w:r>
            <w:r>
              <w:rPr>
                <w:b/>
                <w:i/>
              </w:rPr>
              <w:t>de toegenomen samenwerking tussen Saudi-Arabië en de VAE, en de geleidelijke</w:t>
            </w:r>
            <w:r>
              <w:t xml:space="preserve"> normalisatie </w:t>
            </w:r>
            <w:r>
              <w:rPr>
                <w:b/>
                <w:i/>
              </w:rPr>
              <w:t>van de diplomatieke betrekkingen</w:t>
            </w:r>
            <w:r>
              <w:t xml:space="preserve"> met Iran</w:t>
            </w:r>
            <w:r>
              <w:rPr>
                <w:b/>
                <w:i/>
              </w:rPr>
              <w:t>;</w:t>
            </w:r>
            <w:r>
              <w:t xml:space="preserve"> </w:t>
            </w:r>
            <w:r>
              <w:rPr>
                <w:b/>
                <w:i/>
              </w:rPr>
              <w:t>waardeert de afstemming tussen</w:t>
            </w:r>
            <w:r>
              <w:t xml:space="preserve"> de EU en </w:t>
            </w:r>
            <w:r>
              <w:rPr>
                <w:b/>
                <w:i/>
              </w:rPr>
              <w:t>Saudi-Arabië wat betreft het tegengaan van acties van aan Iran gelieerde actoren en het tegengaan van verdere</w:t>
            </w:r>
            <w:r>
              <w:t xml:space="preserve"> ontwikkeling van </w:t>
            </w:r>
            <w:r>
              <w:rPr>
                <w:b/>
                <w:i/>
              </w:rPr>
              <w:t>het nucleaire</w:t>
            </w:r>
            <w:r>
              <w:t xml:space="preserve"> programma </w:t>
            </w:r>
            <w:r>
              <w:rPr>
                <w:b/>
                <w:i/>
              </w:rPr>
              <w:t>van Iran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wijst </w:t>
            </w:r>
            <w:r>
              <w:rPr>
                <w:b/>
                <w:i/>
              </w:rPr>
              <w:t>op de gezamenlijke prioriteit</w:t>
            </w:r>
            <w:r>
              <w:t xml:space="preserve"> van de EU en </w:t>
            </w:r>
            <w:r>
              <w:rPr>
                <w:b/>
                <w:i/>
              </w:rPr>
              <w:t>Saoedi-Arabië om duurzame vrede in</w:t>
            </w:r>
            <w:r>
              <w:t xml:space="preserve"> Jemen </w:t>
            </w:r>
            <w:r>
              <w:rPr>
                <w:b/>
                <w:i/>
              </w:rPr>
              <w:t>tot stand te brengen, en prijst Saoedi-Arabië voor zijn voortdurende inzet voor een inclusieve politieke oplossing in Jemen</w:t>
            </w:r>
            <w:r>
              <w:t>;</w:t>
            </w:r>
          </w:p>
        </w:tc>
        <w:tc>
          <w:tcPr>
            <w:tcW w:w="4876" w:type="dxa"/>
            <w:tcBorders>
              <w:top w:val="nil"/>
              <w:left w:val="nil"/>
              <w:bottom w:val="nil"/>
              <w:right w:val="nil"/>
            </w:tcBorders>
          </w:tcPr>
          <w:p>
            <w:pPr>
              <w:pStyle w:val="Normal6a"/>
            </w:pPr>
            <w:r>
              <w:t>13.</w:t>
            </w:r>
            <w:r>
              <w:tab/>
            </w:r>
            <w:r>
              <w:t xml:space="preserve">wijst </w:t>
            </w:r>
            <w:r>
              <w:rPr>
                <w:b/>
                <w:i/>
              </w:rPr>
              <w:t>erop dat het buitenlands beleid van Saudi-Arabië ten aanzien van Jemen niet meer bestaat uit militaire interventie – die in het verleden heeft geleid tot minstens 375 000 doden, voornamelijk door hongersnood als gevolg van de zeeblokkade van Jemen door Saudi-Arabië, grootschalige verwoesting en een aanhoudende humanitaire crisis – maar, na internationale druk en in het kader van de toenadering tussen Saudi-Arabië en Iran, uit diplomatieke inspanningen;</w:t>
            </w:r>
            <w:r>
              <w:t xml:space="preserve"> </w:t>
            </w:r>
            <w:r>
              <w:rPr>
                <w:b/>
                <w:i/>
              </w:rPr>
              <w:t>dringt aan op een verhoging van de humanitaire hulp</w:t>
            </w:r>
            <w:r>
              <w:t xml:space="preserve"> van de EU en </w:t>
            </w:r>
            <w:r>
              <w:rPr>
                <w:b/>
                <w:i/>
              </w:rPr>
              <w:t>Saudi-Arabië aan</w:t>
            </w:r>
            <w:r>
              <w:t xml:space="preserve"> Jemen </w:t>
            </w:r>
            <w:r>
              <w:rPr>
                <w:b/>
                <w:i/>
              </w:rPr>
              <w:t>en op gezamenlijke inspanningen om te voorkomen dat hulpverleners tot slachtoffers worden gemaakt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wijst op de gezamenlijke prioriteit van de EU en </w:t>
            </w:r>
            <w:r>
              <w:rPr>
                <w:b/>
                <w:i/>
              </w:rPr>
              <w:t>Saoedi-Arabië</w:t>
            </w:r>
            <w:r>
              <w:t xml:space="preserve"> om duurzame vrede in Jemen tot stand te brengen, en prijst </w:t>
            </w:r>
            <w:r>
              <w:rPr>
                <w:b/>
                <w:i/>
              </w:rPr>
              <w:t>Saoedi-Arabië</w:t>
            </w:r>
            <w:r>
              <w:t xml:space="preserve"> voor zijn voortdurende inzet voor een inclusieve politieke oplossing in Jemen;</w:t>
            </w:r>
          </w:p>
        </w:tc>
        <w:tc>
          <w:tcPr>
            <w:tcW w:w="4876" w:type="dxa"/>
            <w:tcBorders>
              <w:top w:val="nil"/>
              <w:left w:val="nil"/>
              <w:bottom w:val="nil"/>
              <w:right w:val="nil"/>
            </w:tcBorders>
          </w:tcPr>
          <w:p>
            <w:pPr>
              <w:pStyle w:val="Normal6a"/>
            </w:pPr>
            <w:r>
              <w:t>13.</w:t>
            </w:r>
            <w:r>
              <w:tab/>
            </w:r>
            <w:r>
              <w:t xml:space="preserve">wijst op de gezamenlijke prioriteit van de EU en </w:t>
            </w:r>
            <w:r>
              <w:rPr>
                <w:b/>
                <w:i/>
              </w:rPr>
              <w:t>Saudi-Arabië</w:t>
            </w:r>
            <w:r>
              <w:t xml:space="preserve"> om duurzame vrede in Jemen tot stand te brengen, en prijst </w:t>
            </w:r>
            <w:r>
              <w:rPr>
                <w:b/>
                <w:i/>
              </w:rPr>
              <w:t>Saudi-Arabië</w:t>
            </w:r>
            <w:r>
              <w:t xml:space="preserve"> voor zijn voortdurende inzet voor een inclusieve politieke oplossing in Jemen; </w:t>
            </w:r>
            <w:r>
              <w:rPr>
                <w:b/>
                <w:i/>
              </w:rPr>
              <w:t>verzoekt Saudi-Arabië om medewerking te verlenen aan een onafhankelijk internationaal onderzoeksmechanisme dat onderzoek doet naar schendingen van het internationaal humanitair recht door Saudische troepen, waaronder de schendingen die zijn gepleegd door de door Saudi-Arabië en de VAE geleide coalitie in Jemen in de periode 2015-2022 en het massaal doden van Ethiopische migranten aan de Saudisch-Jemenitische grens in de periode maart 2022 - juni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verzoekt Saudi-Arabië om medewerking te verlenen aan een gezamenlijk onafhankelijk internationaal onderzoeksmechanisme dat onderzoek doet naar schendingen van het internationaal humanitair recht door Saudische troepen, waaronder de schendingen die zijn gepleegd door de door Saudi-Arabië en de VAE geleide coalitie in Jemen in de periode 2015-2022 en het massaal doden van Ethiopische migranten aan de Saudisch-Jemenitische grens, en is van mening dat gerechtigheid voor de slachtoffers van deze schendingen gewaarborgd moet worden, onder meer in de vorm van passende schadeloosstelling;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verzoekt Saudi-Arabië om medewerking te verlenen aan een gezamenlijk onafhankelijk internationaal onderzoeksmechanisme dat onderzoek doet naar schendingen van het internationaal humanitair recht door Saudi-Arabische troepen, waaronder de schendingen die zijn gepleegd door de door Saudi-Arabië en de VAE geleide coalitie in Jemen in de periode 2015-2022 en het massaal doden van Ethiopische migranten aan de Saudisch-Jemenitische grens, en is van mening dat gerechtigheid voor de slachtoffers van deze schendingen gewaarborgd moet worden, onder meer in de vorm van passende schadeloosstelling;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benadrukt dat de EU zich onverminderd inzet voor de bescherming van de maritieme routes en de internationale navigatierechten in de Rode Zee; benadrukt de samenwerking op het gebied van inlichtingen tussen </w:t>
            </w:r>
            <w:r>
              <w:rPr>
                <w:b/>
                <w:i/>
              </w:rPr>
              <w:t>Saoedi-Arabië</w:t>
            </w:r>
            <w:r>
              <w:t xml:space="preserve"> en de EU-lidstaten die deelnemen aan EUNAVFOR Aspides;</w:t>
            </w:r>
          </w:p>
        </w:tc>
        <w:tc>
          <w:tcPr>
            <w:tcW w:w="4876" w:type="dxa"/>
            <w:tcBorders>
              <w:top w:val="nil"/>
              <w:left w:val="nil"/>
              <w:bottom w:val="nil"/>
              <w:right w:val="nil"/>
            </w:tcBorders>
          </w:tcPr>
          <w:p>
            <w:pPr>
              <w:pStyle w:val="Normal6a"/>
            </w:pPr>
            <w:r>
              <w:t>15.</w:t>
            </w:r>
            <w:r>
              <w:tab/>
            </w:r>
            <w:r>
              <w:t xml:space="preserve">benadrukt dat de EU zich onverminderd inzet voor de bescherming van de maritieme routes en de internationale navigatierechten in de Rode Zee; benadrukt de samenwerking op het gebied van inlichtingen tussen </w:t>
            </w:r>
            <w:r>
              <w:rPr>
                <w:b/>
                <w:i/>
              </w:rPr>
              <w:t>Saudi-Arabië</w:t>
            </w:r>
            <w:r>
              <w:t xml:space="preserve"> en de EU-lidstaten die deelnemen aan EUNAVFOR Aspides; </w:t>
            </w:r>
            <w:r>
              <w:rPr>
                <w:b/>
                <w:i/>
              </w:rPr>
              <w:t>onderstreept dat Saudi-Arabië en de andere Golfstaten het voortouw moeten nemen bij het beveiligen van de zeeroutes die langs hun territoriale wateren lopen;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benadrukt dat de EU zich onverminderd inzet voor de bescherming van de maritieme routes en de internationale navigatierechten in de Rode Zee; </w:t>
            </w:r>
            <w:r>
              <w:rPr>
                <w:b/>
                <w:i/>
              </w:rPr>
              <w:t>benadrukt de</w:t>
            </w:r>
            <w:r>
              <w:t xml:space="preserve"> samenwerking op het gebied van inlichtingen </w:t>
            </w:r>
            <w:r>
              <w:rPr>
                <w:b/>
                <w:i/>
              </w:rPr>
              <w:t>tussen Saoedi-Arabië en</w:t>
            </w:r>
            <w:r>
              <w:t xml:space="preserve"> de EU-lidstaten die deelnemen aan EUNAVFOR Aspides;</w:t>
            </w:r>
          </w:p>
        </w:tc>
        <w:tc>
          <w:tcPr>
            <w:tcW w:w="4876" w:type="dxa"/>
            <w:tcBorders>
              <w:top w:val="nil"/>
              <w:left w:val="nil"/>
              <w:bottom w:val="nil"/>
              <w:right w:val="nil"/>
            </w:tcBorders>
          </w:tcPr>
          <w:p>
            <w:pPr>
              <w:pStyle w:val="Normal6a"/>
            </w:pPr>
            <w:r>
              <w:t>15.</w:t>
            </w:r>
            <w:r>
              <w:tab/>
            </w:r>
            <w:r>
              <w:t xml:space="preserve">benadrukt dat de EU zich onverminderd inzet voor de bescherming van de maritieme routes en de internationale navigatierechten in de Rode Zee; </w:t>
            </w:r>
            <w:r>
              <w:rPr>
                <w:b/>
                <w:i/>
              </w:rPr>
              <w:t>wijst op de inzet van Saudi-Arabië op het gebied van maritieme veiligheid en dringt aan op nauwere politieke samenwerking en nauwere</w:t>
            </w:r>
            <w:r>
              <w:t xml:space="preserve"> samenwerking op het gebied van inlichtingen </w:t>
            </w:r>
            <w:r>
              <w:rPr>
                <w:b/>
                <w:i/>
              </w:rPr>
              <w:t>met</w:t>
            </w:r>
            <w:r>
              <w:t xml:space="preserve"> de EU-lidstaten die deelnemen aan EUNAVFOR Aspides;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benadrukt dat de EU zich onverminderd inzet voor de bescherming van de maritieme routes en de internationale navigatierechten in de Rode Zee; benadrukt de samenwerking op het gebied van inlichtingen tussen </w:t>
            </w:r>
            <w:r>
              <w:rPr>
                <w:b/>
                <w:i/>
              </w:rPr>
              <w:t>Saoedi-Arabië en de EU-lidstaten die deelnemen aan</w:t>
            </w:r>
            <w:r>
              <w:t xml:space="preserve"> EUNAVFOR Aspides;</w:t>
            </w:r>
          </w:p>
        </w:tc>
        <w:tc>
          <w:tcPr>
            <w:tcW w:w="4876" w:type="dxa"/>
            <w:tcBorders>
              <w:top w:val="nil"/>
              <w:left w:val="nil"/>
              <w:bottom w:val="nil"/>
              <w:right w:val="nil"/>
            </w:tcBorders>
          </w:tcPr>
          <w:p>
            <w:pPr>
              <w:pStyle w:val="Normal6a"/>
            </w:pPr>
            <w:r>
              <w:t>15.</w:t>
            </w:r>
            <w:r>
              <w:tab/>
            </w:r>
            <w:r>
              <w:t xml:space="preserve">benadrukt dat de EU zich onverminderd inzet voor de bescherming van de maritieme routes en de internationale navigatierechten in de Rode Zee; benadrukt de samenwerking op het gebied van inlichtingen tussen </w:t>
            </w:r>
            <w:r>
              <w:rPr>
                <w:b/>
                <w:i/>
              </w:rPr>
              <w:t>Saudi-Arabië en</w:t>
            </w:r>
            <w:r>
              <w:t xml:space="preserve"> EUNAVFOR Aspides </w:t>
            </w:r>
            <w:r>
              <w:rPr>
                <w:b/>
                <w:i/>
              </w:rPr>
              <w:t>en tussen Saudi-Arabië en de lidstaten in ruimere zin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is ingenomen met de betrokkenheid van </w:t>
            </w:r>
            <w:r>
              <w:rPr>
                <w:b/>
                <w:i/>
              </w:rPr>
              <w:t>Saoedi-Arabië</w:t>
            </w:r>
            <w:r>
              <w:t xml:space="preserve"> als gastheer van de onderhandelingen over een staakt-het-vuren in de oorlog in Oekraïne;</w:t>
            </w:r>
          </w:p>
        </w:tc>
        <w:tc>
          <w:tcPr>
            <w:tcW w:w="4876" w:type="dxa"/>
            <w:tcBorders>
              <w:top w:val="nil"/>
              <w:left w:val="nil"/>
              <w:bottom w:val="nil"/>
              <w:right w:val="nil"/>
            </w:tcBorders>
          </w:tcPr>
          <w:p>
            <w:pPr>
              <w:pStyle w:val="Normal6a"/>
            </w:pPr>
            <w:r>
              <w:t>16.</w:t>
            </w:r>
            <w:r>
              <w:tab/>
            </w:r>
            <w:r>
              <w:t xml:space="preserve">is ingenomen met de betrokkenheid van </w:t>
            </w:r>
            <w:r>
              <w:rPr>
                <w:b/>
                <w:i/>
              </w:rPr>
              <w:t>Saudi-Arabië</w:t>
            </w:r>
            <w:r>
              <w:t xml:space="preserve"> als gastheer van de onderhandelingen over een staakt-het-vuren in de oorlog in Oekraïne; </w:t>
            </w:r>
            <w:r>
              <w:rPr>
                <w:b/>
                <w:i/>
              </w:rPr>
              <w:t>dringt er bij Saudi-Arabië op aan nauwer met zijn partners samen te werken om de sancties tegen de Russische Federatie beter te handhaven en maatregelen te nemen om een einde te maken aan de activiteiten van de Russische schaduwvloot;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neemt nota van de toezegging van Saoedi-Arabië om 600 miljard USD te investeren in de Verenigde Staten, met inbegrip van een defensieovereenkomst en strategische samenwerking op het gebied van opkomende technologieën;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neemt nota van de toezegging van </w:t>
            </w:r>
            <w:r>
              <w:rPr>
                <w:b/>
                <w:i/>
              </w:rPr>
              <w:t>Saoedi-Arabië</w:t>
            </w:r>
            <w:r>
              <w:t xml:space="preserve"> om 600 miljard USD te investeren in de Verenigde Staten, met inbegrip van een defensieovereenkomst en strategische samenwerking op het gebied van opkomende technologieën;</w:t>
            </w:r>
          </w:p>
        </w:tc>
        <w:tc>
          <w:tcPr>
            <w:tcW w:w="4876" w:type="dxa"/>
            <w:tcBorders>
              <w:top w:val="nil"/>
              <w:left w:val="nil"/>
              <w:bottom w:val="nil"/>
              <w:right w:val="nil"/>
            </w:tcBorders>
          </w:tcPr>
          <w:p>
            <w:pPr>
              <w:pStyle w:val="Normal6a"/>
            </w:pPr>
            <w:r>
              <w:t>17.</w:t>
            </w:r>
            <w:r>
              <w:tab/>
            </w:r>
            <w:r>
              <w:t xml:space="preserve">neemt nota van de toezegging van </w:t>
            </w:r>
            <w:r>
              <w:rPr>
                <w:b/>
                <w:i/>
              </w:rPr>
              <w:t>Saudi-Arabië</w:t>
            </w:r>
            <w:r>
              <w:t xml:space="preserve"> om 600 miljard USD te investeren in de Verenigde Staten, met inbegrip van een defensieovereenkomst en strategische samenwerking op het gebied van opkomende technologieën; </w:t>
            </w:r>
            <w:r>
              <w:rPr>
                <w:b/>
                <w:i/>
              </w:rPr>
              <w:t>benadrukt dat de EU haar eigen strategische autonomie moet behouden en haar economische en technologische belangen in het licht van deze ontwikkeling moet verdedigen;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erkent de rol van Saoedi-Arabië </w:t>
            </w:r>
            <w:r>
              <w:rPr>
                <w:b/>
                <w:i/>
              </w:rPr>
              <w:t>in</w:t>
            </w:r>
            <w:r>
              <w:t xml:space="preserve"> multilaterale samenwerking, </w:t>
            </w:r>
            <w:r>
              <w:rPr>
                <w:b/>
                <w:i/>
              </w:rPr>
              <w:t>waaronder</w:t>
            </w:r>
            <w:r>
              <w:t xml:space="preserve"> zijn toenemende betrokkenheid in Afrika, met name in de Sahel, en Azië;</w:t>
            </w:r>
          </w:p>
        </w:tc>
        <w:tc>
          <w:tcPr>
            <w:tcW w:w="4876" w:type="dxa"/>
            <w:tcBorders>
              <w:top w:val="nil"/>
              <w:left w:val="nil"/>
              <w:bottom w:val="nil"/>
              <w:right w:val="nil"/>
            </w:tcBorders>
          </w:tcPr>
          <w:p>
            <w:pPr>
              <w:pStyle w:val="Normal6a"/>
            </w:pPr>
            <w:r>
              <w:t>18.</w:t>
            </w:r>
            <w:r>
              <w:tab/>
            </w:r>
            <w:r>
              <w:t xml:space="preserve">erkent de rol van Saoedi-Arabië </w:t>
            </w:r>
            <w:r>
              <w:rPr>
                <w:b/>
                <w:i/>
              </w:rPr>
              <w:t>bij de bevordering van</w:t>
            </w:r>
            <w:r>
              <w:t xml:space="preserve"> multilaterale samenwerking, </w:t>
            </w:r>
            <w:r>
              <w:rPr>
                <w:b/>
                <w:i/>
              </w:rPr>
              <w:t>onder meer in de vorm van</w:t>
            </w:r>
            <w:r>
              <w:t xml:space="preserve"> zijn toenemende betrokkenheid in Afrika, met name in de Sahel, en Azië; </w:t>
            </w:r>
            <w:r>
              <w:rPr>
                <w:b/>
                <w:i/>
              </w:rPr>
              <w:t>dringt aan op nauwere coördinatie tussen de EU en Saudi-Arabië op het gebied van energiesamenwerking, interregionale infrastructuurontwikkeling, capaciteitsopbouw, ontwikkeling van menselijk kapitaal, financiële instrumenten en investeringsmechanismen op het hele Afrikaanse continent;</w:t>
            </w:r>
            <w:r>
              <w:t xml:space="preserve"> </w:t>
            </w:r>
            <w:r>
              <w:rPr>
                <w:b/>
                <w:i/>
              </w:rPr>
              <w:t>benadrukt dat het belangrijk is door Saudi-Arabië geleide projecten te integreren in EU-kaders, waaronder het Global Gateway-initiatief;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merkt op dat Saudi-Arabië officieel is uitgenodigd om lid te worden van de BRICS-groep van landen;</w:t>
            </w:r>
          </w:p>
        </w:tc>
        <w:tc>
          <w:tcPr>
            <w:tcW w:w="4876" w:type="dxa"/>
            <w:tcBorders>
              <w:top w:val="nil"/>
              <w:left w:val="nil"/>
              <w:bottom w:val="nil"/>
              <w:right w:val="nil"/>
            </w:tcBorders>
          </w:tcPr>
          <w:p>
            <w:pPr>
              <w:pStyle w:val="Normal6a"/>
            </w:pPr>
            <w:r>
              <w:t>19.</w:t>
            </w:r>
            <w:r>
              <w:tab/>
            </w:r>
            <w:r>
              <w:t xml:space="preserve">merkt op dat Saudi-Arabië officieel is uitgenodigd om lid te worden van de BRICS-groep van landen; </w:t>
            </w:r>
            <w:r>
              <w:rPr>
                <w:b/>
                <w:i/>
              </w:rPr>
              <w:t>merkt op dat de toenadering van Saudi-Arabië tot de BRICS-landen een trend in de richting van gediversifieerde allianties weerspiegelt, en roept de EU op om op multilaterale fora constructief met Saoedi-Arabië samen te werken om wederzijdse handels- en investeringsbelangen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merkt op dat Saudi-Arabië officieel is uitgenodigd om lid te worden van de BRICS-groep van landen;</w:t>
            </w:r>
          </w:p>
        </w:tc>
        <w:tc>
          <w:tcPr>
            <w:tcW w:w="4876" w:type="dxa"/>
            <w:tcBorders>
              <w:top w:val="nil"/>
              <w:left w:val="nil"/>
              <w:bottom w:val="nil"/>
              <w:right w:val="nil"/>
            </w:tcBorders>
          </w:tcPr>
          <w:p>
            <w:pPr>
              <w:pStyle w:val="Normal6a"/>
            </w:pPr>
            <w:r>
              <w:t>19.</w:t>
            </w:r>
            <w:r>
              <w:tab/>
            </w:r>
            <w:r>
              <w:t xml:space="preserve">merkt </w:t>
            </w:r>
            <w:r>
              <w:rPr>
                <w:b/>
                <w:i/>
              </w:rPr>
              <w:t>met bezorgdheid</w:t>
            </w:r>
            <w:r>
              <w:t xml:space="preserve"> op dat Saudi-Arabië officieel is uitgenodigd om lid te worden van de BRICS-groep van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neemt kennis van de versterking van de bilaterale betrekkingen tussen Saoedi-Arabië en Turkije, met name op het gebied van veiligheid en defensie;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neemt kennis van de versterking van de bilaterale betrekkingen tussen </w:t>
            </w:r>
            <w:r>
              <w:rPr>
                <w:b/>
                <w:i/>
              </w:rPr>
              <w:t>Saoedi-Arabië</w:t>
            </w:r>
            <w:r>
              <w:t xml:space="preserve"> en Turkije, met name op het gebied van veiligheid en defensie;</w:t>
            </w:r>
          </w:p>
        </w:tc>
        <w:tc>
          <w:tcPr>
            <w:tcW w:w="4876" w:type="dxa"/>
            <w:tcBorders>
              <w:top w:val="nil"/>
              <w:left w:val="nil"/>
              <w:bottom w:val="nil"/>
              <w:right w:val="nil"/>
            </w:tcBorders>
          </w:tcPr>
          <w:p>
            <w:pPr>
              <w:pStyle w:val="Normal6a"/>
            </w:pPr>
            <w:r>
              <w:t>20.</w:t>
            </w:r>
            <w:r>
              <w:tab/>
            </w:r>
            <w:r>
              <w:t xml:space="preserve">neemt kennis van de versterking van de bilaterale betrekkingen tussen </w:t>
            </w:r>
            <w:r>
              <w:rPr>
                <w:b/>
                <w:i/>
              </w:rPr>
              <w:t>Saudi-Arabië</w:t>
            </w:r>
            <w:r>
              <w:t xml:space="preserve"> en Turkije, met name op het gebied van veiligheid en defensie; </w:t>
            </w:r>
            <w:r>
              <w:rPr>
                <w:b/>
                <w:i/>
              </w:rPr>
              <w:t>roept Saudi-Arabië ertoe op deze betrekkingen aan te wenden om Turkije ertoe te bewegen een constructieve bijdrage te leveren aan het vredesproces in het Midden-Oosten door Hamas aan te merken als terroristische organisatie en de politieke, economische en logistieke steun aan deze organisatie stop te zetten;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neemt kennis van</w:t>
            </w:r>
            <w:r>
              <w:t xml:space="preserve"> de versterking van de bilaterale betrekkingen tussen </w:t>
            </w:r>
            <w:r>
              <w:rPr>
                <w:b/>
                <w:i/>
              </w:rPr>
              <w:t>Saoedi-Arabië</w:t>
            </w:r>
            <w:r>
              <w:t xml:space="preserve"> en Turkije, met name op het gebied van veiligheid en defensie;</w:t>
            </w:r>
          </w:p>
        </w:tc>
        <w:tc>
          <w:tcPr>
            <w:tcW w:w="4876" w:type="dxa"/>
            <w:tcBorders>
              <w:top w:val="nil"/>
              <w:left w:val="nil"/>
              <w:bottom w:val="nil"/>
              <w:right w:val="nil"/>
            </w:tcBorders>
          </w:tcPr>
          <w:p>
            <w:pPr>
              <w:pStyle w:val="Normal6a"/>
            </w:pPr>
            <w:r>
              <w:t>20.</w:t>
            </w:r>
            <w:r>
              <w:tab/>
            </w:r>
            <w:r>
              <w:rPr>
                <w:b/>
                <w:i/>
              </w:rPr>
              <w:t>betreurt</w:t>
            </w:r>
            <w:r>
              <w:t xml:space="preserve"> de versterking van de bilaterale betrekkingen tussen </w:t>
            </w:r>
            <w:r>
              <w:rPr>
                <w:b/>
                <w:i/>
              </w:rPr>
              <w:t>Saudi-Arabië</w:t>
            </w:r>
            <w:r>
              <w:t xml:space="preserve"> en Turkije, met name op het gebied van veiligheid en defensie; </w:t>
            </w:r>
            <w:r>
              <w:rPr>
                <w:b/>
                <w:i/>
              </w:rPr>
              <w:t>herinnert eraan dat Turkije steun heeft verleend aan de overgang naar een bruut regime in Syrië dat herhaaldelijk geweld pleegt tegen religieuze minderheden;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neemt kennis van de versterking van de bilaterale betrekkingen tussen Saoedi-Arabië en Turkije, met name op het gebied van veiligheid en defensie;</w:t>
            </w:r>
          </w:p>
        </w:tc>
        <w:tc>
          <w:tcPr>
            <w:tcW w:w="4876" w:type="dxa"/>
            <w:tcBorders>
              <w:top w:val="nil"/>
              <w:left w:val="nil"/>
              <w:bottom w:val="nil"/>
              <w:right w:val="nil"/>
            </w:tcBorders>
          </w:tcPr>
          <w:p>
            <w:pPr>
              <w:pStyle w:val="Normal6a"/>
            </w:pPr>
            <w:r>
              <w:t>20.</w:t>
            </w:r>
            <w:r>
              <w:tab/>
            </w:r>
            <w:r>
              <w:t xml:space="preserve">neemt </w:t>
            </w:r>
            <w:r>
              <w:rPr>
                <w:b/>
                <w:i/>
              </w:rPr>
              <w:t>met bezorgdheid</w:t>
            </w:r>
            <w:r>
              <w:t xml:space="preserve"> kennis van de versterking van de bilaterale betrekkingen tussen Saoedi-Arabië en Turkije, met name op het gebied van veiligheid en defensie;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benadrukt dat Saudi-Arabië er bij de ontwikkeling van nieuwe partnerschappen voor moet zorgen dat zijn beleid in overeenstemming blijft met de belangen en waarden die het deelt met zijn historische partners, met name de EU en haar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is ingenomen met het feit dat Saudi-Arabië zich onwrikbaar op het standpunt stelt dat de Moslimbroederschap een terroristische organisatie is en dringt er bij de EU en haar lidstaten op aan dit voorbeeld te volgen en de Moslimbroederschap als terroristische organisatie aan te merken;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spoort het Koninkrijk Saudi-Arabië aan zich aan te sluiten bij de Abraham-akkoorden, om de regionale stabiliteit en de normalisering van de betrekkingen van het land met Israël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is ingenomen met</w:t>
            </w:r>
            <w:r>
              <w:t xml:space="preserve"> de ambitieuze plannen van </w:t>
            </w:r>
            <w:r>
              <w:rPr>
                <w:b/>
                <w:i/>
              </w:rPr>
              <w:t>Saoedi-Arabië</w:t>
            </w:r>
            <w:r>
              <w:t xml:space="preserve"> in het kader van “Vision 2030”, waarin betekenisvolle sociaal-economische hervormingen worden geschetst om het land en zijn instellingen te moderniseren en de economie te diversifiëren;</w:t>
            </w:r>
          </w:p>
        </w:tc>
        <w:tc>
          <w:tcPr>
            <w:tcW w:w="4876" w:type="dxa"/>
            <w:tcBorders>
              <w:top w:val="nil"/>
              <w:left w:val="nil"/>
              <w:bottom w:val="nil"/>
              <w:right w:val="nil"/>
            </w:tcBorders>
          </w:tcPr>
          <w:p>
            <w:pPr>
              <w:pStyle w:val="Normal6a"/>
            </w:pPr>
            <w:r>
              <w:t>21.</w:t>
            </w:r>
            <w:r>
              <w:tab/>
            </w:r>
            <w:r>
              <w:rPr>
                <w:b/>
                <w:i/>
              </w:rPr>
              <w:t>neemt nota van</w:t>
            </w:r>
            <w:r>
              <w:t xml:space="preserve"> de ambitieuze plannen van </w:t>
            </w:r>
            <w:r>
              <w:rPr>
                <w:b/>
                <w:i/>
              </w:rPr>
              <w:t>Saudi-Arabië</w:t>
            </w:r>
            <w:r>
              <w:t xml:space="preserve"> in het kader van “Vision 2030”, waarin betekenisvolle sociaal-economische hervormingen worden geschetst om het land en zijn instellingen te moderniseren en de economie te diversifiëren;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is ingenomen met de aanpak van het Koninkrijk Saudi-Arabië onder leiding van koning Salman bin Abdulaziz en kroonprins en premier Mohammed bin Salman Al Saud om tolerantie te bevorderen en af te stappen van een restrictief religieus beleid;</w:t>
            </w:r>
            <w:r>
              <w:t xml:space="preserve"> </w:t>
            </w:r>
            <w:r>
              <w:rPr>
                <w:b/>
                <w:i/>
              </w:rPr>
              <w:t>wijst op het rechtstreekse verband tussen tolerantie en duurzame economische groei, en onderstreept dat openheid en inclusiviteit de omstandigheden scheppen voor voor innovatie, investeringen en sociale vooruitgang;</w:t>
            </w:r>
            <w:r>
              <w:t xml:space="preserve"> </w:t>
            </w:r>
            <w:r>
              <w:rPr>
                <w:b/>
                <w:i/>
              </w:rPr>
              <w:t>is van mening dat de hervormingen die momenteel door Saudi-Arabië worden doorgevoerd een belangrijk voorbeeld zijn voor de rest van de regio en laten zien dat tolerantie niet alleen als basis kan dienen voor stabiliteit maar ook als aanjager van welvaart;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wijst op de inzet van het Koninkrijk Saudi-Arabië voor de energietransitie en herinnert eraan dat het heeft beloofd om tegen 2060 klimaatneutraliteit te bereiken en uiterlijk in 2030 50 % van zijn elektriciteit uit hernieuwbare bronnen te produceren;</w:t>
            </w:r>
            <w:r>
              <w:t xml:space="preserve"> </w:t>
            </w:r>
            <w:r>
              <w:rPr>
                <w:b/>
                <w:i/>
              </w:rPr>
              <w:t>is in dit verband ingenomen met het vlaggenschipproject om tegen 2030 jaarlijks 4 miljoen ton schone waterstof te produceren, waarmee Saudi-Arabië blijk geeft van de ambitie om zich te positioneren als toonaangevende wereldwijde leverancier van schone waterstof</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https://www.sgi.gov.sa/Saudi-global-climate-impact/.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roept Saoedi-Arabië op om zijn energielandschap te hervormen en over te stappen op hernieuwbare energie en groene waterstof als onderdeel van zijn plannen in het kader van Vision 2030;</w:t>
            </w:r>
            <w:r>
              <w:t xml:space="preserve"> </w:t>
            </w:r>
            <w:r>
              <w:rPr>
                <w:b/>
                <w:i/>
              </w:rPr>
              <w:t>merkt op dat de EU bereid is om samen te werken met haar Saoedi-Arabische tegenhangers aan projecten die de milieudoelstellingen van beide regio’s bevorderen;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roept </w:t>
            </w:r>
            <w:r>
              <w:rPr>
                <w:b/>
                <w:i/>
              </w:rPr>
              <w:t>Saoedi-Arabië</w:t>
            </w:r>
            <w:r>
              <w:t xml:space="preserve"> op om zijn energielandschap te hervormen en over te stappen op hernieuwbare energie en groene waterstof als onderdeel van zijn plannen in het kader van Vision 2030; merkt op dat de EU bereid is om samen te werken met haar </w:t>
            </w:r>
            <w:r>
              <w:rPr>
                <w:b/>
                <w:i/>
              </w:rPr>
              <w:t>Saoedi-Arabische</w:t>
            </w:r>
            <w:r>
              <w:t xml:space="preserve"> tegenhangers aan projecten die de milieudoelstellingen van beide regio’s bevorderen;</w:t>
            </w:r>
          </w:p>
        </w:tc>
        <w:tc>
          <w:tcPr>
            <w:tcW w:w="4876" w:type="dxa"/>
            <w:tcBorders>
              <w:top w:val="nil"/>
              <w:left w:val="nil"/>
              <w:bottom w:val="nil"/>
              <w:right w:val="nil"/>
            </w:tcBorders>
          </w:tcPr>
          <w:p>
            <w:pPr>
              <w:pStyle w:val="Normal6a"/>
            </w:pPr>
            <w:r>
              <w:t>22.</w:t>
            </w:r>
            <w:r>
              <w:tab/>
            </w:r>
            <w:r>
              <w:t xml:space="preserve">roept </w:t>
            </w:r>
            <w:r>
              <w:rPr>
                <w:b/>
                <w:i/>
              </w:rPr>
              <w:t>Saudi-Arabië</w:t>
            </w:r>
            <w:r>
              <w:t xml:space="preserve"> op om zijn energielandschap te hervormen en over te stappen op hernieuwbare energie en groene waterstof als onderdeel van zijn plannen in het kader van Vision 2030; </w:t>
            </w:r>
            <w:r>
              <w:rPr>
                <w:b/>
                <w:i/>
              </w:rPr>
              <w:t>steunt de oproep van deskundigen van de VN aan Saudi-Arabië om een einde te maken aan zijn plannen om de productie van ruwe olie uit te breiden en zijn plannen om verdere olie- en gasreserves te exploreren teneinde de productiecapaciteit te vergroten, die bijdragen tot het risico van overschrijding van het koolstofbudget van 1,5 °C en toenemende met klimaatverandering samenhangende gevolgen voor de mensenrechten, wat in strijd is met zijn eigen verantwoordelijkheden op het gebied van de mensenrechten;</w:t>
            </w:r>
            <w:r>
              <w:t xml:space="preserve"> </w:t>
            </w:r>
            <w:r>
              <w:rPr>
                <w:b/>
                <w:i/>
              </w:rPr>
              <w:t>dringt er bij Aramco op aan om belangrijke informatie vrij te geven over zijn totale emissies en de koolstofintensiteit van zijn productie van ruwe olie;</w:t>
            </w:r>
            <w:r>
              <w:t xml:space="preserve"> merkt op dat de EU bereid is om samen te werken met haar </w:t>
            </w:r>
            <w:r>
              <w:rPr>
                <w:b/>
                <w:i/>
              </w:rPr>
              <w:t>Saudi-Arabische</w:t>
            </w:r>
            <w:r>
              <w:t xml:space="preserve"> tegenhangers aan projecten die de milieudoelstellingen van beide regio’s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roept </w:t>
            </w:r>
            <w:r>
              <w:rPr>
                <w:b/>
                <w:i/>
              </w:rPr>
              <w:t>Saoedi-Arabië</w:t>
            </w:r>
            <w:r>
              <w:t xml:space="preserve"> op om zijn energielandschap te hervormen en over te stappen op hernieuwbare energie en groene waterstof als onderdeel van zijn plannen in het kader van Vision 2030; merkt op dat de EU bereid is om samen te werken met haar </w:t>
            </w:r>
            <w:r>
              <w:rPr>
                <w:b/>
                <w:i/>
              </w:rPr>
              <w:t>Saoedi-Arabische</w:t>
            </w:r>
            <w:r>
              <w:t xml:space="preserve"> tegenhangers aan projecten die de milieudoelstellingen van beide regio’s bevorderen;</w:t>
            </w:r>
          </w:p>
        </w:tc>
        <w:tc>
          <w:tcPr>
            <w:tcW w:w="4876" w:type="dxa"/>
            <w:tcBorders>
              <w:top w:val="nil"/>
              <w:left w:val="nil"/>
              <w:bottom w:val="nil"/>
              <w:right w:val="nil"/>
            </w:tcBorders>
          </w:tcPr>
          <w:p>
            <w:pPr>
              <w:pStyle w:val="Normal6a"/>
            </w:pPr>
            <w:r>
              <w:t>22.</w:t>
            </w:r>
            <w:r>
              <w:tab/>
            </w:r>
            <w:r>
              <w:t xml:space="preserve">roept </w:t>
            </w:r>
            <w:r>
              <w:rPr>
                <w:b/>
                <w:i/>
              </w:rPr>
              <w:t>Saudi-Arabië</w:t>
            </w:r>
            <w:r>
              <w:t xml:space="preserve"> op om zijn energielandschap te hervormen en over te stappen op hernieuwbare energie en groene waterstof als onderdeel van zijn plannen in het kader van Vision 2030; </w:t>
            </w:r>
            <w:r>
              <w:rPr>
                <w:b/>
                <w:i/>
              </w:rPr>
              <w:t>steunt de oproep van deskundigen van de VN aan Saudi-Arabië om een einde te maken aan zijn plannen om de productie van ruwe olie uit te breiden en zijn plannen om verdere olie- en gasreserves te exploreren teneinde de productiecapaciteit te vergroten, die bijdragen tot het risico van overschrijding van het koolstofbudget van 1,5 °C en toenemende met klimaatverandering samenhangende gevolgen voor de mensenrechten, wat in strijd is met zijn eigen verantwoordelijkheden op het gebied van de mensenrechten;</w:t>
            </w:r>
            <w:r>
              <w:t xml:space="preserve"> </w:t>
            </w:r>
            <w:r>
              <w:rPr>
                <w:b/>
                <w:i/>
              </w:rPr>
              <w:t>dringt er bij Aramco op aan om belangrijke informatie vrij te geven over zijn totale emissies en de koolstofintensiteit van zijn productie van ruwe olie;</w:t>
            </w:r>
            <w:r>
              <w:t xml:space="preserve"> merkt op dat de EU bereid is om samen te werken met haar </w:t>
            </w:r>
            <w:r>
              <w:rPr>
                <w:b/>
                <w:i/>
              </w:rPr>
              <w:t>Saudi-Arabische</w:t>
            </w:r>
            <w:r>
              <w:t xml:space="preserve"> tegenhangers aan projecten die de milieudoelstellingen van beide regio’s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roept </w:t>
            </w:r>
            <w:r>
              <w:rPr>
                <w:b/>
                <w:i/>
              </w:rPr>
              <w:t>Saoedi-Arabië</w:t>
            </w:r>
            <w:r>
              <w:t xml:space="preserve"> op om zijn energielandschap te hervormen en over te stappen op hernieuwbare energie en groene waterstof als onderdeel van zijn plannen in het kader van Vision 2030; merkt op dat de EU bereid is om samen te werken met haar </w:t>
            </w:r>
            <w:r>
              <w:rPr>
                <w:b/>
                <w:i/>
              </w:rPr>
              <w:t>Saoedi-Arabische</w:t>
            </w:r>
            <w:r>
              <w:t xml:space="preserve"> tegenhangers aan projecten die de milieudoelstellingen van beide regio’s bevorderen;</w:t>
            </w:r>
          </w:p>
        </w:tc>
        <w:tc>
          <w:tcPr>
            <w:tcW w:w="4876" w:type="dxa"/>
            <w:tcBorders>
              <w:top w:val="nil"/>
              <w:left w:val="nil"/>
              <w:bottom w:val="nil"/>
              <w:right w:val="nil"/>
            </w:tcBorders>
          </w:tcPr>
          <w:p>
            <w:pPr>
              <w:pStyle w:val="Normal6a"/>
            </w:pPr>
            <w:r>
              <w:t>22.</w:t>
            </w:r>
            <w:r>
              <w:tab/>
            </w:r>
            <w:r>
              <w:t xml:space="preserve">roept </w:t>
            </w:r>
            <w:r>
              <w:rPr>
                <w:b/>
                <w:i/>
              </w:rPr>
              <w:t>Saudi-Arabië</w:t>
            </w:r>
            <w:r>
              <w:t xml:space="preserve"> op om zijn energielandschap te hervormen en over te stappen op hernieuwbare energie en groene waterstof als onderdeel van zijn plannen in het kader van Vision 2030; </w:t>
            </w:r>
            <w:r>
              <w:rPr>
                <w:b/>
                <w:i/>
              </w:rPr>
              <w:t>steunt de oproep van de deskundigen van de VN aan Saudi-Arabië om af te zien van zijn plan voor de uitbreiding van de productie van ruwe olie, omdat dit onverenigbaar zou zijn met de verbintenissen in het kader van de Overeenkomst van Parijs;</w:t>
            </w:r>
            <w:r>
              <w:t xml:space="preserve"> merkt op dat de EU bereid is om samen te werken met haar </w:t>
            </w:r>
            <w:r>
              <w:rPr>
                <w:b/>
                <w:i/>
              </w:rPr>
              <w:t>Saudi-Arabische</w:t>
            </w:r>
            <w:r>
              <w:t xml:space="preserve"> tegenhangers aan projecten die de milieudoelstellingen van beide regio’s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roept </w:t>
            </w:r>
            <w:r>
              <w:rPr>
                <w:b/>
                <w:i/>
              </w:rPr>
              <w:t>Saoedi-Arabië</w:t>
            </w:r>
            <w:r>
              <w:t xml:space="preserve"> op om zijn energielandschap te hervormen en over te stappen op hernieuwbare energie </w:t>
            </w:r>
            <w:r>
              <w:rPr>
                <w:b/>
                <w:i/>
              </w:rPr>
              <w:t>en groene waterstof als onderdeel van zijn plannen in het kader van Vision 2030;</w:t>
            </w:r>
            <w:r>
              <w:t xml:space="preserve"> </w:t>
            </w:r>
            <w:r>
              <w:rPr>
                <w:b/>
                <w:i/>
              </w:rPr>
              <w:t>merkt op dat de EU bereid is om samen te werken met haar Saoedi-Arabische tegenhangers aan projecten</w:t>
            </w:r>
            <w:r>
              <w:t xml:space="preserve"> die de </w:t>
            </w:r>
            <w:r>
              <w:rPr>
                <w:b/>
                <w:i/>
              </w:rPr>
              <w:t>milieudoelstellingen van beide regio’s bevorderen</w:t>
            </w:r>
            <w:r>
              <w:t>;</w:t>
            </w:r>
          </w:p>
        </w:tc>
        <w:tc>
          <w:tcPr>
            <w:tcW w:w="4876" w:type="dxa"/>
            <w:tcBorders>
              <w:top w:val="nil"/>
              <w:left w:val="nil"/>
              <w:bottom w:val="nil"/>
              <w:right w:val="nil"/>
            </w:tcBorders>
          </w:tcPr>
          <w:p>
            <w:pPr>
              <w:pStyle w:val="Normal6a"/>
            </w:pPr>
            <w:r>
              <w:t>22.</w:t>
            </w:r>
            <w:r>
              <w:tab/>
            </w:r>
            <w:r>
              <w:t xml:space="preserve">roept </w:t>
            </w:r>
            <w:r>
              <w:rPr>
                <w:b/>
                <w:i/>
              </w:rPr>
              <w:t>Saudi-Arabië</w:t>
            </w:r>
            <w:r>
              <w:t xml:space="preserve"> op om zijn energielandschap te hervormen en over te stappen op hernieuwbare energie</w:t>
            </w:r>
            <w:r>
              <w:rPr>
                <w:b/>
                <w:i/>
              </w:rPr>
              <w:t>, waaronder kernenergie, een technologie</w:t>
            </w:r>
            <w:r>
              <w:t xml:space="preserve"> die de </w:t>
            </w:r>
            <w:r>
              <w:rPr>
                <w:b/>
                <w:i/>
              </w:rPr>
              <w:t>EU-lidstaten zowel vanuit technologisch als vanuit commercieel oogpunt volledig beheersen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wijst op de rol van Saudi-Arabië als steeds belangrijkere speler in de toeleveringsketens van mineralen en zijn inspanningen om zich aan te passen aan internationale beste praktijken;</w:t>
            </w:r>
            <w:r>
              <w:t xml:space="preserve"> </w:t>
            </w:r>
            <w:r>
              <w:rPr>
                <w:b/>
                <w:i/>
              </w:rPr>
              <w:t>benadrukt hoe een ruimere samenwerking tussen de EU en Saudi-Arabië op dit gebied van cruciaal belang zal zijn voor de verdere consolidatie van de risicobeperkingsstrategie van de EU en haar streven naar diversificatie van haar grondstoffenvoorziening;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betreurt dat Saudi-Arabië, hoewel het koninkrijk heeft aangekondigd dat het tegen 2030 de helft van zijn elektriciteit uit hernieuwbare bronnen wil halen, tot dusver geen beleidsmaatregelen heeft genomen die zijn broeikasgasemissies aanzienlijk zouden verminderen en zijn afhankelijkheid van fossiele brandstoffen zouden verminderen;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stelt met bezorgdheid vast dat Saudi-Arabië zich tijdens COP29 heeft verzet tegen wereldwijde toezeggingen om fossiele brandstoffen uit te faseren, waardoor de verwezenlijking van de doelstellingen van de Overeenkomst van Parijs op losse schroeven komt te staan;</w:t>
            </w:r>
            <w:r>
              <w:t xml:space="preserve"> </w:t>
            </w:r>
            <w:r>
              <w:rPr>
                <w:b/>
                <w:i/>
              </w:rPr>
              <w:t>benadrukt dat samenwerking tussen de EU en Saudi-Arabië afhankelijk moet worden gesteld van geloofwaardige klimaatactieplannen met bindende uitvoeringsmaatregelen;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erkent dat </w:t>
            </w:r>
            <w:r>
              <w:rPr>
                <w:b/>
                <w:i/>
              </w:rPr>
              <w:t>Saoedi-Arabië aanzienlijke</w:t>
            </w:r>
            <w:r>
              <w:t xml:space="preserve"> vooruitgang heeft geboekt bij het aanpakken van de hoge jeugdwerkloosheid, die is gedaald van 35,01 % in 2006 tot 16 % in 2023; pleit ervoor dat </w:t>
            </w:r>
            <w:r>
              <w:rPr>
                <w:b/>
                <w:i/>
              </w:rPr>
              <w:t>Saoedi-Arabië</w:t>
            </w:r>
            <w:r>
              <w:t xml:space="preserve"> prioriteit blijft geven aan deze kwestie;</w:t>
            </w:r>
          </w:p>
        </w:tc>
        <w:tc>
          <w:tcPr>
            <w:tcW w:w="4876" w:type="dxa"/>
            <w:tcBorders>
              <w:top w:val="nil"/>
              <w:left w:val="nil"/>
              <w:bottom w:val="nil"/>
              <w:right w:val="nil"/>
            </w:tcBorders>
          </w:tcPr>
          <w:p>
            <w:pPr>
              <w:pStyle w:val="Normal6a"/>
            </w:pPr>
            <w:r>
              <w:t>23.</w:t>
            </w:r>
            <w:r>
              <w:tab/>
            </w:r>
            <w:r>
              <w:t xml:space="preserve">erkent dat </w:t>
            </w:r>
            <w:r>
              <w:rPr>
                <w:b/>
                <w:i/>
              </w:rPr>
              <w:t>Saudi-Arabië</w:t>
            </w:r>
            <w:r>
              <w:t xml:space="preserve"> vooruitgang heeft geboekt bij het aanpakken van de hoge jeugdwerkloosheid, die is gedaald van 35,01 % in 2006 tot 16 % in 2023; pleit ervoor dat </w:t>
            </w:r>
            <w:r>
              <w:rPr>
                <w:b/>
                <w:i/>
              </w:rPr>
              <w:t>Saudi-Arabië</w:t>
            </w:r>
            <w:r>
              <w:t xml:space="preserve"> prioriteit blijft geven aan deze kwestie;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looft de positieve hervormingen van het leerplan die in Saudi-Arabië zijn doorgevoerd, en met name de verwijdering van antisemitische en antichristelijke inhoud;</w:t>
            </w:r>
            <w:r>
              <w:t xml:space="preserve"> </w:t>
            </w:r>
            <w:r>
              <w:rPr>
                <w:b/>
                <w:i/>
              </w:rPr>
              <w:t>moedigt Saudi-Arabië aan om deze hervormingen voort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de aanzienlijke vooruitgang die </w:t>
            </w:r>
            <w:r>
              <w:rPr>
                <w:b/>
                <w:i/>
              </w:rPr>
              <w:t>Saoedi-Arabië</w:t>
            </w:r>
            <w:r>
              <w:t xml:space="preserve"> heeft geboekt op het gebied van de emancipatie van vrouwen, aangezien het percentage vrouwen op de arbeidsmarkt is gestegen tot 36 % en vrouwen het recht hebben gekregen om te rijden en te reizen zonder mannelijke begeleiding;</w:t>
            </w:r>
          </w:p>
        </w:tc>
        <w:tc>
          <w:tcPr>
            <w:tcW w:w="4876" w:type="dxa"/>
            <w:tcBorders>
              <w:top w:val="nil"/>
              <w:left w:val="nil"/>
              <w:bottom w:val="nil"/>
              <w:right w:val="nil"/>
            </w:tcBorders>
          </w:tcPr>
          <w:p>
            <w:pPr>
              <w:pStyle w:val="Normal6a"/>
            </w:pPr>
            <w:r>
              <w:t>24.</w:t>
            </w:r>
            <w:r>
              <w:tab/>
            </w:r>
            <w:r>
              <w:t xml:space="preserve">benadrukt de aanzienlijke vooruitgang die </w:t>
            </w:r>
            <w:r>
              <w:rPr>
                <w:b/>
                <w:i/>
              </w:rPr>
              <w:t>Saudi-Arabië</w:t>
            </w:r>
            <w:r>
              <w:t xml:space="preserve"> heeft geboekt op het gebied van de emancipatie van vrouwen, aangezien het percentage vrouwen op de arbeidsmarkt is gestegen tot 36 % en vrouwen het recht hebben gekregen om te rijden en te reizen zonder mannelijke begeleiding; </w:t>
            </w:r>
            <w:r>
              <w:rPr>
                <w:b/>
                <w:i/>
              </w:rPr>
              <w:t>merkt echter op dat verscheidene Saudische vrouwenrechtenactivisten in Saudi-Arabië nog steeds gevangen zitten of aan strenge beperkingen onderworpen zijn;</w:t>
            </w:r>
            <w:r>
              <w:t xml:space="preserve"> </w:t>
            </w:r>
            <w:r>
              <w:rPr>
                <w:b/>
                <w:i/>
              </w:rPr>
              <w:t>vraagt de Saudische autoriteiten Manahel al-Otaibi en Salma al-Shehab vrij te laten en het reisverbod en de administratieve beperkingen ten aanzien van Loujain al-Hathloul, Mariam al-Otaibi en Fawzia al-Otaibi op te heffen;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de </w:t>
            </w:r>
            <w:r>
              <w:rPr>
                <w:b/>
                <w:i/>
              </w:rPr>
              <w:t>aanzienlijke</w:t>
            </w:r>
            <w:r>
              <w:t xml:space="preserve"> vooruitgang die </w:t>
            </w:r>
            <w:r>
              <w:rPr>
                <w:b/>
                <w:i/>
              </w:rPr>
              <w:t>Saoedi-Arabië</w:t>
            </w:r>
            <w:r>
              <w:t xml:space="preserve"> heeft geboekt op het gebied van </w:t>
            </w:r>
            <w:r>
              <w:rPr>
                <w:b/>
                <w:i/>
              </w:rPr>
              <w:t>de emancipatie</w:t>
            </w:r>
            <w:r>
              <w:t xml:space="preserve"> van vrouwen</w:t>
            </w:r>
            <w:r>
              <w:rPr>
                <w:b/>
                <w:i/>
              </w:rPr>
              <w:t>, aangezien het percentage vrouwen op de arbeidsmarkt</w:t>
            </w:r>
            <w:r>
              <w:t xml:space="preserve"> is gestegen tot 36 % en vrouwen het recht hebben gekregen om te rijden en te reizen zonder mannelijke </w:t>
            </w:r>
            <w:r>
              <w:rPr>
                <w:b/>
                <w:i/>
              </w:rPr>
              <w:t>begeleiding</w:t>
            </w:r>
            <w:r>
              <w:t>;</w:t>
            </w:r>
          </w:p>
        </w:tc>
        <w:tc>
          <w:tcPr>
            <w:tcW w:w="4876" w:type="dxa"/>
            <w:tcBorders>
              <w:top w:val="nil"/>
              <w:left w:val="nil"/>
              <w:bottom w:val="nil"/>
              <w:right w:val="nil"/>
            </w:tcBorders>
          </w:tcPr>
          <w:p>
            <w:pPr>
              <w:pStyle w:val="Normal6a"/>
            </w:pPr>
            <w:r>
              <w:t>24.</w:t>
            </w:r>
            <w:r>
              <w:tab/>
            </w:r>
            <w:r>
              <w:t xml:space="preserve">benadrukt de vooruitgang die </w:t>
            </w:r>
            <w:r>
              <w:rPr>
                <w:b/>
                <w:i/>
              </w:rPr>
              <w:t>Saudi-Arabië</w:t>
            </w:r>
            <w:r>
              <w:t xml:space="preserve"> heeft geboekt op het gebied van </w:t>
            </w:r>
            <w:r>
              <w:rPr>
                <w:b/>
                <w:i/>
              </w:rPr>
              <w:t>vrouwenrechten, aangezien de arbeidsparticipatie</w:t>
            </w:r>
            <w:r>
              <w:t xml:space="preserve"> van vrouwen is gestegen tot 36 % en vrouwen het recht hebben gekregen om te rijden en te reizen zonder </w:t>
            </w:r>
            <w:r>
              <w:rPr>
                <w:b/>
                <w:i/>
              </w:rPr>
              <w:t>toestemming van een</w:t>
            </w:r>
            <w:r>
              <w:t xml:space="preserve"> mannelijke </w:t>
            </w:r>
            <w:r>
              <w:rPr>
                <w:b/>
                <w:i/>
              </w:rPr>
              <w:t>voogd</w:t>
            </w:r>
            <w:r>
              <w:t xml:space="preserve">; </w:t>
            </w:r>
            <w:r>
              <w:rPr>
                <w:b/>
                <w:i/>
              </w:rPr>
              <w:t>merkt op dat er nog aanzienlijke problemen zijn, onder meer met de wet inzake het personenrecht, met name wat betreft kindhuwelijken, verkrachting binnen het huwelijk en discriminatie van vrouwen op het gebied van huwelijk, echtscheiding, voogdij over kinderen, erfenissen en eigendomsrechten;</w:t>
            </w:r>
            <w:r>
              <w:t xml:space="preserve"> </w:t>
            </w:r>
            <w:r>
              <w:rPr>
                <w:b/>
                <w:i/>
              </w:rPr>
              <w:t>hekelt de situatie van Saudische vrouwenrechtenactivisten die campagne hebben gevoerd voor het recht om met de auto te rijden en voor de afschaffing van het mannelijke voogdijschap, aangezien zij nog steeds door de Saudische autoriteiten worden gestraft met reisverboden;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de aanzienlijke vooruitgang die </w:t>
            </w:r>
            <w:r>
              <w:rPr>
                <w:b/>
                <w:i/>
              </w:rPr>
              <w:t>Saoedi-Arabië</w:t>
            </w:r>
            <w:r>
              <w:t xml:space="preserve"> heeft geboekt op het gebied van de emancipatie van vrouwen, aangezien het percentage vrouwen op de arbeidsmarkt is gestegen tot 36 % en vrouwen het recht hebben gekregen om te rijden en te reizen zonder mannelijke begeleiding;</w:t>
            </w:r>
          </w:p>
        </w:tc>
        <w:tc>
          <w:tcPr>
            <w:tcW w:w="4876" w:type="dxa"/>
            <w:tcBorders>
              <w:top w:val="nil"/>
              <w:left w:val="nil"/>
              <w:bottom w:val="nil"/>
              <w:right w:val="nil"/>
            </w:tcBorders>
          </w:tcPr>
          <w:p>
            <w:pPr>
              <w:pStyle w:val="Normal6a"/>
            </w:pPr>
            <w:r>
              <w:t>24.</w:t>
            </w:r>
            <w:r>
              <w:tab/>
            </w:r>
            <w:r>
              <w:t xml:space="preserve">benadrukt de aanzienlijke vooruitgang die </w:t>
            </w:r>
            <w:r>
              <w:rPr>
                <w:b/>
                <w:i/>
              </w:rPr>
              <w:t>Saudi-Arabië</w:t>
            </w:r>
            <w:r>
              <w:t xml:space="preserve"> heeft geboekt op het gebied van de emancipatie van vrouwen, aangezien het percentage vrouwen op de arbeidsmarkt is gestegen tot 36 % en vrouwen het recht hebben gekregen om te rijden en te reizen zonder mannelijke begeleiding</w:t>
            </w:r>
            <w:r>
              <w:rPr>
                <w:b/>
                <w:i/>
              </w:rPr>
              <w:t>, maar merkt op dat er nog aanzienlijke problemen zijn, onder andere met de wet inzake het personenrecht, met name wat betreft kindhuwelijken, verkrachting binnen het huwelijk en discriminatie van vrouwen op het gebied van huwelijk, echtscheiding, voogdij over kinderen, erfenissen en eigendomsrechten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de aanzienlijke vooruitgang die </w:t>
            </w:r>
            <w:r>
              <w:rPr>
                <w:b/>
                <w:i/>
              </w:rPr>
              <w:t>Saoedi-Arabië</w:t>
            </w:r>
            <w:r>
              <w:t xml:space="preserve"> heeft geboekt op het gebied van de emancipatie van vrouwen, aangezien het percentage vrouwen op de arbeidsmarkt is gestegen tot 36 % en vrouwen het recht hebben gekregen om te rijden en te reizen zonder mannelijke begeleiding;</w:t>
            </w:r>
          </w:p>
        </w:tc>
        <w:tc>
          <w:tcPr>
            <w:tcW w:w="4876" w:type="dxa"/>
            <w:tcBorders>
              <w:top w:val="nil"/>
              <w:left w:val="nil"/>
              <w:bottom w:val="nil"/>
              <w:right w:val="nil"/>
            </w:tcBorders>
          </w:tcPr>
          <w:p>
            <w:pPr>
              <w:pStyle w:val="Normal6a"/>
            </w:pPr>
            <w:r>
              <w:t>24.</w:t>
            </w:r>
            <w:r>
              <w:tab/>
            </w:r>
            <w:r>
              <w:t xml:space="preserve">benadrukt de aanzienlijke vooruitgang die </w:t>
            </w:r>
            <w:r>
              <w:rPr>
                <w:b/>
                <w:i/>
              </w:rPr>
              <w:t>Saudi-Arabië</w:t>
            </w:r>
            <w:r>
              <w:t xml:space="preserve"> heeft geboekt op het gebied van de emancipatie van vrouwen, aangezien het percentage vrouwen op de arbeidsmarkt is gestegen tot 36 % en vrouwen het recht hebben gekregen om te rijden en te reizen zonder mannelijke begeleiding</w:t>
            </w:r>
            <w:r>
              <w:rPr>
                <w:b/>
                <w:i/>
              </w:rPr>
              <w:t>, maar merkt op dat er nog aanzienlijke problemen zijn, onder andere met de wet inzake het personenrecht, met name wat betreft kindhuwelijken, verkrachting binnen het huwelijk en discriminatie van vrouwen op het gebied van huwelijk, echtscheiding, voogdij over kinderen, erfenissen en eigendomsrechten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benadrukt</w:t>
            </w:r>
            <w:r>
              <w:t xml:space="preserve"> de aanzienlijke vooruitgang die </w:t>
            </w:r>
            <w:r>
              <w:rPr>
                <w:b/>
                <w:i/>
              </w:rPr>
              <w:t>Saoedi-Arabië</w:t>
            </w:r>
            <w:r>
              <w:t xml:space="preserve"> heeft geboekt op het gebied van de emancipatie van vrouwen, aangezien het percentage vrouwen op de arbeidsmarkt is gestegen tot 36 % en vrouwen het recht hebben gekregen om te rijden en te reizen zonder mannelijke begeleiding;</w:t>
            </w:r>
          </w:p>
        </w:tc>
        <w:tc>
          <w:tcPr>
            <w:tcW w:w="4876" w:type="dxa"/>
            <w:tcBorders>
              <w:top w:val="nil"/>
              <w:left w:val="nil"/>
              <w:bottom w:val="nil"/>
              <w:right w:val="nil"/>
            </w:tcBorders>
          </w:tcPr>
          <w:p>
            <w:pPr>
              <w:pStyle w:val="Normal6a"/>
            </w:pPr>
            <w:r>
              <w:t>24.</w:t>
            </w:r>
            <w:r>
              <w:tab/>
            </w:r>
            <w:r>
              <w:rPr>
                <w:b/>
                <w:i/>
              </w:rPr>
              <w:t>neemt nota van</w:t>
            </w:r>
            <w:r>
              <w:t xml:space="preserve"> de aanzienlijke vooruitgang die </w:t>
            </w:r>
            <w:r>
              <w:rPr>
                <w:b/>
                <w:i/>
              </w:rPr>
              <w:t>Saudi-Arabië</w:t>
            </w:r>
            <w:r>
              <w:t xml:space="preserve"> heeft geboekt op het gebied van de emancipatie van vrouwen, aangezien het percentage vrouwen op de arbeidsmarkt is gestegen tot 36 % en vrouwen het recht hebben gekregen om te rijden en te reizen zonder mannelijke begeleiding;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de </w:t>
            </w:r>
            <w:r>
              <w:rPr>
                <w:b/>
                <w:i/>
              </w:rPr>
              <w:t>aanzienlijke</w:t>
            </w:r>
            <w:r>
              <w:t xml:space="preserve"> vooruitgang die </w:t>
            </w:r>
            <w:r>
              <w:rPr>
                <w:b/>
                <w:i/>
              </w:rPr>
              <w:t>Saoedi-Arabië</w:t>
            </w:r>
            <w:r>
              <w:t xml:space="preserve"> heeft geboekt op het gebied van de emancipatie van vrouwen, aangezien het percentage vrouwen op de arbeidsmarkt is gestegen tot 36 % en vrouwen het recht hebben gekregen om te rijden en te reizen zonder mannelijke begeleiding;</w:t>
            </w:r>
          </w:p>
        </w:tc>
        <w:tc>
          <w:tcPr>
            <w:tcW w:w="4876" w:type="dxa"/>
            <w:tcBorders>
              <w:top w:val="nil"/>
              <w:left w:val="nil"/>
              <w:bottom w:val="nil"/>
              <w:right w:val="nil"/>
            </w:tcBorders>
          </w:tcPr>
          <w:p>
            <w:pPr>
              <w:pStyle w:val="Normal6a"/>
            </w:pPr>
            <w:r>
              <w:t>24.</w:t>
            </w:r>
            <w:r>
              <w:tab/>
            </w:r>
            <w:r>
              <w:t xml:space="preserve">benadrukt de vooruitgang die </w:t>
            </w:r>
            <w:r>
              <w:rPr>
                <w:b/>
                <w:i/>
              </w:rPr>
              <w:t>Saudi-Arabië</w:t>
            </w:r>
            <w:r>
              <w:t xml:space="preserve"> heeft geboekt op het gebied van de emancipatie van vrouwen, aangezien het percentage vrouwen op de arbeidsmarkt is gestegen tot 36 % en vrouwen het recht hebben gekregen om te rijden en te reizen zonder mannelijke begeleiding;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merkt op dat </w:t>
            </w:r>
            <w:r>
              <w:rPr>
                <w:b/>
                <w:i/>
              </w:rPr>
              <w:t>Saoedi-Arabië</w:t>
            </w:r>
            <w:r>
              <w:t xml:space="preserve"> een reeks ambitieuze infrastructuurprojecten heeft gelanceerd in de aanloop naar EXPO 2030 en het WK voetbal 2034;</w:t>
            </w:r>
          </w:p>
        </w:tc>
        <w:tc>
          <w:tcPr>
            <w:tcW w:w="4876" w:type="dxa"/>
            <w:tcBorders>
              <w:top w:val="nil"/>
              <w:left w:val="nil"/>
              <w:bottom w:val="nil"/>
              <w:right w:val="nil"/>
            </w:tcBorders>
          </w:tcPr>
          <w:p>
            <w:pPr>
              <w:pStyle w:val="Normal6a"/>
            </w:pPr>
            <w:r>
              <w:t>25.</w:t>
            </w:r>
            <w:r>
              <w:tab/>
            </w:r>
            <w:r>
              <w:t xml:space="preserve">merkt op dat </w:t>
            </w:r>
            <w:r>
              <w:rPr>
                <w:b/>
                <w:i/>
              </w:rPr>
              <w:t>Saudi-Arabië</w:t>
            </w:r>
            <w:r>
              <w:t xml:space="preserve"> een reeks ambitieuze infrastructuurprojecten heeft gelanceerd in de aanloop naar EXPO 2030 en het WK voetbal 2034</w:t>
            </w:r>
            <w:r>
              <w:rPr>
                <w:b/>
                <w:i/>
              </w:rPr>
              <w:t>, en spreekt zijn ernstige bezorgdheid uit over het feit dat arbeidsmigranten ondanks de aangekondigde hervormingen nog steeds te maken hebben met wijdverbreide misstanden in het kader van het kafalasysteem, waarvan sommige kunnen neerkomen op situaties van dwangarbeid</w:t>
            </w:r>
            <w:r>
              <w:t xml:space="preserve">; </w:t>
            </w:r>
            <w:r>
              <w:rPr>
                <w:b/>
                <w:i/>
              </w:rPr>
              <w:t>neemt nota van de hervormingen die zijn doorgevoerd in het kader van het initiatief voor arbeidshervorming en dringt er bij Saudi-Arabië op aan om het kafalasysteem in de wetgeving en in de praktijk volledig af te schaffen door een einde te maken aan de controle van werkgevers over de mobiliteit van werknemers — met inbegrip van vertrek en verandering van baan —, het recht van werknemers op staken, collectieve onderhandelingen en vrije vereniging te waarborgen, de gedwongen uitzetting van ingezetenen te voorkomen en een einde te maken aan de onderdrukking van mensenrechtenverdedigers in verband met deze gebeurtenissen;</w:t>
            </w:r>
            <w:r>
              <w:t xml:space="preserve"> </w:t>
            </w:r>
            <w:r>
              <w:rPr>
                <w:b/>
                <w:i/>
              </w:rPr>
              <w:t>verzoekt Saudi-Arabië ervoor te zorgen dat alle arbeidsmigranten, met inbegrip van huishoudelijk personeel, toegang hebben tot de rechter en tot doeltreffende mechanismen om werkgevers die slecht behandelen, ter verantwoording te 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merkt op dat </w:t>
            </w:r>
            <w:r>
              <w:rPr>
                <w:b/>
                <w:i/>
              </w:rPr>
              <w:t>Saoedi-Arabië</w:t>
            </w:r>
            <w:r>
              <w:t xml:space="preserve"> een reeks ambitieuze infrastructuurprojecten heeft gelanceerd in de aanloop naar EXPO 2030 en het WK voetbal 2034;</w:t>
            </w:r>
          </w:p>
        </w:tc>
        <w:tc>
          <w:tcPr>
            <w:tcW w:w="4876" w:type="dxa"/>
            <w:tcBorders>
              <w:top w:val="nil"/>
              <w:left w:val="nil"/>
              <w:bottom w:val="nil"/>
              <w:right w:val="nil"/>
            </w:tcBorders>
          </w:tcPr>
          <w:p>
            <w:pPr>
              <w:pStyle w:val="Normal6a"/>
            </w:pPr>
            <w:r>
              <w:t>25.</w:t>
            </w:r>
            <w:r>
              <w:tab/>
            </w:r>
            <w:r>
              <w:t xml:space="preserve">merkt op dat </w:t>
            </w:r>
            <w:r>
              <w:rPr>
                <w:b/>
                <w:i/>
              </w:rPr>
              <w:t>Saudi-Arabië</w:t>
            </w:r>
            <w:r>
              <w:t xml:space="preserve"> een reeks ambitieuze infrastructuurprojecten heeft gelanceerd in de aanloop naar EXPO 2030 en het WK voetbal 2034; </w:t>
            </w:r>
            <w:r>
              <w:rPr>
                <w:b/>
                <w:i/>
              </w:rPr>
              <w:t>is ernstig bezorgd over het hoge aantal sterfgevallen onder migranten bij arbeidsongevallen in Saudi-Arabië;</w:t>
            </w:r>
            <w:r>
              <w:t xml:space="preserve"> </w:t>
            </w:r>
            <w:r>
              <w:rPr>
                <w:b/>
                <w:i/>
              </w:rPr>
              <w:t>verzoekt Saudi-Arabië het kafalasysteem te ontmantelen en het stakingsrecht, collectieve onderhandelingen en vrije vereniging te waarborgen;</w:t>
            </w:r>
            <w:r>
              <w:t xml:space="preserve"> </w:t>
            </w:r>
            <w:r>
              <w:rPr>
                <w:b/>
                <w:i/>
              </w:rPr>
              <w:t>dringt er bij Saudi-Arabië op aan om alle voorschriften dat arbeidsmigranten toestemming van hun werkgever moeten krijgen om het land te mogen verlaten en van baan te mogen veranderen, af te schaffen;</w:t>
            </w:r>
            <w:r>
              <w:t xml:space="preserve"> </w:t>
            </w:r>
            <w:r>
              <w:rPr>
                <w:b/>
                <w:i/>
              </w:rPr>
              <w:t>vreest dat het wereldkampioenschap zal worden gebruikt als sportswashing in plaats van als een echte kans om de nodige hervormingen van het arbeidsrecht door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merkt op dat </w:t>
            </w:r>
            <w:r>
              <w:rPr>
                <w:b/>
                <w:i/>
              </w:rPr>
              <w:t>Saoedi-Arabië</w:t>
            </w:r>
            <w:r>
              <w:t xml:space="preserve"> een reeks ambitieuze infrastructuurprojecten heeft gelanceerd in de aanloop naar EXPO 2030 en het WK voetbal 2034;</w:t>
            </w:r>
          </w:p>
        </w:tc>
        <w:tc>
          <w:tcPr>
            <w:tcW w:w="4876" w:type="dxa"/>
            <w:tcBorders>
              <w:top w:val="nil"/>
              <w:left w:val="nil"/>
              <w:bottom w:val="nil"/>
              <w:right w:val="nil"/>
            </w:tcBorders>
          </w:tcPr>
          <w:p>
            <w:pPr>
              <w:pStyle w:val="Normal6a"/>
            </w:pPr>
            <w:r>
              <w:t>25.</w:t>
            </w:r>
            <w:r>
              <w:tab/>
            </w:r>
            <w:r>
              <w:t xml:space="preserve">merkt op dat </w:t>
            </w:r>
            <w:r>
              <w:rPr>
                <w:b/>
                <w:i/>
              </w:rPr>
              <w:t>Saudi-Arabië</w:t>
            </w:r>
            <w:r>
              <w:t xml:space="preserve"> een reeks ambitieuze infrastructuurprojecten heeft gelanceerd in de aanloop naar EXPO 2030 en het WK voetbal 2034 </w:t>
            </w:r>
            <w:r>
              <w:rPr>
                <w:b/>
                <w:i/>
              </w:rPr>
              <w:t>en is ernstig bezorgd over bewijzen dat arbeidsmigranten ondanks de aangekondigde hervormingen te maken krijgen met wijdverbreide misstanden in het kader van het kafala-systeem, waarvan sommige kunnen neerkomen op situaties van dwangarbeid, en verzoekt Saudi-Arabië het systeem volledig te ontmantelen en het stakingsrecht, collectieve onderhandelingen en vrije vereniging van werknemers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merkt op dat </w:t>
            </w:r>
            <w:r>
              <w:rPr>
                <w:b/>
                <w:i/>
              </w:rPr>
              <w:t>Saoedi-Arabië</w:t>
            </w:r>
            <w:r>
              <w:t xml:space="preserve"> een reeks ambitieuze infrastructuurprojecten heeft gelanceerd in de aanloop naar EXPO 2030 en het WK voetbal 2034;</w:t>
            </w:r>
          </w:p>
        </w:tc>
        <w:tc>
          <w:tcPr>
            <w:tcW w:w="4876" w:type="dxa"/>
            <w:tcBorders>
              <w:top w:val="nil"/>
              <w:left w:val="nil"/>
              <w:bottom w:val="nil"/>
              <w:right w:val="nil"/>
            </w:tcBorders>
          </w:tcPr>
          <w:p>
            <w:pPr>
              <w:pStyle w:val="Normal6a"/>
            </w:pPr>
            <w:r>
              <w:t>25.</w:t>
            </w:r>
            <w:r>
              <w:tab/>
            </w:r>
            <w:r>
              <w:t xml:space="preserve">merkt op dat </w:t>
            </w:r>
            <w:r>
              <w:rPr>
                <w:b/>
                <w:i/>
              </w:rPr>
              <w:t>Saudi-Arabië</w:t>
            </w:r>
            <w:r>
              <w:t xml:space="preserve"> een reeks ambitieuze infrastructuurprojecten heeft gelanceerd in de aanloop naar EXPO 2030 en het WK voetbal 2034; </w:t>
            </w:r>
            <w:r>
              <w:rPr>
                <w:b/>
                <w:i/>
              </w:rPr>
              <w:t>vertrouwt erop dat de regering het recht van werknemers op vrije vereniging kan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merkt op dat </w:t>
            </w:r>
            <w:r>
              <w:rPr>
                <w:b/>
                <w:i/>
              </w:rPr>
              <w:t>Saoedi-Arabië</w:t>
            </w:r>
            <w:r>
              <w:t xml:space="preserve"> een reeks ambitieuze infrastructuurprojecten heeft gelanceerd in de aanloop naar EXPO 2030 en het WK voetbal 2034;</w:t>
            </w:r>
          </w:p>
        </w:tc>
        <w:tc>
          <w:tcPr>
            <w:tcW w:w="4876" w:type="dxa"/>
            <w:tcBorders>
              <w:top w:val="nil"/>
              <w:left w:val="nil"/>
              <w:bottom w:val="nil"/>
              <w:right w:val="nil"/>
            </w:tcBorders>
          </w:tcPr>
          <w:p>
            <w:pPr>
              <w:pStyle w:val="Normal6a"/>
            </w:pPr>
            <w:r>
              <w:t>25.</w:t>
            </w:r>
            <w:r>
              <w:tab/>
            </w:r>
            <w:r>
              <w:t xml:space="preserve">merkt op dat </w:t>
            </w:r>
            <w:r>
              <w:rPr>
                <w:b/>
                <w:i/>
              </w:rPr>
              <w:t>Saudi-Arabië</w:t>
            </w:r>
            <w:r>
              <w:t xml:space="preserve"> een reeks ambitieuze infrastructuurprojecten heeft gelanceerd in de aanloop naar EXPO 2030 en het WK voetbal 2034</w:t>
            </w:r>
            <w:r>
              <w:rPr>
                <w:b/>
                <w:i/>
              </w:rPr>
              <w:t>, en benadrukt dat er nog veel bezorgdheid bestaat over de behandeling en rechten van werknemers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dringt er bij Saudi-Arabië op aan om in de tussentijd alle voorschriften dat arbeidsmigranten toestemming van hun werkgever moeten krijgen om het land te mogen verlaten en van baan te mogen veranderen, af te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dringt er bij Saudi-Arabië op aan om in de tussentijd alle voorschriften dat arbeidsmigranten toestemming van hun werkgever moeten krijgen om het land te mogen verlaten en van baan te mogen veranderen, af te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dringt er bij Saudi-Arabië op aan om de zorgvuldigheidseisen voor en het toezicht op aanwervende bedrijven te versterken om ervoor te zorgen dat zij alle kosten en vergoedingen in verband met de aanwerving van werknemers dekken en een fonds op te richten voor de terugbetaling van illegale aanwervingskosten voor werknemers;</w:t>
            </w:r>
            <w:r>
              <w:t xml:space="preserve"> </w:t>
            </w:r>
            <w:r>
              <w:rPr>
                <w:b/>
                <w:i/>
              </w:rPr>
              <w:t>vraagt Saudi-Arabië een niet-discriminerend en menswaardig minimumloon in te voeren en te zorgen voor toegang tot rechtsmiddelen bij alle vormen van diefstal van het loon van arbeidsmigranten, zodat onbetaalde werknemers hun achterstallige loon en uitkeringen kunnen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dringt er bij Saudi-Arabië op aan om de zorgvuldigheidseisen voor en het toezicht op aanwervende bedrijven te versterken om ervoor te zorgen dat zij alle kosten en vergoedingen in verband met de aanwerving van werknemers dekken en een fonds op te richten voor de terugbetaling van illegale aanwervingskosten voor werknemers;</w:t>
            </w:r>
            <w:r>
              <w:t xml:space="preserve"> </w:t>
            </w:r>
            <w:r>
              <w:rPr>
                <w:b/>
                <w:i/>
              </w:rPr>
              <w:t>vraagt Saudi-Arabië een niet-discriminerend en menswaardig minimumloon in te voeren en te zorgen voor toegang tot rechtsmiddelen bij alle vormen van diefstal van het loon van arbeidsmigranten, zodat onbetaalde werknemers hun achterstallige loon en uitkeringen kunnen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Saoedi-Arabië</w:t>
            </w:r>
            <w:r>
              <w:t xml:space="preserve"> in het kader van het </w:t>
            </w:r>
            <w:r>
              <w:rPr>
                <w:b/>
                <w:i/>
              </w:rPr>
              <w:t>initiatief</w:t>
            </w:r>
            <w:r>
              <w:t xml:space="preserve"> voor een economische corridor tussen India, het Midden-Oosten en Europa, dat naar verwachting zal leiden tot investeringen in elektriciteitskabels, onderzeese telecommunicatie- en datakabels, en pijpleidingen voor groene waterstof;</w:t>
            </w:r>
          </w:p>
        </w:tc>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Saudi-Arabië</w:t>
            </w:r>
            <w:r>
              <w:t xml:space="preserve"> in het kader van het </w:t>
            </w:r>
            <w:r>
              <w:rPr>
                <w:b/>
                <w:i/>
              </w:rPr>
              <w:t>strategisch partnerschap tussen de EU en de GCC en via het Global Gateway-initiatief</w:t>
            </w:r>
            <w:r>
              <w:t xml:space="preserve"> voor een economische corridor tussen India, het Midden-Oosten en Europa, dat naar verwachting zal leiden tot investeringen in elektriciteitskabels, onderzeese telecommunicatie- en datakabels, en pijpleidingen voor groene waterstof</w:t>
            </w:r>
            <w:r>
              <w:rPr>
                <w:b/>
                <w:i/>
              </w:rPr>
              <w:t>, en is ingenomen met de deelname van de VS</w:t>
            </w:r>
            <w:r>
              <w:t xml:space="preserve">; </w:t>
            </w:r>
            <w:r>
              <w:rPr>
                <w:b/>
                <w:i/>
              </w:rPr>
              <w:t>dringt erop aan dat het financieringstekort van het IMEC wordt aangepakt door middel van investeringen van de EU, de VS en de Golfstaten, en dat investeringen in duurzame infrastructuur worden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Saoedi-Arabië</w:t>
            </w:r>
            <w:r>
              <w:t xml:space="preserve"> in het kader van het initiatief voor een economische corridor tussen India, het Midden-Oosten en Europa, dat naar verwachting zal leiden tot investeringen in elektriciteitskabels, onderzeese telecommunicatie- en datakabels, en pijpleidingen voor groene waterstof;</w:t>
            </w:r>
          </w:p>
        </w:tc>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Saudi-Arabië</w:t>
            </w:r>
            <w:r>
              <w:t xml:space="preserve"> in het kader van het initiatief voor een economische corridor tussen India, het Midden-Oosten en Europa, dat naar verwachting zal leiden tot investeringen in elektriciteitskabels, onderzeese telecommunicatie- en datakabels, en pijpleidingen voor groene waterstof</w:t>
            </w:r>
            <w:r>
              <w:rPr>
                <w:b/>
                <w:i/>
              </w:rPr>
              <w:t>, maar wijst erop dat er beleid inzake passende zorgvuldigheid op het gebied van mensenrechten moet worden ontwikkeld en uitgevoerd in overleg met relevante rechthebbenden zoals onafhankelijke werknemersvakbonden en andere belanghebbenden en in overeenstemming met de leidende beginselen van de VN inzake bedrijfsleven en mensenrechten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Saoedi-Arabië</w:t>
            </w:r>
            <w:r>
              <w:t xml:space="preserve"> in het kader van het initiatief voor een economische corridor tussen India, het Midden-Oosten en Europa, dat naar verwachting zal leiden tot investeringen in elektriciteitskabels, onderzeese telecommunicatie- en datakabels, en pijpleidingen voor groene waterstof;</w:t>
            </w:r>
          </w:p>
        </w:tc>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Saudi-Arabië</w:t>
            </w:r>
            <w:r>
              <w:t xml:space="preserve"> in het kader van het initiatief voor een economische corridor tussen India, het Midden-Oosten en Europa, dat naar verwachting zal leiden tot investeringen in elektriciteitskabels, onderzeese telecommunicatie- en datakabels, en pijpleidingen voor groene waterstof; </w:t>
            </w:r>
            <w:r>
              <w:rPr>
                <w:b/>
                <w:i/>
              </w:rPr>
              <w:t>beoordeelt het potentieel daarvan om de EU te verbinden via multimodale vervoersverbindingen;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onderkent de kansen voor samenwerking tussen de EU en </w:t>
            </w:r>
            <w:r>
              <w:rPr>
                <w:b/>
                <w:i/>
              </w:rPr>
              <w:t>Saoedi-Arabië</w:t>
            </w:r>
            <w:r>
              <w:t xml:space="preserve"> in het kader van het initiatief voor een economische corridor tussen India, het Midden-Oosten en Europa, dat naar verwachting zal leiden tot investeringen in elektriciteitskabels, onderzeese telecommunicatie- en datakabels, en pijpleidingen voor groene waterstof;</w:t>
            </w:r>
          </w:p>
        </w:tc>
        <w:tc>
          <w:tcPr>
            <w:tcW w:w="4876" w:type="dxa"/>
            <w:tcBorders>
              <w:top w:val="nil"/>
              <w:left w:val="nil"/>
              <w:bottom w:val="nil"/>
              <w:right w:val="nil"/>
            </w:tcBorders>
          </w:tcPr>
          <w:p>
            <w:pPr>
              <w:pStyle w:val="Normal6a"/>
            </w:pPr>
            <w:r>
              <w:t>26.</w:t>
            </w:r>
            <w:r>
              <w:tab/>
            </w:r>
            <w:r>
              <w:t xml:space="preserve">onderkent de kansen voor </w:t>
            </w:r>
            <w:r>
              <w:rPr>
                <w:b/>
                <w:i/>
              </w:rPr>
              <w:t>en de convergerende belangen bij</w:t>
            </w:r>
            <w:r>
              <w:t xml:space="preserve"> samenwerking tussen de EU en </w:t>
            </w:r>
            <w:r>
              <w:rPr>
                <w:b/>
                <w:i/>
              </w:rPr>
              <w:t>Saudi-Arabië</w:t>
            </w:r>
            <w:r>
              <w:t xml:space="preserve"> in het kader van het initiatief voor een economische corridor tussen India, het Midden-Oosten en Europa, dat naar verwachting zal leiden tot investeringen in elektriciteitskabels, onderzeese telecommunicatie- en datakabels, en pijpleidingen voor groene waterstof;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wijst op het strategische belang van de IMEC-corridor als transformerende aanjager van regionale connectiviteit, economische integratie en geopolitieke samenwerking;</w:t>
            </w:r>
            <w:r>
              <w:t xml:space="preserve"> </w:t>
            </w:r>
            <w:r>
              <w:rPr>
                <w:b/>
                <w:i/>
              </w:rPr>
              <w:t>wijst op het potentieel om de samenwerking op het gebied van strategische digitale infrastructuur uit te breiden, met inbegrip van gediversifieerde en beveiligde dataroutes die de Golf en Europa met elkaar verbinden, met als gezamenlijk doel de digitale veerkracht, de gegevensbeveiliging en connectiviteit van Europa met Azië en Afrika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erkent de voortdurende inspanningen van de Europese Kamer van Koophandel in het Koninkrijk Saudi-Arabië (ECCKSA) om de samenwerking tussen Europese bedrijven en Saudi-Arabië op het gebied van vervoers- en logistieke infrastructuur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Europese Commissie,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w:t>
            </w:r>
            <w:r>
              <w:rPr>
                <w:b/>
                <w:i/>
              </w:rPr>
              <w:t>en controle</w:t>
            </w:r>
            <w:r>
              <w:t xml:space="preserve">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Europese Commissie, waarvan de vierde dialoog in december 2024 in Riyad heeft plaatsgevonden; </w:t>
            </w:r>
            <w:r>
              <w:rPr>
                <w:b/>
                <w:i/>
              </w:rPr>
              <w:t>benadrukt dat deze en alle andere mensenrechtendialogen die de EU voert, gericht moeten zijn op het bereiken van concrete, meetbare en tijdgebonden vooruitgang op het gebied van de mensenrechten, met inbegrip van hervormingen op het gebied van de mensenrechten, het beëindigen van wanbeleid, het waarborgen van verantwoordingsplicht voor misstanden en het vrijlaten van onterecht opgesloten personen;</w:t>
            </w:r>
            <w:r>
              <w:t xml:space="preserve"> </w:t>
            </w:r>
            <w:r>
              <w:rPr>
                <w:b/>
                <w:i/>
              </w:rPr>
              <w:t>herinnert eraan dat de samenwerking tussen de EU en Saudi-Arabië op het gebied van de mensenrechten niet beperkt mag blijven tot de mensenrechtendialogen, maar moet worden gestroomlijnd in alle betrekkingen tussen de EU en Saudi-Arabië, overeenkomstig artikel 21 VEU;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Europese Commissie,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Europese Commissie, waarvan de vierde dialoog in december 2024 in Riyad heeft plaatsgevonden; </w:t>
            </w:r>
            <w:r>
              <w:rPr>
                <w:b/>
                <w:i/>
              </w:rPr>
              <w:t>merkt op dat de besprekingen betrekking hadden op een brede reeks mensenrechtenkwesties, waaronder vrouwenrechten en de rechten van kwetsbare groepen, de rechtsstaat, het recht op een eerlijk proces, de doodstraf, de vrijheid van meningsuiting, vergadering en vereniging, mensenhandel, economische, sociale en culturele rechten, alsook bilaterale samenwerking tussen de EU en Saudi-Arabië en activiteiten in multilaterale mensenrechtenfora;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Europese Commissie,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Europese Commissie, waarvan de vierde dialoog in december 2024 in Riyad heeft plaatsgevonden</w:t>
            </w:r>
            <w:r>
              <w:rPr>
                <w:b/>
                <w:i/>
              </w:rPr>
              <w:t>, en benadrukt dat deze en alle andere mensenrechtendialogen die de EU voert gericht moeten zijn op het waarborgen van concrete, meetbare en tijdgebonden vooruitgang op het gebied van de mensenrechten, met inbegrip van hervormingen op het gebied van de mensenrechten, het beëindigen van wanbeleid, het waarborgen van verantwoordingsplicht voor misstanden en het vrijlaten van onterecht opgesloten personen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Europese Commissie,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Europese Commissie, waarvan de vierde dialoog in december 2024 in Riyad heeft plaatsgevonden; </w:t>
            </w:r>
            <w:r>
              <w:rPr>
                <w:b/>
                <w:i/>
              </w:rPr>
              <w:t>onderstreept dat mensenrechtendialogen een cruciaal platform vormen voor het uitwisselen van standpunten over internationale mensenrechten en het versterken van multilaterale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Europese Commissie,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Europese Commissie, waarvan de vierde dialoog in december 2024 in Riyad heeft plaatsgevonden; </w:t>
            </w:r>
            <w:r>
              <w:rPr>
                <w:b/>
                <w:i/>
              </w:rPr>
              <w:t>benadrukt dat deze mensenrechtendialogen gericht moeten zijn op het waarborgen van concrete, meetbare en tijdgebonden vooruitgang en hervormingen op het gebied van de mensenrechten;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Europese Commissie,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Europese Commissie, waarvan de vierde dialoog in december 2024 in Riyad heeft plaatsgevonden; </w:t>
            </w:r>
            <w:r>
              <w:rPr>
                <w:b/>
                <w:i/>
              </w:rPr>
              <w:t>benadrukt dat deze en alle andere mensenrechtendialogen gericht moeten zijn op concrete, meetbare, tijdgebonden en bindende toezeggingen;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mensenrechten; is ingenomen met de mensenrechtendialogen tussen de EU en het Koninkrijk </w:t>
            </w:r>
            <w:r>
              <w:rPr>
                <w:b/>
                <w:i/>
              </w:rPr>
              <w:t>Saoedi-Arabië</w:t>
            </w:r>
            <w:r>
              <w:t xml:space="preserve"> onder leiding van de Mensenrechtencommissie van </w:t>
            </w:r>
            <w:r>
              <w:rPr>
                <w:b/>
                <w:i/>
              </w:rPr>
              <w:t>Saoedi-Arabië</w:t>
            </w:r>
            <w:r>
              <w:t xml:space="preserve"> en de </w:t>
            </w:r>
            <w:r>
              <w:rPr>
                <w:b/>
                <w:i/>
              </w:rPr>
              <w:t>Europese Commissie</w:t>
            </w:r>
            <w:r>
              <w:t>, waarvan de vierde dialoog in december 2024 in Riyad heeft plaatsgevonden;</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w:t>
            </w:r>
            <w:r>
              <w:t xml:space="preserve"> op het gebied van mensenrechten; is ingenomen met de mensenrechtendialogen tussen de EU en het Koninkrijk </w:t>
            </w:r>
            <w:r>
              <w:rPr>
                <w:b/>
                <w:i/>
              </w:rPr>
              <w:t>Saudi-Arabië</w:t>
            </w:r>
            <w:r>
              <w:t xml:space="preserve"> onder leiding van de Mensenrechtencommissie van </w:t>
            </w:r>
            <w:r>
              <w:rPr>
                <w:b/>
                <w:i/>
              </w:rPr>
              <w:t>Saudi-Arabië</w:t>
            </w:r>
            <w:r>
              <w:t xml:space="preserve"> en de </w:t>
            </w:r>
            <w:r>
              <w:rPr>
                <w:b/>
                <w:i/>
              </w:rPr>
              <w:t>speciale vertegenwoordiger van de EU voor de mensenrechten</w:t>
            </w:r>
            <w:r>
              <w:t>, waarvan de vierde dialoog in december 2024 in Riyad heeft plaatsgevonden;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roept op tot nauwere samenwerking tussen de EU en </w:t>
            </w:r>
            <w:r>
              <w:rPr>
                <w:b/>
                <w:i/>
              </w:rPr>
              <w:t>Saoedi-Arabië</w:t>
            </w:r>
            <w:r>
              <w:t xml:space="preserve"> op het gebied van </w:t>
            </w:r>
            <w:r>
              <w:rPr>
                <w:b/>
                <w:i/>
              </w:rPr>
              <w:t>mensenrechten;</w:t>
            </w:r>
            <w:r>
              <w:t xml:space="preserve"> </w:t>
            </w:r>
            <w:r>
              <w:rPr>
                <w:b/>
                <w:i/>
              </w:rPr>
              <w:t>is ingenomen met de mensenrechtendialogen tussen de EU en het Koninkrijk Saoedi-Arabië onder leiding van de Mensenrechtencommissie van Saoedi-Arabië en de Europese Commissie, waarvan de vierde dialoog in december 2024 in Riyad heeft plaatsgevonden</w:t>
            </w:r>
            <w:r>
              <w:t>;</w:t>
            </w:r>
          </w:p>
        </w:tc>
        <w:tc>
          <w:tcPr>
            <w:tcW w:w="4876" w:type="dxa"/>
            <w:tcBorders>
              <w:top w:val="nil"/>
              <w:left w:val="nil"/>
              <w:bottom w:val="nil"/>
              <w:right w:val="nil"/>
            </w:tcBorders>
          </w:tcPr>
          <w:p>
            <w:pPr>
              <w:pStyle w:val="Normal6a"/>
            </w:pPr>
            <w:r>
              <w:t>27.</w:t>
            </w:r>
            <w:r>
              <w:tab/>
            </w:r>
            <w:r>
              <w:t xml:space="preserve">roept op tot nauwere samenwerking tussen de EU en </w:t>
            </w:r>
            <w:r>
              <w:rPr>
                <w:b/>
                <w:i/>
              </w:rPr>
              <w:t>Saudi-Arabië rond onze gemeenschappelijke belangen</w:t>
            </w:r>
            <w:r>
              <w:t xml:space="preserve"> op het gebied van </w:t>
            </w:r>
            <w:r>
              <w:rPr>
                <w:b/>
                <w:i/>
              </w:rPr>
              <w:t>veiligheid, regionale stabiliteit, bestrijding van illegale immigratie en economische samenwerking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eist de onmiddellijke en onvoorwaardelijke vrijlating van alle mensenrechtenverdedigers, verdedigers van vrouwenrechten, vreedzame critici en activisten;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vraagt dat er een gestructureerd EU-monitoringmechanisme wordt ingesteld met duidelijke benchmarks, tijdschema’s en consequenties bij gebrek aan vooruitgang bij de mensenrechtenhervormingen in Saudi-Arabië;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erkent de </w:t>
            </w:r>
            <w:r>
              <w:rPr>
                <w:b/>
                <w:i/>
              </w:rPr>
              <w:t>aanzienlijke</w:t>
            </w:r>
            <w:r>
              <w:t xml:space="preserve"> sociale hervormingen die Saudi-Arabië heeft doorgevoerd, </w:t>
            </w:r>
            <w:r>
              <w:rPr>
                <w:b/>
                <w:i/>
              </w:rPr>
              <w:t>zoals de nieuwe wetgeving inzake burgerlijke transacties, de</w:t>
            </w:r>
            <w:r>
              <w:t xml:space="preserve"> vooruitgang </w:t>
            </w:r>
            <w:r>
              <w:rPr>
                <w:b/>
                <w:i/>
              </w:rPr>
              <w:t>op het gebied van de emancipatie van vrouwen, de werkzaamheden voor het opstellen van een</w:t>
            </w:r>
            <w:r>
              <w:t xml:space="preserve"> wetboek van strafrecht</w:t>
            </w:r>
            <w:r>
              <w:rPr>
                <w:b/>
                <w:i/>
              </w:rPr>
              <w:t>, de verbetering van het kafala-systeem voor</w:t>
            </w:r>
            <w:r>
              <w:t xml:space="preserve"> arbeidsmigranten </w:t>
            </w:r>
            <w:r>
              <w:rPr>
                <w:b/>
                <w:i/>
              </w:rPr>
              <w:t>en de invoering van nieuwe regelgeving voor werkenden</w:t>
            </w:r>
            <w:r>
              <w:t>;</w:t>
            </w:r>
          </w:p>
        </w:tc>
        <w:tc>
          <w:tcPr>
            <w:tcW w:w="4876" w:type="dxa"/>
            <w:tcBorders>
              <w:top w:val="nil"/>
              <w:left w:val="nil"/>
              <w:bottom w:val="nil"/>
              <w:right w:val="nil"/>
            </w:tcBorders>
          </w:tcPr>
          <w:p>
            <w:pPr>
              <w:pStyle w:val="Normal6a"/>
            </w:pPr>
            <w:r>
              <w:t>28.</w:t>
            </w:r>
            <w:r>
              <w:tab/>
            </w:r>
            <w:r>
              <w:t xml:space="preserve">erkent de sociale hervormingen die Saudi-Arabië heeft doorgevoerd, </w:t>
            </w:r>
            <w:r>
              <w:rPr>
                <w:b/>
                <w:i/>
              </w:rPr>
              <w:t>maar benadrukt dat verdere stappen nodig zijn om de beoogde</w:t>
            </w:r>
            <w:r>
              <w:t xml:space="preserve"> vooruitgang </w:t>
            </w:r>
            <w:r>
              <w:rPr>
                <w:b/>
                <w:i/>
              </w:rPr>
              <w:t>te bevorderen en te consolideren, onder meer door ervoor te zorgen dat het nieuwe</w:t>
            </w:r>
            <w:r>
              <w:t xml:space="preserve"> wetboek van strafrecht </w:t>
            </w:r>
            <w:r>
              <w:rPr>
                <w:b/>
                <w:i/>
              </w:rPr>
              <w:t>kindhuwelijken en verkrachting binnen het huwelijk strafbaar stelt en het recht op vrijheid van meningsuiting, vergadering en vereniging decriminaliseert;</w:t>
            </w:r>
            <w:r>
              <w:t xml:space="preserve"> </w:t>
            </w:r>
            <w:r>
              <w:rPr>
                <w:b/>
                <w:i/>
              </w:rPr>
              <w:t>maakt zich nog steeds zorgen over de heersende discriminatie in de wetgeving en de praktijk, ook ten aanzien van vrouwen en</w:t>
            </w:r>
            <w:r>
              <w:t xml:space="preserve"> arbeidsmigranten;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erkent de aanzienlijke sociale hervormingen die Saudi-Arabië heeft doorgevoerd, zoals de nieuwe wetgeving inzake burgerlijke transacties, de vooruitgang op het gebied van de emancipatie van vrouwen, de werkzaamheden voor het opstellen van een wetboek van strafrecht, de verbetering van het kafala-systeem voor arbeidsmigranten en de invoering van nieuwe regelgeving voor werkenden;</w:t>
            </w:r>
          </w:p>
        </w:tc>
        <w:tc>
          <w:tcPr>
            <w:tcW w:w="4876" w:type="dxa"/>
            <w:tcBorders>
              <w:top w:val="nil"/>
              <w:left w:val="nil"/>
              <w:bottom w:val="nil"/>
              <w:right w:val="nil"/>
            </w:tcBorders>
          </w:tcPr>
          <w:p>
            <w:pPr>
              <w:pStyle w:val="Normal6a"/>
            </w:pPr>
            <w:r>
              <w:t>28.</w:t>
            </w:r>
            <w:r>
              <w:tab/>
            </w:r>
            <w:r>
              <w:t xml:space="preserve">erkent de aanzienlijke sociale hervormingen die Saudi-Arabië heeft doorgevoerd, zoals de nieuwe wetgeving inzake burgerlijke transacties, de vooruitgang op het gebied van de emancipatie van vrouwen, de werkzaamheden voor het opstellen van een wetboek van strafrecht, de verbetering van het kafala-systeem voor arbeidsmigranten en de invoering van nieuwe regelgeving voor werkenden; </w:t>
            </w:r>
            <w:r>
              <w:rPr>
                <w:b/>
                <w:i/>
              </w:rPr>
              <w:t>merkt echter op dat het rechtssysteem van Saudi-Arabië wordt gekenmerkt door een dubbele uitdaging, namelijk het ontbreken van een alomvattend wetboek van strafrecht en vaag omschreven, restrictieve wetten;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erkent de aanzienlijke sociale hervormingen die Saudi-Arabië heeft doorgevoerd, zoals de nieuwe wetgeving inzake burgerlijke transacties</w:t>
            </w:r>
            <w:r>
              <w:rPr>
                <w:b/>
                <w:i/>
              </w:rPr>
              <w:t>,</w:t>
            </w:r>
            <w:r>
              <w:t xml:space="preserve"> de vooruitgang op het gebied van de emancipatie van vrouwen</w:t>
            </w:r>
            <w:r>
              <w:rPr>
                <w:b/>
                <w:i/>
              </w:rPr>
              <w:t>, de werkzaamheden voor het opstellen van een wetboek van strafrecht, de verbetering van het kafala-systeem voor arbeidsmigranten en de invoering van nieuwe regelgeving voor werkenden</w:t>
            </w:r>
            <w:r>
              <w:t>;</w:t>
            </w:r>
          </w:p>
        </w:tc>
        <w:tc>
          <w:tcPr>
            <w:tcW w:w="4876" w:type="dxa"/>
            <w:tcBorders>
              <w:top w:val="nil"/>
              <w:left w:val="nil"/>
              <w:bottom w:val="nil"/>
              <w:right w:val="nil"/>
            </w:tcBorders>
          </w:tcPr>
          <w:p>
            <w:pPr>
              <w:pStyle w:val="Normal6a"/>
            </w:pPr>
            <w:r>
              <w:t>28.</w:t>
            </w:r>
            <w:r>
              <w:tab/>
            </w:r>
            <w:r>
              <w:t xml:space="preserve">erkent de aanzienlijke sociale hervormingen die Saudi-Arabië heeft doorgevoerd, zoals de nieuwe wetgeving inzake burgerlijke transacties </w:t>
            </w:r>
            <w:r>
              <w:rPr>
                <w:b/>
                <w:i/>
              </w:rPr>
              <w:t>en</w:t>
            </w:r>
            <w:r>
              <w:t xml:space="preserve"> de vooruitgang op het gebied van de emancipatie van vrouwen;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erkent de aanzienlijke sociale hervormingen die Saudi-Arabië heeft doorgevoerd, zoals de nieuwe wetgeving inzake burgerlijke transacties, de vooruitgang op het gebied van de emancipatie van vrouwen, de werkzaamheden voor het opstellen van een wetboek van strafrecht, de verbetering van </w:t>
            </w:r>
            <w:r>
              <w:rPr>
                <w:b/>
                <w:i/>
              </w:rPr>
              <w:t>het</w:t>
            </w:r>
            <w:r>
              <w:t xml:space="preserve"> kafala-systeem </w:t>
            </w:r>
            <w:r>
              <w:rPr>
                <w:b/>
                <w:i/>
              </w:rPr>
              <w:t>voor arbeidsmigranten</w:t>
            </w:r>
            <w:r>
              <w:t xml:space="preserve"> en de invoering van nieuwe regelgeving voor werkenden;</w:t>
            </w:r>
          </w:p>
        </w:tc>
        <w:tc>
          <w:tcPr>
            <w:tcW w:w="4876" w:type="dxa"/>
            <w:tcBorders>
              <w:top w:val="nil"/>
              <w:left w:val="nil"/>
              <w:bottom w:val="nil"/>
              <w:right w:val="nil"/>
            </w:tcBorders>
          </w:tcPr>
          <w:p>
            <w:pPr>
              <w:pStyle w:val="Normal6a"/>
            </w:pPr>
            <w:r>
              <w:t>28.</w:t>
            </w:r>
            <w:r>
              <w:tab/>
            </w:r>
            <w:r>
              <w:t xml:space="preserve">erkent de aanzienlijke sociale hervormingen die Saudi-Arabië heeft doorgevoerd, zoals de nieuwe wetgeving inzake burgerlijke transacties, de vooruitgang op het gebied van de emancipatie van vrouwen, de werkzaamheden voor het opstellen van een wetboek van strafrecht, de verbetering van </w:t>
            </w:r>
            <w:r>
              <w:rPr>
                <w:b/>
                <w:i/>
              </w:rPr>
              <w:t>de hervorming van het sponsorsysteem (</w:t>
            </w:r>
            <w:r>
              <w:t>kafala-systeem</w:t>
            </w:r>
            <w:r>
              <w:rPr>
                <w:b/>
                <w:i/>
              </w:rPr>
              <w:t>)</w:t>
            </w:r>
            <w:r>
              <w:t xml:space="preserve"> en de invoering van nieuwe regelgeving voor werkenden;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erkent de aanzienlijke sociale hervormingen die Saudi-Arabië heeft doorgevoerd, zoals de nieuwe wetgeving inzake burgerlijke transacties, de vooruitgang op het gebied van de emancipatie van vrouwen, de werkzaamheden voor het opstellen van een wetboek van strafrecht, de verbetering van het kafala-systeem voor arbeidsmigranten en de invoering van nieuwe regelgeving voor werkenden;</w:t>
            </w:r>
          </w:p>
        </w:tc>
        <w:tc>
          <w:tcPr>
            <w:tcW w:w="4876" w:type="dxa"/>
            <w:tcBorders>
              <w:top w:val="nil"/>
              <w:left w:val="nil"/>
              <w:bottom w:val="nil"/>
              <w:right w:val="nil"/>
            </w:tcBorders>
          </w:tcPr>
          <w:p>
            <w:pPr>
              <w:pStyle w:val="Normal6a"/>
            </w:pPr>
            <w:r>
              <w:t>28.</w:t>
            </w:r>
            <w:r>
              <w:tab/>
            </w:r>
            <w:r>
              <w:t>erkent de aanzienlijke sociale hervormingen die Saudi-Arabië heeft doorgevoerd, zoals de nieuwe wetgeving inzake burgerlijke transacties, de vooruitgang op het gebied van de emancipatie van vrouwen, de werkzaamheden voor het opstellen van een wetboek van strafrecht, de verbetering van het kafala-systeem voor arbeidsmigranten en de invoering van nieuwe regelgeving voor werkenden;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erkent de aanzienlijke sociale hervormingen die Saudi-Arabië heeft doorgevoerd, zoals de nieuwe wetgeving inzake burgerlijke transacties, de </w:t>
            </w:r>
            <w:r>
              <w:rPr>
                <w:b/>
                <w:i/>
              </w:rPr>
              <w:t>vooruitgang</w:t>
            </w:r>
            <w:r>
              <w:t xml:space="preserve"> op het gebied van de emancipatie van vrouwen, de werkzaamheden voor het opstellen van een wetboek van strafrecht, de verbetering van het kafala-systeem voor arbeidsmigranten en de invoering van nieuwe </w:t>
            </w:r>
            <w:r>
              <w:rPr>
                <w:b/>
                <w:i/>
              </w:rPr>
              <w:t>regelgeving voor werkenden</w:t>
            </w:r>
            <w:r>
              <w:t>;</w:t>
            </w:r>
          </w:p>
        </w:tc>
        <w:tc>
          <w:tcPr>
            <w:tcW w:w="4876" w:type="dxa"/>
            <w:tcBorders>
              <w:top w:val="nil"/>
              <w:left w:val="nil"/>
              <w:bottom w:val="nil"/>
              <w:right w:val="nil"/>
            </w:tcBorders>
          </w:tcPr>
          <w:p>
            <w:pPr>
              <w:pStyle w:val="Normal6a"/>
            </w:pPr>
            <w:r>
              <w:t>28.</w:t>
            </w:r>
            <w:r>
              <w:tab/>
            </w:r>
            <w:r>
              <w:t xml:space="preserve">erkent de aanzienlijke sociale hervormingen die Saudi-Arabië heeft doorgevoerd, zoals de nieuwe wetgeving inzake burgerlijke transacties, de </w:t>
            </w:r>
            <w:r>
              <w:rPr>
                <w:b/>
                <w:i/>
              </w:rPr>
              <w:t>vordering</w:t>
            </w:r>
            <w:r>
              <w:t xml:space="preserve"> op het gebied van de emancipatie van vrouwen, de werkzaamheden voor het opstellen van een wetboek van strafrecht, de verbetering van het kafala-systeem voor arbeidsmigranten en de invoering van nieuwe </w:t>
            </w:r>
            <w:r>
              <w:rPr>
                <w:b/>
                <w:i/>
              </w:rPr>
              <w:t>arbeidsregelgeving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neemt er nota van dat Saudi-Arabië een wetboek van strafrecht aan het opstellen is, maar benadrukt dat het wetsontwerp volgens mensenrechtenorganisaties uitingen strafbaar stelt die krachtens het internationaal recht beschermde rechten zijn en vrouwen en meisjes niet tegen alle vormen van gendergerelateerd geweld beschermt;</w:t>
            </w:r>
            <w:r>
              <w:t xml:space="preserve"> </w:t>
            </w:r>
            <w:r>
              <w:rPr>
                <w:b/>
                <w:i/>
              </w:rPr>
              <w:t>dringt er bij de Saudische autoriteiten op aan om het ontwerp van wetboek van strafrecht voordat het wordt aangenomen te wijzigen in overeenstemming met de internationale verplichtingen van het land en ervoor te zorgen dat vrouwen en meisjes worden beschermd tegen alle vormen van gendergerelateerd geweld door “eermisdrijven” uit de juridische lexicon te schrappen, te zorgen voor adequate bescherming tegen intimidatie en huiselijk geweld, verkrachting binnen het huwelijk strafbaar te stellen en bij de opstelling van het ontwerp te zorgen voor zinvolle raadpleging van het maatschappelijk middenveld, met inbegrip van vrouwelijke mensenrechtenverdedigers;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wijst erop dat de arbeidsparticipatie van vrouwen in Saudi-Arabië sinds 2017 meer dan verdubbeld is tot 37 %</w:t>
            </w:r>
            <w:r>
              <w:rPr>
                <w:b/>
                <w:i/>
                <w:vertAlign w:val="superscript"/>
              </w:rPr>
              <w:t>2 bis</w:t>
            </w:r>
            <w:r>
              <w:rPr>
                <w:b/>
                <w:i/>
              </w:rPr>
              <w:t>;</w:t>
            </w:r>
            <w:r>
              <w:t xml:space="preserve"> </w:t>
            </w:r>
            <w:r>
              <w:rPr>
                <w:b/>
                <w:i/>
              </w:rPr>
              <w:t>merkt op dat Saudische vrouwen thans eigenaar zijn van 45 % van de kmo’s en 17 % van alle bedrijven;</w:t>
            </w:r>
            <w:r>
              <w:t xml:space="preserve"> </w:t>
            </w:r>
            <w:r>
              <w:rPr>
                <w:b/>
                <w:i/>
              </w:rPr>
              <w:t>is van mening dat deze ontwikkelingen het effect laten zien van de hervormingen van de wetgeving die sinds 2018 zijn doorgevoerd, waaronder de opheffing van het rijverbod</w:t>
            </w:r>
            <w:r>
              <w:rPr>
                <w:b/>
                <w:i/>
                <w:vertAlign w:val="superscript"/>
              </w:rPr>
              <w:t>3 bis</w:t>
            </w:r>
            <w:r>
              <w:rPr>
                <w:b/>
                <w:i/>
              </w:rPr>
              <w:t>, de vaststelling van een wet tegen intimidatie en nieuwe regelgeving inzake de persoonlijke status waarmee de minimale huwbare leeftijd wordt opgetrokken tot 18 jaar en de autonomie van vrouwen wordt versterkt;</w:t>
            </w:r>
            <w:r>
              <w:t xml:space="preserve"> </w:t>
            </w:r>
            <w:r>
              <w:rPr>
                <w:b/>
                <w:i/>
              </w:rPr>
              <w:t>feliciteert Saudi-Arabië met deze verwezenlijkingen en moedigt het land aan om door te gaan met hervormingen die erop gericht zijn de rechten van vrouwen en hun deelname aan het openbare leven verder te bevorderen;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https://genderdata.worldbank.org/en/economies/Saudi-arabia#:~:text=In%20Saudi%20Arabia%2C%20the%20labor,labor%20force%20participation%20has%20increased.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https://www.weforum.org/stories/2018/06/Saudi-women-take-victory-lap-as-driving-ban-ends/.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wijst op het gebrek aan godsdienstvrijheid in Saudi-Arabië, met name voor christenen;</w:t>
            </w:r>
            <w:r>
              <w:t xml:space="preserve"> </w:t>
            </w:r>
            <w:r>
              <w:rPr>
                <w:b/>
                <w:i/>
              </w:rPr>
              <w:t>herinnert eraan dat Saudi-Arabië vaak op de tweede plaats staat op de wereldwijde lijst van landen die christelijke minderheden vervolgen;</w:t>
            </w:r>
            <w:r>
              <w:t xml:space="preserve"> </w:t>
            </w:r>
            <w:r>
              <w:rPr>
                <w:b/>
                <w:i/>
              </w:rPr>
              <w:t>dringt er bij de Saudische autoriteiten op aan om geestelijken toe te laten tot het land, wat momenteel verboden 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neemt nota van de bezorgdheid van de sjiitische minderheid in Saudi-Arabië en verzoekt de autoriteiten ervoor te zorgen dat zij in het koninkrijk gelijke behandeling en gelijke kansen genieten;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looft Saudi-Arabië omdat het tot dusver zes vrouwen tot ambassadeur heeft benoemd, wat een belangrijke stap is in de empowerment van vrouwen, en onderstreept dat dit slechts het begin vormt van verdere vooruitgang bij het bevorderen van de vertegenwoordiging en leiderschap van vrouwen;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is verheugd dat Raif Badawi, winnaar van de Sacharovprijs van 2015, in maart 2022 is vrijgelaten, maar vraagt de Saudische autoriteiten zijn zeer restrictieve reis- en communicatieverbod op te heffen, zodat hij met zijn familie kan worden herenigd;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erkent de groeiende participatie van het maatschappelijk middenveld in het koninkrijk, met meer dan 5 400 geregistreerde verenigingen en organisaties, en roept op tot verdere maatregelen om deze positieve trend te ondersteunen en voort te zetten;</w:t>
            </w:r>
          </w:p>
        </w:tc>
        <w:tc>
          <w:tcPr>
            <w:tcW w:w="4876" w:type="dxa"/>
            <w:tcBorders>
              <w:top w:val="nil"/>
              <w:left w:val="nil"/>
              <w:bottom w:val="nil"/>
              <w:right w:val="nil"/>
            </w:tcBorders>
          </w:tcPr>
          <w:p>
            <w:pPr>
              <w:pStyle w:val="Normal6a"/>
            </w:pPr>
            <w:r>
              <w:t>29.</w:t>
            </w:r>
            <w:r>
              <w:tab/>
            </w:r>
            <w:r>
              <w:t xml:space="preserve">erkent de groeiende participatie van het maatschappelijk middenveld in het koninkrijk, met meer dan 5 400 geregistreerde verenigingen en organisaties, en roept op tot verdere maatregelen om deze positieve trend te ondersteunen en voort te zetten; </w:t>
            </w:r>
            <w:r>
              <w:rPr>
                <w:b/>
                <w:i/>
              </w:rPr>
              <w:t>uit echter zijn bezorgdheid over het feit dat vreedzame activisten en gewone burgers steeds vaker het doelwit zijn van willekeurige arrestaties als zij online of offline hun recht op vrijheid van meningsuiting uitoefenen in overeenstemming met het internationaal recht inzake de mensenrechten;</w:t>
            </w:r>
            <w:r>
              <w:t xml:space="preserve"> </w:t>
            </w:r>
            <w:r>
              <w:rPr>
                <w:b/>
                <w:i/>
              </w:rPr>
              <w:t>moedigt Saudi-Arabië aan om de definitie van terrorisme aan te passen aan de internationale normen, onder meer door de wetgeving ter bestrijding van cybercriminaliteit en terrorisme te wijzigen zodat het gebruik van sociale media voor vreedzame meningsuiting niet strafbaar wordt gesteld;</w:t>
            </w:r>
            <w:r>
              <w:t xml:space="preserve"> </w:t>
            </w:r>
            <w:r>
              <w:rPr>
                <w:b/>
                <w:i/>
              </w:rPr>
              <w:t>herinnert eraan dat het Europees Parlement zijn Sacharovprijs 2015 heeft toegekend aan de Saudische blogger Raif Badawi;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erkent de groeiende participatie</w:t>
            </w:r>
            <w:r>
              <w:t xml:space="preserve"> van het maatschappelijk middenveld in het koninkrijk</w:t>
            </w:r>
            <w:r>
              <w:rPr>
                <w:b/>
                <w:i/>
              </w:rPr>
              <w:t>, met</w:t>
            </w:r>
            <w:r>
              <w:t xml:space="preserve"> meer dan 5 400</w:t>
            </w:r>
            <w:r>
              <w:rPr>
                <w:b/>
                <w:i/>
              </w:rPr>
              <w:t> geregistreerde</w:t>
            </w:r>
            <w:r>
              <w:t xml:space="preserve"> verenigingen en organisaties, </w:t>
            </w:r>
            <w:r>
              <w:rPr>
                <w:b/>
                <w:i/>
              </w:rPr>
              <w:t>en roept op tot verdere maatregelen</w:t>
            </w:r>
            <w:r>
              <w:t xml:space="preserve"> om deze </w:t>
            </w:r>
            <w:r>
              <w:rPr>
                <w:b/>
                <w:i/>
              </w:rPr>
              <w:t>positieve trend te ondersteunen en voort te zetten</w:t>
            </w:r>
            <w:r>
              <w:t>;</w:t>
            </w:r>
          </w:p>
        </w:tc>
        <w:tc>
          <w:tcPr>
            <w:tcW w:w="4876" w:type="dxa"/>
            <w:tcBorders>
              <w:top w:val="nil"/>
              <w:left w:val="nil"/>
              <w:bottom w:val="nil"/>
              <w:right w:val="nil"/>
            </w:tcBorders>
          </w:tcPr>
          <w:p>
            <w:pPr>
              <w:pStyle w:val="Normal6a"/>
            </w:pPr>
            <w:r>
              <w:t>29.</w:t>
            </w:r>
            <w:r>
              <w:tab/>
            </w:r>
            <w:r>
              <w:rPr>
                <w:b/>
                <w:i/>
              </w:rPr>
              <w:t>wijst op de massale onderdrukking</w:t>
            </w:r>
            <w:r>
              <w:t xml:space="preserve"> van het </w:t>
            </w:r>
            <w:r>
              <w:rPr>
                <w:b/>
                <w:i/>
              </w:rPr>
              <w:t>onafhankelijke Saudische</w:t>
            </w:r>
            <w:r>
              <w:t xml:space="preserve"> maatschappelijk middenveld </w:t>
            </w:r>
            <w:r>
              <w:rPr>
                <w:b/>
                <w:i/>
              </w:rPr>
              <w:t>en de willekeurige arrestatie van vreedzame dissidenten, publieke intellectuelen, mensenrechtenverdedigers en activisten;</w:t>
            </w:r>
            <w:r>
              <w:t xml:space="preserve"> </w:t>
            </w:r>
            <w:r>
              <w:rPr>
                <w:b/>
                <w:i/>
              </w:rPr>
              <w:t>erkent dat, hoewel er</w:t>
            </w:r>
            <w:r>
              <w:t xml:space="preserve"> in het koninkrijk meer dan 5 400 verenigingen en organisaties </w:t>
            </w:r>
            <w:r>
              <w:rPr>
                <w:b/>
                <w:i/>
              </w:rPr>
              <w:t>geregistreerd zijn</w:t>
            </w:r>
            <w:r>
              <w:t xml:space="preserve">, </w:t>
            </w:r>
            <w:r>
              <w:rPr>
                <w:b/>
                <w:i/>
              </w:rPr>
              <w:t>de oprichting en werking van onafhankelijke, niet-gouvernementele mensenrechtenorganisaties en onafhankelijke monitoring verboden zijn;</w:t>
            </w:r>
            <w:r>
              <w:t xml:space="preserve"> </w:t>
            </w:r>
            <w:r>
              <w:rPr>
                <w:b/>
                <w:i/>
              </w:rPr>
              <w:t>dringt er bij Saudi-Arabië op aan om de wet op verenigingen te wijzigen</w:t>
            </w:r>
            <w:r>
              <w:t xml:space="preserve"> om deze </w:t>
            </w:r>
            <w:r>
              <w:rPr>
                <w:b/>
                <w:i/>
              </w:rPr>
              <w:t>volledig in overeenstemming te brengen met het internationaal recht en de internationale normen en de oprichting van onafhankelijke mensenrechtenorganisaties en vakbonden mogelijk te maken</w:t>
            </w:r>
            <w:r>
              <w:t xml:space="preserve">; </w:t>
            </w:r>
            <w:r>
              <w:rPr>
                <w:b/>
                <w:i/>
              </w:rPr>
              <w:t>vraagt Saudi-Arabië een einde te maken aan de willekeurige arrestaties en detentie van mensenrechtenverdedigers, academici en geestelijken die hun recht op vrijheid van meningsuiting en vereniging uitoefenen, en ervoor te zorgen dat het recht op vrijheid van meningsuiting in het toekomstige wetboek van strafrecht wordt beschermd;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erkent de groeiende participatie van het maatschappelijk middenveld in het koninkrijk, met meer dan 5 400 geregistreerde verenigingen en organisaties, en roept op tot verdere maatregelen om deze positieve trend te ondersteunen en voort te zetten;</w:t>
            </w:r>
          </w:p>
        </w:tc>
        <w:tc>
          <w:tcPr>
            <w:tcW w:w="4876" w:type="dxa"/>
            <w:tcBorders>
              <w:top w:val="nil"/>
              <w:left w:val="nil"/>
              <w:bottom w:val="nil"/>
              <w:right w:val="nil"/>
            </w:tcBorders>
          </w:tcPr>
          <w:p>
            <w:pPr>
              <w:pStyle w:val="Normal6a"/>
            </w:pPr>
            <w:r>
              <w:t>29.</w:t>
            </w:r>
            <w:r>
              <w:tab/>
            </w:r>
            <w:r>
              <w:t xml:space="preserve">erkent de groeiende participatie van het maatschappelijk middenveld in het koninkrijk, met meer dan 5 400 geregistreerde verenigingen en organisaties, en roept op tot verdere maatregelen om deze positieve trend te ondersteunen en voort te zetten; </w:t>
            </w:r>
            <w:r>
              <w:rPr>
                <w:b/>
                <w:i/>
              </w:rPr>
              <w:t>vraagt dat de vrijheid van meningsuiting wordt beschermd en vraagt Saudi-Arabië de daadwerkelijke participatie van internationale mensenrechtenorganisaties ter plaatse mogelijk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erkent de groeiende participatie</w:t>
            </w:r>
            <w:r>
              <w:t xml:space="preserve"> van het maatschappelijk middenveld </w:t>
            </w:r>
            <w:r>
              <w:rPr>
                <w:b/>
                <w:i/>
              </w:rPr>
              <w:t>in het koninkrijk, met</w:t>
            </w:r>
            <w:r>
              <w:t xml:space="preserve"> meer dan 5 400</w:t>
            </w:r>
            <w:r>
              <w:rPr>
                <w:b/>
                <w:i/>
              </w:rPr>
              <w:t> geregistreerde</w:t>
            </w:r>
            <w:r>
              <w:t xml:space="preserve"> verenigingen en organisaties</w:t>
            </w:r>
            <w:r>
              <w:rPr>
                <w:b/>
                <w:i/>
              </w:rPr>
              <w:t>, en roept op tot verdere maatregelen om deze positieve trend te ondersteunen en voort te zetten</w:t>
            </w:r>
            <w:r>
              <w:t>;</w:t>
            </w:r>
          </w:p>
        </w:tc>
        <w:tc>
          <w:tcPr>
            <w:tcW w:w="4876" w:type="dxa"/>
            <w:tcBorders>
              <w:top w:val="nil"/>
              <w:left w:val="nil"/>
              <w:bottom w:val="nil"/>
              <w:right w:val="nil"/>
            </w:tcBorders>
          </w:tcPr>
          <w:p>
            <w:pPr>
              <w:pStyle w:val="Normal6a"/>
            </w:pPr>
            <w:r>
              <w:t>29.</w:t>
            </w:r>
            <w:r>
              <w:tab/>
            </w:r>
            <w:r>
              <w:rPr>
                <w:b/>
                <w:i/>
              </w:rPr>
              <w:t>wijst op de aanhoudende onderdrukking</w:t>
            </w:r>
            <w:r>
              <w:t xml:space="preserve"> van het </w:t>
            </w:r>
            <w:r>
              <w:rPr>
                <w:b/>
                <w:i/>
              </w:rPr>
              <w:t>onafhankelijke Saudische</w:t>
            </w:r>
            <w:r>
              <w:t xml:space="preserve"> maatschappelijk middenveld </w:t>
            </w:r>
            <w:r>
              <w:rPr>
                <w:b/>
                <w:i/>
              </w:rPr>
              <w:t>en de willekeurige arrestatie van vreedzame dissidenten, publieke intellectuelen, mensenrechtenverdedigers en activisten;</w:t>
            </w:r>
            <w:r>
              <w:t xml:space="preserve"> </w:t>
            </w:r>
            <w:r>
              <w:rPr>
                <w:b/>
                <w:i/>
              </w:rPr>
              <w:t>erkent dat er</w:t>
            </w:r>
            <w:r>
              <w:t xml:space="preserve"> meer dan 5 400 verenigingen en organisaties </w:t>
            </w:r>
            <w:r>
              <w:rPr>
                <w:b/>
                <w:i/>
              </w:rPr>
              <w:t>geregistreerd zijn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erkent de groeiende participatie van het maatschappelijk middenveld in het koninkrijk, met meer dan 5 400 geregistreerde verenigingen en organisaties, en roept op tot verdere maatregelen om deze positieve trend te ondersteunen en voort te zetten;</w:t>
            </w:r>
          </w:p>
        </w:tc>
        <w:tc>
          <w:tcPr>
            <w:tcW w:w="4876" w:type="dxa"/>
            <w:tcBorders>
              <w:top w:val="nil"/>
              <w:left w:val="nil"/>
              <w:bottom w:val="nil"/>
              <w:right w:val="nil"/>
            </w:tcBorders>
          </w:tcPr>
          <w:p>
            <w:pPr>
              <w:pStyle w:val="Normal6a"/>
            </w:pPr>
            <w:r>
              <w:t>29.</w:t>
            </w:r>
            <w:r>
              <w:tab/>
            </w:r>
            <w:r>
              <w:t xml:space="preserve">erkent de groeiende participatie van het </w:t>
            </w:r>
            <w:r>
              <w:rPr>
                <w:b/>
                <w:i/>
              </w:rPr>
              <w:t>Saudische</w:t>
            </w:r>
            <w:r>
              <w:t xml:space="preserve"> maatschappelijk middenveld in het koninkrijk, met meer dan 5 400 geregistreerde verenigingen en organisaties, en roept op tot verdere maatregelen om deze positieve trend te ondersteunen en voort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stelt met waardering vast dat er aanzienlijke vooruitgang is geboekt met het vergroten van de deelname van vrouwen aan het openbare leven en dat vrouwen thans 41 % van het ambtenarenapparaat — met inbegrip van hoge diplomatieke posten — en 20 % van de leden van de Shura-raad uitmaken</w:t>
            </w:r>
            <w:r>
              <w:rPr>
                <w:b/>
                <w:i/>
                <w:vertAlign w:val="superscript"/>
              </w:rPr>
              <w:t>2 bis</w:t>
            </w:r>
            <w:r>
              <w:rPr>
                <w:b/>
                <w:i/>
              </w:rPr>
              <w:t>;</w:t>
            </w:r>
            <w:r>
              <w:t xml:space="preserve"> </w:t>
            </w:r>
            <w:r>
              <w:rPr>
                <w:b/>
                <w:i/>
              </w:rPr>
              <w:t>wijst voorts op de historische mijlpaal van mei 2023, toen astronaut Rayyanah Barnawi de eerste Saudische en Arabische moslimvrouw in de ruimte werd, wat symbool staat voor het streven van het koninkrijk naar empowerment, innovatie en het doorbreken van barrières</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https://data.ipu.org/parliament/SA/SA-LC01/data-on-women/.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https://sites.ungeneva.org/not-a-womans-job/2024/en/permanent-missions/rayanna-barnawi.html.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dringt er bij Saudi-Arabië op om aan landenbezoeken door onafhankelijke mensenrechtenwaarnemers toe te staan en te vereisen dat er regelmatig onafhankelijke rapporten over de mensenrechtensituatie worden opgesteld, met duidelijke benchmarks voor de vooruitgang op het gebied van de mensenrechten in Saudi-Arabië;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dringt er bij Saudi-Arabië op om aan landenbezoeken door onafhankelijke mensenrechtenwaarnemers toe te staan en te vereisen dat er regelmatig onafhankelijke rapporten over de mensenrechtensituatie worden opgesteld, met duidelijke benchmarks voor de vooruitgang op het gebied van de mensenrechten in Saudi-Arabië;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dringt er bij Saudi-Arabië op aan om onafhankelijke mensenrechtenwaarnemers toe te staan het land te bezoeken;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ter.</w:t>
            </w:r>
            <w:r>
              <w:tab/>
            </w:r>
            <w:r>
              <w:rPr>
                <w:b/>
                <w:i/>
              </w:rPr>
              <w:t>vraagt dat mensen die worden vastgehouden omdat ze hun rechten op vreedzame wijze hebben uitgeoefend, in het bijzonder belangrijke activisten, academici en geestelijken, onmiddellijk worden vrijgelaten;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erkent</w:t>
            </w:r>
            <w:r>
              <w:t xml:space="preserve"> de mensenrechtenstrategie van </w:t>
            </w:r>
            <w:r>
              <w:rPr>
                <w:b/>
                <w:i/>
              </w:rPr>
              <w:t>Saoedi-Arabië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p>
        </w:tc>
        <w:tc>
          <w:tcPr>
            <w:tcW w:w="4876" w:type="dxa"/>
            <w:tcBorders>
              <w:top w:val="nil"/>
              <w:left w:val="nil"/>
              <w:bottom w:val="nil"/>
              <w:right w:val="nil"/>
            </w:tcBorders>
          </w:tcPr>
          <w:p>
            <w:pPr>
              <w:pStyle w:val="Normal6a"/>
            </w:pPr>
            <w:r>
              <w:t>30.</w:t>
            </w:r>
            <w:r>
              <w:tab/>
            </w:r>
            <w:r>
              <w:rPr>
                <w:b/>
                <w:i/>
              </w:rPr>
              <w:t>neemt nota van</w:t>
            </w:r>
            <w:r>
              <w:t xml:space="preserve"> de mensenrechtenstrategie van </w:t>
            </w:r>
            <w:r>
              <w:rPr>
                <w:b/>
                <w:i/>
              </w:rPr>
              <w:t>Saudi-Arabië</w:t>
            </w:r>
            <w:r>
              <w:t xml:space="preserve"> voor het WK voetbal 2034</w:t>
            </w:r>
            <w:r>
              <w:rPr>
                <w:b/>
                <w:i/>
              </w:rPr>
              <w:t>, maar betreurt dat een aantal van de ernstigste risico’s voor de mensenrechten, zoals uitbuiting van werknemers, onderdrukking van vrijheden en schendingen van het recht op privacy door middel van massale surveillance, niet echt wordt aangepakt of zelfs niet wordt vermeld</w:t>
            </w:r>
            <w:r>
              <w:t>;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r>
              <w:rPr>
                <w:b/>
                <w:i/>
              </w:rPr>
              <w:t>, om te zorgen voor adequate arbeidsomstandigheden voor alle werknemers, met name empirisch onderbouwde maatregelen ter bescherming tegen hitte, tijdige en volledige betaling van loon, en in geval van overlijden te zorgen voor een grondig onderzoek en schadeloosstelling voor de families van de overledenen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erkent de mensenrechtenstrategie van </w:t>
            </w:r>
            <w:r>
              <w:rPr>
                <w:b/>
                <w:i/>
              </w:rPr>
              <w:t>Saoedi-Arabië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p>
        </w:tc>
        <w:tc>
          <w:tcPr>
            <w:tcW w:w="4876" w:type="dxa"/>
            <w:tcBorders>
              <w:top w:val="nil"/>
              <w:left w:val="nil"/>
              <w:bottom w:val="nil"/>
              <w:right w:val="nil"/>
            </w:tcBorders>
          </w:tcPr>
          <w:p>
            <w:pPr>
              <w:pStyle w:val="Normal6a"/>
            </w:pPr>
            <w:r>
              <w:t>30.</w:t>
            </w:r>
            <w:r>
              <w:tab/>
            </w:r>
            <w:r>
              <w:t xml:space="preserve">erkent de mensenrechtenstrategie van </w:t>
            </w:r>
            <w:r>
              <w:rPr>
                <w:b/>
                <w:i/>
              </w:rPr>
              <w:t>Saudi-Arabië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r>
              <w:rPr>
                <w:b/>
                <w:i/>
              </w:rPr>
              <w:t>, om ervoor te zorgen dat alle overlijdens van arbeidsmigranten, ongeacht de vermeende oorzaak, het tijdstip en de plaats, naar behoren worden onderzocht en dat de families van overleden werknemers tijdig een billijke schadeloosstelling ontvangen,</w:t>
            </w:r>
            <w:r>
              <w:t xml:space="preserve"> </w:t>
            </w:r>
            <w:r>
              <w:rPr>
                <w:b/>
                <w:i/>
              </w:rPr>
              <w:t>dat er adequate, empirisch onderbouwde maatregelen ter bescherming tegen de hitte worden genomen en dat alle werknemers tijdig en volledig worden betaald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erkent de mensenrechtenstrategie van </w:t>
            </w:r>
            <w:r>
              <w:rPr>
                <w:b/>
                <w:i/>
              </w:rPr>
              <w:t>Saoedi-Arabië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p>
        </w:tc>
        <w:tc>
          <w:tcPr>
            <w:tcW w:w="4876" w:type="dxa"/>
            <w:tcBorders>
              <w:top w:val="nil"/>
              <w:left w:val="nil"/>
              <w:bottom w:val="nil"/>
              <w:right w:val="nil"/>
            </w:tcBorders>
          </w:tcPr>
          <w:p>
            <w:pPr>
              <w:pStyle w:val="Normal6a"/>
            </w:pPr>
            <w:r>
              <w:t>30.</w:t>
            </w:r>
            <w:r>
              <w:tab/>
            </w:r>
            <w:r>
              <w:t xml:space="preserve">erkent de mensenrechtenstrategie van </w:t>
            </w:r>
            <w:r>
              <w:rPr>
                <w:b/>
                <w:i/>
              </w:rPr>
              <w:t>Saudi-Arabië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r>
              <w:rPr>
                <w:b/>
                <w:i/>
              </w:rPr>
              <w:t>, om ervoor te zorgen dat alle overlijdens van arbeidsmigranten naar behoren worden onderzocht en dat de families van overleden werknemers tijdig een billĳke schadeloosstelling ontvangen, dat er adequate, empirisch onderbouwde maatregelen ter bescherming tegen de hitte worden genomen en dat alle werknemers tijdig en volledig worden betaald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erkent de mensenrechtenstrategie van </w:t>
            </w:r>
            <w:r>
              <w:rPr>
                <w:b/>
                <w:i/>
              </w:rPr>
              <w:t>Saoedi-Arabië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p>
        </w:tc>
        <w:tc>
          <w:tcPr>
            <w:tcW w:w="4876" w:type="dxa"/>
            <w:tcBorders>
              <w:top w:val="nil"/>
              <w:left w:val="nil"/>
              <w:bottom w:val="nil"/>
              <w:right w:val="nil"/>
            </w:tcBorders>
          </w:tcPr>
          <w:p>
            <w:pPr>
              <w:pStyle w:val="Normal6a"/>
            </w:pPr>
            <w:r>
              <w:t>30.</w:t>
            </w:r>
            <w:r>
              <w:tab/>
            </w:r>
            <w:r>
              <w:t xml:space="preserve">erkent de mensenrechtenstrategie van </w:t>
            </w:r>
            <w:r>
              <w:rPr>
                <w:b/>
                <w:i/>
              </w:rPr>
              <w:t>Saudi-Arabië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r>
              <w:rPr>
                <w:b/>
                <w:i/>
              </w:rPr>
              <w:t>,</w:t>
            </w:r>
            <w:r>
              <w:t xml:space="preserve"> </w:t>
            </w:r>
            <w:r>
              <w:rPr>
                <w:b/>
                <w:i/>
              </w:rPr>
              <w:t>om ervoor te zorgen dat alle overlijdens van arbeidsmigranten, ongeacht de vermeende oorzaak, het tijdstip en de plaats, naar behoren worden onderzocht en dat de families van overleden werknemers tijdig een billĳke schadeloosstelling ontvangen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erkent de mensenrechtenstrategie van </w:t>
            </w:r>
            <w:r>
              <w:rPr>
                <w:b/>
                <w:i/>
              </w:rPr>
              <w:t>Saoedi-Arabië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met name in de aanloop naar EXPO 2030 en het toernooi;</w:t>
            </w:r>
          </w:p>
        </w:tc>
        <w:tc>
          <w:tcPr>
            <w:tcW w:w="4876" w:type="dxa"/>
            <w:tcBorders>
              <w:top w:val="nil"/>
              <w:left w:val="nil"/>
              <w:bottom w:val="nil"/>
              <w:right w:val="nil"/>
            </w:tcBorders>
          </w:tcPr>
          <w:p>
            <w:pPr>
              <w:pStyle w:val="Normal6a"/>
            </w:pPr>
            <w:r>
              <w:t>30.</w:t>
            </w:r>
            <w:r>
              <w:tab/>
            </w:r>
            <w:r>
              <w:t xml:space="preserve">erkent de mensenrechtenstrategie van </w:t>
            </w:r>
            <w:r>
              <w:rPr>
                <w:b/>
                <w:i/>
              </w:rPr>
              <w:t>Saudi-Arabië</w:t>
            </w:r>
            <w:r>
              <w:t xml:space="preserve"> voor het WK voetbal 2034; herhaalt dat de EU bereid is de lopende hervormingen op het gebied van mensenrechten en arbeid te ondersteunen; roept op tot nauwere samenwerking met de VN en de Internationale Arbeidsorganisatie op het gebied van de rechten van arbeidsmigranten </w:t>
            </w:r>
            <w:r>
              <w:rPr>
                <w:b/>
                <w:i/>
              </w:rPr>
              <w:t>bij het nastreven van verdere omvattende en inclusieve arbeidshervormingen in overeenstemming met de internationale normen</w:t>
            </w:r>
            <w:r>
              <w:t>, met name in de aanloop naar EXPO 2030 en het toernooi;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moedigt Saudi-Arabië aan om de aan de gang zijnde hervormingen van de wetgeving door te voeren om de transparantie van de rechtspraak te verbeteren en detentie voor onbepaalde tijd te voorkomen teneinde de transparantie van de gerechtelijke procedures te waarborgen;</w:t>
            </w:r>
            <w:r>
              <w:t xml:space="preserve"> </w:t>
            </w:r>
            <w:r>
              <w:rPr>
                <w:b/>
                <w:i/>
              </w:rPr>
              <w:t>verzoekt Saudi-Arabië de strafrechtbanken te hervormen om ervoor te zorgen dat zij alle verdachten een eerlijk proces geven, op basis van richtlijnen eerlijke straffen opleggen voor misdrijven, gerechtelijke dossiers openbaar maken en verdachten beschermen tegen willekeurige detentie en mishandeling;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benadrukt dat de vrijheid van meningsuiting ernstig wordt ingeperkt en wijst erop dat het internet nog steeds streng wordt gecontroleerd en dat kritische berichten op sociale media tot arrestatie kunnen 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bevestigt opnieuw het principiële engagement van de EU om </w:t>
            </w:r>
            <w:r>
              <w:rPr>
                <w:b/>
                <w:i/>
              </w:rPr>
              <w:t>samen met Saoedi-Arabië</w:t>
            </w:r>
            <w:r>
              <w:t xml:space="preserve"> te werken </w:t>
            </w:r>
            <w:r>
              <w:rPr>
                <w:b/>
                <w:i/>
              </w:rPr>
              <w:t>aan de afschaffing van de doodstraf</w:t>
            </w:r>
            <w:r>
              <w:t>;</w:t>
            </w:r>
          </w:p>
        </w:tc>
        <w:tc>
          <w:tcPr>
            <w:tcW w:w="4876" w:type="dxa"/>
            <w:tcBorders>
              <w:top w:val="nil"/>
              <w:left w:val="nil"/>
              <w:bottom w:val="nil"/>
              <w:right w:val="nil"/>
            </w:tcBorders>
          </w:tcPr>
          <w:p>
            <w:pPr>
              <w:pStyle w:val="Normal6a"/>
            </w:pPr>
            <w:r>
              <w:t>31.</w:t>
            </w:r>
            <w:r>
              <w:tab/>
            </w:r>
            <w:r>
              <w:rPr>
                <w:b/>
                <w:i/>
              </w:rPr>
              <w:t>spreekt zich andermaal met klem en ondubbelzinnig uit tegen de uitvoering van de doodstraf, ongeacht het tijdstip of de omstandigheden.</w:t>
            </w:r>
            <w:r>
              <w:t xml:space="preserve"> </w:t>
            </w:r>
            <w:r>
              <w:rPr>
                <w:b/>
                <w:i/>
              </w:rPr>
              <w:t>spreekt zijn bezorgdheid uit over de toepassing van de doodstraf in Saudi-Arabië, die in 2024 dramatisch is toegenomen en een ongekend niveau van meer dan 345 terechtstellingen heeft bereikt;</w:t>
            </w:r>
            <w:r>
              <w:t xml:space="preserve"> </w:t>
            </w:r>
            <w:r>
              <w:rPr>
                <w:b/>
                <w:i/>
              </w:rPr>
              <w:t>vraagt Saudi-Arabië een moratorium op terechtstellingen in te stellen met het oog op de afschaffing van de doodstraf en</w:t>
            </w:r>
            <w:r>
              <w:t xml:space="preserve"> bevestigt opnieuw het principiële engagement van de EU om </w:t>
            </w:r>
            <w:r>
              <w:rPr>
                <w:b/>
                <w:i/>
              </w:rPr>
              <w:t>daartoe met Saudi-Arabië samen</w:t>
            </w:r>
            <w:r>
              <w:t xml:space="preserve"> te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bevestigt opnieuw het principiële </w:t>
            </w:r>
            <w:r>
              <w:rPr>
                <w:b/>
                <w:i/>
              </w:rPr>
              <w:t>engagement</w:t>
            </w:r>
            <w:r>
              <w:t xml:space="preserve"> van de EU </w:t>
            </w:r>
            <w:r>
              <w:rPr>
                <w:b/>
                <w:i/>
              </w:rPr>
              <w:t>om samen met Saoedi-Arabië te werken aan de</w:t>
            </w:r>
            <w:r>
              <w:t xml:space="preserve"> afschaffing van </w:t>
            </w:r>
            <w:r>
              <w:rPr>
                <w:b/>
                <w:i/>
              </w:rPr>
              <w:t>de doodstraf</w:t>
            </w:r>
            <w:r>
              <w:t>;</w:t>
            </w:r>
          </w:p>
        </w:tc>
        <w:tc>
          <w:tcPr>
            <w:tcW w:w="4876" w:type="dxa"/>
            <w:tcBorders>
              <w:top w:val="nil"/>
              <w:left w:val="nil"/>
              <w:bottom w:val="nil"/>
              <w:right w:val="nil"/>
            </w:tcBorders>
          </w:tcPr>
          <w:p>
            <w:pPr>
              <w:pStyle w:val="Normal6a"/>
            </w:pPr>
            <w:r>
              <w:t>31.</w:t>
            </w:r>
            <w:r>
              <w:tab/>
            </w:r>
            <w:r>
              <w:t xml:space="preserve">bevestigt opnieuw het principiële </w:t>
            </w:r>
            <w:r>
              <w:rPr>
                <w:b/>
                <w:i/>
              </w:rPr>
              <w:t>standpunt</w:t>
            </w:r>
            <w:r>
              <w:t xml:space="preserve"> van de EU </w:t>
            </w:r>
            <w:r>
              <w:rPr>
                <w:b/>
                <w:i/>
              </w:rPr>
              <w:t>tegen de doodstraf en dringt er bij Saudi-Arabië op aan om onmiddellijk een moratorium op doodvonnissen en terechtstellingen in te stellen, met name voor personen die ter dood veroordeeld zijn voor misdaden die zij als kind hebben gepleegd, met het oog op de volledige</w:t>
            </w:r>
            <w:r>
              <w:t xml:space="preserve"> afschaffing van </w:t>
            </w:r>
            <w:r>
              <w:rPr>
                <w:b/>
                <w:i/>
              </w:rPr>
              <w:t>deze praktijk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bevestigt opnieuw het principiële </w:t>
            </w:r>
            <w:r>
              <w:rPr>
                <w:b/>
                <w:i/>
              </w:rPr>
              <w:t>engagement</w:t>
            </w:r>
            <w:r>
              <w:t xml:space="preserve"> van de EU </w:t>
            </w:r>
            <w:r>
              <w:rPr>
                <w:b/>
                <w:i/>
              </w:rPr>
              <w:t>om samen met Saoedi-Arabië te werken aan de</w:t>
            </w:r>
            <w:r>
              <w:t xml:space="preserve"> afschaffing van de doodstraf;</w:t>
            </w:r>
          </w:p>
        </w:tc>
        <w:tc>
          <w:tcPr>
            <w:tcW w:w="4876" w:type="dxa"/>
            <w:tcBorders>
              <w:top w:val="nil"/>
              <w:left w:val="nil"/>
              <w:bottom w:val="nil"/>
              <w:right w:val="nil"/>
            </w:tcBorders>
          </w:tcPr>
          <w:p>
            <w:pPr>
              <w:pStyle w:val="Normal6a"/>
            </w:pPr>
            <w:r>
              <w:t>31.</w:t>
            </w:r>
            <w:r>
              <w:tab/>
            </w:r>
            <w:r>
              <w:t>bevestigt opnieuw het principiële </w:t>
            </w:r>
            <w:r>
              <w:rPr>
                <w:b/>
                <w:i/>
              </w:rPr>
              <w:t>standpunt</w:t>
            </w:r>
            <w:r>
              <w:t> van de EU </w:t>
            </w:r>
            <w:r>
              <w:rPr>
                <w:b/>
                <w:i/>
              </w:rPr>
              <w:t>tegen de doodstraf en dringt er bij Saudi-Arabië op aan om onmiddellijk een moratorium op doodvonnissen en terechtstellingen in te stellen, te beginnen met personen die ter dood veroordeeld zijn voor misdaden die zij als kind hebben gepleegd, met het oog op de volledige</w:t>
            </w:r>
            <w:r>
              <w:t> afschaffing van de doodstraf;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bevestigt opnieuw het principiële engagement van de EU om samen met </w:t>
            </w:r>
            <w:r>
              <w:rPr>
                <w:b/>
                <w:i/>
              </w:rPr>
              <w:t>Saoedi-Arabië</w:t>
            </w:r>
            <w:r>
              <w:t xml:space="preserve"> te werken aan de afschaffing van de doodstraf;</w:t>
            </w:r>
          </w:p>
        </w:tc>
        <w:tc>
          <w:tcPr>
            <w:tcW w:w="4876" w:type="dxa"/>
            <w:tcBorders>
              <w:top w:val="nil"/>
              <w:left w:val="nil"/>
              <w:bottom w:val="nil"/>
              <w:right w:val="nil"/>
            </w:tcBorders>
          </w:tcPr>
          <w:p>
            <w:pPr>
              <w:pStyle w:val="Normal6a"/>
            </w:pPr>
            <w:r>
              <w:t>31.</w:t>
            </w:r>
            <w:r>
              <w:tab/>
            </w:r>
            <w:r>
              <w:t xml:space="preserve">bevestigt opnieuw het principiële engagement van de EU om samen met </w:t>
            </w:r>
            <w:r>
              <w:rPr>
                <w:b/>
                <w:i/>
              </w:rPr>
              <w:t>Saudi-Arabië</w:t>
            </w:r>
            <w:r>
              <w:t xml:space="preserve"> te werken aan de afschaffing van de doodstraf</w:t>
            </w:r>
            <w:r>
              <w:rPr>
                <w:b/>
                <w:i/>
              </w:rPr>
              <w:t>,</w:t>
            </w:r>
            <w:r>
              <w:t xml:space="preserve"> </w:t>
            </w:r>
            <w:r>
              <w:rPr>
                <w:b/>
                <w:i/>
              </w:rPr>
              <w:t>met de mogelijkheid om een moratorium op doodvonnissen en terechtstellingen in te 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bevestigt opnieuw het principiële engagement van de EU om samen met </w:t>
            </w:r>
            <w:r>
              <w:rPr>
                <w:b/>
                <w:i/>
              </w:rPr>
              <w:t>Saoedi-Arabië</w:t>
            </w:r>
            <w:r>
              <w:t xml:space="preserve"> te werken aan de afschaffing van de doodstraf;</w:t>
            </w:r>
          </w:p>
        </w:tc>
        <w:tc>
          <w:tcPr>
            <w:tcW w:w="4876" w:type="dxa"/>
            <w:tcBorders>
              <w:top w:val="nil"/>
              <w:left w:val="nil"/>
              <w:bottom w:val="nil"/>
              <w:right w:val="nil"/>
            </w:tcBorders>
          </w:tcPr>
          <w:p>
            <w:pPr>
              <w:pStyle w:val="Normal6a"/>
            </w:pPr>
            <w:r>
              <w:t>31.</w:t>
            </w:r>
            <w:r>
              <w:tab/>
            </w:r>
            <w:r>
              <w:t xml:space="preserve">bevestigt opnieuw het principiële engagement van de EU om samen met </w:t>
            </w:r>
            <w:r>
              <w:rPr>
                <w:b/>
                <w:i/>
              </w:rPr>
              <w:t>Saudi-Arabië</w:t>
            </w:r>
            <w:r>
              <w:t xml:space="preserve"> te werken aan de afschaffing van de doodstraf</w:t>
            </w:r>
            <w:r>
              <w:rPr>
                <w:b/>
                <w:i/>
              </w:rPr>
              <w:t>, en bevestigt dat er nog steeds openbare terechtstellingen plaatsvinden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bevestigt opnieuw het principiële engagement van de EU om samen met </w:t>
            </w:r>
            <w:r>
              <w:rPr>
                <w:b/>
                <w:i/>
              </w:rPr>
              <w:t>Saoedi-Arabië</w:t>
            </w:r>
            <w:r>
              <w:t xml:space="preserve"> te werken aan de afschaffing van de doodstraf;</w:t>
            </w:r>
          </w:p>
        </w:tc>
        <w:tc>
          <w:tcPr>
            <w:tcW w:w="4876" w:type="dxa"/>
            <w:tcBorders>
              <w:top w:val="nil"/>
              <w:left w:val="nil"/>
              <w:bottom w:val="nil"/>
              <w:right w:val="nil"/>
            </w:tcBorders>
          </w:tcPr>
          <w:p>
            <w:pPr>
              <w:pStyle w:val="Normal6a"/>
            </w:pPr>
            <w:r>
              <w:t>31.</w:t>
            </w:r>
            <w:r>
              <w:tab/>
            </w:r>
            <w:r>
              <w:t xml:space="preserve">bevestigt opnieuw het principiële engagement van de EU om samen met </w:t>
            </w:r>
            <w:r>
              <w:rPr>
                <w:b/>
                <w:i/>
              </w:rPr>
              <w:t>Saudi-Arabië</w:t>
            </w:r>
            <w:r>
              <w:t xml:space="preserve"> te werken aan de afschaffing van de doodstraf </w:t>
            </w:r>
            <w:r>
              <w:rPr>
                <w:b/>
                <w:i/>
              </w:rPr>
              <w:t>en lijfstraffen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uit zijn ernstige bezorgdheid over de alarmerende toename van de toepassing van de doodstraf in Saudi-Arabië, met ten minste 345 terechtstellingen in 2024, het hoogste aantal in de recente geschiedenis van het koninkrijk, en nog eens 180 terechtstellingen alleen al in de eerste helft van 2025, waarmee het land op weg is om zijn vorige record te overtreffen;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bevestigt opnieuw het principiële engagement van de EU om samen met Saudi-Arabië te werken aan de afschaffing van de doodstraf,</w:t>
            </w:r>
            <w:r>
              <w:t xml:space="preserve"> </w:t>
            </w:r>
            <w:r>
              <w:rPr>
                <w:b/>
                <w:i/>
              </w:rPr>
              <w:t>met de mogelijkheid om een moratorium op doodvonnissen en terechtstellingen in te stellen,</w:t>
            </w:r>
            <w:r>
              <w:t xml:space="preserve"> </w:t>
            </w:r>
            <w:r>
              <w:rPr>
                <w:b/>
                <w:i/>
              </w:rPr>
              <w:t>gezien het feit dat het aantal terechtstellingen in het koninkrijk is toegenomen;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vraagt dat seksuele handelingen tussen personen van hetzelfde geslacht worden gedecriminaliseerd;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ter.</w:t>
            </w:r>
            <w:r>
              <w:tab/>
            </w:r>
            <w:r>
              <w:rPr>
                <w:b/>
                <w:i/>
              </w:rPr>
              <w:t>hekelt het feit dat de doodstraf nog steeds wordt opgelegd voor niet-dodelijke misdrijven, met name drugsgerelateerde misdrijven, en vraagt Saudi-Arabië onmiddellijk een moratorium op terechtstellingen voor dergelijke misdrijven in te stellen, in overeenstemming met de internationale mensenrechtennormen;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quater.</w:t>
            </w:r>
            <w:r>
              <w:tab/>
            </w:r>
            <w:r>
              <w:rPr>
                <w:b/>
                <w:i/>
              </w:rPr>
              <w:t>uit zijn ernstige bezorgdheid over het feit dat meer dan de helft van alle terechtstellingen in 2025 buitenlanders betrof, van wie velen ter dood veroordeeld waren voor niet-dodelijke drugsdelicten, vaak na processen die niet voldeden aan de internationale normen voor een eerlijk proces;</w:t>
            </w:r>
            <w:r>
              <w:t xml:space="preserve"> </w:t>
            </w:r>
            <w:r>
              <w:rPr>
                <w:b/>
                <w:i/>
              </w:rPr>
              <w:t>herinnert eraan dat de toepassing van de doodstraf in dergelijke gevallen een schending vormt van het internationaal recht inzake de mensenrechten, dat de toepassing ervan beperkt tot de “ernstigste misdrijven”;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quinquies.</w:t>
            </w:r>
            <w:r>
              <w:tab/>
            </w:r>
            <w:r>
              <w:rPr>
                <w:b/>
                <w:i/>
              </w:rPr>
              <w:t>betreurt dat er nog steeds mensen gevangen zitten die ter dood zijn veroordeeld voor misdrijven die zij als kind hebben gepleegd, onder wie Abdullah al-Howaiti, Abdullah al-Derazi en Youssef al-Manasif, en vraagt de Saudische autoriteiten hun doodvonnis te herroepen in overeenstemming met de verplichtingen van het Koninkrijk uit hoofde van het internationaal recht en het koninklijk besluit van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sexies.</w:t>
            </w:r>
            <w:r>
              <w:tab/>
            </w:r>
            <w:r>
              <w:rPr>
                <w:b/>
                <w:i/>
              </w:rPr>
              <w:t>veroordeelt in de sterkste bewoordingen de terechtstelling van de Saudische journalist Turki bin Abdulaziz al-Jasser na een geheim proces, alsook de lopende vervolging van vreedzame hervormers en religieuze persoonlijkheden zoals Hassan al-Maliki en Salman Alodah, die de doodstraf riskeren gewoon omdat zij hun recht op vrijheid van meningsuiting uitoefenen;</w:t>
            </w:r>
            <w:r>
              <w:t xml:space="preserve"> </w:t>
            </w:r>
            <w:r>
              <w:rPr>
                <w:b/>
                <w:i/>
              </w:rPr>
              <w:t>roept Saudi-Arabië op om alle personen die gevangen worden gehouden omdat zij op vreedzame wijze hun mensenrechten hebben uitgeoefend, onmiddellijk en onvoorwaardelijk vrij te laten;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roept Saoedi-Arabië op om alle relevante internationale mensenrechtenverdragen te ratificeren;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roept </w:t>
            </w:r>
            <w:r>
              <w:rPr>
                <w:b/>
                <w:i/>
              </w:rPr>
              <w:t>Saoedi-Arabië</w:t>
            </w:r>
            <w:r>
              <w:t xml:space="preserve"> op om alle </w:t>
            </w:r>
            <w:r>
              <w:rPr>
                <w:b/>
                <w:i/>
              </w:rPr>
              <w:t>relevante</w:t>
            </w:r>
            <w:r>
              <w:t xml:space="preserve"> internationale mensenrechtenverdragen te ratificeren;</w:t>
            </w:r>
          </w:p>
        </w:tc>
        <w:tc>
          <w:tcPr>
            <w:tcW w:w="4876" w:type="dxa"/>
            <w:tcBorders>
              <w:top w:val="nil"/>
              <w:left w:val="nil"/>
              <w:bottom w:val="nil"/>
              <w:right w:val="nil"/>
            </w:tcBorders>
          </w:tcPr>
          <w:p>
            <w:pPr>
              <w:pStyle w:val="Normal6a"/>
            </w:pPr>
            <w:r>
              <w:t>32.</w:t>
            </w:r>
            <w:r>
              <w:tab/>
            </w:r>
            <w:r>
              <w:t xml:space="preserve">roept </w:t>
            </w:r>
            <w:r>
              <w:rPr>
                <w:b/>
                <w:i/>
              </w:rPr>
              <w:t>Saudi-Arabië</w:t>
            </w:r>
            <w:r>
              <w:t xml:space="preserve"> op om alle </w:t>
            </w:r>
            <w:r>
              <w:rPr>
                <w:b/>
                <w:i/>
              </w:rPr>
              <w:t>fundamentele</w:t>
            </w:r>
            <w:r>
              <w:t xml:space="preserve"> internationale mensenrechtenverdragen </w:t>
            </w:r>
            <w:r>
              <w:rPr>
                <w:b/>
                <w:i/>
              </w:rPr>
              <w:t>en arbeidsrechtenverdragen</w:t>
            </w:r>
            <w:r>
              <w:t xml:space="preserve"> te ratificeren</w:t>
            </w:r>
            <w:r>
              <w:rPr>
                <w:b/>
                <w:i/>
              </w:rPr>
              <w:t>, waaronder het Internationaal Verdrag inzake burgerrechten en politieke rechten, het Verdrag tegen foltering, de ICESCR, het IAO-verdrag inzake huishoudelijk personeel, het Internationaal Verdrag inzake de bescherming van alle arbeidsmigranten en hun gezinnen, het IAO-verdrag inzake de vrijheid van vereniging van werknemers en de bescherming van het stakingsrecht, en om zijn nationale wetgeving in overeenstemming te brengen met de internationale normen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Bernard Guetta, Hilde Vautmans, Marie-Agnes Strack-Zimmermann, Engin Eroglu,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roept </w:t>
            </w:r>
            <w:r>
              <w:rPr>
                <w:b/>
                <w:i/>
              </w:rPr>
              <w:t>Saoedi-Arabië</w:t>
            </w:r>
            <w:r>
              <w:t xml:space="preserve"> op om alle relevante internationale mensenrechtenverdragen te ratificeren;</w:t>
            </w:r>
          </w:p>
        </w:tc>
        <w:tc>
          <w:tcPr>
            <w:tcW w:w="4876" w:type="dxa"/>
            <w:tcBorders>
              <w:top w:val="nil"/>
              <w:left w:val="nil"/>
              <w:bottom w:val="nil"/>
              <w:right w:val="nil"/>
            </w:tcBorders>
          </w:tcPr>
          <w:p>
            <w:pPr>
              <w:pStyle w:val="Normal6a"/>
            </w:pPr>
            <w:r>
              <w:t>32.</w:t>
            </w:r>
            <w:r>
              <w:tab/>
            </w:r>
            <w:r>
              <w:t xml:space="preserve">roept </w:t>
            </w:r>
            <w:r>
              <w:rPr>
                <w:b/>
                <w:i/>
              </w:rPr>
              <w:t>Saudi-Arabië</w:t>
            </w:r>
            <w:r>
              <w:t xml:space="preserve"> op om alle relevante internationale mensenrechtenverdragen te ratificeren; </w:t>
            </w:r>
            <w:r>
              <w:rPr>
                <w:b/>
                <w:i/>
              </w:rPr>
              <w:t>moedigt Saudi-Arabië aan om ervoor te zorgen dat alle bestaande en nieuwe wetgeving, met inbegrip van het wetboek van strafrecht, in overeenstemming is met de internationale mensenrechtennormen en onderstreept het belang van nauwe samenwerking met het systeem van de Verenigde Naties en het onafhankelijke maatschappelijk middenveld;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roept </w:t>
            </w:r>
            <w:r>
              <w:rPr>
                <w:b/>
                <w:i/>
              </w:rPr>
              <w:t>Saoedi-Arabië</w:t>
            </w:r>
            <w:r>
              <w:t xml:space="preserve"> op om alle </w:t>
            </w:r>
            <w:r>
              <w:rPr>
                <w:b/>
                <w:i/>
              </w:rPr>
              <w:t>relevante</w:t>
            </w:r>
            <w:r>
              <w:t xml:space="preserve"> internationale mensenrechtenverdragen te ratificeren;</w:t>
            </w:r>
          </w:p>
        </w:tc>
        <w:tc>
          <w:tcPr>
            <w:tcW w:w="4876" w:type="dxa"/>
            <w:tcBorders>
              <w:top w:val="nil"/>
              <w:left w:val="nil"/>
              <w:bottom w:val="nil"/>
              <w:right w:val="nil"/>
            </w:tcBorders>
          </w:tcPr>
          <w:p>
            <w:pPr>
              <w:pStyle w:val="Normal6a"/>
            </w:pPr>
            <w:r>
              <w:t>32.</w:t>
            </w:r>
            <w:r>
              <w:tab/>
            </w:r>
            <w:r>
              <w:t xml:space="preserve">roept </w:t>
            </w:r>
            <w:r>
              <w:rPr>
                <w:b/>
                <w:i/>
              </w:rPr>
              <w:t>Saudi-Arabië</w:t>
            </w:r>
            <w:r>
              <w:t xml:space="preserve"> op om alle </w:t>
            </w:r>
            <w:r>
              <w:rPr>
                <w:b/>
                <w:i/>
              </w:rPr>
              <w:t>fundamentele</w:t>
            </w:r>
            <w:r>
              <w:t xml:space="preserve"> internationale mensenrechtenverdragen te ratificeren;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dringt er bij de EU en de lidstaten op aan om de ratificatie van een bilaterale partnerschapsovereenkomst met Saudi-Arabië afhankelijk te stellen van vooruitgang op het gebied van de mensenrechten, en met name van de ratificatie door Saudi-Arabië van de voornaamste verdragen inzake mensenrechten en arbeidsrechten, de vrijlating van ten onrechte gevangengezette personen en de nodige hervormingen op het gebied van mensenrechten en arbeidsrechten om aan de internationale normen te voldoen;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dringt er bij de EU en de lidstaten op aan om de voortgang van de onderhandelingen over en de ratificatie van een bilaterale partnerschapsovereenkomst afhankelijk te stellen van mensenrechtenvoorwaarden, waaronder de ratificatie door Saudi-Arabië van de voornaamste verdragen inzake mensenrechten en arbeidsrechten, de vrijlating van ten onrechte gevangengezette personen en de nodige hervormingen op het gebied van mensenrechten en arbeidsrechten om aan de internationale normen te voldoen;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Robert Biedroń, Andreas Schieder, Evin Incir, Marco Tarquinio,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dringt er bij de EU en de lidstaten op aan om de voortgang van de onderhandelingen over en de ratificatie van een bilaterale partnerschapsovereenkomst afhankelijk te stellen van mensenrechtenvoorwaarden, met inbegrip van, maar niet beperkt tot, de ratificatie door Saudi-Arabië van de voornaamste verdragen inzake mensenrechten en arbeidsrechten en de vrijlating van ten onrechte gevangengezette personen;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Antonio López-Istúriz White,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verzoekt zijn Voorzitter deze resolutie te doen toekomen aan de Raad </w:t>
            </w:r>
            <w:r>
              <w:rPr>
                <w:b/>
                <w:i/>
              </w:rPr>
              <w:t>en</w:t>
            </w:r>
            <w:r>
              <w:t xml:space="preserve"> de Commissie.</w:t>
            </w:r>
          </w:p>
        </w:tc>
        <w:tc>
          <w:tcPr>
            <w:tcW w:w="4876" w:type="dxa"/>
            <w:tcBorders>
              <w:top w:val="nil"/>
              <w:left w:val="nil"/>
              <w:bottom w:val="nil"/>
              <w:right w:val="nil"/>
            </w:tcBorders>
          </w:tcPr>
          <w:p>
            <w:pPr>
              <w:pStyle w:val="Normal6a"/>
            </w:pPr>
            <w:r>
              <w:t>33.</w:t>
            </w:r>
            <w:r>
              <w:tab/>
            </w:r>
            <w:r>
              <w:t>verzoekt zijn Voorzitter deze resolutie te doen toekomen aan de Raad</w:t>
            </w:r>
            <w:r>
              <w:rPr>
                <w:b/>
                <w:i/>
              </w:rPr>
              <w:t>,</w:t>
            </w:r>
            <w:r>
              <w:t xml:space="preserve"> de Commissie</w:t>
            </w:r>
            <w:r>
              <w:rPr>
                <w:b/>
                <w:i/>
              </w:rPr>
              <w:t>, de vicevoorzitter van de Commissie/hoge vertegenwoordiger van de Unie voor buitenlandse zaken en veiligheidsbeleid, Zijne Majesteit Koning Salman bin Abdulaziz Al Saud, kroonprins Mohammad Bin Salman Al Saud, de regering van het Koninkrijk Saudi-Arabië en de Shura-raad;</w:t>
            </w:r>
            <w:r>
              <w:t xml:space="preserve"> </w:t>
            </w:r>
            <w:r>
              <w:rPr>
                <w:b/>
                <w:i/>
              </w:rPr>
              <w:t>vraagt dat deze resolutie wordt vertaald in het Arabisch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776.795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110</w:t>
    </w:r>
    <w:r>
      <w:fldChar w:fldCharType="end"/>
    </w:r>
    <w:r>
      <w:t>/</w:t>
    </w:r>
    <w:r>
      <w:fldChar w:fldCharType="begin"/>
    </w:r>
    <w:r>
      <w:instrText xml:space="preserve"> NUMPAGES </w:instrText>
    </w:r>
    <w:r>
      <w:fldChar w:fldCharType="separate"/>
    </w:r>
    <w:r>
      <w:t>110</w:t>
    </w:r>
    <w:r>
      <w:fldChar w:fldCharType="end"/>
    </w:r>
    <w:r>
      <w:tab/>
    </w:r>
    <w:r>
      <w:rPr>
        <w:rStyle w:val="HideTWBExt"/>
      </w:rPr>
      <w:t>&lt;PathFdR&gt;</w:t>
    </w:r>
    <w:r>
      <w:t>AM\1326564NL.docx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AM\1326564NL.docx</w:t>
    </w:r>
    <w:r>
      <w:rPr>
        <w:rStyle w:val="HideTWBExt"/>
      </w:rPr>
      <w:t>&lt;/PathFdR&gt;</w:t>
    </w:r>
    <w:r>
      <w:tab/>
    </w:r>
    <w:r>
      <w:fldChar w:fldCharType="begin"/>
    </w:r>
    <w:r>
      <w:instrText xml:space="preserve"> PAGE </w:instrText>
    </w:r>
    <w:r>
      <w:fldChar w:fldCharType="separate"/>
    </w:r>
    <w:r>
      <w:t>109</w:t>
    </w:r>
    <w:r>
      <w:fldChar w:fldCharType="end"/>
    </w:r>
    <w:r>
      <w:t>/</w:t>
    </w:r>
    <w:r>
      <w:fldChar w:fldCharType="begin"/>
    </w:r>
    <w:r>
      <w:instrText xml:space="preserve"> NUMPAGES </w:instrText>
    </w:r>
    <w:r>
      <w:fldChar w:fldCharType="separate"/>
    </w:r>
    <w:r>
      <w:t>110</w:t>
    </w:r>
    <w:r>
      <w:fldChar w:fldCharType="end"/>
    </w:r>
    <w:r>
      <w:tab/>
    </w:r>
    <w:r>
      <w:t>PE</w:t>
    </w:r>
    <w:r>
      <w:rPr>
        <w:rStyle w:val="HideTWBExt"/>
      </w:rPr>
      <w:t>&lt;NoPE&gt;</w:t>
    </w:r>
    <w:r>
      <w:t>776.795</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AM\1326564NL.docx</w:t>
    </w:r>
    <w:r>
      <w:rPr>
        <w:rStyle w:val="HideTWBExt"/>
      </w:rPr>
      <w:t>&lt;/PathFdR&gt;</w:t>
    </w:r>
    <w:r>
      <w:tab/>
    </w:r>
    <w:r>
      <w:tab/>
    </w:r>
    <w:r>
      <w:t>PE</w:t>
    </w:r>
    <w:r>
      <w:rPr>
        <w:rStyle w:val="HideTWBExt"/>
      </w:rPr>
      <w:t>&lt;NoPE&gt;</w:t>
    </w:r>
    <w:r>
      <w:t>776.795</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110</Pages>
  <Words>21255</Words>
  <Characters>131431</Characters>
  <Application>Microsoft Office Word</Application>
  <DocSecurity>0</DocSecurity>
  <Lines>1</Lines>
  <Paragraphs>1889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1326564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245448</vt:lpwstr>
  </property>
  <property fmtid="{D5CDD505-2E9C-101B-9397-08002B2CF9AE}" pid="7" name="dmxml.render.traceId">
    <vt:lpwstr>68d3fe56c331b86403a325920e4c3fc6</vt:lpwstr>
  </property>
  <property fmtid="{D5CDD505-2E9C-101B-9397-08002B2CF9AE}" pid="8" name="FooterPath">
    <vt:lpwstr>AM\1326564NL.docx</vt:lpwstr>
  </property>
  <property fmtid="{D5CDD505-2E9C-101B-9397-08002B2CF9AE}" pid="9" name="PE Number">
    <vt:lpwstr>776.795</vt:lpwstr>
  </property>
  <property fmtid="{D5CDD505-2E9C-101B-9397-08002B2CF9AE}" pid="10" name="UID">
    <vt:lpwstr>eu.europa.europarl-DIN1-2025-0000164417_01.00-nl-01.00_text-xml</vt:lpwstr>
  </property>
</Properties>
</file>