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Výbor pro zahraniční věci</w:t>
      </w:r>
      <w:r>
        <w:rPr>
          <w:rStyle w:val="HideTWBExt"/>
        </w:rPr>
        <w:t>&lt;/Commission&gt;</w:t>
      </w:r>
    </w:p>
    <w:p>
      <w:pPr>
        <w:pStyle w:val="LineBottom"/>
      </w:pPr>
      <w:r>
        <w:t xml:space="preserve"> </w:t>
      </w:r>
    </w:p>
    <w:p>
      <w:pPr>
        <w:pStyle w:val="CoverReference"/>
      </w:pPr>
      <w:r>
        <w:rPr>
          <w:rStyle w:val="HideTWBExt"/>
        </w:rPr>
        <w:t>&lt;RefProc&gt;</w:t>
      </w:r>
      <w:r>
        <w:t>2025/2049</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{09/09/2025}</w:t>
      </w:r>
      <w:r>
        <w:t>9.9.2025</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1</w:t>
      </w:r>
      <w:r>
        <w:t xml:space="preserve"> - </w:t>
      </w:r>
      <w:r>
        <w:t>172</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Antonio López-Istúriz White</w:t>
      </w:r>
      <w:r>
        <w:rPr>
          <w:rStyle w:val="HideTWBExt"/>
        </w:rPr>
        <w:t>&lt;/Rapporteur&gt;</w:t>
      </w:r>
    </w:p>
    <w:p>
      <w:pPr>
        <w:pStyle w:val="CoverNormal24a"/>
      </w:pPr>
      <w:r>
        <w:rPr>
          <w:rStyle w:val="HideTWBExt"/>
        </w:rPr>
        <w:t>&lt;DocRefPE&gt;</w:t>
      </w:r>
      <w:r>
        <w:t>(PE775.385v01-00)</w:t>
      </w:r>
      <w:r>
        <w:rPr>
          <w:rStyle w:val="HideTWBExt"/>
        </w:rPr>
        <w:t>&lt;/DocRefPE&gt;</w:t>
      </w:r>
    </w:p>
    <w:p>
      <w:pPr>
        <w:pStyle w:val="CoverNormal"/>
      </w:pPr>
      <w:r>
        <w:rPr>
          <w:rStyle w:val="HideTWBExt"/>
        </w:rPr>
        <w:t>&lt;Titre&gt;</w:t>
      </w:r>
      <w:r>
        <w:t>Řešení beztrestnosti prostřednictvím sankcí EU, včetně globálního režimu sankcí EU v oblasti lidských práv (tzv. „unijní Magnitského zákon“)</w:t>
      </w:r>
      <w:r>
        <w:rPr>
          <w:rStyle w:val="HideTWBExt"/>
        </w:rPr>
        <w:t>&lt;/Titre&gt;</w:t>
      </w:r>
    </w:p>
    <w:p>
      <w:pPr>
        <w:pStyle w:val="CoverNormal24a"/>
      </w:pPr>
      <w:r>
        <w:rPr>
          <w:rStyle w:val="HideTWBExt"/>
        </w:rPr>
        <w:t>&lt;DocRef&gt;</w:t>
      </w:r>
      <w:r>
        <w:t>(2025/2049(INI))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Všeobecnou deklaraci lidských práv ze dne 10. prosince 1948,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Evropskou úmluvu o ochraně lidských práv a základních svobod ze dne 4. listopadu 1950,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Mezinárodní pakt o občanských a politických právech ze dne 16. prosince 1966,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Úmluvu OSN proti mučení a jinému krutému, nelidskému či ponižujícímu zacházení nebo trestání ze dne 10. prosince 1984,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s ohledem na rozhodnutí Rady (SZBP) 2023/2721 ze dne 4. prosince 2023, kterým byla prodloužena platnost globálního režimu sankcí EU v oblasti lidských práv </w:t>
            </w:r>
            <w:r>
              <w:rPr>
                <w:b/>
                <w:i/>
              </w:rPr>
              <w:t>(unijní Magnitského zákon)</w:t>
            </w:r>
            <w:r>
              <w:t xml:space="preserve"> o tři roky, tj. do 8. prosince 2026,</w:t>
            </w:r>
          </w:p>
        </w:tc>
        <w:tc>
          <w:tcPr>
            <w:tcW w:w="4876" w:type="dxa"/>
            <w:tcBorders>
              <w:top w:val="nil"/>
              <w:left w:val="nil"/>
              <w:bottom w:val="nil"/>
              <w:right w:val="nil"/>
            </w:tcBorders>
          </w:tcPr>
          <w:p>
            <w:pPr>
              <w:pStyle w:val="Normal6a"/>
            </w:pPr>
            <w:r>
              <w:rPr>
                <w:b/>
                <w:i/>
              </w:rPr>
              <w:t>–</w:t>
            </w:r>
            <w:r>
              <w:tab/>
            </w:r>
            <w:r>
              <w:t>s ohledem na rozhodnutí Rady (SZBP) 2023/2721 ze dne 4. prosince 2023, kterým byla prodloužena platnost globálního režimu sankcí EU v oblasti lidských práv o tři roky, tj. do 8. prosince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13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usnesení Evropského parlamentu ze dne 19. června 2025 o rozpuštění politických stran a represi opozice v Mali (2025/2754(RSP)),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vzhledem k tomu, že globální režim sankcí EU v oblasti lidských práv, přijatý v prosinci 2020, umožňuje EU zavádět omezující opatření vůči fyzickým osobám a subjektům odpovědným za závažné porušování lidských práv na celém světě; vzhledem k tomu, že Spojené státy, Kanada </w:t>
            </w:r>
            <w:r>
              <w:rPr>
                <w:b/>
                <w:i/>
              </w:rPr>
              <w:t>a</w:t>
            </w:r>
            <w:r>
              <w:t xml:space="preserve"> Spojené království přijaly obdobné režimy sankcí; vzhledem k tomu, že spolupráce mezi podobně smýšlejícími zeměmi v oblasti sankcí zvyšuje jejich účinnost;</w:t>
            </w:r>
          </w:p>
        </w:tc>
        <w:tc>
          <w:tcPr>
            <w:tcW w:w="4876" w:type="dxa"/>
            <w:tcBorders>
              <w:top w:val="nil"/>
              <w:left w:val="nil"/>
              <w:bottom w:val="nil"/>
              <w:right w:val="nil"/>
            </w:tcBorders>
          </w:tcPr>
          <w:p>
            <w:pPr>
              <w:pStyle w:val="Normal6a"/>
            </w:pPr>
            <w:r>
              <w:t>B.</w:t>
            </w:r>
            <w:r>
              <w:tab/>
            </w:r>
            <w:r>
              <w:t xml:space="preserve">vzhledem k tomu, že globální režim sankcí EU v oblasti lidských práv, přijatý v prosinci 2020 </w:t>
            </w:r>
            <w:r>
              <w:rPr>
                <w:b/>
                <w:i/>
              </w:rPr>
              <w:t>v návaznosti na přijetí globálních právních předpisů Magnitského ve Spojených státech amerických a v dalších západních demokraciích</w:t>
            </w:r>
            <w:r>
              <w:t xml:space="preserve">, umožňuje EU zavádět omezující opatření vůči fyzickým osobám a subjektům odpovědným za závažné porušování lidských práv na celém světě; vzhledem k tomu, že </w:t>
            </w:r>
            <w:r>
              <w:rPr>
                <w:b/>
                <w:i/>
              </w:rPr>
              <w:t>některé členské státy přijaly vlastní vnitrostátní právní předpisy podobné Magnitského zákonu;</w:t>
            </w:r>
            <w:r>
              <w:t xml:space="preserve"> </w:t>
            </w:r>
            <w:r>
              <w:rPr>
                <w:b/>
                <w:i/>
              </w:rPr>
              <w:t>vzhledem k tomu, že</w:t>
            </w:r>
            <w:r>
              <w:t xml:space="preserve"> Spojené státy, Kanada</w:t>
            </w:r>
            <w:r>
              <w:rPr>
                <w:b/>
                <w:i/>
              </w:rPr>
              <w:t>,</w:t>
            </w:r>
            <w:r>
              <w:t xml:space="preserve"> Spojené království</w:t>
            </w:r>
            <w:r>
              <w:rPr>
                <w:b/>
                <w:i/>
              </w:rPr>
              <w:t>, Austrálie a další podobně smýšlející země</w:t>
            </w:r>
            <w:r>
              <w:t xml:space="preserve"> přijaly obdobné režimy sankcí; vzhledem k tomu, že spolupráce mezi podobně smýšlejícími zeměmi v oblasti sankcí zvyšuje jejich účinnost;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vzhledem k tomu, že globální režim sankcí EU v oblasti lidských práv, přijatý v prosinci 2020, umožňuje EU zavádět omezující opatření vůči fyzickým osobám a subjektům odpovědným za závažné porušování lidských práv na celém světě; vzhledem k tomu, že Spojené státy, Kanada a Spojené království přijaly obdobné režimy sankcí; vzhledem k tomu, že spolupráce mezi podobně smýšlejícími zeměmi v oblasti sankcí zvyšuje jejich účinnost;</w:t>
            </w:r>
          </w:p>
        </w:tc>
        <w:tc>
          <w:tcPr>
            <w:tcW w:w="4876" w:type="dxa"/>
            <w:tcBorders>
              <w:top w:val="nil"/>
              <w:left w:val="nil"/>
              <w:bottom w:val="nil"/>
              <w:right w:val="nil"/>
            </w:tcBorders>
          </w:tcPr>
          <w:p>
            <w:pPr>
              <w:pStyle w:val="Normal6a"/>
            </w:pPr>
            <w:r>
              <w:t>B.</w:t>
            </w:r>
            <w:r>
              <w:tab/>
            </w:r>
            <w:r>
              <w:t xml:space="preserve">vzhledem k tomu, že globální režim sankcí EU v oblasti lidských práv, přijatý v prosinci 2020, umožňuje EU zavádět omezující opatření vůči fyzickým osobám a subjektům odpovědným za závažné porušování lidských práv na celém světě; vzhledem k tomu, že Spojené státy, Kanada a Spojené království přijaly obdobné režimy sankcí; vzhledem k tomu, že spolupráce </w:t>
            </w:r>
            <w:r>
              <w:rPr>
                <w:b/>
                <w:i/>
              </w:rPr>
              <w:t>a koordinace</w:t>
            </w:r>
            <w:r>
              <w:t xml:space="preserve"> mezi podobně smýšlejícími zeměmi v oblasti sankcí zvyšuje jejich účinnost;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globální režim sankcí EU v oblasti lidských práv se zaměřuje na jednotlivé pachatele a subjekty, nikoli na široká hospodářská odvětví, což snižuje vedlejší škody pro širokou populaci a zabraňuje zhoršení přístupu k potravinám, lékům nebo veřejným službám;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vzhledem k tomu, že Parlament ve svém usnesení ze dne 8. července 2021 o globálním režimu sankcí EU v oblasti lidských práv </w:t>
            </w:r>
            <w:r>
              <w:rPr>
                <w:b/>
                <w:i/>
              </w:rPr>
              <w:t>(unijní Magnitského zákon)</w:t>
            </w:r>
            <w:r>
              <w:t xml:space="preserve"> uvítal přijetí tohoto režimu sankcí jakožto zásadního doplňku souboru nástrojů EU v oblasti lidských práv a zahraniční politiky;</w:t>
            </w:r>
          </w:p>
        </w:tc>
        <w:tc>
          <w:tcPr>
            <w:tcW w:w="4876" w:type="dxa"/>
            <w:tcBorders>
              <w:top w:val="nil"/>
              <w:left w:val="nil"/>
              <w:bottom w:val="nil"/>
              <w:right w:val="nil"/>
            </w:tcBorders>
          </w:tcPr>
          <w:p>
            <w:pPr>
              <w:pStyle w:val="Normal6a"/>
            </w:pPr>
            <w:r>
              <w:t>C.</w:t>
            </w:r>
            <w:r>
              <w:tab/>
            </w:r>
            <w:r>
              <w:t>vzhledem k tomu, že Parlament ve svém usnesení ze dne 8. července 2021 o globálním režimu sankcí EU v oblasti lidských práv uvítal přijetí tohoto režimu sankcí jakožto zásadního doplňku souboru nástrojů EU v oblasti lidských práv a zahraniční politiky;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Evropský soud pro lidská práva v jednomyslném rozhodnutí sedmi soudců ve věci Magnitský a další v. Rusko (věci č. 32631/09 a 53799/12) ze dne 27. srpna 2019 rozhodl, že Rusko je odpovědné za smrt Sergeje Magnitského ve vězení a že byl vystaven úmyslným násilným činům představujícím nelidské a ponižující zacházení;</w:t>
            </w:r>
            <w:r>
              <w:t xml:space="preserve"> </w:t>
            </w:r>
            <w:r>
              <w:rPr>
                <w:b/>
                <w:i/>
              </w:rPr>
              <w:t>vzhledem k tomu, že navzdory vyšetřování jeho zadržení, mučení, nezákonného posmrtného stíhání a smrti nebyl nikdo trestně stíhán;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vzhledem k tomu, že globální režim sankcí EU v oblasti lidských práv se vztahuje na širokou škálu porušování lidských práv a mezi osoby a subjekty zařazené na sankční seznamy mohou patřit pachatelé, pomocníci a třetí strany poskytující materiál nebo </w:t>
            </w:r>
            <w:r>
              <w:rPr>
                <w:b/>
                <w:i/>
              </w:rPr>
              <w:t>odborné znalosti</w:t>
            </w:r>
            <w:r>
              <w:t xml:space="preserve"> pro represi;</w:t>
            </w:r>
          </w:p>
        </w:tc>
        <w:tc>
          <w:tcPr>
            <w:tcW w:w="4876" w:type="dxa"/>
            <w:tcBorders>
              <w:top w:val="nil"/>
              <w:left w:val="nil"/>
              <w:bottom w:val="nil"/>
              <w:right w:val="nil"/>
            </w:tcBorders>
          </w:tcPr>
          <w:p>
            <w:pPr>
              <w:pStyle w:val="Normal6a"/>
            </w:pPr>
            <w:r>
              <w:t>D.</w:t>
            </w:r>
            <w:r>
              <w:tab/>
            </w:r>
            <w:r>
              <w:t xml:space="preserve">vzhledem k tomu, že globální režim sankcí EU v oblasti lidských práv se vztahuje na širokou škálu porušování lidských práv a mezi osoby a subjekty zařazené na sankční seznamy mohou patřit pachatelé, pomocníci a třetí strany poskytující materiál nebo </w:t>
            </w:r>
            <w:r>
              <w:rPr>
                <w:b/>
                <w:i/>
              </w:rPr>
              <w:t>technickou pomoc</w:t>
            </w:r>
            <w:r>
              <w:t xml:space="preserve"> pro represi;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vzhledem k tomu, že globální režim sankcí EU v oblasti lidských práv se vztahuje na širokou škálu porušování lidských práv a mezi osoby a subjekty zařazené na sankční seznamy mohou patřit pachatelé, pomocníci a třetí strany poskytující materiál nebo odborné znalosti pro represi;</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globální režim sankcí EU v oblasti lidských práv se rovněž vztahuje na porušování nebo zneužívání lidských práv a na akty, které jsou rozsáhlé, systematické nebo závažné, pokud jde o cíle společné zahraniční a bezpečnostní politiky, jak je stanoveno v článku 21 Smlouvy o Evropské unii, jako je obchodování s lidmi, sexuální a genderově podmíněné násilí, porušování nebo zneužívání základních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nadnárodní represe dosud nebyly zařazeny na seznam závažných případů porušování lidských práv, které by vedly k sankcím v rámci globálního režimu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vzhledem k tomu, že četná usnesení Parlamentu vyzývají k častějšímu využívání sankčních nástrojů v případech nejzávažnějších mezinárodních zločinů nebo závažného porušování lidských práv;</w:t>
            </w:r>
          </w:p>
        </w:tc>
        <w:tc>
          <w:tcPr>
            <w:tcW w:w="4876" w:type="dxa"/>
            <w:tcBorders>
              <w:top w:val="nil"/>
              <w:left w:val="nil"/>
              <w:bottom w:val="nil"/>
              <w:right w:val="nil"/>
            </w:tcBorders>
          </w:tcPr>
          <w:p>
            <w:pPr>
              <w:pStyle w:val="Normal6a"/>
            </w:pPr>
            <w:r>
              <w:t>E.</w:t>
            </w:r>
            <w:r>
              <w:tab/>
            </w:r>
            <w:r>
              <w:t xml:space="preserve">vzhledem k tomu, že četná usnesení Parlamentu vyzývají k častějšímu využívání sankčních nástrojů v případech nejzávažnějších mezinárodních zločinů nebo závažného porušování lidských práv; </w:t>
            </w:r>
            <w:r>
              <w:rPr>
                <w:b/>
                <w:i/>
              </w:rPr>
              <w:t>se znepokojením bere na vědomí, že v posledních letech se v Latinské Americe šíří trestná činnost, kdy orgány některých zemí vytvořily systém správy, který se vyznačuje spojenectvím mezi vládou, drogovými kartely nebo sítěmi organizované trestné činnosti;</w:t>
            </w:r>
            <w:r>
              <w:t xml:space="preserve"> </w:t>
            </w:r>
            <w:r>
              <w:rPr>
                <w:b/>
                <w:i/>
              </w:rPr>
              <w:t>odsuzuje skutečnost, že tyto aliance fungují jako symbiotický vztah, kdy nestátní ozbrojené skupiny poskytují vyšším představitelům těchto režimů přístup k jejich oblastem vlivu a plnou kontrolu nad nimi a kde na oplátku režimy tolerují a v některých případech aktivně chrání jejich činnost;</w:t>
            </w:r>
            <w:r>
              <w:t xml:space="preserve"> </w:t>
            </w:r>
            <w:r>
              <w:rPr>
                <w:b/>
                <w:i/>
              </w:rPr>
              <w:t>co nejdůrazněji odsuzuje, že venezuelský režim Nicolase Madura, vůdce zločineckého Cartel de los Soles, je dobrým příkladem této skutečnosti;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vzhledem k tomu, že četná usnesení Parlamentu vyzývají k častějšímu využívání sankčních nástrojů v případech nejzávažnějších mezinárodních zločinů nebo závažného porušování lidských práv;</w:t>
            </w:r>
          </w:p>
        </w:tc>
        <w:tc>
          <w:tcPr>
            <w:tcW w:w="4876" w:type="dxa"/>
            <w:tcBorders>
              <w:top w:val="nil"/>
              <w:left w:val="nil"/>
              <w:bottom w:val="nil"/>
              <w:right w:val="nil"/>
            </w:tcBorders>
          </w:tcPr>
          <w:p>
            <w:pPr>
              <w:pStyle w:val="Normal6a"/>
            </w:pPr>
            <w:r>
              <w:t>E.</w:t>
            </w:r>
            <w:r>
              <w:tab/>
            </w:r>
            <w:r>
              <w:t xml:space="preserve">vzhledem k tomu, že četná usnesení Parlamentu vyzývají k </w:t>
            </w:r>
            <w:r>
              <w:rPr>
                <w:b/>
                <w:i/>
              </w:rPr>
              <w:t>flexibilnějšímu a</w:t>
            </w:r>
            <w:r>
              <w:t xml:space="preserve"> častějšímu využívání sankčních nástrojů v případech nejzávažnějších mezinárodních zločinů nebo závažného porušování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vzhledem k tomu, že k 28. květnu 2025 bylo na sankční seznamy v rámci globálního režimu sankcí EU v oblasti lidských práv zařazeno 156 osob a subjektů (120 fyzických osob a 36 subjektů);</w:t>
            </w:r>
          </w:p>
        </w:tc>
        <w:tc>
          <w:tcPr>
            <w:tcW w:w="4876" w:type="dxa"/>
            <w:tcBorders>
              <w:top w:val="nil"/>
              <w:left w:val="nil"/>
              <w:bottom w:val="nil"/>
              <w:right w:val="nil"/>
            </w:tcBorders>
          </w:tcPr>
          <w:p>
            <w:pPr>
              <w:pStyle w:val="Normal6a"/>
            </w:pPr>
            <w:r>
              <w:t>F.</w:t>
            </w:r>
            <w:r>
              <w:tab/>
            </w:r>
            <w:r>
              <w:t xml:space="preserve">vzhledem k tomu, že k 28. květnu 2025 bylo na sankční seznamy v rámci globálního režimu sankcí EU v oblasti lidských práv zařazeno 156 osob a subjektů (120 fyzických osob a 36 subjektů); </w:t>
            </w:r>
            <w:r>
              <w:rPr>
                <w:b/>
                <w:i/>
              </w:rPr>
              <w:t>vzhledem k tomu, že podle podobného amerického globálního Magnitského zákona bylo k 7. srpnu 2025 pro účely sankcí veřejně určeno 262 osob a 330 subjektů z více než 50 zemí ve všech regionech světa;</w:t>
            </w:r>
            <w:r>
              <w:t xml:space="preserve"> </w:t>
            </w:r>
            <w:r>
              <w:rPr>
                <w:b/>
                <w:i/>
              </w:rPr>
              <w:t>vzhledem k tomu, že tento rozdíl poukazuje na nesoulad mezi veřejně deklarovaným závazkem EU k celosvětové ochraně lidských práv a omezeným využíváním tohoto nástroje;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vzhledem k tomu, že k </w:t>
            </w:r>
            <w:r>
              <w:rPr>
                <w:b/>
                <w:i/>
              </w:rPr>
              <w:t>28. květnu</w:t>
            </w:r>
            <w:r>
              <w:t xml:space="preserve"> 2025 bylo na sankční seznamy v rámci globálního režimu sankcí EU v oblasti lidských práv zařazeno </w:t>
            </w:r>
            <w:r>
              <w:rPr>
                <w:b/>
                <w:i/>
              </w:rPr>
              <w:t>156</w:t>
            </w:r>
            <w:r>
              <w:t xml:space="preserve"> osob a subjektů (</w:t>
            </w:r>
            <w:r>
              <w:rPr>
                <w:b/>
                <w:i/>
              </w:rPr>
              <w:t>120</w:t>
            </w:r>
            <w:r>
              <w:t xml:space="preserve"> fyzických osob a </w:t>
            </w:r>
            <w:r>
              <w:rPr>
                <w:b/>
                <w:i/>
              </w:rPr>
              <w:t>36</w:t>
            </w:r>
            <w:r>
              <w:t xml:space="preserve"> subjektů);</w:t>
            </w:r>
          </w:p>
        </w:tc>
        <w:tc>
          <w:tcPr>
            <w:tcW w:w="4876" w:type="dxa"/>
            <w:tcBorders>
              <w:top w:val="nil"/>
              <w:left w:val="nil"/>
              <w:bottom w:val="nil"/>
              <w:right w:val="nil"/>
            </w:tcBorders>
          </w:tcPr>
          <w:p>
            <w:pPr>
              <w:pStyle w:val="Normal6a"/>
            </w:pPr>
            <w:r>
              <w:t>F.</w:t>
            </w:r>
            <w:r>
              <w:tab/>
            </w:r>
            <w:r>
              <w:t>vzhledem k tomu, že k </w:t>
            </w:r>
            <w:r>
              <w:rPr>
                <w:b/>
                <w:i/>
              </w:rPr>
              <w:t>1. červenci</w:t>
            </w:r>
            <w:r>
              <w:t xml:space="preserve"> 2025 bylo na sankční seznamy v rámci globálního režimu sankcí EU v oblasti lidských práv zařazeno </w:t>
            </w:r>
            <w:r>
              <w:rPr>
                <w:b/>
                <w:i/>
              </w:rPr>
              <w:t>163</w:t>
            </w:r>
            <w:r>
              <w:t xml:space="preserve"> osob a subjektů (</w:t>
            </w:r>
            <w:r>
              <w:rPr>
                <w:b/>
                <w:i/>
              </w:rPr>
              <w:t>126</w:t>
            </w:r>
            <w:r>
              <w:t xml:space="preserve"> fyzických osob a </w:t>
            </w:r>
            <w:r>
              <w:rPr>
                <w:b/>
                <w:i/>
              </w:rPr>
              <w:t>37</w:t>
            </w:r>
            <w:r>
              <w:t> subjektů);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vzhledem k tomu, že k 28. květnu 2025 bylo na sankční seznamy v rámci globálního režimu sankcí EU v oblasti lidských práv zařazeno 156 osob a subjektů (120 fyzických osob a 36 subjektů);</w:t>
            </w:r>
          </w:p>
        </w:tc>
        <w:tc>
          <w:tcPr>
            <w:tcW w:w="4876" w:type="dxa"/>
            <w:tcBorders>
              <w:top w:val="nil"/>
              <w:left w:val="nil"/>
              <w:bottom w:val="nil"/>
              <w:right w:val="nil"/>
            </w:tcBorders>
          </w:tcPr>
          <w:p>
            <w:pPr>
              <w:pStyle w:val="Normal6a"/>
            </w:pPr>
            <w:r>
              <w:t>F.</w:t>
            </w:r>
            <w:r>
              <w:tab/>
            </w:r>
            <w:r>
              <w:t xml:space="preserve">vzhledem k tomu, že k 28. květnu 2025 bylo na sankční seznamy v rámci globálního režimu sankcí EU v oblasti lidských práv zařazeno 156 osob a subjektů (120 fyzických osob a 36 subjektů); </w:t>
            </w:r>
            <w:r>
              <w:rPr>
                <w:b/>
                <w:i/>
              </w:rPr>
              <w:t>vzhledem k tomu, že se seznam záznamů v rámci tohoto režimu rozrostl, neví se mnoho o jeho dopadu a účinnosti;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vzhledem k tomu, že i přes dosažený pokrok přetrvávají značné nedostatky, co se týče zeměpisného a tematického rozsahu seznamů a stanovení referenčních hodnot v souladu s cíli sankcí;</w:t>
            </w:r>
          </w:p>
        </w:tc>
        <w:tc>
          <w:tcPr>
            <w:tcW w:w="4876" w:type="dxa"/>
            <w:tcBorders>
              <w:top w:val="nil"/>
              <w:left w:val="nil"/>
              <w:bottom w:val="nil"/>
              <w:right w:val="nil"/>
            </w:tcBorders>
          </w:tcPr>
          <w:p>
            <w:pPr>
              <w:pStyle w:val="Normal6a"/>
            </w:pPr>
            <w:r>
              <w:t>G.</w:t>
            </w:r>
            <w:r>
              <w:tab/>
            </w:r>
            <w:r>
              <w:t xml:space="preserve">vzhledem k tomu, že i přes dosažený pokrok přetrvávají značné nedostatky, co se týče zeměpisného a tematického rozsahu seznamů a stanovení referenčních hodnot v souladu s cíli sankcí; </w:t>
            </w:r>
            <w:r>
              <w:rPr>
                <w:b/>
                <w:i/>
              </w:rPr>
              <w:t>vzhledem k tomu, že navzdory několika výzvám Parlamentu není korupce v rámci globálního režimu sankcí EU v oblasti lidských práv dosud považována za trestný 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vzhledem k tomu, že i přes dosažený pokrok přetrvávají značné nedostatky, co se týče zeměpisného a tematického rozsahu seznamů a stanovení referenčních hodnot v souladu s cíli sankcí;</w:t>
            </w:r>
          </w:p>
        </w:tc>
        <w:tc>
          <w:tcPr>
            <w:tcW w:w="4876" w:type="dxa"/>
            <w:tcBorders>
              <w:top w:val="nil"/>
              <w:left w:val="nil"/>
              <w:bottom w:val="nil"/>
              <w:right w:val="nil"/>
            </w:tcBorders>
          </w:tcPr>
          <w:p>
            <w:pPr>
              <w:pStyle w:val="Normal6a"/>
            </w:pPr>
            <w:r>
              <w:t>G.</w:t>
            </w:r>
            <w:r>
              <w:tab/>
            </w:r>
            <w:r>
              <w:t>vzhledem k tomu, že i přes dosažený pokrok přetrvávají značné nedostatky, co se týče zeměpisného a tematického rozsahu seznamů</w:t>
            </w:r>
            <w:r>
              <w:rPr>
                <w:b/>
                <w:i/>
              </w:rPr>
              <w:t>, nadnárodních seznamů</w:t>
            </w:r>
            <w:r>
              <w:t xml:space="preserve"> a stanovení referenčních hodnot v souladu s cíli sankcí;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vzhledem k tomu, že i přes dosažený pokrok přetrvávají značné nedostatky, co se týče zeměpisného a tematického rozsahu seznamů a stanovení referenčních hodnot v souladu s cíli sankcí;</w:t>
            </w:r>
          </w:p>
        </w:tc>
        <w:tc>
          <w:tcPr>
            <w:tcW w:w="4876" w:type="dxa"/>
            <w:tcBorders>
              <w:top w:val="nil"/>
              <w:left w:val="nil"/>
              <w:bottom w:val="nil"/>
              <w:right w:val="nil"/>
            </w:tcBorders>
          </w:tcPr>
          <w:p>
            <w:pPr>
              <w:pStyle w:val="Normal6a"/>
            </w:pPr>
            <w:r>
              <w:t>G.</w:t>
            </w:r>
            <w:r>
              <w:tab/>
            </w:r>
            <w:r>
              <w:t>vzhledem k tomu, že i přes dosažený pokrok přetrvávají značné nedostatky, co se týče zeměpisného a tematického rozsahu seznamů a stanovení referenčních hodnot v souladu s cíli sankcí;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G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vzhledem k tomu, že je obzvláště politováníhodné, že tento nástroj je v bezprostředním sousedství EU, které by mělo podléhat nejužší kontrole EU, pokud jde o lidská práva, uplatňován pouze nedostatečně;</w:t>
            </w:r>
            <w:r>
              <w:t xml:space="preserve"> </w:t>
            </w:r>
            <w:r>
              <w:rPr>
                <w:b/>
                <w:i/>
              </w:rPr>
              <w:t>vzhledem k tomu, že v Bělorusku, kde režim brutálně potlačuje mírovou společnost mučením, zinscenovanými soudními procesy a je přímo odpovědný za smrt mnoha pokojných Bělorusů a kde jsou jména představitelů represivních institucí, včetně soudců a státních zástupců, veřejně známá, byly Magnitského sankce uvaleny pouze na několik osob, podobně jako na osoby odpovědné za represe v Gruzii;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vzhledem k tomu, že se seznamy zaměřují </w:t>
            </w:r>
            <w:r>
              <w:rPr>
                <w:b/>
                <w:i/>
              </w:rPr>
              <w:t>především</w:t>
            </w:r>
            <w:r>
              <w:t xml:space="preserve"> na porušování tělesné integrity a občanských a politických práv, zejména pokud jsou cílem mužští političtí oponenti a aktivisté v autoritářských režimech</w:t>
            </w:r>
            <w:r>
              <w:rPr>
                <w:b/>
                <w:i/>
              </w:rPr>
              <w:t>, spíše než na nejzávažnější mezinárodní zločiny a systémové porušování sociálně-ekonomických práv</w:t>
            </w:r>
            <w:r>
              <w:t>;</w:t>
            </w:r>
          </w:p>
        </w:tc>
        <w:tc>
          <w:tcPr>
            <w:tcW w:w="4876" w:type="dxa"/>
            <w:tcBorders>
              <w:top w:val="nil"/>
              <w:left w:val="nil"/>
              <w:bottom w:val="nil"/>
              <w:right w:val="nil"/>
            </w:tcBorders>
          </w:tcPr>
          <w:p>
            <w:pPr>
              <w:pStyle w:val="Normal6a"/>
            </w:pPr>
            <w:r>
              <w:t>H.</w:t>
            </w:r>
            <w:r>
              <w:tab/>
            </w:r>
            <w:r>
              <w:t>vzhledem k tomu, že se seznamy zaměřují na porušování tělesné integrity a občanských a politických práv, zejména pokud jsou cílem mužští političtí oponenti a aktivisté v autoritářských režimech;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vzhledem k tomu, že se seznamy zaměřují především na porušování tělesné integrity a občanských a politických práv, zejména pokud jsou cílem mužští političtí oponenti a aktivisté v autoritářských režimech, spíše než na nejzávažnější mezinárodní zločiny a systémové porušování sociálně-ekonomických práv;</w:t>
            </w:r>
          </w:p>
        </w:tc>
        <w:tc>
          <w:tcPr>
            <w:tcW w:w="4876" w:type="dxa"/>
            <w:tcBorders>
              <w:top w:val="nil"/>
              <w:left w:val="nil"/>
              <w:bottom w:val="nil"/>
              <w:right w:val="nil"/>
            </w:tcBorders>
          </w:tcPr>
          <w:p>
            <w:pPr>
              <w:pStyle w:val="Normal6a"/>
            </w:pPr>
            <w:r>
              <w:t>H.</w:t>
            </w:r>
            <w:r>
              <w:tab/>
            </w:r>
            <w:r>
              <w:t>vzhledem k tomu, že se seznamy zaměřují především na porušování tělesné integrity a občanských a politických práv, zejména pokud jsou cílem mužští političtí oponenti a aktivisté v autoritářských režimech, spíše než na nejzávažnější mezinárodní zločiny</w:t>
            </w:r>
            <w:r>
              <w:rPr>
                <w:b/>
                <w:i/>
              </w:rPr>
              <w:t>, jako je genocida a zločiny proti lidskosti,</w:t>
            </w:r>
            <w:r>
              <w:t xml:space="preserve"> a systémové porušování sociálně-ekonomických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vzhledem k tomu, že se seznamy zaměřují především na porušování tělesné integrity a občanských a politických práv, zejména pokud jsou cílem mužští političtí oponenti a aktivisté v autoritářských režimech, spíše než na nejzávažnější mezinárodní zločiny a systémové porušování sociálně-ekonomických práv;</w:t>
            </w:r>
          </w:p>
        </w:tc>
        <w:tc>
          <w:tcPr>
            <w:tcW w:w="4876" w:type="dxa"/>
            <w:tcBorders>
              <w:top w:val="nil"/>
              <w:left w:val="nil"/>
              <w:bottom w:val="nil"/>
              <w:right w:val="nil"/>
            </w:tcBorders>
          </w:tcPr>
          <w:p>
            <w:pPr>
              <w:pStyle w:val="Normal6a"/>
            </w:pPr>
            <w:r>
              <w:t>H.</w:t>
            </w:r>
            <w:r>
              <w:tab/>
            </w:r>
            <w:r>
              <w:t>vzhledem k tomu, že se seznamy zaměřují především na porušování tělesné integrity a občanských a politických práv, zejména pokud jsou cílem mužští političtí oponenti a aktivisté v autoritářských režimech, spíše než na nejzávažnější mezinárodní zločiny</w:t>
            </w:r>
            <w:r>
              <w:rPr>
                <w:b/>
                <w:i/>
              </w:rPr>
              <w:t>, včetně genocidy,</w:t>
            </w:r>
            <w:r>
              <w:t xml:space="preserve"> a systémové porušování sociálně-ekonomických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vzhledem k tomu, že se seznamy zaměřují především na porušování tělesné integrity a občanských a politických práv, zejména pokud jsou cílem </w:t>
            </w:r>
            <w:r>
              <w:rPr>
                <w:b/>
                <w:i/>
              </w:rPr>
              <w:t>mužští</w:t>
            </w:r>
            <w:r>
              <w:t xml:space="preserve"> političtí oponenti a aktivisté v autoritářských režimech, spíše než na nejzávažnější mezinárodní zločiny a systémové porušování sociálně-ekonomických práv;</w:t>
            </w:r>
          </w:p>
        </w:tc>
        <w:tc>
          <w:tcPr>
            <w:tcW w:w="4876" w:type="dxa"/>
            <w:tcBorders>
              <w:top w:val="nil"/>
              <w:left w:val="nil"/>
              <w:bottom w:val="nil"/>
              <w:right w:val="nil"/>
            </w:tcBorders>
          </w:tcPr>
          <w:p>
            <w:pPr>
              <w:pStyle w:val="Normal6a"/>
            </w:pPr>
            <w:r>
              <w:t>H.</w:t>
            </w:r>
            <w:r>
              <w:tab/>
            </w:r>
            <w:r>
              <w:t>vzhledem k tomu, že se seznamy zaměřují především na porušování tělesné integrity a občanských a politických práv, zejména pokud jsou cílem političtí oponenti a aktivisté v autoritářských režimech, spíše než na nejzávažnější mezinárodní zločiny a systémové porušování sociálně-ekonomických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vzhledem k tomu, že seznamy jsou do značné míry zeměpisně soustředěny, takže jiné oblasti a situace nejsou dostatečně zohledněny;</w:t>
            </w:r>
          </w:p>
        </w:tc>
        <w:tc>
          <w:tcPr>
            <w:tcW w:w="4876" w:type="dxa"/>
            <w:tcBorders>
              <w:top w:val="nil"/>
              <w:left w:val="nil"/>
              <w:bottom w:val="nil"/>
              <w:right w:val="nil"/>
            </w:tcBorders>
          </w:tcPr>
          <w:p>
            <w:pPr>
              <w:pStyle w:val="Normal6a"/>
            </w:pPr>
            <w:r>
              <w:t>I.</w:t>
            </w:r>
            <w:r>
              <w:tab/>
            </w:r>
            <w:r>
              <w:t xml:space="preserve">vzhledem k tomu, že seznamy jsou do značné míry zeměpisně soustředěny, </w:t>
            </w:r>
            <w:r>
              <w:rPr>
                <w:b/>
                <w:i/>
              </w:rPr>
              <w:t>ve skutečnosti je 74,4 % osob a 48,5 % subjektů, které jsou v současné době zařazeny na seznam v rámci globálního režimu sankcí EU v oblasti lidských práv, ruského původu,</w:t>
            </w:r>
            <w:r>
              <w:t xml:space="preserve"> takže jiné oblasti a situace nejsou dostatečně zohledněny;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vzhledem k tomu, že seznamy jsou do značné míry zeměpisně soustředěny, takže jiné oblasti a situace nejsou dostatečně zohledněny;</w:t>
            </w:r>
          </w:p>
        </w:tc>
        <w:tc>
          <w:tcPr>
            <w:tcW w:w="4876" w:type="dxa"/>
            <w:tcBorders>
              <w:top w:val="nil"/>
              <w:left w:val="nil"/>
              <w:bottom w:val="nil"/>
              <w:right w:val="nil"/>
            </w:tcBorders>
          </w:tcPr>
          <w:p>
            <w:pPr>
              <w:pStyle w:val="Normal6a"/>
            </w:pPr>
            <w:r>
              <w:t>I.</w:t>
            </w:r>
            <w:r>
              <w:tab/>
            </w:r>
            <w:r>
              <w:t xml:space="preserve">vzhledem k tomu, že seznamy jsou do značné míry zeměpisně soustředěny </w:t>
            </w:r>
            <w:r>
              <w:rPr>
                <w:b/>
                <w:i/>
              </w:rPr>
              <w:t>v souladu se strategickými vztahy a geopolitickými zájmy EU</w:t>
            </w:r>
            <w:r>
              <w:t>, takže jiné oblasti a situace nejsou dostatečně zohledněny;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p>
        </w:tc>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r>
              <w:rPr>
                <w:b/>
                <w:i/>
              </w:rPr>
              <w:t>, neboť nemá v této oblasti žádnou rozhodovací pravomoc a neměl by mít žádnou formální úlohu v procesu přijímání nebo změny sankcí v rámci globálního režimu sankcí EU v oblasti lidských práv, který musí zůstat záležitostí mezivládní koordinace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p>
        </w:tc>
        <w:tc>
          <w:tcPr>
            <w:tcW w:w="4876" w:type="dxa"/>
            <w:tcBorders>
              <w:top w:val="nil"/>
              <w:left w:val="nil"/>
              <w:bottom w:val="nil"/>
              <w:right w:val="nil"/>
            </w:tcBorders>
          </w:tcPr>
          <w:p>
            <w:pPr>
              <w:pStyle w:val="Normal6a"/>
            </w:pPr>
            <w:r>
              <w:t>J.</w:t>
            </w:r>
            <w:r>
              <w:tab/>
            </w:r>
            <w:r>
              <w:t xml:space="preserve">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 </w:t>
            </w:r>
            <w:r>
              <w:rPr>
                <w:b/>
                <w:i/>
              </w:rPr>
              <w:t>vzhledem k tomu, že parlamentní kontrola globálního režimu sankcí EU v oblasti lidských práv je nezbytná pro zvýšení jeho legitimity;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p>
        </w:tc>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r>
              <w:rPr>
                <w:b/>
                <w:i/>
              </w:rPr>
              <w:t>, přičemž je požadováno jeho větší zapojení, aniž by to však vedlo k větší politizaci nebo účelovému využívání otázek lidských práv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vzhledem k tomu, že pro zajištění účinnosti globálního režimu sankcí EU v oblasti lidských práv je klíčová důvěrnost v souvislosti s případným zařazením na seznam nebo vyřazením ze seznamu; </w:t>
            </w:r>
            <w:r>
              <w:rPr>
                <w:b/>
                <w:i/>
              </w:rPr>
              <w:t>vzhledem k tomu, že Parlament nemá v tomto procesu žádnou roli ani vliv;</w:t>
            </w:r>
          </w:p>
        </w:tc>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vzhledem k tomu, že pro zajištění účinnosti globálního režimu sankcí EU v oblasti lidských práv je klíčová důvěrnost v souvislosti s případným zařazením na seznam nebo vyřazením ze seznamu; vzhledem k tomu, že Parlament nemá v tomto procesu žádnou roli ani vliv;</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vzhledem k tomu, že Rada nadále dostatečně nezohledňuje usnesení Parlamentu obsahující doporučení k dalšímu zařazení na seznam;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vzhledem k tomu, že globální režim sankcí EU v oblasti lidských práv v současné době umožňuje pouze zmrazení majetku a zákaz vydávání víz;</w:t>
            </w:r>
          </w:p>
        </w:tc>
        <w:tc>
          <w:tcPr>
            <w:tcW w:w="4876" w:type="dxa"/>
            <w:tcBorders>
              <w:top w:val="nil"/>
              <w:left w:val="nil"/>
              <w:bottom w:val="nil"/>
              <w:right w:val="nil"/>
            </w:tcBorders>
          </w:tcPr>
          <w:p>
            <w:pPr>
              <w:pStyle w:val="Normal6a"/>
            </w:pPr>
            <w:r>
              <w:t>K.</w:t>
            </w:r>
            <w:r>
              <w:tab/>
            </w:r>
            <w:r>
              <w:t xml:space="preserve">vzhledem k tomu, že globální režim sankcí EU v oblasti lidských práv v současné době umožňuje pouze zmrazení majetku a zákaz vydávání víz; </w:t>
            </w:r>
            <w:r>
              <w:rPr>
                <w:b/>
                <w:i/>
              </w:rPr>
              <w:t>vzhledem k tomu, že na jednotlivce ze třetích zemí, jejichž vlády nebo režimy se trvale zapojují do nepřátelských akcí proti jednomu nebo více členským státům Evropské unie, mimo jiné včetně Alžírska, Turecka, Běloruska, Íránu, Ruska, Mali, Burkiny Faso a Sýrie, by měly být aktivně uplatňovány cílené zákazy vydávání víz;</w:t>
            </w:r>
            <w:r>
              <w:t xml:space="preserve"> </w:t>
            </w:r>
            <w:r>
              <w:rPr>
                <w:b/>
                <w:i/>
              </w:rPr>
              <w:t>vzhledem k tomu, že tato opatření zahrnují odmítnutí spolupráce v oblasti zpětného přebírání osob, politické vměšování, dezinformační kampaně, podporu extremistických sítí a hrozby pro veřejnou bezpečnost a právní stát v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vzhledem k tomu, že globální režim sankcí EU v oblasti lidských práv v současné době umožňuje pouze zmrazení majetku a zákaz vydávání víz;</w:t>
            </w:r>
          </w:p>
        </w:tc>
        <w:tc>
          <w:tcPr>
            <w:tcW w:w="4876" w:type="dxa"/>
            <w:tcBorders>
              <w:top w:val="nil"/>
              <w:left w:val="nil"/>
              <w:bottom w:val="nil"/>
              <w:right w:val="nil"/>
            </w:tcBorders>
          </w:tcPr>
          <w:p>
            <w:pPr>
              <w:pStyle w:val="Normal6a"/>
            </w:pPr>
            <w:r>
              <w:t>K.</w:t>
            </w:r>
            <w:r>
              <w:tab/>
            </w:r>
            <w:r>
              <w:t xml:space="preserve">vzhledem k tomu, že globální režim sankcí EU v oblasti lidských práv v současné době umožňuje pouze zmrazení majetku a zákaz vydávání víz; </w:t>
            </w:r>
            <w:r>
              <w:rPr>
                <w:b/>
                <w:i/>
              </w:rPr>
              <w:t>vzhledem k tomu, že má-li se zvýšit zamýšlený dopad sankcí, měl by být globální režim sankcí EU v oblasti lidských práv rozšířen na trestné činy, jako jsou například trestné činy související s terorismem, korupcí, obchodováním s drogami a organizovanou trestnou činností;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vzhledem k tomu, že globální režim sankcí EU v oblasti lidských práv v současné době umožňuje pouze zmrazení majetku a zákaz vydávání víz;</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vzhledem k tomu, že globální režim sankcí EU v oblasti lidských práv </w:t>
            </w:r>
            <w:r>
              <w:rPr>
                <w:b/>
                <w:i/>
              </w:rPr>
              <w:t>v současné době</w:t>
            </w:r>
            <w:r>
              <w:t xml:space="preserve"> umožňuje </w:t>
            </w:r>
            <w:r>
              <w:rPr>
                <w:b/>
                <w:i/>
              </w:rPr>
              <w:t>pouze</w:t>
            </w:r>
            <w:r>
              <w:t xml:space="preserve"> zmrazení majetku a zákaz vydávání víz;</w:t>
            </w:r>
          </w:p>
        </w:tc>
        <w:tc>
          <w:tcPr>
            <w:tcW w:w="4876" w:type="dxa"/>
            <w:tcBorders>
              <w:top w:val="nil"/>
              <w:left w:val="nil"/>
              <w:bottom w:val="nil"/>
              <w:right w:val="nil"/>
            </w:tcBorders>
          </w:tcPr>
          <w:p>
            <w:pPr>
              <w:pStyle w:val="Normal6a"/>
            </w:pPr>
            <w:r>
              <w:t>K.</w:t>
            </w:r>
            <w:r>
              <w:tab/>
            </w:r>
            <w:r>
              <w:t>vzhledem k tomu, že globální režim sankcí EU v oblasti lidských práv umožňuje zmrazení majetku a zákaz vydávání víz;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vzhledem k tomu, že stávající režim zmrazení aktiv a zákaz vydávání víz by mohl být doplněn o další opatření, jako jsou omezení v oblasti finančních služeb, zadávání veřejných zakázek a účast na projektech financovaných EU;</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K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vzhledem k tomu, že jeho oblast působnosti by měla být rozšířena tak, aby zahrnovala nejbližší rodinné příslušníky osob porušujících lidská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 xml:space="preserve">vzhledem k tomu, že pokyny Komise jsou stále nedostatečné k objasnění rozsahu zákazu poskytování technické a materiální </w:t>
            </w:r>
            <w:r>
              <w:rPr>
                <w:b/>
                <w:i/>
              </w:rPr>
              <w:t>podpory</w:t>
            </w:r>
            <w:r>
              <w:t xml:space="preserve"> sankcionovaným osobám a subjektům;</w:t>
            </w:r>
          </w:p>
        </w:tc>
        <w:tc>
          <w:tcPr>
            <w:tcW w:w="4876" w:type="dxa"/>
            <w:tcBorders>
              <w:top w:val="nil"/>
              <w:left w:val="nil"/>
              <w:bottom w:val="nil"/>
              <w:right w:val="nil"/>
            </w:tcBorders>
          </w:tcPr>
          <w:p>
            <w:pPr>
              <w:pStyle w:val="Normal6a"/>
            </w:pPr>
            <w:r>
              <w:t>L.</w:t>
            </w:r>
            <w:r>
              <w:tab/>
            </w:r>
            <w:r>
              <w:t xml:space="preserve">vzhledem k tomu, že pokyny Komise jsou stále nedostatečné k objasnění rozsahu zákazu poskytování </w:t>
            </w:r>
            <w:r>
              <w:rPr>
                <w:b/>
                <w:i/>
              </w:rPr>
              <w:t>jakékoli podpory, včetně</w:t>
            </w:r>
            <w:r>
              <w:t xml:space="preserve"> technické a materiální</w:t>
            </w:r>
            <w:r>
              <w:rPr>
                <w:b/>
                <w:i/>
              </w:rPr>
              <w:t>,</w:t>
            </w:r>
            <w:r>
              <w:t xml:space="preserve"> sankcionovaným osobám a subjektům;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vzhledem k tomu, že některé mezery v provádění, jako jsou ustanovení o výjimkách, která umožňují, aby dál platily smlouvy uzavřené před zařazením fyzické osoby nebo subjektu na seznam, vytvářejí příležitosti k obcházení sankcí;</w:t>
            </w:r>
          </w:p>
        </w:tc>
        <w:tc>
          <w:tcPr>
            <w:tcW w:w="4876" w:type="dxa"/>
            <w:tcBorders>
              <w:top w:val="nil"/>
              <w:left w:val="nil"/>
              <w:bottom w:val="nil"/>
              <w:right w:val="nil"/>
            </w:tcBorders>
          </w:tcPr>
          <w:p>
            <w:pPr>
              <w:pStyle w:val="Normal6a"/>
            </w:pPr>
            <w:r>
              <w:t>M.</w:t>
            </w:r>
            <w:r>
              <w:tab/>
            </w:r>
            <w:r>
              <w:t xml:space="preserve">vzhledem k tomu, že některé mezery v provádění, jako jsou ustanovení o výjimkách, která umožňují, aby dál platily smlouvy uzavřené před zařazením fyzické osoby nebo subjektu na seznam, vytvářejí příležitosti k obcházení sankcí; </w:t>
            </w:r>
            <w:r>
              <w:rPr>
                <w:b/>
                <w:i/>
              </w:rPr>
              <w:t>vzhledem k tomu, že globální režim sankcí EU v oblasti lidských práv musí zavést řádný právní systém pro odhalování a řešení jakéhokoli obcházení sankcí, a to vždy v souladu s právními systémy členských států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vzhledem k tomu, že některé mezery v provádění, jako jsou ustanovení o výjimkách, která umožňují, aby dál platily smlouvy uzavřené před zařazením fyzické osoby nebo subjektu na seznam, vytvářejí příležitosti k obcházení sankcí;</w:t>
            </w:r>
          </w:p>
        </w:tc>
        <w:tc>
          <w:tcPr>
            <w:tcW w:w="4876" w:type="dxa"/>
            <w:tcBorders>
              <w:top w:val="nil"/>
              <w:left w:val="nil"/>
              <w:bottom w:val="nil"/>
              <w:right w:val="nil"/>
            </w:tcBorders>
          </w:tcPr>
          <w:p>
            <w:pPr>
              <w:pStyle w:val="Normal6a"/>
            </w:pPr>
            <w:r>
              <w:t>M.</w:t>
            </w:r>
            <w:r>
              <w:tab/>
            </w:r>
            <w:r>
              <w:t xml:space="preserve">vzhledem k tomu, že některé mezery v provádění, jako jsou ustanovení o výjimkách, která umožňují, aby dál platily smlouvy uzavřené před zařazením fyzické osoby nebo subjektu na seznam, vytvářejí příležitosti k obcházení sankcí </w:t>
            </w:r>
            <w:r>
              <w:rPr>
                <w:b/>
                <w:i/>
              </w:rPr>
              <w:t>a snižují účinnost sankcí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vzhledem k tomu, že stávající zeměpisně zaměřené režimy sankcí EU zahrnují širší omezení, která by mohla doplnit globální režim sankcí EU v oblasti lidských práv prostřednictvím vzájemného sladění seznamů;</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N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vzhledem k tomu, že dne 10. ledna 2025 přijala EU nový balíček cílených sankcí proti 15 vysoce postaveným členům venezuelského režimu;</w:t>
            </w:r>
            <w:r>
              <w:t xml:space="preserve"> </w:t>
            </w:r>
            <w:r>
              <w:rPr>
                <w:b/>
                <w:i/>
              </w:rPr>
              <w:t>vzhledem k tomu, že mezi tyto vysoce postavené osoby patří mimo jiné nový ředitel Bolívarovské státní zpravodajské služby (SEBIN) Diosdado Cabello, předsedkyně Nejvyššího soudu Venezuely (TSJ) Caryslia Rodríguezová, místopředsedkyně TSJ Fanny Márquezová a příbuzný ministra vnitra Alexis Rodríguez Cabello;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N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vzhledem k tomu, že globální režim sankcí EU v oblasti lidských práv se z velké části zaměřuje na nižší úředníky a funkcionáře, zatímco ti, kteří mají skutečnou politickou a vojenskou moc, často zůstávají mimo působnost seznamů;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N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Nb.</w:t>
            </w:r>
            <w:r>
              <w:tab/>
            </w:r>
            <w:r>
              <w:rPr>
                <w:b/>
                <w:i/>
              </w:rPr>
              <w:t>vzhledem k tomu, že seznamy v rámci globálního režimu sankcí EU v oblasti lidských práv se dosud nezaměřovaly na aktéry odpovědné za spáchání některých z nejzávažnějších mezinárodních zločinů uznávaných v Římském statutu;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vzhledem k tomu, že aktéři občanské společnosti nadále neformálně spolupracují s orgány EU při navrhování jmen pro zařazení na seznam, neboť neexistuje strukturovaný mechanismus, který by umožňoval jejich přispění;</w:t>
            </w:r>
          </w:p>
        </w:tc>
        <w:tc>
          <w:tcPr>
            <w:tcW w:w="4876" w:type="dxa"/>
            <w:tcBorders>
              <w:top w:val="nil"/>
              <w:left w:val="nil"/>
              <w:bottom w:val="nil"/>
              <w:right w:val="nil"/>
            </w:tcBorders>
          </w:tcPr>
          <w:p>
            <w:pPr>
              <w:pStyle w:val="Normal6a"/>
            </w:pPr>
            <w:r>
              <w:t>O.</w:t>
            </w:r>
            <w:r>
              <w:tab/>
            </w:r>
            <w:r>
              <w:t>vzhledem k tomu, že aktéři občanské společnosti nadále neformálně spolupracují s orgány EU při navrhování jmen pro zařazení na seznam, neboť neexistuje strukturovaný mechanismus, který by umožňoval jejich přispění</w:t>
            </w:r>
            <w:r>
              <w:rPr>
                <w:b/>
                <w:i/>
              </w:rPr>
              <w:t>, a ESVČ nemá zdroje na posouzení a prošetření obdržených informací a na reakci na ně</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vzhledem k tomu, že aktéři občanské společnosti nadále </w:t>
            </w:r>
            <w:r>
              <w:rPr>
                <w:b/>
                <w:i/>
              </w:rPr>
              <w:t>neformálně</w:t>
            </w:r>
            <w:r>
              <w:t xml:space="preserve"> spolupracují s orgány EU při navrhování jmen pro zařazení na seznam, neboť neexistuje strukturovaný mechanismus, který by umožňoval jejich přispění;</w:t>
            </w:r>
          </w:p>
        </w:tc>
        <w:tc>
          <w:tcPr>
            <w:tcW w:w="4876" w:type="dxa"/>
            <w:tcBorders>
              <w:top w:val="nil"/>
              <w:left w:val="nil"/>
              <w:bottom w:val="nil"/>
              <w:right w:val="nil"/>
            </w:tcBorders>
          </w:tcPr>
          <w:p>
            <w:pPr>
              <w:pStyle w:val="Normal6a"/>
            </w:pPr>
            <w:r>
              <w:t>O.</w:t>
            </w:r>
            <w:r>
              <w:tab/>
            </w:r>
            <w:r>
              <w:t xml:space="preserve">vzhledem k tomu, že aktéři občanské společnosti nadále spolupracují s orgány EU </w:t>
            </w:r>
            <w:r>
              <w:rPr>
                <w:b/>
                <w:i/>
              </w:rPr>
              <w:t>a sledují je</w:t>
            </w:r>
            <w:r>
              <w:t xml:space="preserve"> při navrhování jmen pro zařazení na seznam, neboť neexistuje strukturovaný mechanismus, který by umožňoval jejich přispění;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Q.</w:t>
            </w:r>
            <w:r>
              <w:tab/>
            </w:r>
            <w:r>
              <w:rPr>
                <w:b/>
                <w:i/>
              </w:rPr>
              <w:t>vzhledem k tomu, že některé členské státy nedodržují sankce EU a umožňují sankcionovaným osobám vstup na území EU;</w:t>
            </w:r>
            <w:r>
              <w:t xml:space="preserve"> </w:t>
            </w:r>
            <w:r>
              <w:rPr>
                <w:b/>
                <w:i/>
              </w:rPr>
              <w:t>vzhledem k tomu, že takové nedodržování sankcí značně poškozuje důvěryhodnost EU a podkopává účinnost unijních režimů sankcí;</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 xml:space="preserve">vzhledem k tomu, že </w:t>
            </w:r>
            <w:r>
              <w:rPr>
                <w:b/>
                <w:i/>
              </w:rPr>
              <w:t>některé členské státy nedodržují sankce EU a umožňují sankcionovaným osobám vstup na území</w:t>
            </w:r>
            <w:r>
              <w:t xml:space="preserve"> EU; vzhledem k tomu, že </w:t>
            </w:r>
            <w:r>
              <w:rPr>
                <w:b/>
                <w:i/>
              </w:rPr>
              <w:t>takové nedodržování</w:t>
            </w:r>
            <w:r>
              <w:t xml:space="preserve"> sankcí </w:t>
            </w:r>
            <w:r>
              <w:rPr>
                <w:b/>
                <w:i/>
              </w:rPr>
              <w:t>značně poškozuje důvěryhodnost EU a podkopává účinnost unijních režimů sankcí</w:t>
            </w:r>
            <w:r>
              <w:t>;</w:t>
            </w:r>
          </w:p>
        </w:tc>
        <w:tc>
          <w:tcPr>
            <w:tcW w:w="4876" w:type="dxa"/>
            <w:tcBorders>
              <w:top w:val="nil"/>
              <w:left w:val="nil"/>
              <w:bottom w:val="nil"/>
              <w:right w:val="nil"/>
            </w:tcBorders>
          </w:tcPr>
          <w:p>
            <w:pPr>
              <w:pStyle w:val="Normal6a"/>
            </w:pPr>
            <w:r>
              <w:t>Q.</w:t>
            </w:r>
            <w:r>
              <w:tab/>
            </w:r>
            <w:r>
              <w:t xml:space="preserve">vzhledem k tomu, že </w:t>
            </w:r>
            <w:r>
              <w:rPr>
                <w:b/>
                <w:i/>
              </w:rPr>
              <w:t>národní zájmy a priority zahraniční politiky členských států se značně liší, což může vést k nejednotnému uplatňování nástrojů vnější činnosti</w:t>
            </w:r>
            <w:r>
              <w:t xml:space="preserve"> EU; vzhledem k tomu, že </w:t>
            </w:r>
            <w:r>
              <w:rPr>
                <w:b/>
                <w:i/>
              </w:rPr>
              <w:t>zahraniční politika zůstává jednou z hlavních výsad národní suverenity každého členského státu;</w:t>
            </w:r>
            <w:r>
              <w:t xml:space="preserve"> </w:t>
            </w:r>
            <w:r>
              <w:rPr>
                <w:b/>
                <w:i/>
              </w:rPr>
              <w:t>vzhledem k tomu, že rozhodnutí o sankcích mají přímé důsledky pro dvoustranné vztahy, národní bezpečnost a strategickou autonomii;</w:t>
            </w:r>
            <w:r>
              <w:t xml:space="preserve"> </w:t>
            </w:r>
            <w:r>
              <w:rPr>
                <w:b/>
                <w:i/>
              </w:rPr>
              <w:t>vzhledem k tomu, že požadavek jednomyslnosti v Radě slouží jako základní záruka k zajištění toho, aby žádný členský stát nebyl vázán rozhodnutími zahraniční politiky, která jsou v rozporu s jeho základními zájmy;</w:t>
            </w:r>
            <w:r>
              <w:t xml:space="preserve"> </w:t>
            </w:r>
            <w:r>
              <w:rPr>
                <w:b/>
                <w:i/>
              </w:rPr>
              <w:t>vzhledem k tomu, že jakýkoli pokus o zavedení hlasování kvalifikovanou většinou v oblasti</w:t>
            </w:r>
            <w:r>
              <w:t xml:space="preserve"> sankcí </w:t>
            </w:r>
            <w:r>
              <w:rPr>
                <w:b/>
                <w:i/>
              </w:rPr>
              <w:t>by představoval přímou výzvu pro mezivládní povahu vnější činnosti Unie a vážné narušení svrchovanosti členských států v souladu s čl. 24 odst. 1 Smlouvy o Evropské unii (SEU), doplněné příslušnými prohlášeními mezivládní konference z roku 2007</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Q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vzhledem k tomu, že provádění probíhá z velké části na vnitrostátní úrovni;</w:t>
            </w:r>
            <w:r>
              <w:t xml:space="preserve"> </w:t>
            </w:r>
            <w:r>
              <w:rPr>
                <w:b/>
                <w:i/>
              </w:rPr>
              <w:t>vzhledem k tomu, že každý členský stát je odpovědný za prosazování sankcí na svém území – prostřednictvím policie, celních orgánů, orgánů bankovního dohledu atd.;</w:t>
            </w:r>
            <w:r>
              <w:t xml:space="preserve"> </w:t>
            </w:r>
            <w:r>
              <w:rPr>
                <w:b/>
                <w:i/>
              </w:rPr>
              <w:t>vzhledem k tomu, že to může vést ke vzniku slabých vazeb, kdy se jednotlivci nebo společnosti mohou pokusit obcházet sankce přesunem peněz nebo aktivit do členských států, které jsou při jejich provádění pomalejší nebo méně přísné;</w:t>
            </w:r>
            <w:r>
              <w:t xml:space="preserve"> </w:t>
            </w:r>
            <w:r>
              <w:rPr>
                <w:b/>
                <w:i/>
              </w:rPr>
              <w:t>vzhledem k tomu, že orgány EU opakovaně zdůrazňovaly potřebu jednotnějšího a koordinovanějšího prosazování, aby byly sankce skutečně účinné;</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w:t>
            </w:r>
            <w:r>
              <w:tab/>
            </w:r>
            <w:r>
              <w:rPr>
                <w:b/>
                <w:i/>
              </w:rPr>
              <w:t>vzhledem k tomu, že Parlament v mnoha usneseních vyzval, aby pro přijímání sankcí v rámci globálního režimu sankcí EU v oblasti lidských práv bylo zavedeno hlasování kvalifikovanou většinou;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w:t>
            </w:r>
            <w:r>
              <w:tab/>
            </w:r>
            <w:r>
              <w:rPr>
                <w:b/>
                <w:i/>
              </w:rPr>
              <w:t>vzhledem k tomu, že Parlament v mnoha usneseních vyzval, aby pro přijímání sankcí v rámci globálního režimu sankcí EU v oblasti lidských práv bylo zavedeno hlasování kvalifikovanou většinou;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vzhledem k tomu, že Parlament v mnoha usneseních vyzval, aby pro přijímání sankcí v rámci globálního režimu sankcí EU v oblasti lidských práv bylo zavedeno hlasování kvalifikovanou většinou;</w:t>
            </w:r>
          </w:p>
        </w:tc>
        <w:tc>
          <w:tcPr>
            <w:tcW w:w="4876" w:type="dxa"/>
            <w:tcBorders>
              <w:top w:val="nil"/>
              <w:left w:val="nil"/>
              <w:bottom w:val="nil"/>
              <w:right w:val="nil"/>
            </w:tcBorders>
          </w:tcPr>
          <w:p>
            <w:pPr>
              <w:pStyle w:val="Normal6a"/>
            </w:pPr>
            <w:r>
              <w:t>R.</w:t>
            </w:r>
            <w:r>
              <w:tab/>
            </w:r>
            <w:r>
              <w:t xml:space="preserve">vzhledem k tomu, že Parlament v mnoha usneseních vyzval, aby pro přijímání sankcí v rámci globálního režimu sankcí EU v oblasti lidských práv bylo zavedeno hlasování kvalifikovanou většinou; </w:t>
            </w:r>
            <w:r>
              <w:rPr>
                <w:b/>
                <w:i/>
              </w:rPr>
              <w:t>vzhledem k tomu, že tento posun by ohrozil zásadu jednomyslnosti zakotvenou ve společné zahraniční a bezpečnostní politice (SZBP) Unie v souladu s čl. 24 odst. 1 Smlouvy o Evropské unii (SEU);</w:t>
            </w:r>
            <w:r>
              <w:t xml:space="preserve"> </w:t>
            </w:r>
            <w:r>
              <w:rPr>
                <w:b/>
                <w:i/>
              </w:rPr>
              <w:t>vzhledem k tomu, že jednomyslnost má zásadní význam pro zachování svrchovanosti členských států v zahraničněpolitických rozhodnutích a pro zachování mezivládní povahy vnější činnosti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vzhledem k tomu, že Parlament v mnoha usneseních vyzval, aby pro přijímání sankcí v rámci globálního režimu sankcí EU v oblasti lidských práv bylo zavedeno hlasování kvalifikovanou většinou;</w:t>
            </w:r>
          </w:p>
        </w:tc>
        <w:tc>
          <w:tcPr>
            <w:tcW w:w="4876" w:type="dxa"/>
            <w:tcBorders>
              <w:top w:val="nil"/>
              <w:left w:val="nil"/>
              <w:bottom w:val="nil"/>
              <w:right w:val="nil"/>
            </w:tcBorders>
          </w:tcPr>
          <w:p>
            <w:pPr>
              <w:pStyle w:val="Normal6a"/>
            </w:pPr>
            <w:r>
              <w:t>R.</w:t>
            </w:r>
            <w:r>
              <w:tab/>
            </w:r>
            <w:r>
              <w:t>vzhledem k tomu, že Parlament v mnoha usneseních vyzval, aby pro přijímání sankcí v rámci globálního režimu sankcí EU v oblasti lidských práv bylo zavedeno hlasování kvalifikovanou většinou</w:t>
            </w:r>
            <w:r>
              <w:rPr>
                <w:b/>
                <w:i/>
              </w:rPr>
              <w:t>, což by nemělo uměle zastřít nebo oslabit jednotu a odhodlání, které jsou nezbytné pro přísné vymáhání sankcí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 xml:space="preserve">vzhledem k tomu, že </w:t>
            </w:r>
            <w:r>
              <w:rPr>
                <w:b/>
                <w:i/>
              </w:rPr>
              <w:t>Parlament v mnoha usneseních vyzval, aby pro</w:t>
            </w:r>
            <w:r>
              <w:t xml:space="preserve"> přijímání sankcí v rámci globálního režimu sankcí EU v oblasti lidských práv </w:t>
            </w:r>
            <w:r>
              <w:rPr>
                <w:b/>
                <w:i/>
              </w:rPr>
              <w:t>bylo zavedeno hlasování kvalifikovanou většinou</w:t>
            </w:r>
            <w:r>
              <w:t>;</w:t>
            </w:r>
          </w:p>
        </w:tc>
        <w:tc>
          <w:tcPr>
            <w:tcW w:w="4876" w:type="dxa"/>
            <w:tcBorders>
              <w:top w:val="nil"/>
              <w:left w:val="nil"/>
              <w:bottom w:val="nil"/>
              <w:right w:val="nil"/>
            </w:tcBorders>
          </w:tcPr>
          <w:p>
            <w:pPr>
              <w:pStyle w:val="Normal6a"/>
            </w:pPr>
            <w:r>
              <w:t>R.</w:t>
            </w:r>
            <w:r>
              <w:tab/>
            </w:r>
            <w:r>
              <w:t xml:space="preserve">vzhledem k tomu, že přijímání sankcí v rámci globálního režimu sankcí EU v oblasti lidských práv </w:t>
            </w:r>
            <w:r>
              <w:rPr>
                <w:b/>
                <w:i/>
              </w:rPr>
              <w:t>vyžaduje jednomyslnost všech členských států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vzhledem k tomu, že Parlament v mnoha usneseních vyzval, aby pro přijímání sankcí v rámci globálního režimu sankcí EU v oblasti lidských práv bylo zavedeno hlasování kvalifikovanou většinou;</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R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vzhledem k tomu, že členské státy disponují důležitými nástroji k ukládání vlastních opatření a sankcí;</w:t>
            </w:r>
            <w:r>
              <w:t xml:space="preserve"> </w:t>
            </w:r>
            <w:r>
              <w:rPr>
                <w:b/>
                <w:i/>
              </w:rPr>
              <w:t>vzhledem k tomu, že například Polsko za jediný den uvalilo sankce na 365 aparátčíků režimu odpovědných za vážnou situaci v oblasti lidských práv v Bělorusku, jakož i na desítky souvisejících subjektů;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Jorge Martín Frías,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vzhledem k tomu, že prodloužení platnosti globálního režimu sankcí EU v oblasti lidských práv do prosince 2026 je příležitostí k přezkumu tohoto režimu;</w:t>
            </w:r>
          </w:p>
        </w:tc>
        <w:tc>
          <w:tcPr>
            <w:tcW w:w="4876" w:type="dxa"/>
            <w:tcBorders>
              <w:top w:val="nil"/>
              <w:left w:val="nil"/>
              <w:bottom w:val="nil"/>
              <w:right w:val="nil"/>
            </w:tcBorders>
          </w:tcPr>
          <w:p>
            <w:pPr>
              <w:pStyle w:val="Normal6a"/>
            </w:pPr>
            <w:r>
              <w:t>S.</w:t>
            </w:r>
            <w:r>
              <w:tab/>
            </w:r>
            <w:r>
              <w:t xml:space="preserve">vzhledem k tomu, že prodloužení platnosti globálního režimu sankcí EU v oblasti lidských práv do prosince 2026 je příležitostí k přezkumu tohoto režimu; </w:t>
            </w:r>
            <w:r>
              <w:rPr>
                <w:b/>
                <w:i/>
              </w:rPr>
              <w:t>vzhledem k tomu, že je načase důkladně vymezit soudržný model založený na zisku, ve kterém se upřesní oblast působnosti, cíle a právní systém cílených sankcí, aby se zlepšilo jeho provádění a účinnost a zároveň se předešlo jakýmkoli nesrovnalostem s členskými státy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vzhledem k tomu, že </w:t>
            </w:r>
            <w:r>
              <w:rPr>
                <w:b/>
                <w:i/>
              </w:rPr>
              <w:t>prodloužení platnosti</w:t>
            </w:r>
            <w:r>
              <w:t xml:space="preserve"> globálního režimu sankcí EU v oblasti lidských práv do prosince 2026 </w:t>
            </w:r>
            <w:r>
              <w:rPr>
                <w:b/>
                <w:i/>
              </w:rPr>
              <w:t>je příležitostí k přezkumu tohoto režimu</w:t>
            </w:r>
            <w:r>
              <w:t>;</w:t>
            </w:r>
          </w:p>
        </w:tc>
        <w:tc>
          <w:tcPr>
            <w:tcW w:w="4876" w:type="dxa"/>
            <w:tcBorders>
              <w:top w:val="nil"/>
              <w:left w:val="nil"/>
              <w:bottom w:val="nil"/>
              <w:right w:val="nil"/>
            </w:tcBorders>
          </w:tcPr>
          <w:p>
            <w:pPr>
              <w:pStyle w:val="Normal6a"/>
            </w:pPr>
            <w:r>
              <w:t>S.</w:t>
            </w:r>
            <w:r>
              <w:tab/>
            </w:r>
            <w:r>
              <w:t xml:space="preserve">vzhledem k tomu, že </w:t>
            </w:r>
            <w:r>
              <w:rPr>
                <w:b/>
                <w:i/>
              </w:rPr>
              <w:t>platnost</w:t>
            </w:r>
            <w:r>
              <w:t xml:space="preserve"> globálního režimu sankcí EU v oblasti lidských práv </w:t>
            </w:r>
            <w:r>
              <w:rPr>
                <w:b/>
                <w:i/>
              </w:rPr>
              <w:t>byla prodloužena</w:t>
            </w:r>
            <w:r>
              <w:t xml:space="preserve"> do prosince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vzhledem k tomu, že prodloužení platnosti globálního režimu sankcí EU v oblasti lidských práv do prosince 2026 je příležitostí k přezkumu tohoto režimu;</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vzhledem k tomu, že uvalování sankcí na rodinné příslušníky primárního cíle se v politické diskusi stále více považuje za ústřední prvek sankční praxe, aby byly sankce co nejúčinnější a odrazovaly co nejvíce od trestné činnosti;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vzhledem k tomu, že zařazení na seznam globálního režimu sankcí EU v oblasti lidských práv je jednou z forem mezinárodního uznání obětí porušování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Sb.</w:t>
            </w:r>
            <w:r>
              <w:tab/>
            </w:r>
            <w:r>
              <w:rPr>
                <w:b/>
                <w:i/>
              </w:rPr>
              <w:t>vzhledem k tomu, že je v rostoucí míře uznáváno, že vážné škody na životním prostředí mohou představovat závažné porušování lidských práv, zejména původních obyvatel, místních komunit a obránců životního prostředí, jejichž práva na život, zdraví, vodu, potraviny, bydlení, živobytí, sexuální reprodukci a sebeurčení jsou přímo a nepřiměřeně zasažena, nebo s tímto porušováním mohou být neoddělitelně spjaty;</w:t>
            </w:r>
            <w:r>
              <w:t xml:space="preserve"> </w:t>
            </w:r>
            <w:r>
              <w:rPr>
                <w:b/>
                <w:i/>
              </w:rPr>
              <w:t>vzhledem k tomu, že takové porušování by mělo být výslovně považováno za závažné porušování lidských práv, na něž se vztahuje globální režim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S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Sc.</w:t>
            </w:r>
            <w:r>
              <w:tab/>
            </w:r>
            <w:r>
              <w:rPr>
                <w:b/>
                <w:i/>
              </w:rPr>
              <w:t>vzhledem k tomu, že ačkoli se seznamy zaměřují na sexuální násilí a diskriminaci na základě pohlaví, další seznamy by se měly rozšířit tak, aby se týkaly porušování lidských práv sexuálních a genderových menšin;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znovu opakuje, že </w:t>
            </w:r>
            <w:r>
              <w:rPr>
                <w:b/>
                <w:i/>
              </w:rPr>
              <w:t>podporuje</w:t>
            </w:r>
            <w:r>
              <w:t xml:space="preserve"> globální režim sankcí EU v oblasti lidských práv </w:t>
            </w:r>
            <w:r>
              <w:rPr>
                <w:b/>
                <w:i/>
              </w:rPr>
              <w:t>jakožto významný nástroj k posílení souboru nástrojů</w:t>
            </w:r>
            <w:r>
              <w:t xml:space="preserve"> EU v oblasti lidských práv</w:t>
            </w:r>
            <w:r>
              <w:rPr>
                <w:b/>
                <w:i/>
              </w:rPr>
              <w:t>, zejména s ohledem na jeho schopnost přispět ke změně chování osob a subjektů, proti nimž je namířen, a k úsilí o vyvození odpovědnosti přímých pachatelů, pomocníků a nepřímých podporovatelů závažného porušování</w:t>
            </w:r>
            <w:r>
              <w:t xml:space="preserve"> lidských práv;</w:t>
            </w:r>
          </w:p>
        </w:tc>
        <w:tc>
          <w:tcPr>
            <w:tcW w:w="4876" w:type="dxa"/>
            <w:tcBorders>
              <w:top w:val="nil"/>
              <w:left w:val="nil"/>
              <w:bottom w:val="nil"/>
              <w:right w:val="nil"/>
            </w:tcBorders>
          </w:tcPr>
          <w:p>
            <w:pPr>
              <w:pStyle w:val="Normal6a"/>
            </w:pPr>
            <w:r>
              <w:t>1.</w:t>
            </w:r>
            <w:r>
              <w:tab/>
            </w:r>
            <w:r>
              <w:t xml:space="preserve">znovu opakuje, že globální režim sankcí EU v oblasti lidských práv </w:t>
            </w:r>
            <w:r>
              <w:rPr>
                <w:b/>
                <w:i/>
              </w:rPr>
              <w:t>musí zůstat přísně cíleným nástrojem vnější činnosti Unie, který má být používán pouze proti zemím, jednotlivcům a subjektům, kteří se přímo podílejí na nepřátelských činech proti jednomu nebo více členským státům Evropské unie, nebo v reakci na jasné a závažné porušování lidských práv – za předpokladu, že tato opatření nejsou používána jako záminka k zasahování do vnitřních záležitostí třetích zemí;</w:t>
            </w:r>
            <w:r>
              <w:t xml:space="preserve"> </w:t>
            </w:r>
            <w:r>
              <w:rPr>
                <w:b/>
                <w:i/>
              </w:rPr>
              <w:t>zdůrazňuje, že jakékoli uplatňování těchto sankcí musí být založeno na jasných důkazech o ohrožení svrchovanosti, bezpečnosti nebo základních zájmů členských států;</w:t>
            </w:r>
            <w:r>
              <w:t xml:space="preserve"> </w:t>
            </w:r>
            <w:r>
              <w:rPr>
                <w:b/>
                <w:i/>
              </w:rPr>
              <w:t>zdůrazňuje, že v souladu s čl. 24 odst. 1 Smlouvy o Evropské unii musí být u všech rozhodnutí týkajících se přijímání sankcí v rámci společné zahraniční a bezpečnostní politiky (SZBP) zachována jednomyslnost v Radě, aby nebyly dotčeny národní zájmy a priority zahraniční politiky jednotlivých členských států proti jejich vůli;</w:t>
            </w:r>
            <w:r>
              <w:t xml:space="preserve"> </w:t>
            </w:r>
            <w:r>
              <w:rPr>
                <w:b/>
                <w:i/>
              </w:rPr>
              <w:t>varuje, že jakýkoli posun směrem k hlasování kvalifikovanou většinou v souvislosti s globálním režimem sankcí</w:t>
            </w:r>
            <w:r>
              <w:t xml:space="preserve"> EU v oblasti lidských práv </w:t>
            </w:r>
            <w:r>
              <w:rPr>
                <w:b/>
                <w:i/>
              </w:rPr>
              <w:t>představuje přímou výzvu z hlediska svrchovanosti členských států a mezivládní povahy vnější činnosti Unie;</w:t>
            </w:r>
            <w:r>
              <w:t xml:space="preserve"> </w:t>
            </w:r>
            <w:r>
              <w:rPr>
                <w:b/>
                <w:i/>
              </w:rPr>
              <w:t>dále varuje před ideologickým nebo expanzivním využíváním globálního režimu sankcí v oblasti</w:t>
            </w:r>
            <w:r>
              <w:t xml:space="preserve"> lidských práv </w:t>
            </w:r>
            <w:r>
              <w:rPr>
                <w:b/>
                <w:i/>
              </w:rPr>
              <w:t>odděleně od hlavních strategických priorit Unie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p>
        </w:tc>
        <w:tc>
          <w:tcPr>
            <w:tcW w:w="4876" w:type="dxa"/>
            <w:tcBorders>
              <w:top w:val="nil"/>
              <w:left w:val="nil"/>
              <w:bottom w:val="nil"/>
              <w:right w:val="nil"/>
            </w:tcBorders>
          </w:tcPr>
          <w:p>
            <w:pPr>
              <w:pStyle w:val="Normal6a"/>
            </w:pPr>
            <w:r>
              <w:t>1.</w:t>
            </w:r>
            <w:r>
              <w:tab/>
            </w:r>
            <w:r>
              <w:t xml:space="preserve">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 </w:t>
            </w:r>
            <w:r>
              <w:rPr>
                <w:b/>
                <w:i/>
              </w:rPr>
              <w:t>uznává, že stále ještě zdaleka nedosahujeme cílů spojených se schválením sankcí a že je třeba schválit nová opatření, aby byl tento nástroj skutečně účinný;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p>
        </w:tc>
        <w:tc>
          <w:tcPr>
            <w:tcW w:w="4876" w:type="dxa"/>
            <w:tcBorders>
              <w:top w:val="nil"/>
              <w:left w:val="nil"/>
              <w:bottom w:val="nil"/>
              <w:right w:val="nil"/>
            </w:tcBorders>
          </w:tcPr>
          <w:p>
            <w:pPr>
              <w:pStyle w:val="Normal6a"/>
            </w:pPr>
            <w:r>
              <w:t>1.</w:t>
            </w:r>
            <w:r>
              <w:tab/>
            </w:r>
            <w:r>
              <w:t xml:space="preserve">znovu opakuje, že podporuje globální režim sankcí EU v oblasti lidských práv jakožto významný nástroj </w:t>
            </w:r>
            <w:r>
              <w:rPr>
                <w:b/>
                <w:i/>
              </w:rPr>
              <w:t>zahraniční politiky k posílení lidských práv na celém světě;</w:t>
            </w:r>
            <w:r>
              <w:t xml:space="preserve"> </w:t>
            </w:r>
            <w:r>
              <w:rPr>
                <w:b/>
                <w:i/>
              </w:rPr>
              <w:t>uznává, že je nepostradatelným nástrojem</w:t>
            </w:r>
            <w:r>
              <w:t xml:space="preserve">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r>
              <w:rPr>
                <w:b/>
                <w:i/>
              </w:rPr>
              <w:t>, a s ohledem na to, že cílem není ovlivnit požívání lidských práv ze strany obyvatelstva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p>
        </w:tc>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r>
              <w:rPr>
                <w:b/>
                <w:i/>
              </w:rPr>
              <w:t>, jakož i těch, kteří z tohoto porušování přímo či nepřímo těží, včetně jejich nejbližších rodinných příslušníků a obchodních partnerů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p>
        </w:tc>
        <w:tc>
          <w:tcPr>
            <w:tcW w:w="4876" w:type="dxa"/>
            <w:tcBorders>
              <w:top w:val="nil"/>
              <w:left w:val="nil"/>
              <w:bottom w:val="nil"/>
              <w:right w:val="nil"/>
            </w:tcBorders>
          </w:tcPr>
          <w:p>
            <w:pPr>
              <w:pStyle w:val="Normal6a"/>
            </w:pPr>
            <w:r>
              <w:t>1.</w:t>
            </w:r>
            <w:r>
              <w:tab/>
            </w:r>
            <w:r>
              <w:t xml:space="preserve">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 </w:t>
            </w:r>
            <w:r>
              <w:rPr>
                <w:b/>
                <w:i/>
              </w:rPr>
              <w:t>znovu potvrzuje, že je nezbytné, aby byl režim nezávislý na zahraničněpolitických zájmech;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 a nepřímých podporovatelů závažného porušování lidských práv;</w:t>
            </w:r>
          </w:p>
        </w:tc>
        <w:tc>
          <w:tcPr>
            <w:tcW w:w="4876" w:type="dxa"/>
            <w:tcBorders>
              <w:top w:val="nil"/>
              <w:left w:val="nil"/>
              <w:bottom w:val="nil"/>
              <w:right w:val="nil"/>
            </w:tcBorders>
          </w:tcPr>
          <w:p>
            <w:pPr>
              <w:pStyle w:val="Normal6a"/>
            </w:pPr>
            <w:r>
              <w:t>1.</w:t>
            </w:r>
            <w:r>
              <w:tab/>
            </w:r>
            <w:r>
              <w:t>znovu opakuje, že podporuje globální režim sankcí EU v oblasti lidských práv jakožto významný nástroj k posílení souboru nástrojů EU v oblasti lidských práv, zejména s ohledem na jeho schopnost přispět ke změně chování osob a subjektů, proti nimž je namířen, a k úsilí o vyvození odpovědnosti přímých pachatelů, pomocníků</w:t>
            </w:r>
            <w:r>
              <w:rPr>
                <w:b/>
                <w:i/>
              </w:rPr>
              <w:t>, návodců</w:t>
            </w:r>
            <w:r>
              <w:t xml:space="preserve"> a nepřímých podporovatelů závažného porušování lidských práv;</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 bod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zdůrazňuje, že je důležité rozšířit zeměpisnou působnost cílených sankcí a na seznam zahrnout všechny osoby odpovědné za systematické porušování lidských práv, včetně jejich rodin, zejména na Kubě, ve Venezuele a Nikaragui;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trvá na zachování jednomyslného hlasování v Evropské radě pro přijímání sankcí v rámci globálního režimu sankcí EU v oblasti lidských práv – Magnitského zákona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znovu potvrzuje své neochvějné odhodlání bojovat proti beztrestnosti za závažné porušování a zneužívání lidských práv na celém světě prostřednictvím účinného využívání stávajících sankčních nástrojů EU, včetně globálního režimu sankcí EU v oblasti lidských práv;</w:t>
            </w:r>
          </w:p>
        </w:tc>
        <w:tc>
          <w:tcPr>
            <w:tcW w:w="4876" w:type="dxa"/>
            <w:tcBorders>
              <w:top w:val="nil"/>
              <w:left w:val="nil"/>
              <w:bottom w:val="nil"/>
              <w:right w:val="nil"/>
            </w:tcBorders>
          </w:tcPr>
          <w:p>
            <w:pPr>
              <w:pStyle w:val="Normal6a"/>
            </w:pPr>
            <w:r>
              <w:t>2.</w:t>
            </w:r>
            <w:r>
              <w:tab/>
            </w:r>
            <w:r>
              <w:t xml:space="preserve">znovu potvrzuje své neochvějné odhodlání bojovat proti beztrestnosti za závažné porušování a zneužívání lidských práv na celém světě prostřednictvím účinného využívání stávajících sankčních nástrojů EU, včetně globálního režimu sankcí EU v oblasti lidských práv; </w:t>
            </w:r>
            <w:r>
              <w:rPr>
                <w:b/>
                <w:i/>
              </w:rPr>
              <w:t>stejně tak znovu potvrzuje svou neochvějnou podporu mezinárodního soudního systému, který čelí nebývalým výzvám, včetně bezdůvodných sankcí vůči soudcům a zaměstnancům Mezinárodního trestního soudu, z nichž někteří jsou státními příslušníky EU;</w:t>
            </w:r>
            <w:r>
              <w:t xml:space="preserve"> </w:t>
            </w:r>
            <w:r>
              <w:rPr>
                <w:b/>
                <w:i/>
              </w:rPr>
              <w:t>v této souvislosti naléhavě vyzývá EU, aby aktivovala blokovací nařízení s cílem omezit dopad těchto sankcí, aby apelovala na USA a Rusko, aby sankce zrušily, a aby na všech fórech potvrdila svou podporu Mezinárodnímu trestnímu soudu;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znovu potvrzuje své neochvějné odhodlání bojovat proti beztrestnosti za závažné porušování a zneužívání lidských práv na celém světě prostřednictvím účinného</w:t>
            </w:r>
            <w:r>
              <w:t xml:space="preserve"> využívání </w:t>
            </w:r>
            <w:r>
              <w:rPr>
                <w:b/>
                <w:i/>
              </w:rPr>
              <w:t>stávajících sankčních nástrojů EU, včetně</w:t>
            </w:r>
            <w:r>
              <w:t xml:space="preserve"> globálního režimu sankcí EU v oblasti lidských práv;</w:t>
            </w:r>
          </w:p>
        </w:tc>
        <w:tc>
          <w:tcPr>
            <w:tcW w:w="4876" w:type="dxa"/>
            <w:tcBorders>
              <w:top w:val="nil"/>
              <w:left w:val="nil"/>
              <w:bottom w:val="nil"/>
              <w:right w:val="nil"/>
            </w:tcBorders>
          </w:tcPr>
          <w:p>
            <w:pPr>
              <w:pStyle w:val="Normal6a"/>
            </w:pPr>
            <w:r>
              <w:t>2.</w:t>
            </w:r>
            <w:r>
              <w:tab/>
            </w:r>
            <w:r>
              <w:rPr>
                <w:b/>
                <w:i/>
              </w:rPr>
              <w:t>klade si otázku ohledně účinnosti a rostoucího účelového</w:t>
            </w:r>
            <w:r>
              <w:t xml:space="preserve"> využívání globálního režimu sankcí EU v oblasti lidských práv </w:t>
            </w:r>
            <w:r>
              <w:rPr>
                <w:b/>
                <w:i/>
              </w:rPr>
              <w:t>jako klíčového politického nástroje vnější činnosti Unie v oblasti lidských práv a demokracie</w:t>
            </w:r>
            <w:r>
              <w:t xml:space="preserve">; </w:t>
            </w:r>
            <w:r>
              <w:rPr>
                <w:b/>
                <w:i/>
              </w:rPr>
              <w:t>připomíná, že ačkoli ochrana lidských práv zůstává základní hodnotou, hrozí, že časté a rozsáhlé používání sankcí urychlí vytváření bloků, prohloubí geopolitické napětí a oslabí hospodářskou, politickou a sociální stabilitu členských států Evropské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znovu potvrzuje své neochvějné odhodlání bojovat proti beztrestnosti za závažné porušování a zneužívání lidských práv na celém světě prostřednictvím účinného využívání stávajících sankčních nástrojů EU, včetně globálního režimu sankcí EU v oblasti lidských práv;</w:t>
            </w:r>
          </w:p>
        </w:tc>
        <w:tc>
          <w:tcPr>
            <w:tcW w:w="4876" w:type="dxa"/>
            <w:tcBorders>
              <w:top w:val="nil"/>
              <w:left w:val="nil"/>
              <w:bottom w:val="nil"/>
              <w:right w:val="nil"/>
            </w:tcBorders>
          </w:tcPr>
          <w:p>
            <w:pPr>
              <w:pStyle w:val="Normal6a"/>
            </w:pPr>
            <w:r>
              <w:t>2.</w:t>
            </w:r>
            <w:r>
              <w:tab/>
            </w:r>
            <w:r>
              <w:t>znovu potvrzuje své neochvějné odhodlání bojovat proti beztrestnosti za závažné porušování a zneužívání lidských práv na celém světě</w:t>
            </w:r>
            <w:r>
              <w:rPr>
                <w:b/>
                <w:i/>
              </w:rPr>
              <w:t>, včetně korupce,</w:t>
            </w:r>
            <w:r>
              <w:t xml:space="preserve"> prostřednictvím účinného využívání stávajících sankčních nástrojů EU, včetně globálního režimu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znovu potvrzuje své neochvějné odhodlání bojovat proti beztrestnosti za závažné porušování a zneužívání lidských práv na celém světě prostřednictvím účinného využívání stávajících sankčních nástrojů EU, včetně globálního režimu sankcí EU v oblasti lidských práv;</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vyzývá k provedení komplexního posouzení dopadů globálního režimu sankcí EU v oblasti lidských práv a jeho </w:t>
            </w:r>
            <w:r>
              <w:rPr>
                <w:b/>
                <w:i/>
              </w:rPr>
              <w:t>propojení</w:t>
            </w:r>
            <w:r>
              <w:t xml:space="preserve"> se sankcemi EU pro jednotlivé země a dalšími horizontálními omezujícími opatřeními EU, aby bylo možné vyhodnotit jeho účinnost, i co se týče změny chování osob a subjektů zařazených na seznamy, zjistit operační nedostatky a zajistit konzistentní a strategické uplatňování na celém světě, a vyzývá k přezkumu globálního režimu sankcí EU v oblasti lidských práv v souladu se závěry tohoto posouzení dopadů;</w:t>
            </w:r>
          </w:p>
        </w:tc>
        <w:tc>
          <w:tcPr>
            <w:tcW w:w="4876" w:type="dxa"/>
            <w:tcBorders>
              <w:top w:val="nil"/>
              <w:left w:val="nil"/>
              <w:bottom w:val="nil"/>
              <w:right w:val="nil"/>
            </w:tcBorders>
          </w:tcPr>
          <w:p>
            <w:pPr>
              <w:pStyle w:val="Normal6a"/>
            </w:pPr>
            <w:r>
              <w:t>3.</w:t>
            </w:r>
            <w:r>
              <w:tab/>
            </w:r>
            <w:r>
              <w:t xml:space="preserve">vyzývá k provedení komplexního posouzení dopadů globálního režimu sankcí EU v oblasti lidských práv a jeho </w:t>
            </w:r>
            <w:r>
              <w:rPr>
                <w:b/>
                <w:i/>
              </w:rPr>
              <w:t>interakci</w:t>
            </w:r>
            <w:r>
              <w:t xml:space="preserve"> se sankcemi EU pro jednotlivé země a dalšími horizontálními omezujícími opatřeními EU, aby bylo možné vyhodnotit jeho účinnost, i co se týče změny chování osob a subjektů zařazených na seznamy, zjistit operační nedostatky a zajistit konzistentní a strategické uplatňování na celém světě, a vyzývá k přezkumu globálního režimu sankcí EU v oblasti lidských práv v souladu se závěry tohoto posouzení dopadů;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vyzývá k provedení komplexního posouzení dopadů globálního režimu sankcí EU v oblasti lidských práv a jeho propojení se sankcemi EU pro jednotlivé země a dalšími horizontálními omezujícími opatřeními EU, aby bylo možné vyhodnotit jeho účinnost, i co se týče změny chování osob a subjektů zařazených na seznamy, zjistit operační nedostatky a zajistit konzistentní a strategické uplatňování na celém světě, a vyzývá k přezkumu globálního režimu sankcí EU v oblasti lidských práv v souladu se závěry tohoto posouzení dopadů;</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vzhledem k tomu, že vnitřní i vnější politiky EU by měly konzistentně podporovat demokratické opozice v zemích, kde vládne diktatura, a že by měly být pozastaveny veškeré platné dohody s těmito režimy;</w:t>
            </w:r>
            <w:r>
              <w:t xml:space="preserve"> </w:t>
            </w:r>
            <w:r>
              <w:rPr>
                <w:b/>
                <w:i/>
              </w:rPr>
              <w:t>vzhledem k tomu, že veškeré dohody a finanční pomoc pro Kubu, Venezuelu a Nikaraguu jsou podporovány evropskými daňovými poplatníky a musí být okamžitě pozastaveny;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žádá, aby byly alespoň jednou za 12 měsíců systematicky přezkoumány seznamy vypracované na základě globálního režimu sankcí EU v oblasti lidských práv, aby byla zajištěna jejich ucelenost, přiměřenost a soulad s nejnovějšími informacemi a soudními rozhodnutími;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domnívá se, že by mělo být k dispozici více informací o kritériích pro vyřazení ze seznamu, aby se dosáhlo zlepšení v oblasti právní jasnosti, spravedlivého procesu a odpovědnosti;</w:t>
            </w:r>
          </w:p>
        </w:tc>
        <w:tc>
          <w:tcPr>
            <w:tcW w:w="4876" w:type="dxa"/>
            <w:tcBorders>
              <w:top w:val="nil"/>
              <w:left w:val="nil"/>
              <w:bottom w:val="nil"/>
              <w:right w:val="nil"/>
            </w:tcBorders>
          </w:tcPr>
          <w:p>
            <w:pPr>
              <w:pStyle w:val="Normal6a"/>
            </w:pPr>
            <w:r>
              <w:t>4.</w:t>
            </w:r>
            <w:r>
              <w:tab/>
            </w:r>
            <w:r>
              <w:t>domnívá se, že by mělo být k dispozici více informací o kritériích pro vyřazení ze seznamu, aby se dosáhlo zlepšení v oblasti právní jasnosti, spravedlivého procesu</w:t>
            </w:r>
            <w:r>
              <w:rPr>
                <w:b/>
                <w:i/>
              </w:rPr>
              <w:t>, transparentnosti</w:t>
            </w:r>
            <w:r>
              <w:t xml:space="preserve"> a odpovědnosti;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domnívá se, že by mělo být k dispozici více informací o kritériích pro vyřazení ze seznamu, aby se dosáhlo zlepšení v oblasti právní jasnosti, spravedlivého procesu a odpovědnosti;</w:t>
            </w:r>
          </w:p>
        </w:tc>
        <w:tc>
          <w:tcPr>
            <w:tcW w:w="4876" w:type="dxa"/>
            <w:tcBorders>
              <w:top w:val="nil"/>
              <w:left w:val="nil"/>
              <w:bottom w:val="nil"/>
              <w:right w:val="nil"/>
            </w:tcBorders>
          </w:tcPr>
          <w:p>
            <w:pPr>
              <w:pStyle w:val="Normal6a"/>
            </w:pPr>
            <w:r>
              <w:t>4.</w:t>
            </w:r>
            <w:r>
              <w:tab/>
            </w:r>
            <w:r>
              <w:t xml:space="preserve">domnívá se, že by mělo být k dispozici více informací o kritériích pro </w:t>
            </w:r>
            <w:r>
              <w:rPr>
                <w:b/>
                <w:i/>
              </w:rPr>
              <w:t>zahrnutí a</w:t>
            </w:r>
            <w:r>
              <w:t xml:space="preserve"> vyřazení ze seznamu, aby se dosáhlo zlepšení v oblasti právní jasnosti, spravedlivého procesu a odpovědnosti;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znovu opakuje, že je důležité, aby byl globální režim sankcí EU v oblasti lidských práv v souladu s omezujícími opatřeními EU pro jednotlivé země a horizontálními omezujícími opatřeními EU, odvětvovými opatřeními a zbrojními embargy EU, a se stávajícími mezinárodními sankčními rámci, a aby je doplňoval;</w:t>
            </w:r>
          </w:p>
        </w:tc>
        <w:tc>
          <w:tcPr>
            <w:tcW w:w="4876" w:type="dxa"/>
            <w:tcBorders>
              <w:top w:val="nil"/>
              <w:left w:val="nil"/>
              <w:bottom w:val="nil"/>
              <w:right w:val="nil"/>
            </w:tcBorders>
          </w:tcPr>
          <w:p>
            <w:pPr>
              <w:pStyle w:val="Normal6a"/>
            </w:pPr>
            <w:r>
              <w:t>5.</w:t>
            </w:r>
            <w:r>
              <w:tab/>
            </w:r>
            <w:r>
              <w:t xml:space="preserve">znovu opakuje, že je důležité, aby byl globální režim sankcí EU v oblasti lidských práv v souladu s omezujícími opatřeními EU pro jednotlivé země a horizontálními omezujícími opatřeními EU, odvětvovými opatřeními a zbrojními embargy EU, a se stávajícími mezinárodními sankčními rámci, a aby je doplňoval; </w:t>
            </w:r>
            <w:r>
              <w:rPr>
                <w:b/>
                <w:i/>
              </w:rPr>
              <w:t>zdůrazňuje, že skutečnost, že EU prostřednictvím sankcí nedosáhla zamýšlených cílů v zemích, které nedodržují základní normy v oblasti lidských práv, lze částečně vysvětlit politickou spoluúčastí s těmito zeměmi, z nichž některé jsou řízeny zkorumpovanými a kriminálními režimy;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znovu opakuje, že je důležité, aby byl globální režim sankcí EU v oblasti lidských práv v souladu s omezujícími opatřeními EU pro jednotlivé země a horizontálními omezujícími opatřeními EU, odvětvovými opatřeními a zbrojními embargy EU, a se stávajícími mezinárodními sankčními rámci, a aby je doplňoval;</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zdůrazňuje, že globální režim sankcí EU v oblasti lidských práv by se měl rovněž zabývat porušováním lidských práv, k němuž dochází prostřednictvím digitálního sledování, vývozu špionážního softwaru a dalších technologií používaných k represím, a vyzývá, aby byli na seznam výslovně zařazeni jednotlivci a společnosti zapojení do tohoto porušování;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žádá, aby globální režim sankcí EU v oblasti lidských práv zahrnoval kromě zmrazení majetku a zákazů cestování i zákaz dodávek technického vybavení, technologií a softwaru příslušným orgánům, pokud by mohly být použity k vnitřní represi;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naléhavě žádá, aby bylo postupně zakázáno poskytování personálu, technologií a softwaru osobám a subjektům zařazeným na seznam podle globálního režimu sankcí EU v oblasti lidských práv ve spojení s opatřeními pro jednotlivé země a horizontálními opatřeními;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vyzývá Radu a ESVČ, aby systematicky posuzovaly využívání globálního režimu sankcí EU v oblasti lidských práv proti nadnárodním represím, včetně digitálního sledování, obtěžování osob žijících v exilu a přeshraničního zastrašování prováděného či umožněného státními či nestátními subjekty;</w:t>
            </w:r>
            <w:r>
              <w:t xml:space="preserve"> </w:t>
            </w:r>
            <w:r>
              <w:rPr>
                <w:b/>
                <w:i/>
              </w:rPr>
              <w:t>zdůrazňuje, že je třeba postihovat osoby, které tyto činy materiálně podporují nebo usnadňují, mimo jiné i za poskytování špionážního softwaru, šíření dezinformací nebo zneužívání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Jorge Martín Frías,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vybízí Radu, aby usilovala o sladění seznamů globálního režimu sankcí EU v oblasti lidských práv se sankčními seznamy podobně smýšlejících partnerů a Rady bezpečnosti OSN, pokud je to politicky a právně proveditelné, s cílem posílit globální legitimitu a účinnost;</w:t>
            </w:r>
          </w:p>
        </w:tc>
        <w:tc>
          <w:tcPr>
            <w:tcW w:w="4876" w:type="dxa"/>
            <w:tcBorders>
              <w:top w:val="nil"/>
              <w:left w:val="nil"/>
              <w:bottom w:val="nil"/>
              <w:right w:val="nil"/>
            </w:tcBorders>
          </w:tcPr>
          <w:p>
            <w:pPr>
              <w:pStyle w:val="Normal6a"/>
            </w:pPr>
            <w:r>
              <w:t>6.</w:t>
            </w:r>
            <w:r>
              <w:tab/>
            </w:r>
            <w:r>
              <w:t xml:space="preserve">vybízí Radu, aby usilovala o sladění seznamů globálního režimu sankcí EU v oblasti lidských práv se sankčními seznamy podobně smýšlejících partnerů a Rady bezpečnosti OSN, pokud je to politicky a právně proveditelné, s cílem posílit globální legitimitu a účinnost; </w:t>
            </w:r>
            <w:r>
              <w:rPr>
                <w:b/>
                <w:i/>
              </w:rPr>
              <w:t>odsuzuje pokračující zneužívání Rady OSN pro lidská práva a Mezinárodního trestního soudu totalitními režimy k vlastním politickým cílům;</w:t>
            </w:r>
            <w:r>
              <w:t xml:space="preserve"> </w:t>
            </w:r>
            <w:r>
              <w:rPr>
                <w:b/>
                <w:i/>
              </w:rPr>
              <w:t>vyjadřuje politování nad geopolitickým postojem Číny, Ruska, Íránu a dalších zemí, které zneužívají mnohostranné instituce ve snaze neutralizovat schopnost mechanismů v oblasti lidských práv pohnat státy k odpovědnosti za porušování lidských práv a podkopávat nebo přepisovat mezinárodní normy tak, aby vyhovovaly jejich autoritářské agendě;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vybízí Radu, aby usilovala o sladění seznamů globálního režimu sankcí EU v oblasti lidských práv se sankčními seznamy podobně smýšlejících partnerů a Rady bezpečnosti OSN, pokud je to politicky a právně proveditelné, s cílem posílit globální legitimitu a účinnost;</w:t>
            </w:r>
          </w:p>
        </w:tc>
        <w:tc>
          <w:tcPr>
            <w:tcW w:w="4876" w:type="dxa"/>
            <w:tcBorders>
              <w:top w:val="nil"/>
              <w:left w:val="nil"/>
              <w:bottom w:val="nil"/>
              <w:right w:val="nil"/>
            </w:tcBorders>
          </w:tcPr>
          <w:p>
            <w:pPr>
              <w:pStyle w:val="Normal6a"/>
            </w:pPr>
            <w:r>
              <w:t>6.</w:t>
            </w:r>
            <w:r>
              <w:tab/>
            </w:r>
            <w:r>
              <w:t>vybízí Radu, aby usilovala o sladění seznamů globálního režimu sankcí EU v oblasti lidských práv se sankčními seznamy podobně smýšlejících partnerů</w:t>
            </w:r>
            <w:r>
              <w:rPr>
                <w:b/>
                <w:i/>
              </w:rPr>
              <w:t>, zejména zemí G7,</w:t>
            </w:r>
            <w:r>
              <w:t xml:space="preserve"> a Rady bezpečnosti OSN, pokud je to politicky a právně proveditelné, s cílem posílit globální legitimitu a účinnost;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vybízí Radu, aby usilovala o sladění seznamů globálního režimu sankcí EU v oblasti lidských práv se sankčními seznamy podobně smýšlejících partnerů a Rady bezpečnosti OSN, pokud je to politicky a právně proveditelné, s cílem posílit globální legitimitu a účinnost;</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vyzývá Komisi a členské státy, aby posílily součinnost mezi globálním režimem sankcí EU v oblasti lidských práv a mezinárodními mechanismy odpovědnosti, jako jsou OSN, Mezinárodní trestní soud a regionální soudy pro lidská práva, s cílem zvýšit účinnost opatření EU v boji proti závažnému porušování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zdůrazňuje, že je důležité, aby se</w:t>
            </w:r>
            <w:r>
              <w:t xml:space="preserve"> kandidátské země a potenciální kandidátské země EU </w:t>
            </w:r>
            <w:r>
              <w:rPr>
                <w:b/>
                <w:i/>
              </w:rPr>
              <w:t>připojily</w:t>
            </w:r>
            <w:r>
              <w:t xml:space="preserve"> ke globálnímu režimu sankcí EU v oblasti lidských práv </w:t>
            </w:r>
            <w:r>
              <w:rPr>
                <w:b/>
                <w:i/>
              </w:rPr>
              <w:t>v souladu s jejich širším připojením ke společné zahraniční a bezpečnostní politice EU</w:t>
            </w:r>
            <w:r>
              <w:t>;</w:t>
            </w:r>
          </w:p>
        </w:tc>
        <w:tc>
          <w:tcPr>
            <w:tcW w:w="4876" w:type="dxa"/>
            <w:tcBorders>
              <w:top w:val="nil"/>
              <w:left w:val="nil"/>
              <w:bottom w:val="nil"/>
              <w:right w:val="nil"/>
            </w:tcBorders>
          </w:tcPr>
          <w:p>
            <w:pPr>
              <w:pStyle w:val="Normal6a"/>
            </w:pPr>
            <w:r>
              <w:t>7.</w:t>
            </w:r>
            <w:r>
              <w:tab/>
            </w:r>
            <w:r>
              <w:rPr>
                <w:b/>
                <w:i/>
              </w:rPr>
              <w:t>vyzývá</w:t>
            </w:r>
            <w:r>
              <w:t xml:space="preserve"> kandidátské země a potenciální kandidátské země EU</w:t>
            </w:r>
            <w:r>
              <w:rPr>
                <w:b/>
                <w:i/>
              </w:rPr>
              <w:t>, aby posoudily možnost přistoupení</w:t>
            </w:r>
            <w:r>
              <w:t xml:space="preserve"> ke globálnímu režimu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zdůrazňuje, že je důležité, aby se kandidátské země a potenciální kandidátské země EU připojily ke globálnímu režimu sankcí EU v oblasti lidských práv v souladu s jejich širším připojením ke společné zahraniční a bezpečnostní politice EU;</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plně podporuje možnost ukládat v rámci EU cílené protikorupční sankce, což je dlouhodobá priorita Parlamentu, ať už začleněním této možnosti do globálního režimu sankcí EU v oblasti lidských práv, nebo v rámci jiného režimu;</w:t>
            </w:r>
          </w:p>
        </w:tc>
        <w:tc>
          <w:tcPr>
            <w:tcW w:w="4876" w:type="dxa"/>
            <w:tcBorders>
              <w:top w:val="nil"/>
              <w:left w:val="nil"/>
              <w:bottom w:val="nil"/>
              <w:right w:val="nil"/>
            </w:tcBorders>
          </w:tcPr>
          <w:p>
            <w:pPr>
              <w:pStyle w:val="Normal6a"/>
            </w:pPr>
            <w:r>
              <w:t>8.</w:t>
            </w:r>
            <w:r>
              <w:tab/>
            </w:r>
            <w:r>
              <w:t xml:space="preserve">plně podporuje možnost ukládat v rámci EU cílené protikorupční sankce, což je dlouhodobá priorita Parlamentu, ať už začleněním této možnosti do globálního režimu sankcí EU v oblasti lidských práv, nebo v rámci jiného režimu; </w:t>
            </w:r>
            <w:r>
              <w:rPr>
                <w:b/>
                <w:i/>
              </w:rPr>
              <w:t>zdůrazňuje však, že v konkrétních případech hrozí, že tyto sankce mohou neúmyslně upevnit režim, neboť systémová korupce uvnitř nepřátelských autoritářských systémů často oslabuje jejich stabilitu, a tak představuje spíše slabinu než zdroj síly, zejména pokud jde o jejich vojenské schopnosti a hospodářskou výkonnost;</w:t>
            </w:r>
            <w:r>
              <w:t xml:space="preserve"> </w:t>
            </w:r>
            <w:r>
              <w:rPr>
                <w:b/>
                <w:i/>
              </w:rPr>
              <w:t>zdůrazňuje proto, že protikorupční sankce by měly zohledňovat širší systémový kontext a být úzce propojeny s komplexními strategickými opatřeními vůči příslušným aktérům;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plně podporuje možnost ukládat v rámci EU cílené protikorupční sankce, což je dlouhodobá priorita Parlamentu, ať už začleněním této možnosti do globálního režimu sankcí EU v oblasti lidských práv, nebo v rámci jiného režimu;</w:t>
            </w:r>
          </w:p>
        </w:tc>
        <w:tc>
          <w:tcPr>
            <w:tcW w:w="4876" w:type="dxa"/>
            <w:tcBorders>
              <w:top w:val="nil"/>
              <w:left w:val="nil"/>
              <w:bottom w:val="nil"/>
              <w:right w:val="nil"/>
            </w:tcBorders>
          </w:tcPr>
          <w:p>
            <w:pPr>
              <w:pStyle w:val="Normal6a"/>
            </w:pPr>
            <w:r>
              <w:t>8.</w:t>
            </w:r>
            <w:r>
              <w:tab/>
            </w:r>
            <w:r>
              <w:t xml:space="preserve">plně podporuje možnost ukládat v rámci EU cílené protikorupční sankce, což je dlouhodobá priorita Parlamentu, ať už začleněním této možnosti do globálního režimu sankcí EU v oblasti lidských práv, nebo v rámci jiného režimu; </w:t>
            </w:r>
            <w:r>
              <w:rPr>
                <w:b/>
                <w:i/>
              </w:rPr>
              <w:t>doporučuje rozšířit oblast působnosti režimu sankcí tak, aby zahrnoval rozsáhlé případy korupce a zneužívání veřejných zakázek, které přímo podporují autoritářské režimy, a propojují tak porušování lidských práv s kleptokratickými praktikami;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plně podporuje </w:t>
            </w:r>
            <w:r>
              <w:rPr>
                <w:b/>
                <w:i/>
              </w:rPr>
              <w:t>možnost ukládat</w:t>
            </w:r>
            <w:r>
              <w:t xml:space="preserve"> v rámci EU </w:t>
            </w:r>
            <w:r>
              <w:rPr>
                <w:b/>
                <w:i/>
              </w:rPr>
              <w:t>cílené protikorupční sankce</w:t>
            </w:r>
            <w:r>
              <w:t>, což je dlouhodobá priorita Parlamentu, ať už začleněním této možnosti do globálního režimu sankcí EU v oblasti lidských práv, nebo v rámci jiného režimu;</w:t>
            </w:r>
          </w:p>
        </w:tc>
        <w:tc>
          <w:tcPr>
            <w:tcW w:w="4876" w:type="dxa"/>
            <w:tcBorders>
              <w:top w:val="nil"/>
              <w:left w:val="nil"/>
              <w:bottom w:val="nil"/>
              <w:right w:val="nil"/>
            </w:tcBorders>
          </w:tcPr>
          <w:p>
            <w:pPr>
              <w:pStyle w:val="Normal6a"/>
            </w:pPr>
            <w:r>
              <w:t>8.</w:t>
            </w:r>
            <w:r>
              <w:tab/>
            </w:r>
            <w:r>
              <w:t xml:space="preserve">plně podporuje </w:t>
            </w:r>
            <w:r>
              <w:rPr>
                <w:b/>
                <w:i/>
              </w:rPr>
              <w:t>ukládání cílených protikorupčních sankcí</w:t>
            </w:r>
            <w:r>
              <w:t xml:space="preserve"> v rámci EU, což je dlouhodobá priorita Parlamentu, ať už začleněním této možnosti do globálního režimu sankcí EU v oblasti lidských práv, nebo v rámci jiného režimu; </w:t>
            </w:r>
            <w:r>
              <w:rPr>
                <w:b/>
                <w:i/>
              </w:rPr>
              <w:t>zdůrazňuje, že takové rozhodnutí umožní více se zaměřit na hospodářské a finanční subjekty, které napomáhají porušování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naléhavě vyzývá ESVČ, aby určila legální cesty k uvolnění úroků plynoucích ze zmrazeného majetku osob, na něž se vztahují sankce podle globálního režimu sankcí EU v oblasti lidských práv, ve prospěch obětí važného porušování lidských práv, za něž jsou odpovědné osoby, na něž se sankce vztahují;</w:t>
            </w:r>
            <w:r>
              <w:t xml:space="preserve"> </w:t>
            </w:r>
            <w:r>
              <w:rPr>
                <w:b/>
                <w:i/>
              </w:rPr>
              <w:t>dále vybízí EU, aby prozkoumala možnost zavedení zvláštního postupu pro protiprávně nabyté zisky, jak nedávno učinila Francie, kdy konfiskace podle přísných kritérií vedou k získání částek z jejich prodeje, které mohou být poskytnuty dotčeným zemím ve formě spolupráce a rozvojových opatření;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uznává, že je důležité rozšířit oblast působnosti globálního režimu sankcí EU v oblasti lidských práv uvalením sankcí na jednotlivce a subjekty, které se podílejí na obcházení sankcí, čímž autoritářským režimům umožňují pokračovat v závažném porušování lidských práv a brutálních zločinech;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oceňuje, že globální režim sankcí EU v oblasti lidských práv byl nedávno použit vůči subjektům odpovědným za nadnárodní represe disidentů a obránců lidských práv na celém světě;</w:t>
            </w:r>
            <w:r>
              <w:t xml:space="preserve"> </w:t>
            </w:r>
            <w:r>
              <w:rPr>
                <w:b/>
                <w:i/>
              </w:rPr>
              <w:t>domnívá se, že vzhledem k nárůstu nadnárodních represí v celosvětovém měřítku by mělo následovat více podobných seznamů;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navrhuje rozšířit definici „hrubého porušování lidských práv“ a přizpůsobit ji novým výzvám tak, aby zahrnovala ničení životního prostředí, digitální represe, sexuální násilí a útoky na sexuální a genderové menšiny s důsledky pro lidská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naléhavě vyzývá členské státy, aby se zdržely dvoustranných politických nebo diplomatických kroků, které by podkopávaly jednotný postoj EU k sankcím nebo byly s ním v rozporu;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naléhavě vyzývá</w:t>
            </w:r>
            <w:r>
              <w:t xml:space="preserve"> členské státy</w:t>
            </w:r>
            <w:r>
              <w:rPr>
                <w:b/>
                <w:i/>
              </w:rPr>
              <w:t>, aby se zdržely dvoustranných politických nebo diplomatických kroků, které by podkopávaly jednotný postoj EU k sankcím nebo byly s ním v rozporu</w:t>
            </w:r>
            <w:r>
              <w:t>;</w:t>
            </w:r>
          </w:p>
        </w:tc>
        <w:tc>
          <w:tcPr>
            <w:tcW w:w="4876" w:type="dxa"/>
            <w:tcBorders>
              <w:top w:val="nil"/>
              <w:left w:val="nil"/>
              <w:bottom w:val="nil"/>
              <w:right w:val="nil"/>
            </w:tcBorders>
          </w:tcPr>
          <w:p>
            <w:pPr>
              <w:pStyle w:val="Normal6a"/>
            </w:pPr>
            <w:r>
              <w:t>9.</w:t>
            </w:r>
            <w:r>
              <w:tab/>
            </w:r>
            <w:r>
              <w:rPr>
                <w:b/>
                <w:i/>
              </w:rPr>
              <w:t>připomíná, že zahraniční politika zůstává jednou z hlavních výsad národní suverenity podle čl. 24 odst. 1 SEU;</w:t>
            </w:r>
            <w:r>
              <w:t xml:space="preserve"> </w:t>
            </w:r>
            <w:r>
              <w:rPr>
                <w:b/>
                <w:i/>
              </w:rPr>
              <w:t>v této souvislosti zdůrazňuje, že</w:t>
            </w:r>
            <w:r>
              <w:t xml:space="preserve"> členské státy </w:t>
            </w:r>
            <w:r>
              <w:rPr>
                <w:b/>
                <w:i/>
              </w:rPr>
              <w:t>jsou oprávněny samostatně podnikat dvoustranné politické a diplomatické kroky v souladu se svými vnitrostátními zájmy a strategickými prioritami, a to i v záležitostech týkajících se sankcí;</w:t>
            </w:r>
            <w:r>
              <w:t xml:space="preserve"> </w:t>
            </w:r>
            <w:r>
              <w:rPr>
                <w:b/>
                <w:i/>
              </w:rPr>
              <w:t>odmítá veškeré pokusy omezit nebo podmínit taková opatření pod záminkou zachování jednoty EU na úkor nezávislosti členských států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naléhavě vyzývá členské státy, aby se zdržely dvoustranných politických nebo diplomatických kroků, které by podkopávaly jednotný postoj EU k sankcím nebo byly s ním v rozporu;</w:t>
            </w:r>
          </w:p>
        </w:tc>
        <w:tc>
          <w:tcPr>
            <w:tcW w:w="4876" w:type="dxa"/>
            <w:tcBorders>
              <w:top w:val="nil"/>
              <w:left w:val="nil"/>
              <w:bottom w:val="nil"/>
              <w:right w:val="nil"/>
            </w:tcBorders>
          </w:tcPr>
          <w:p>
            <w:pPr>
              <w:pStyle w:val="Normal6a"/>
            </w:pPr>
            <w:r>
              <w:t>9.</w:t>
            </w:r>
            <w:r>
              <w:tab/>
            </w:r>
            <w:r>
              <w:t xml:space="preserve">naléhavě vyzývá členské státy, aby se zdržely dvoustranných politických nebo diplomatických kroků, které by podkopávaly jednotný postoj EU k sankcím nebo byly s ním v rozporu; </w:t>
            </w:r>
            <w:r>
              <w:rPr>
                <w:b/>
                <w:i/>
              </w:rPr>
              <w:t>pokud se členské státy rozhodnou, že se tímto doporučením nebudou řídit, vyzývá je, aby vždy informovaly vysokého představitele EU pro zahraniční věci a bezpečnostní politiku a konzultovaly s ním, aby se omezil případný dopad na jednotu EU;</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naléhavě vyzývá členské státy, aby se zdržely dvoustranných politických nebo diplomatických kroků, které by podkopávaly jednotný postoj EU k sankcím nebo </w:t>
            </w:r>
            <w:r>
              <w:rPr>
                <w:b/>
                <w:i/>
              </w:rPr>
              <w:t>byly</w:t>
            </w:r>
            <w:r>
              <w:t xml:space="preserve"> s ním v rozporu;</w:t>
            </w:r>
          </w:p>
        </w:tc>
        <w:tc>
          <w:tcPr>
            <w:tcW w:w="4876" w:type="dxa"/>
            <w:tcBorders>
              <w:top w:val="nil"/>
              <w:left w:val="nil"/>
              <w:bottom w:val="nil"/>
              <w:right w:val="nil"/>
            </w:tcBorders>
          </w:tcPr>
          <w:p>
            <w:pPr>
              <w:pStyle w:val="Normal6a"/>
            </w:pPr>
            <w:r>
              <w:t>9.</w:t>
            </w:r>
            <w:r>
              <w:tab/>
            </w:r>
            <w:r>
              <w:t xml:space="preserve">naléhavě vyzývá členské státy, aby se zdržely dvoustranných politických nebo diplomatických kroků, které by podkopávaly jednotný postoj EU k sankcím </w:t>
            </w:r>
            <w:r>
              <w:rPr>
                <w:b/>
                <w:i/>
              </w:rPr>
              <w:t>a jejich závazek k respektování mezinárodních mechanismů trestního soudnictví, včetně Římského statutu, a k obraně lidských práv</w:t>
            </w:r>
            <w:r>
              <w:t xml:space="preserve"> nebo s ním </w:t>
            </w:r>
            <w:r>
              <w:rPr>
                <w:b/>
                <w:i/>
              </w:rPr>
              <w:t>byly</w:t>
            </w:r>
            <w:r>
              <w:t xml:space="preserve"> v rozporu</w:t>
            </w:r>
            <w:r>
              <w:rPr>
                <w:b/>
                <w:i/>
              </w:rPr>
              <w:t>, neboť globální režim sankcí EU v oblasti lidských práv je speciálně koncipován tak, aby tyto instituce posiloval a doplňoval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naléhavě vyzývá členské státy, aby se zdržely dvoustranných politických nebo diplomatických kroků, které by podkopávaly jednotný postoj EU k sankcím nebo byly s ním v rozporu;</w:t>
            </w:r>
          </w:p>
        </w:tc>
        <w:tc>
          <w:tcPr>
            <w:tcW w:w="4876" w:type="dxa"/>
            <w:tcBorders>
              <w:top w:val="nil"/>
              <w:left w:val="nil"/>
              <w:bottom w:val="nil"/>
              <w:right w:val="nil"/>
            </w:tcBorders>
          </w:tcPr>
          <w:p>
            <w:pPr>
              <w:pStyle w:val="Normal6a"/>
            </w:pPr>
            <w:r>
              <w:t>9.</w:t>
            </w:r>
            <w:r>
              <w:tab/>
            </w:r>
            <w:r>
              <w:t xml:space="preserve">naléhavě vyzývá členské státy, aby se zdržely dvoustranných politických nebo diplomatických kroků, které by podkopávaly jednotný postoj EU k sankcím nebo byly s ním v rozporu; </w:t>
            </w:r>
            <w:r>
              <w:rPr>
                <w:b/>
                <w:i/>
              </w:rPr>
              <w:t>připomíná, že je třeba, aby všechny členské státy EU vykládaly, vysvětlovaly a vymáhaly uplatňování režimu sankcí soudržně a rychle;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naléhavě vyzývá členské státy, aby se zdržely</w:t>
            </w:r>
            <w:r>
              <w:t xml:space="preserve"> dvoustranných politických nebo diplomatických kroků</w:t>
            </w:r>
            <w:r>
              <w:rPr>
                <w:b/>
                <w:i/>
              </w:rPr>
              <w:t>, které by podkopávaly jednotný postoj EU k sankcím nebo byly s ním v rozporu</w:t>
            </w:r>
            <w:r>
              <w:t>;</w:t>
            </w:r>
          </w:p>
        </w:tc>
        <w:tc>
          <w:tcPr>
            <w:tcW w:w="4876" w:type="dxa"/>
            <w:tcBorders>
              <w:top w:val="nil"/>
              <w:left w:val="nil"/>
              <w:bottom w:val="nil"/>
              <w:right w:val="nil"/>
            </w:tcBorders>
          </w:tcPr>
          <w:p>
            <w:pPr>
              <w:pStyle w:val="Normal6a"/>
            </w:pPr>
            <w:r>
              <w:t>9.</w:t>
            </w:r>
            <w:r>
              <w:tab/>
            </w:r>
            <w:r>
              <w:rPr>
                <w:b/>
                <w:i/>
              </w:rPr>
              <w:t>domnívá se, že ke svrchovaným právům členských států EU patří podnikání</w:t>
            </w:r>
            <w:r>
              <w:t xml:space="preserve"> dvoustranných politických nebo diplomatických kroků </w:t>
            </w:r>
            <w:r>
              <w:rPr>
                <w:b/>
                <w:i/>
              </w:rPr>
              <w:t>na podporu jejich zájmů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vyzývá členské státy, aby posílily koordinaci a využívaly své vlastní nástroje, jako je univerzální jurisdikce a vnitrostátní sankce, které mohou paralelně k sankcím EU dosáhnout významné změny a přispět k dosažení cílů sankcí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odsuzuje skutečnost, že některé členské státy EU nedodržují sankce EU a umožňují sankcionovaným osobám vstup na území EU, čímž poškozují důvěryhodnost a účinnost sankcí;</w:t>
            </w:r>
            <w:r>
              <w:t xml:space="preserve"> </w:t>
            </w:r>
            <w:r>
              <w:rPr>
                <w:b/>
                <w:i/>
              </w:rPr>
              <w:t>naléhavě vyzývá všechny členské státy EU, aby plně a bezpodmínečně dodržovaly sankce EU;</w:t>
            </w:r>
            <w:r>
              <w:t xml:space="preserve"> </w:t>
            </w:r>
            <w:r>
              <w:rPr>
                <w:b/>
                <w:i/>
              </w:rPr>
              <w:t>vyzývá Komisi, aby jako strážkyně Smluv dohlížela na dodržování sankcí členskými státy EU a důsledně řešila případy jejich nedodržování ze strany členských států;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odsuzuje skutečnost</w:t>
            </w:r>
            <w:r>
              <w:t xml:space="preserve">, že některé členské státy EU nedodržují sankce EU a umožňují sankcionovaným osobám vstup na území EU, čímž poškozují důvěryhodnost a účinnost sankcí; </w:t>
            </w:r>
            <w:r>
              <w:rPr>
                <w:b/>
                <w:i/>
              </w:rPr>
              <w:t>naléhavě vyzývá všechny členské státy EU, aby plně a bezpodmínečně dodržovaly sankce EU</w:t>
            </w:r>
            <w:r>
              <w:t xml:space="preserve">; vyzývá Komisi, aby jako strážkyně Smluv </w:t>
            </w:r>
            <w:r>
              <w:rPr>
                <w:b/>
                <w:i/>
              </w:rPr>
              <w:t>dohlížela na dodržování sankcí členskými státy EU a důsledně řešila případy jejich nedodržování ze strany</w:t>
            </w:r>
            <w:r>
              <w:t xml:space="preserve"> členských států;</w:t>
            </w:r>
          </w:p>
        </w:tc>
        <w:tc>
          <w:tcPr>
            <w:tcW w:w="4876" w:type="dxa"/>
            <w:tcBorders>
              <w:top w:val="nil"/>
              <w:left w:val="nil"/>
              <w:bottom w:val="nil"/>
              <w:right w:val="nil"/>
            </w:tcBorders>
          </w:tcPr>
          <w:p>
            <w:pPr>
              <w:pStyle w:val="Normal6a"/>
            </w:pPr>
            <w:r>
              <w:t>10.</w:t>
            </w:r>
            <w:r>
              <w:tab/>
            </w:r>
            <w:r>
              <w:rPr>
                <w:b/>
                <w:i/>
              </w:rPr>
              <w:t>konstatuje</w:t>
            </w:r>
            <w:r>
              <w:t xml:space="preserve">, že některé členské státy EU nedodržují sankce EU a umožňují sankcionovaným osobám vstup na území EU, čímž poškozují důvěryhodnost a účinnost sankcí; </w:t>
            </w:r>
            <w:r>
              <w:rPr>
                <w:b/>
                <w:i/>
              </w:rPr>
              <w:t>zdůrazňuje, že nedodržování sankcí odráží skutečnost, že vnitrostátní zájmy a priority zahraniční politiky se v jednotlivých členských státech značně liší, což přispívá k nejednotnému uplatňování nástrojů vnější činnosti Unie</w:t>
            </w:r>
            <w:r>
              <w:t xml:space="preserve">; vyzývá Komisi, aby jako strážkyně Smluv </w:t>
            </w:r>
            <w:r>
              <w:rPr>
                <w:b/>
                <w:i/>
              </w:rPr>
              <w:t>chránila v souladu s čl. 24 odst. 1 Smlouvy o Evropské unii zásadu jednomyslnosti při rozhodování v Radě a zajistila, aby byly plně respektovány individuální zájmy a svrchovaná zahraničněpolitická rozhodnutí</w:t>
            </w:r>
            <w:r>
              <w:t xml:space="preserve">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řešila případy jejich nedodržování ze strany členských států;</w:t>
            </w:r>
          </w:p>
        </w:tc>
        <w:tc>
          <w:tcPr>
            <w:tcW w:w="4876" w:type="dxa"/>
            <w:tcBorders>
              <w:top w:val="nil"/>
              <w:left w:val="nil"/>
              <w:bottom w:val="nil"/>
              <w:right w:val="nil"/>
            </w:tcBorders>
          </w:tcPr>
          <w:p>
            <w:pPr>
              <w:pStyle w:val="Normal6a"/>
            </w:pPr>
            <w:r>
              <w:t>10.</w:t>
            </w:r>
            <w:r>
              <w:tab/>
            </w:r>
            <w:r>
              <w:t xml:space="preserve">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řešila případy jejich nedodržování ze strany členských států; </w:t>
            </w:r>
            <w:r>
              <w:rPr>
                <w:b/>
                <w:i/>
              </w:rPr>
              <w:t>odsuzuje podniky EU, které ve snaze o zisk a silné postavení na trhu cynicky ignorují zásadu sociální odpovědnosti podniků a vytvářejí příjmy tím, že často obcházejí nebo porušují sankce;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řešila případy jejich nedodržování ze strany členských států;</w:t>
            </w:r>
          </w:p>
        </w:tc>
        <w:tc>
          <w:tcPr>
            <w:tcW w:w="4876" w:type="dxa"/>
            <w:tcBorders>
              <w:top w:val="nil"/>
              <w:left w:val="nil"/>
              <w:bottom w:val="nil"/>
              <w:right w:val="nil"/>
            </w:tcBorders>
          </w:tcPr>
          <w:p>
            <w:pPr>
              <w:pStyle w:val="Normal6a"/>
            </w:pPr>
            <w:r>
              <w:t>10.</w:t>
            </w:r>
            <w:r>
              <w:tab/>
            </w:r>
            <w:r>
              <w:t xml:space="preserve">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řešila případy jejich nedodržování ze strany členských států; </w:t>
            </w:r>
            <w:r>
              <w:rPr>
                <w:b/>
                <w:i/>
              </w:rPr>
              <w:t>vyzývá k posílení prováděcích mechanismů pro sledování toho, zda jsou sankce ve všech členských státech EU vymáhány jednotně;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řešila případy jejich nedodržování ze strany členských států;</w:t>
            </w:r>
          </w:p>
        </w:tc>
        <w:tc>
          <w:tcPr>
            <w:tcW w:w="4876" w:type="dxa"/>
            <w:tcBorders>
              <w:top w:val="nil"/>
              <w:left w:val="nil"/>
              <w:bottom w:val="nil"/>
              <w:right w:val="nil"/>
            </w:tcBorders>
          </w:tcPr>
          <w:p>
            <w:pPr>
              <w:pStyle w:val="Normal6a"/>
            </w:pPr>
            <w:r>
              <w:t>10.</w:t>
            </w:r>
            <w:r>
              <w:tab/>
            </w:r>
            <w:r>
              <w:t xml:space="preserve">odsuzuje skutečnost, že některé členské státy EU nedodržují sankce EU a umožňují sankcionovaným osobám vstup na území EU, čímž poškozují důvěryhodnost a účinnost sankcí; naléhavě vyzývá všechny členské státy EU, aby plně a bezpodmínečně dodržovaly sankce EU; vyzývá Komisi, aby jako strážkyně Smluv dohlížela na dodržování sankcí členskými státy EU a důsledně </w:t>
            </w:r>
            <w:r>
              <w:rPr>
                <w:b/>
                <w:i/>
              </w:rPr>
              <w:t>a nezaujatě</w:t>
            </w:r>
            <w:r>
              <w:t xml:space="preserve"> řešila případy jejich nedodržování ze strany členských států;</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odsuzuje skutečnost, že některé členské státy EU nedodržují sankce EU a umožňují sankcionovaným osobám vstup na území EU, čímž poškozují důvěryhodnost a účinnost sankcí;</w:t>
            </w:r>
            <w:r>
              <w:t xml:space="preserve"> </w:t>
            </w:r>
            <w:r>
              <w:rPr>
                <w:b/>
                <w:i/>
              </w:rPr>
              <w:t>naléhavě</w:t>
            </w:r>
            <w:r>
              <w:t xml:space="preserve"> vyzývá </w:t>
            </w:r>
            <w:r>
              <w:rPr>
                <w:b/>
                <w:i/>
              </w:rPr>
              <w:t>všechny</w:t>
            </w:r>
            <w:r>
              <w:t xml:space="preserve"> členské státy EU, aby </w:t>
            </w:r>
            <w:r>
              <w:rPr>
                <w:b/>
                <w:i/>
              </w:rPr>
              <w:t>plně a bezpodmínečně dodržovaly sankce EU;</w:t>
            </w:r>
            <w:r>
              <w:t xml:space="preserve"> </w:t>
            </w:r>
            <w:r>
              <w:rPr>
                <w:b/>
                <w:i/>
              </w:rPr>
              <w:t>vyzývá Komisi, aby jako strážkyně Smluv dohlížela na dodržování sankcí členskými státy EU a důsledně řešila případy jejich nedodržování ze strany členských států</w:t>
            </w:r>
            <w:r>
              <w:t>;</w:t>
            </w:r>
          </w:p>
        </w:tc>
        <w:tc>
          <w:tcPr>
            <w:tcW w:w="4876" w:type="dxa"/>
            <w:tcBorders>
              <w:top w:val="nil"/>
              <w:left w:val="nil"/>
              <w:bottom w:val="nil"/>
              <w:right w:val="nil"/>
            </w:tcBorders>
          </w:tcPr>
          <w:p>
            <w:pPr>
              <w:pStyle w:val="Normal6a"/>
            </w:pPr>
            <w:r>
              <w:t>10.</w:t>
            </w:r>
            <w:r>
              <w:tab/>
            </w:r>
            <w:r>
              <w:rPr>
                <w:b/>
                <w:i/>
              </w:rPr>
              <w:t>je znepokojen tím, že Evropská komise se obecně stala hlavním architektem sankčních režimů namísto Evropské služby pro vnější činnost (ESVČ) a členských států EU a na jejich úkor;</w:t>
            </w:r>
            <w:r>
              <w:t xml:space="preserve"> </w:t>
            </w:r>
            <w:r>
              <w:rPr>
                <w:b/>
                <w:i/>
              </w:rPr>
              <w:t>konstatuje, že tento proces představuje radikální odklon jak od stávajících postupů, tak od pravidla stanoveného ve Smlouvách EU;</w:t>
            </w:r>
            <w:r>
              <w:t xml:space="preserve"> </w:t>
            </w:r>
            <w:r>
              <w:rPr>
                <w:b/>
                <w:i/>
              </w:rPr>
              <w:t>odmítá toto „zabírání moci“ a</w:t>
            </w:r>
            <w:r>
              <w:t xml:space="preserve"> vyzývá členské státy EU, aby </w:t>
            </w:r>
            <w:r>
              <w:rPr>
                <w:b/>
                <w:i/>
              </w:rPr>
              <w:t>tento proces v souladu se Smlouvami EU zvrátily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zdůrazňuje, že omezující opatření EU mohou být plně účinná pouze tehdy, budou-li rychle a jednotně prováděna ve všech členských státech;</w:t>
            </w:r>
            <w:r>
              <w:t xml:space="preserve"> </w:t>
            </w:r>
            <w:r>
              <w:rPr>
                <w:b/>
                <w:i/>
              </w:rPr>
              <w:t>konstatuje, že mezi členskými státy existují rozdíly v právních rámcích, správních strukturách a provozních zdrojích pro vymáhání sankcí;</w:t>
            </w:r>
            <w:r>
              <w:t xml:space="preserve"> </w:t>
            </w:r>
            <w:r>
              <w:rPr>
                <w:b/>
                <w:i/>
              </w:rPr>
              <w:t>vyzývá proto Komisi a členské státy, aby přijaly nezbytná opatření ke zlepšení harmonizace a koordinace vymáhání práva, mimo jiné posílením kapacit pro zmrazení majetku, zlepšením výměny informací a vytvořením mechanismů společného sledování a vymáhání na úrovni EU;</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se znepokojením konstatuje, že v srpnu 2025 rakouský ministr financí potvrdil, že Rakouská národní banka (OeNB), což je orgán pověřený vymáháním sankcí, prověřovala tvrzení, že ruský správce aktiv Raiffeisen Bank International (RBI) údajně porušoval sankce EU, a že dospěla k závěru, že nejsou zapotřebí žádná další opatření, což znamená, že Rakousko RBI nepotrestalo navzdory věrohodným obavám občanské společnosti a vyšetřovacích organizací;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vyzývá Radu, aby přijala pracovní definici nadnárodní represe, která by sloužila jako vodítko pro sestavování seznamů v rámci globálního režimu sankcí EU v oblasti lidských práv, a zajistila tak důsledné postihování pachatelů a jejich pomocníků, včetně nestátních zástupných subjektů, jako jsou soukromé bezpečnostní agentury a přidružené organizace diaspory;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vybízí vysokou představitelku, místopředsedkyni Komise, aby každoročně do 10. prosince (Den lidských práv) informovala Radu a Evropský parlament o trendech, včetně obcházení sankcí, a o jmenováních provedených v průběhu roku;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zdůrazňuje, že by měla být použita překlenovací ustanovení pro přechod k hlasování kvalifikovanou většinou v konkrétních oblastech SZBP, zejména při přijímání omezujících opatření vůči vládám, nestátním subjektům a jednotlivcům třetích zemí, včetně opatření prováděných v rámci globálního režimu sankcí EU v oblasti lidských práv;</w:t>
            </w:r>
            <w:r>
              <w:t xml:space="preserve"> </w:t>
            </w:r>
            <w:r>
              <w:rPr>
                <w:b/>
                <w:i/>
              </w:rPr>
              <w:t>vyzývá Evropskou radu, aby přijala rozhodnutí podle čl. 31 odst. 3 SEU, které by stanovilo, že omezující opatření (článek 29 SEU) mají být stejně jako opatření zavedená v rámci globálního režimu sankcí EU v oblasti lidských práv přijímána kvalifikovanou většinou;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s velkým potěšením bere na vědomí, že Rada přijala tematické balíčky sankcí v rámci globálního režimu sankcí EU v oblasti lidských práv;</w:t>
            </w:r>
            <w:r>
              <w:t xml:space="preserve"> </w:t>
            </w:r>
            <w:r>
              <w:rPr>
                <w:b/>
                <w:i/>
              </w:rPr>
              <w:t>naléhavě vyzývá Radu, aby systematicky a proaktivně přijímala podobná cílená opatření k řešení dalších konkrétních a závažných případů porušování lidských práv, včetně mučení, násilných zmizení, svévolného zadržování a utiskování občanské společnosti a obránců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naléhavě vyzývá EU, aby strategicky sladila seznamy globálního režimu sankcí EU v oblasti lidských práv s vnitrostátním a mezinárodním úsilím v oblasti trestního soudnictví, včetně zařazení osob obžalovaných mezinárodními soudy </w:t>
            </w:r>
            <w:r>
              <w:rPr>
                <w:b/>
                <w:i/>
              </w:rPr>
              <w:t>a</w:t>
            </w:r>
            <w:r>
              <w:t xml:space="preserve"> pachatelů nejzávažnějších mezinárodních zločinů;</w:t>
            </w:r>
          </w:p>
        </w:tc>
        <w:tc>
          <w:tcPr>
            <w:tcW w:w="4876" w:type="dxa"/>
            <w:tcBorders>
              <w:top w:val="nil"/>
              <w:left w:val="nil"/>
              <w:bottom w:val="nil"/>
              <w:right w:val="nil"/>
            </w:tcBorders>
          </w:tcPr>
          <w:p>
            <w:pPr>
              <w:pStyle w:val="Normal6a"/>
            </w:pPr>
            <w:r>
              <w:t>12.</w:t>
            </w:r>
            <w:r>
              <w:tab/>
            </w:r>
            <w:r>
              <w:t>naléhavě vyzývá EU, aby strategicky sladila seznamy globálního režimu sankcí EU v oblasti lidských práv s vnitrostátním a mezinárodním úsilím v oblasti trestního soudnictví, včetně zařazení osob obžalovaných mezinárodními soudy</w:t>
            </w:r>
            <w:r>
              <w:rPr>
                <w:b/>
                <w:i/>
              </w:rPr>
              <w:t>, např. Mezinárodním trestním soudem,</w:t>
            </w:r>
            <w:r>
              <w:t xml:space="preserve"> pachatelů nejzávažnějších mezinárodních zločinů </w:t>
            </w:r>
            <w:r>
              <w:rPr>
                <w:b/>
                <w:i/>
              </w:rPr>
              <w:t>a aktérů, kteří takové procesy spravedlnosti maří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naléhavě vyzývá EU, aby strategicky sladila seznamy globálního režimu sankcí EU v oblasti lidských práv s vnitrostátním a mezinárodním úsilím v oblasti trestního soudnictví, včetně zařazení osob obžalovaných mezinárodními soudy a pachatelů nejzávažnějších mezinárodních zločinů;</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vybízí Radu, aby do režimu sankcí více začlenila genderové hledisko a aby zvláštní pozornost věnovala porušování práv, jako je sexuální a genderově podmíněné násilí, diskriminační politiky a pronásledování žen ve vedoucích pozicích, novinářek a aktivistek, aby se tato skutečnost náležitě odrazila v seznamech;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odsuzuje skutečnost, že kvůli migrační politice EU jsou již mnoho let oslabována lidská práva a bezpečnost občanů členských států, neboť nelegální migranti by neriskovali život na cestě do Evropy, pokud by politiky EU nevytvářely motivační faktory;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zdůrazňuje, že sankce by měly rovněž sloužit k zajištění toho, aby pachatelé, kteří se dopustili závažného porušování lidských práv a korupce, nezůstali v anonymitě, ale aby byli veřejně odhaleni;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naléhavě vyzývá EU, aby rozšířila stávající sankční režim tak, aby konkrétně zahrnoval sankce v reakci na nadnárodní represe;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se znepokojením konstatuje, že některé nevládní organizace hrají významnou úlohu při porušování základních lidských práv na celém světě, například při převaděčství nelegálních migrantů, a to tak, že působí jako kyvadlová doprava, poskytují těmto nelegálním migrantům rady, jak obejít vnitrostátní právní předpisy, a instruují je, aby zničili své cestovní a identifikační doklady;</w:t>
            </w:r>
            <w:r>
              <w:t xml:space="preserve"> </w:t>
            </w:r>
            <w:r>
              <w:rPr>
                <w:b/>
                <w:i/>
              </w:rPr>
              <w:t>vyzývá Komisi, aby se zaměřila na jednotlivce a nevládní organizace zapojené do nelegální migrace nebo jakékoli jiné nezákonné činnosti, z nichž některé mohly obdržet finanční prostředky od EU, a aby tyto osoby a nevládní organizace sankcionovala;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vyzývá Komisi, aby Radě neprodleně navrhla označení drogových kartelů působících v latinskoamerických a karibských zemích jako teroristických organizací, připomíná, že tyto nadnárodní zločinecké organizace v posledních letech značně rozšířily svou činnost, přičemž mezi ty nejvýznamnější patří Cartel de los Soles, Tren de Aragua, Mara Salvatrucha (MS-13), Cartel de Sinaloa, Cartel de Jalisco Nueva Generación (CJNG) a Cartel de Golfo (CDG);</w:t>
            </w:r>
            <w:r>
              <w:t xml:space="preserve"> </w:t>
            </w:r>
            <w:r>
              <w:rPr>
                <w:b/>
                <w:i/>
              </w:rPr>
              <w:t>se znepokojením konstatuje, že tyto kartely jsou odpovědné za obchodování s drogami a lidmi, a představují tak rostoucí hrozbu pro bezpečnost v našich ulicích;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naléhavě vyzývá Radu, aby napravila současnou zeměpisnou a tematickou nerovnováhu při zařazování na seznamy v rámci globálního režimu sankcí EU v oblasti lidských práv a rozšířila seznamy nad rámec současné zeměpisné soustředěnosti;</w:t>
            </w:r>
          </w:p>
        </w:tc>
        <w:tc>
          <w:tcPr>
            <w:tcW w:w="4876" w:type="dxa"/>
            <w:tcBorders>
              <w:top w:val="nil"/>
              <w:left w:val="nil"/>
              <w:bottom w:val="nil"/>
              <w:right w:val="nil"/>
            </w:tcBorders>
          </w:tcPr>
          <w:p>
            <w:pPr>
              <w:pStyle w:val="Normal6a"/>
            </w:pPr>
            <w:r>
              <w:t>13.</w:t>
            </w:r>
            <w:r>
              <w:tab/>
            </w:r>
            <w:r>
              <w:t xml:space="preserve">naléhavě vyzývá Radu, aby napravila současnou zeměpisnou a tematickou nerovnováhu při zařazování na seznamy v rámci globálního režimu sankcí EU v oblasti lidských práv a rozšířila seznamy nad rámec současné zeměpisné soustředěnosti; </w:t>
            </w:r>
            <w:r>
              <w:rPr>
                <w:b/>
                <w:i/>
              </w:rPr>
              <w:t>zároveň poukazuje na nepřijatelnou situaci, kdy pouze několik jednotlivců a subjektů z Běloruska a Gruzie, které jsou bezprostředními sousedy EU, jejichž režim brutálně porušuje lidská práva, je v současné době zařazeno na seznam v rámci globálního režimu sankcí EU v oblasti lidských práv, a vyzývá orgány EU, aby tuto situaci urychleně přezkoumaly;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naléhavě vyzývá Radu, aby napravila současnou zeměpisnou a tematickou nerovnováhu při zařazování na seznamy v rámci globálního režimu sankcí EU v oblasti lidských práv a rozšířila seznamy nad rámec současné zeměpisné soustředěnosti;</w:t>
            </w:r>
          </w:p>
        </w:tc>
        <w:tc>
          <w:tcPr>
            <w:tcW w:w="4876" w:type="dxa"/>
            <w:tcBorders>
              <w:top w:val="nil"/>
              <w:left w:val="nil"/>
              <w:bottom w:val="nil"/>
              <w:right w:val="nil"/>
            </w:tcBorders>
          </w:tcPr>
          <w:p>
            <w:pPr>
              <w:pStyle w:val="Normal6a"/>
            </w:pPr>
            <w:r>
              <w:t>13.</w:t>
            </w:r>
            <w:r>
              <w:tab/>
            </w:r>
            <w:r>
              <w:t xml:space="preserve">naléhavě vyzývá Radu, aby napravila současnou zeměpisnou a tematickou nerovnováhu při zařazování na seznamy v rámci globálního režimu sankcí EU v oblasti lidských práv a rozšířila seznamy nad rámec současné zeměpisné soustředěnosti </w:t>
            </w:r>
            <w:r>
              <w:rPr>
                <w:b/>
                <w:i/>
              </w:rPr>
              <w:t>na všechny osoby a subjekty, které se dopouštějí závažného porušování lidských práv, bez ohledu na jejich zemi původu a jakékoli strategické vztahy nebo geopolitické zájmy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naléhavě vyzývá Radu, aby napravila současnou zeměpisnou a tematickou nerovnováhu při zařazování na seznamy v rámci globálního režimu sankcí EU v oblasti lidských práv a rozšířila seznamy nad rámec současné zeměpisné soustředěnosti;</w:t>
            </w:r>
          </w:p>
        </w:tc>
        <w:tc>
          <w:tcPr>
            <w:tcW w:w="4876" w:type="dxa"/>
            <w:tcBorders>
              <w:top w:val="nil"/>
              <w:left w:val="nil"/>
              <w:bottom w:val="nil"/>
              <w:right w:val="nil"/>
            </w:tcBorders>
          </w:tcPr>
          <w:p>
            <w:pPr>
              <w:pStyle w:val="Normal6a"/>
            </w:pPr>
            <w:r>
              <w:t>13.</w:t>
            </w:r>
            <w:r>
              <w:tab/>
            </w:r>
            <w:r>
              <w:t xml:space="preserve">naléhavě vyzývá Radu, aby napravila současnou zeměpisnou a tematickou nerovnováhu při zařazování na seznamy v rámci globálního režimu sankcí EU v oblasti lidských práv a rozšířila seznamy nad rámec současné zeměpisné soustředěnosti; </w:t>
            </w:r>
            <w:r>
              <w:rPr>
                <w:b/>
                <w:i/>
              </w:rPr>
              <w:t>znovu vyzývá Radu, aby schválila přijímání sankcí a dalších opatření zahraniční politiky EU kvalifikovanou většinou namísto jednomyslnosti;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naléhavě vyzývá Radu, aby napravila současnou zeměpisnou a tematickou nerovnováhu při zařazování na seznamy v rámci globálního režimu sankcí EU v oblasti lidských práv a rozšířila seznamy nad rámec současné zeměpisné soustředěnosti;</w:t>
            </w:r>
          </w:p>
        </w:tc>
        <w:tc>
          <w:tcPr>
            <w:tcW w:w="4876" w:type="dxa"/>
            <w:tcBorders>
              <w:top w:val="nil"/>
              <w:left w:val="nil"/>
              <w:bottom w:val="nil"/>
              <w:right w:val="nil"/>
            </w:tcBorders>
          </w:tcPr>
          <w:p>
            <w:pPr>
              <w:pStyle w:val="Normal6a"/>
            </w:pPr>
            <w:r>
              <w:t>13.</w:t>
            </w:r>
            <w:r>
              <w:tab/>
            </w:r>
            <w:r>
              <w:t xml:space="preserve">naléhavě vyzývá Radu, </w:t>
            </w:r>
            <w:r>
              <w:rPr>
                <w:b/>
                <w:i/>
              </w:rPr>
              <w:t>aby zajistila, že všechny regiony světa budou kontrolovány stejným způsobem a že k nim bude přistupováno se stejným odhodláním, a</w:t>
            </w:r>
            <w:r>
              <w:t xml:space="preserve"> aby napravila současnou zeměpisnou a tematickou nerovnováhu při zařazování na seznamy v rámci globálního režimu sankcí EU v oblasti lidských práv a rozšířila seznamy nad rámec současné zeměpisné soustředěnosti;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naléhavě vyzývá Radu, aby napravila současnou zeměpisnou </w:t>
            </w:r>
            <w:r>
              <w:rPr>
                <w:b/>
                <w:i/>
              </w:rPr>
              <w:t>a</w:t>
            </w:r>
            <w:r>
              <w:t xml:space="preserve"> tematickou nerovnováhu při zařazování na seznamy v rámci globálního režimu sankcí EU v oblasti lidských práv a rozšířila seznamy nad rámec současné zeměpisné soustředěnosti;</w:t>
            </w:r>
          </w:p>
        </w:tc>
        <w:tc>
          <w:tcPr>
            <w:tcW w:w="4876" w:type="dxa"/>
            <w:tcBorders>
              <w:top w:val="nil"/>
              <w:left w:val="nil"/>
              <w:bottom w:val="nil"/>
              <w:right w:val="nil"/>
            </w:tcBorders>
          </w:tcPr>
          <w:p>
            <w:pPr>
              <w:pStyle w:val="Normal6a"/>
            </w:pPr>
            <w:r>
              <w:t>13.</w:t>
            </w:r>
            <w:r>
              <w:tab/>
            </w:r>
            <w:r>
              <w:t>naléhavě vyzývá Radu, aby napravila současnou zeměpisnou</w:t>
            </w:r>
            <w:r>
              <w:rPr>
                <w:b/>
                <w:i/>
              </w:rPr>
              <w:t>,</w:t>
            </w:r>
            <w:r>
              <w:t xml:space="preserve"> tematickou </w:t>
            </w:r>
            <w:r>
              <w:rPr>
                <w:b/>
                <w:i/>
              </w:rPr>
              <w:t>a genderovou</w:t>
            </w:r>
            <w:r>
              <w:t xml:space="preserve"> nerovnováhu při zařazování na seznamy v rámci globálního režimu sankcí EU v oblasti lidských práv a rozšířila seznamy nad rámec současné zeměpisné soustředěnosti;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naléhavě vyzývá členské státy a Evropskou unii, aby vyvíjely koordinovaný diplomatický, hospodářský a politický tlak na třetí země, které systematicky odmítají zpětné přebírání svých státních příslušníků, kteří se dopustili trestných činů v Unii a na něž se vztahují konečná rozhodnutí o navrácení nebo vyhoštění;</w:t>
            </w:r>
            <w:r>
              <w:t xml:space="preserve"> </w:t>
            </w:r>
            <w:r>
              <w:rPr>
                <w:b/>
                <w:i/>
              </w:rPr>
              <w:t>zdůrazňuje, že uzavření a provádění dohod o spolupráci, obchodních partnerství, zjednodušení nebo uvolnění vízového režimu a finanční nebo rozvojové pomoci by mělo být výslovně podmíněno účinnou a trvalou spoluprací v oblasti zpětného přebírání osob;</w:t>
            </w:r>
            <w:r>
              <w:t xml:space="preserve"> </w:t>
            </w:r>
            <w:r>
              <w:rPr>
                <w:b/>
                <w:i/>
              </w:rPr>
              <w:t>vyzývá v této souvislosti k posílení koordinace, sdílení informací a společných operativních opatření mezi členskými státy s cílem zajistit soudržnost a účinnost při prosazování návratové a readmisní politiky;</w:t>
            </w:r>
            <w:r>
              <w:t xml:space="preserve"> </w:t>
            </w:r>
            <w:r>
              <w:rPr>
                <w:b/>
                <w:i/>
              </w:rPr>
              <w:t>vyzývá Radu, aby zvážila uplatňování cílených sankcí, a to i v rámci globálního režimu sankcí EU v oblasti lidských práv, vůči zemím nebo úředníkům, kteří brání závazkům v oblasti zpětného přebírání osob, a tím oslabují právní stát a veřejnou bezpečnost v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konstatuje, že ponižující neschopnost EU zlepšit situaci v oblasti lidských práv ve svém bezprostředním sousedství, včetně Běloruska a Gruzie, oslabuje její globální postavení;</w:t>
            </w:r>
            <w:r>
              <w:t xml:space="preserve"> </w:t>
            </w:r>
            <w:r>
              <w:rPr>
                <w:b/>
                <w:i/>
              </w:rPr>
              <w:t>domnívá se, že bez zásadového a důsledného přístupu k lidským právům ve svém bezprostředním sousedství, zejména s ohledem na stále znepokojivou situaci v Bělorusku, hrozí, že opatření Unie ve vzdálenějších regionech světa budou vnímána jako nedůvěryhodná a nesoudržná;</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vyjadřuje politování nad tím, že globální režim sankcí EU v oblasti lidských práv nezahrnuje žádné vysoce postavené představitele kubánského režimu;</w:t>
            </w:r>
            <w:r>
              <w:t xml:space="preserve"> </w:t>
            </w:r>
            <w:r>
              <w:rPr>
                <w:b/>
                <w:i/>
              </w:rPr>
              <w:t>připomíná, že Evropský parlament v mnoha různých usneseních po desetiletí opakovaně kritizoval a odsoudil porušování lidských práv ze strany režimu na Kubě;</w:t>
            </w:r>
            <w:r>
              <w:t xml:space="preserve"> </w:t>
            </w:r>
            <w:r>
              <w:rPr>
                <w:b/>
                <w:i/>
              </w:rPr>
              <w:t>připomíná, že tato usnesení požadují, aby byla aktivována demokratická doložka dohody o politickém dialogu a spolupráci s ostrovem, která tuto dohodu okamžitě pozastaví;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konstatuje, že významná část osob, na něž byly uvaleny sankce v rámci globálního režimu sankcí EU v oblasti lidských práv, již byla zapojena do represivního aparátu státu, ale nepřijala žádná rozhodnutí;</w:t>
            </w:r>
            <w:r>
              <w:t xml:space="preserve"> </w:t>
            </w:r>
            <w:r>
              <w:rPr>
                <w:b/>
                <w:i/>
              </w:rPr>
              <w:t>naléhavě proto žádá, aby se pozornost zaměřila na sankce vůči osobám odpovědným za přijímání rozhodnutí, která vedla k závažnému porušování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naléhavě žádá, aby dohody o politické spolupráci a obchodu nebránily zařazení osob ze signatářských zemí na seznam;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vyzývá Radu, aby posoudila, zda by měla být v rámci globálního režimu sankcí EU v oblasti lidských práv zavedena cílená omezující opatření vůči alžírským úředníkům nebo subjektům odpovědným za systematickou nespolupráci v oblasti navracení a zpětného přebírání osob, zejména odmítnutí přijmout zpět státní příslušníky odsouzené za závažné trestné činy v rámci EU;</w:t>
            </w:r>
            <w:r>
              <w:t xml:space="preserve"> </w:t>
            </w:r>
            <w:r>
              <w:rPr>
                <w:b/>
                <w:i/>
              </w:rPr>
              <w:t>zdůrazňuje, že takové jednání podporuje beztrestnost, ohrožuje veřejnou bezpečnost a podkopává migrační politiku Unie;</w:t>
            </w:r>
            <w:r>
              <w:t xml:space="preserve"> </w:t>
            </w:r>
            <w:r>
              <w:rPr>
                <w:b/>
                <w:i/>
              </w:rPr>
              <w:t>dále odsuzuje potlačování svobody projevu ze strany Alžírska, jak dokládá cenzura intelektuálů, jako je Boualem Sansal;</w:t>
            </w:r>
            <w:r>
              <w:t xml:space="preserve"> </w:t>
            </w:r>
            <w:r>
              <w:rPr>
                <w:b/>
                <w:i/>
              </w:rPr>
              <w:t>připomíná, že Alžírsko jako signatář Všeobecné deklarace lidských práv musí dodržovat základní svobody;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vyzývá k intenzivnější účinné komunikaci o uložených sankcích s cílem zopakovat globální postoj EU v oblasti lidských práv a proti beztrestnosti, neboť v některých případech jsou sankcionované osoby prezentovány jako hrdinové národní propagandou a jsou dokonce odměňovány represivními režimy;</w:t>
            </w:r>
            <w:r>
              <w:t xml:space="preserve"> </w:t>
            </w:r>
            <w:r>
              <w:rPr>
                <w:b/>
                <w:i/>
              </w:rPr>
              <w:t>konstatuje, že odrazující prvek globálního režimu sankcí EU v oblasti lidských práv působí pouze proti jednotlivcům a subjektům, které mají majetek nebo prostředky k cestování do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zdůrazňuje, že pokud jde o dohodu o politickém dialogu a spolupráci na Kubě, Komise vědomě neplní svou právní povinnost stanovenou v ustanoveních dohody o politickém dialogu a spolupráci, a to v záležitostech, které mají pro Evropskou unii mimořádný význam, jako je prosazování a obrana lidských práv ve světě;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vyzývá Radu, aby v rámci globálního režimu sankcí EU v oblasti lidských práv uplatňovala cílené sankce vůči jednotlivcům, skupinám nebo subjektům odpovědným za organizaci nebo financování náboženských perzekucí a násilí vůči křesťanským komunitám, zejména v zemích, jako je Sýrie, Nigérie, Demokratická republika Kongo, Pákistán, Irák, Egypt, Írán, Afghánistán, Burkina Faso a Somálsko;</w:t>
            </w:r>
            <w:r>
              <w:t xml:space="preserve"> </w:t>
            </w:r>
            <w:r>
              <w:rPr>
                <w:b/>
                <w:i/>
              </w:rPr>
              <w:t>s vážným znepokojením bere na vědomí celosvětový nárůst náboženského extremismu, včetně islámského fundamentalismu;</w:t>
            </w:r>
            <w:r>
              <w:t xml:space="preserve"> </w:t>
            </w:r>
            <w:r>
              <w:rPr>
                <w:b/>
                <w:i/>
              </w:rPr>
              <w:t>důrazně odsuzuje všechny formy násilí páchaného těmito skupinami na křesťanech a dalších náboženských menšinách;</w:t>
            </w:r>
            <w:r>
              <w:t xml:space="preserve"> </w:t>
            </w:r>
            <w:r>
              <w:rPr>
                <w:b/>
                <w:i/>
              </w:rPr>
              <w:t>vyjadřuje politování nad znesvěcováním a ničením kostelů, chrámů a posvátných míst;</w:t>
            </w:r>
            <w:r>
              <w:t xml:space="preserve"> </w:t>
            </w:r>
            <w:r>
              <w:rPr>
                <w:b/>
                <w:i/>
              </w:rPr>
              <w:t>připomíná, že Evropská unie sdílí křesťanské dědictví a musí vůči takovým útokům zaujmout jasný postoj;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naléhavě vyzývá k širším a přísnějším cíleným sankcím vůči vysoce postaveným představitelům venezuelské nelegitimní vlády, zejména proti Nicolasovi Madurovi, nelegitimnímu prezidentovi Venezuely, který byl nedávno uznán různými zeměmi, jako jsou Spojené státy, Ekvádor, Paraguay a Argentina, za vůdce nadnárodní zločinecké organizace jménem Cartel de los Soles;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odsuzuje veškeré odvetné sankce uvalené na EU, její orgány a členské státy, subjekty nebo občany jen proto, že prostřednictvím globálního režimu sankcí EU v oblasti lidských práv prosazují dodržování lidských práv, demokracie a právního státu;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vyzývá Radu a členské státy, aby posílily diplomatický a operační tlak na malijské orgány s cílem zajistit plnou spolupráci při navracení a zpětném přebírání malijských státních příslušníků neoprávněně pobývajících v EU;</w:t>
            </w:r>
            <w:r>
              <w:t xml:space="preserve"> </w:t>
            </w:r>
            <w:r>
              <w:rPr>
                <w:b/>
                <w:i/>
              </w:rPr>
              <w:t>zdůrazňuje, že rozvojová pomoc, vízová politika a finanční spolupráce by měly být podmíněny účinným a trvalým dodržováním povinností v oblasti navracení;</w:t>
            </w:r>
            <w:r>
              <w:t xml:space="preserve"> </w:t>
            </w:r>
            <w:r>
              <w:rPr>
                <w:b/>
                <w:i/>
              </w:rPr>
              <w:t>vyzývá Radu, aby zvážila uplatňování cílených omezujících opatření v rámci globálního režimu sankcí EU v oblasti lidských práv nebo jiných příslušných nástrojů v případě pokračujících překážek nebo odmítnutí spolupráce v otázkách navracení a migrace, jak již požadoval Evropský parlament ve svém usnesení RC-B10–0291/2025;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důrazně vyzývá k širším a přísnějším cíleným sankcím vůči vysoce postaveným představitelům nikaragujského režimu, zejména proti prezidentovi Danielovi Ortegovi a jeho manželce Rosario Murillové, kteří jsou mimo jiné odpovědní za četné porušování lidských práv a trestné činy, jako je zabíjení, svévolné zatýkání, vyhrožování smrtí, mučení, násilná zmizení a nucené exily;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vyzývá Komisi, aby posoudila hlavní oblasti pro zlepšení spolupráce s členskými státy v oblastech, jako je obnova finančních aktiv v souvislosti s bojem proti terorismu, obchodování s drogami, obchodování s lidmi a nelegální migrace;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13f.</w:t>
            </w:r>
            <w:r>
              <w:tab/>
            </w:r>
            <w:r>
              <w:rPr>
                <w:b/>
                <w:i/>
              </w:rPr>
              <w:t>odsuzuje skutečnost, že EU udělila zvláštní povolení viceprezidentce venezuelského režimu Delcy Rodriguezové k účasti na zasedání EU-CELAC v Bruselu v roce 2023;</w:t>
            </w:r>
            <w:r>
              <w:t xml:space="preserve"> </w:t>
            </w:r>
            <w:r>
              <w:rPr>
                <w:b/>
                <w:i/>
              </w:rPr>
              <w:t>připomíná, že Delcy Rodriguezové byl zakázán vstup na evropskou půdu, a uvádí, že dokud EU tento dvojí standard zachová, nebude unijní Magnitského zákon při obraně lidských práv nikdy účinný;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doporučuje zvýšit transparentnost sankčního procesu a zároveň zachovat právo osob zařazených na seznam na účinný soudní přezkum;</w:t>
            </w:r>
          </w:p>
        </w:tc>
        <w:tc>
          <w:tcPr>
            <w:tcW w:w="4876" w:type="dxa"/>
            <w:tcBorders>
              <w:top w:val="nil"/>
              <w:left w:val="nil"/>
              <w:bottom w:val="nil"/>
              <w:right w:val="nil"/>
            </w:tcBorders>
          </w:tcPr>
          <w:p>
            <w:pPr>
              <w:pStyle w:val="Normal6a"/>
            </w:pPr>
            <w:r>
              <w:t>14.</w:t>
            </w:r>
            <w:r>
              <w:tab/>
            </w:r>
            <w:r>
              <w:t xml:space="preserve">doporučuje zvýšit transparentnost sankčního procesu </w:t>
            </w:r>
            <w:r>
              <w:rPr>
                <w:b/>
                <w:i/>
              </w:rPr>
              <w:t>a poskytnout k němu jasné pokyny</w:t>
            </w:r>
            <w:r>
              <w:t xml:space="preserve"> a zároveň zachovat právo osob zařazených na seznam na účinný soudní přezkum;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naléhavě vyzývá Radu, aby rozšířila označení nad rámec pachatelů na nízké úrovni tak, aby zahrnovalo politické a vojenské vůdce s velitelskou odpovědností, a konstatuje, že více než 65 % stávajících seznamů se zaměřuje na úředníky represivních aparátů, zatímco pouze asi 20 % se týká politického nebo vojenského vedení, přičemž klíčoví činitelé s rozhodovací pravomocí zůstávají z velké části nedotčeni;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doporučuje, aby změna chování jednotlivců a subjektů zařazených na seznam, například spolupráce s mezinárodními justičními mechanismy, byla formálně uznána jako kritérium pro vyřazení ze seznamu, aby se motivovala odpovědnost a dodržování požadavků;</w:t>
            </w:r>
          </w:p>
        </w:tc>
        <w:tc>
          <w:tcPr>
            <w:tcW w:w="4876" w:type="dxa"/>
            <w:tcBorders>
              <w:top w:val="nil"/>
              <w:left w:val="nil"/>
              <w:bottom w:val="nil"/>
              <w:right w:val="nil"/>
            </w:tcBorders>
          </w:tcPr>
          <w:p>
            <w:pPr>
              <w:pStyle w:val="Normal6a"/>
            </w:pPr>
            <w:r>
              <w:t>15.</w:t>
            </w:r>
            <w:r>
              <w:tab/>
            </w:r>
            <w:r>
              <w:t xml:space="preserve">doporučuje, aby </w:t>
            </w:r>
            <w:r>
              <w:rPr>
                <w:b/>
                <w:i/>
              </w:rPr>
              <w:t>udržitelná a prokazatelná</w:t>
            </w:r>
            <w:r>
              <w:t xml:space="preserve"> změna chování jednotlivců a subjektů zařazených na seznam, například </w:t>
            </w:r>
            <w:r>
              <w:rPr>
                <w:b/>
                <w:i/>
              </w:rPr>
              <w:t>probíhající</w:t>
            </w:r>
            <w:r>
              <w:t xml:space="preserve"> spolupráce s mezinárodními justičními mechanismy, byla formálně uznána jako kritérium pro vyřazení ze seznamu, aby se motivovala odpovědnost a dodržování požadavků;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doporučuje, aby změna chování jednotlivců a subjektů zařazených na seznam, například spolupráce s mezinárodními justičními mechanismy, byla formálně uznána jako kritérium pro vyřazení ze seznamu, aby se motivovala odpovědnost a dodržování požadavků;</w:t>
            </w:r>
          </w:p>
        </w:tc>
        <w:tc>
          <w:tcPr>
            <w:tcW w:w="4876" w:type="dxa"/>
            <w:tcBorders>
              <w:top w:val="nil"/>
              <w:left w:val="nil"/>
              <w:bottom w:val="nil"/>
              <w:right w:val="nil"/>
            </w:tcBorders>
          </w:tcPr>
          <w:p>
            <w:pPr>
              <w:pStyle w:val="Normal6a"/>
            </w:pPr>
            <w:r>
              <w:t>15.</w:t>
            </w:r>
            <w:r>
              <w:tab/>
            </w:r>
            <w:r>
              <w:t xml:space="preserve">doporučuje, aby </w:t>
            </w:r>
            <w:r>
              <w:rPr>
                <w:b/>
                <w:i/>
              </w:rPr>
              <w:t>skutečná a trvalá</w:t>
            </w:r>
            <w:r>
              <w:t xml:space="preserve"> změna chování jednotlivců a subjektů zařazených na seznam, například spolupráce s mezinárodními justičními mechanismy, byla formálně uznána jako kritérium pro vyřazení ze seznamu, aby se motivovala odpovědnost a dodržování požadavků;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navrhuje zavést strukturovaný konzultační mechanismus pro zapojení občanské společnosti do sankčního procesu, včetně zřízení specializovaného kontaktního místa;</w:t>
            </w:r>
          </w:p>
        </w:tc>
        <w:tc>
          <w:tcPr>
            <w:tcW w:w="4876" w:type="dxa"/>
            <w:tcBorders>
              <w:top w:val="nil"/>
              <w:left w:val="nil"/>
              <w:bottom w:val="nil"/>
              <w:right w:val="nil"/>
            </w:tcBorders>
          </w:tcPr>
          <w:p>
            <w:pPr>
              <w:pStyle w:val="Normal6a"/>
            </w:pPr>
            <w:r>
              <w:t>16.</w:t>
            </w:r>
            <w:r>
              <w:tab/>
            </w:r>
            <w:r>
              <w:t xml:space="preserve">navrhuje zavést strukturovaný konzultační mechanismus </w:t>
            </w:r>
            <w:r>
              <w:rPr>
                <w:b/>
                <w:i/>
              </w:rPr>
              <w:t>a oficiální platformu pro podávání podkladů</w:t>
            </w:r>
            <w:r>
              <w:t xml:space="preserve"> pro zapojení občanské společnosti do sankčního procesu, včetně zřízení specializovaného kontaktního místa; </w:t>
            </w:r>
            <w:r>
              <w:rPr>
                <w:b/>
                <w:i/>
              </w:rPr>
              <w:t>doporučuje, aby byla navrhovatelům (zejména občanské společnosti) poskytnuta zpětná vazba ohledně stavu nebo výsledku případů a zároveň byla chráněna důvěrnost;</w:t>
            </w:r>
            <w:r>
              <w:t xml:space="preserve"> </w:t>
            </w:r>
            <w:r>
              <w:rPr>
                <w:b/>
                <w:i/>
              </w:rPr>
              <w:t>doporučuje vytvoření rozpočtového okna pro ESVČ nebo samostatné kontaktní místo, které by systematicky zpracovávaly informace poskytované občanskou společností;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navrhuje zavést strukturovaný konzultační mechanismus pro zapojení občanské společnosti do sankčního procesu, včetně zřízení specializovaného </w:t>
            </w:r>
            <w:r>
              <w:rPr>
                <w:b/>
                <w:i/>
              </w:rPr>
              <w:t>kontaktního místa</w:t>
            </w:r>
            <w:r>
              <w:t>;</w:t>
            </w:r>
          </w:p>
        </w:tc>
        <w:tc>
          <w:tcPr>
            <w:tcW w:w="4876" w:type="dxa"/>
            <w:tcBorders>
              <w:top w:val="nil"/>
              <w:left w:val="nil"/>
              <w:bottom w:val="nil"/>
              <w:right w:val="nil"/>
            </w:tcBorders>
          </w:tcPr>
          <w:p>
            <w:pPr>
              <w:pStyle w:val="Normal6a"/>
            </w:pPr>
            <w:r>
              <w:t>16.</w:t>
            </w:r>
            <w:r>
              <w:tab/>
            </w:r>
            <w:r>
              <w:t xml:space="preserve">navrhuje zavést strukturovaný konzultační mechanismus pro zapojení občanské společnosti do sankčního procesu, včetně zřízení </w:t>
            </w:r>
            <w:r>
              <w:rPr>
                <w:b/>
                <w:i/>
              </w:rPr>
              <w:t>transparentního</w:t>
            </w:r>
            <w:r>
              <w:t xml:space="preserve"> specializovaného </w:t>
            </w:r>
            <w:r>
              <w:rPr>
                <w:b/>
                <w:i/>
              </w:rPr>
              <w:t>mechanismu pro předkládání návrhů a informací o sankcích</w:t>
            </w:r>
            <w:r>
              <w:t xml:space="preserve">; </w:t>
            </w:r>
            <w:r>
              <w:rPr>
                <w:b/>
                <w:i/>
              </w:rPr>
              <w:t>zdůrazňuje, že je důležité zvýšit kapacity ESVČ s cílem posuzovat a vyšetřovat všechny návrhy a podněty k sankcím, které obdržela od občanské společnosti, a reagovat na 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navrhuje zavést strukturovaný konzultační mechanismus pro zapojení občanské společnosti do sankčního procesu, včetně zřízení specializovaného kontaktního místa;</w:t>
            </w:r>
          </w:p>
        </w:tc>
        <w:tc>
          <w:tcPr>
            <w:tcW w:w="4876" w:type="dxa"/>
            <w:tcBorders>
              <w:top w:val="nil"/>
              <w:left w:val="nil"/>
              <w:bottom w:val="nil"/>
              <w:right w:val="nil"/>
            </w:tcBorders>
          </w:tcPr>
          <w:p>
            <w:pPr>
              <w:pStyle w:val="Normal6a"/>
            </w:pPr>
            <w:r>
              <w:t>16.</w:t>
            </w:r>
            <w:r>
              <w:tab/>
            </w:r>
            <w:r>
              <w:t xml:space="preserve">navrhuje zavést strukturovaný konzultační mechanismus pro zapojení občanské společnosti do sankčního procesu, včetně zřízení specializovaného kontaktního místa </w:t>
            </w:r>
            <w:r>
              <w:rPr>
                <w:b/>
                <w:i/>
              </w:rPr>
              <w:t>ESVČ</w:t>
            </w:r>
            <w:r>
              <w:t xml:space="preserve">; </w:t>
            </w:r>
            <w:r>
              <w:rPr>
                <w:b/>
                <w:i/>
              </w:rPr>
              <w:t>a zdůrazňuje, že Evropský parlament by mohl hrát doplňkovou úlohu při shromažďování a směrování vstupů;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navrhuje zavést strukturovaný konzultační mechanismus pro zapojení občanské společnosti do sankčního procesu, včetně zřízení specializovaného kontaktního místa;</w:t>
            </w:r>
          </w:p>
        </w:tc>
        <w:tc>
          <w:tcPr>
            <w:tcW w:w="4876" w:type="dxa"/>
            <w:tcBorders>
              <w:top w:val="nil"/>
              <w:left w:val="nil"/>
              <w:bottom w:val="nil"/>
              <w:right w:val="nil"/>
            </w:tcBorders>
          </w:tcPr>
          <w:p>
            <w:pPr>
              <w:pStyle w:val="Normal6a"/>
            </w:pPr>
            <w:r>
              <w:t>16.</w:t>
            </w:r>
            <w:r>
              <w:tab/>
            </w:r>
            <w:r>
              <w:t xml:space="preserve">navrhuje zavést strukturovaný </w:t>
            </w:r>
            <w:r>
              <w:rPr>
                <w:b/>
                <w:i/>
              </w:rPr>
              <w:t>a transparentní</w:t>
            </w:r>
            <w:r>
              <w:t xml:space="preserve"> konzultační mechanismus pro zapojení občanské společnosti do sankčního procesu, včetně zřízení specializovaného kontaktního místa;</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navrhuje </w:t>
            </w:r>
            <w:r>
              <w:rPr>
                <w:b/>
                <w:i/>
              </w:rPr>
              <w:t>zavést strukturovaný konzultační mechanismus pro</w:t>
            </w:r>
            <w:r>
              <w:t xml:space="preserve"> zapojení občanské společnosti do sankčního procesu</w:t>
            </w:r>
            <w:r>
              <w:rPr>
                <w:b/>
                <w:i/>
              </w:rPr>
              <w:t>, včetně zřízení specializovaného kontaktního místa</w:t>
            </w:r>
            <w:r>
              <w:t>;</w:t>
            </w:r>
          </w:p>
        </w:tc>
        <w:tc>
          <w:tcPr>
            <w:tcW w:w="4876" w:type="dxa"/>
            <w:tcBorders>
              <w:top w:val="nil"/>
              <w:left w:val="nil"/>
              <w:bottom w:val="nil"/>
              <w:right w:val="nil"/>
            </w:tcBorders>
          </w:tcPr>
          <w:p>
            <w:pPr>
              <w:pStyle w:val="Normal6a"/>
            </w:pPr>
            <w:r>
              <w:t>16.</w:t>
            </w:r>
            <w:r>
              <w:tab/>
            </w:r>
            <w:r>
              <w:t xml:space="preserve">navrhuje </w:t>
            </w:r>
            <w:r>
              <w:rPr>
                <w:b/>
                <w:i/>
              </w:rPr>
              <w:t>zřídit specializované kontaktní místo EU, které by umožnilo konzultace a</w:t>
            </w:r>
            <w:r>
              <w:t xml:space="preserve"> zapojení občanské společnosti do sankčního procesu;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doporučuje vytvořit veřejné rozhraní pro oznamování osob, které by mohly porušovat lidská práva, s ochrannými opatřeními pro oznamovatele;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vyzývá Radu a místopředsedkyni Komise, vysokou představitelku Unie pro zahraniční věci a bezpečnostní politiku, aby Parlamentu včas poskytovaly informace o rozhodnutích o sankcích v rámci globálního režimu sankcí EU v oblasti lidských práv;</w:t>
            </w:r>
          </w:p>
        </w:tc>
        <w:tc>
          <w:tcPr>
            <w:tcW w:w="4876" w:type="dxa"/>
            <w:tcBorders>
              <w:top w:val="nil"/>
              <w:left w:val="nil"/>
              <w:bottom w:val="nil"/>
              <w:right w:val="nil"/>
            </w:tcBorders>
          </w:tcPr>
          <w:p>
            <w:pPr>
              <w:pStyle w:val="Normal6a"/>
            </w:pPr>
            <w:r>
              <w:t>17.</w:t>
            </w:r>
            <w:r>
              <w:tab/>
            </w:r>
            <w:r>
              <w:t xml:space="preserve">vyzývá Radu a místopředsedkyni Komise, vysokou představitelku Unie pro zahraniční věci a bezpečnostní politiku, </w:t>
            </w:r>
            <w:r>
              <w:rPr>
                <w:b/>
                <w:i/>
              </w:rPr>
              <w:t>aby zvážili zapojení Evropského parlamentu do navrhování případů závažného porušování lidských práv, které by měly být zváženy v rámci režimu sankcí, a</w:t>
            </w:r>
            <w:r>
              <w:t xml:space="preserve"> aby Parlamentu včas poskytovaly informace o rozhodnutích o sankcích v rámci globálního režimu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vyzývá Radu a místopředsedkyni Komise, vysokou představitelku Unie pro zahraniční věci a bezpečnostní politiku, aby Parlamentu včas poskytovaly informace o rozhodnutích o sankcích v rámci globálního režimu sankcí EU v oblasti lidských práv;</w:t>
            </w:r>
          </w:p>
        </w:tc>
        <w:tc>
          <w:tcPr>
            <w:tcW w:w="4876" w:type="dxa"/>
            <w:tcBorders>
              <w:top w:val="nil"/>
              <w:left w:val="nil"/>
              <w:bottom w:val="nil"/>
              <w:right w:val="nil"/>
            </w:tcBorders>
          </w:tcPr>
          <w:p>
            <w:pPr>
              <w:pStyle w:val="Normal6a"/>
            </w:pPr>
            <w:r>
              <w:t>17.</w:t>
            </w:r>
            <w:r>
              <w:tab/>
            </w:r>
            <w:r>
              <w:t xml:space="preserve">vyzývá Radu a místopředsedkyni Komise, vysokou představitelku Unie pro zahraniční věci a bezpečnostní politiku, aby Parlamentu včas poskytovaly informace o rozhodnutích o sankcích v rámci globálního režimu sankcí EU v oblasti lidských práv; </w:t>
            </w:r>
            <w:r>
              <w:rPr>
                <w:b/>
                <w:i/>
              </w:rPr>
              <w:t>žádá, aby Rada důkladně zvážila doporučení týkající se seznamů obsažená v usneseních Parlamentu;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vyzývá Radu a místopředsedkyni Komise, vysokou představitelku Unie pro zahraniční věci a bezpečnostní politiku, aby Parlamentu včas poskytovaly informace o rozhodnutích o sankcích v rámci globálního režimu sankcí EU v oblasti lidských práv;</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požaduje, aby byl globální režim sankcí EU v oblasti lidských práv přezkoumán s cílem zabránit obcházení sankcí a aby byly za tímto účelem vydány výslovné pokyny týkající se zákazu poskytování hospodářských zdrojů a technické a materiální podpory osobám a subjektům zařazeným na seznamy;</w:t>
            </w:r>
          </w:p>
        </w:tc>
        <w:tc>
          <w:tcPr>
            <w:tcW w:w="4876" w:type="dxa"/>
            <w:tcBorders>
              <w:top w:val="nil"/>
              <w:left w:val="nil"/>
              <w:bottom w:val="nil"/>
              <w:right w:val="nil"/>
            </w:tcBorders>
          </w:tcPr>
          <w:p>
            <w:pPr>
              <w:pStyle w:val="Normal6a"/>
            </w:pPr>
            <w:r>
              <w:t>18.</w:t>
            </w:r>
            <w:r>
              <w:tab/>
            </w:r>
            <w:r>
              <w:t xml:space="preserve">požaduje, aby byl globální režim sankcí EU v oblasti lidských práv přezkoumán s cílem zabránit obcházení sankcí a aby byly za tímto účelem vydány výslovné pokyny týkající se zákazu poskytování hospodářských zdrojů a technické a materiální podpory osobám a subjektům zařazeným na seznamy; </w:t>
            </w:r>
            <w:r>
              <w:rPr>
                <w:b/>
                <w:i/>
              </w:rPr>
              <w:t>vyzývá Radu, aby rozšířila kritéria pro zařazení na seznam v rámci globálního režimu sankcí EU v oblasti lidských práv tak, aby zahrnovala nejen přímé pachatele a osoby napomáhající porušování lidských práv, ale také osoby, které se systematicky podílejí na obcházení sankcí, včetně finančních, právních a technologických prostředníků, jako jsou zprostředkovatelé, krycí společnosti, rodinní příslušníci a profesionální poskytovatelé služeb, kteří vědomě pomáhají sankcionovaným osobám;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vyzývá Komisi, aby vydala aktualizované pokyny, které objasní, že zákaz poskytovat „technickou a materiální podporu“ v rámci globálního režimu sankcí EU v oblasti lidských práv zahrnuje nefinanční pomoc, jako je infrastruktura IKT, software, právní usnadnění a kybernetické nástroje používané k represím;</w:t>
            </w:r>
            <w:r>
              <w:t xml:space="preserve"> </w:t>
            </w:r>
            <w:r>
              <w:rPr>
                <w:b/>
                <w:i/>
              </w:rPr>
              <w:t>vybízí Radu, aby zvážila zařazení soukromých subjektů nebo zprostředkovatelů, kteří poskytují takovou podporu známým pachatelům porušování lidských práv, na seznam, a to i v případech nadnárodních represí;</w:t>
            </w:r>
            <w:r>
              <w:t xml:space="preserve"> </w:t>
            </w:r>
            <w:r>
              <w:rPr>
                <w:b/>
                <w:i/>
              </w:rPr>
              <w:t>zdůrazňuje, že zneužívání nástrojů mezinárodní právní spolupráce, jako jsou politicky motivované červené oběžníky Interpolu a žádosti o vydání, jakož i zavádění pokročilých digitálních technologií sledování obránců lidských práv by mělo být výslovně uznáno za důvod pro cílené sankce v rámci globálního režimu sankcí EU v oblasti lidských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s hlubokým znepokojením zdůrazňuje, že i dnes, po všech zvěrstvech spáchaných Ruskou federací na Ukrajině, některé členské státy i nadále využívají své právo veta k tomu, aby požadovaly vyřazení jednotlivců ze sankčního seznamu EU, a to s odvoláním na argument, že tato opatření „poškozují evropské hospodářství více než Rusko“;</w:t>
            </w:r>
            <w:r>
              <w:t xml:space="preserve"> </w:t>
            </w:r>
            <w:r>
              <w:rPr>
                <w:b/>
                <w:i/>
              </w:rPr>
              <w:t>zdůrazňuje, že takové jednání je v rozporu se společnými zájmy Unie, oslabuje důvěryhodnost a účinnost omezujících opatření a přímo ohrožuje strategický cíl oslabit schopnost Kremlu vést útočnou válku proti jiné zemi;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vyzývá k zavedení zrychleného postupu pro zařazení na seznam v rámci globálního režimu sankcí EU v oblasti lidských práv pro osoby a subjekty, u nichž bylo věrohodně dokázáno, že jsou odpovědné za nadnárodní represe namířené proti obráncům lidských práv, včetně obtěžování rodinných příslušníků, digitálních útoků nebo zastrašování v zahraničí, a to na základě důkazů poskytnutých mezinárodními soudy a důvěryhodnými organizacemi občanské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podporuje vzájemné sladění seznamů subjektů mezi globálním režimem sankcí EU v oblasti lidských práv a zeměpisně zaměřenými režimy sankcí, je-li to vhodné;</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vyzývá Komisi, aby posílila spolupráci s Evropským orgánem pro bankovnictví, Evropským orgánem pro cenné papíry a trhy, orgánem pro boj proti praní peněz a vnitrostátními finančními zpravodajskými jednotkami s cílem systematicky zjišťovat, zda jsou neprůhledné finanční produkty, kryptoaktiva a offshorové struktury využívány k obcházení sankcí;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zdůrazňuje, že je třeba posílit režim sankcí EU rozšířením a diverzifikací používání sekundárních sankcí s cílem zaměřit se na státy, subjekty a jednotlivce zapojené do usnadňování porušování a obcházení sankcí;</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776.910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84</w:t>
    </w:r>
    <w:r>
      <w:fldChar w:fldCharType="end"/>
    </w:r>
    <w:r>
      <w:t>/</w:t>
    </w:r>
    <w:r>
      <w:fldChar w:fldCharType="begin"/>
    </w:r>
    <w:r>
      <w:instrText xml:space="preserve"> NUMPAGES </w:instrText>
    </w:r>
    <w:r>
      <w:fldChar w:fldCharType="separate"/>
    </w:r>
    <w:r>
      <w:t>84</w:t>
    </w:r>
    <w:r>
      <w:fldChar w:fldCharType="end"/>
    </w:r>
    <w:r>
      <w:tab/>
    </w:r>
    <w:r>
      <w:rPr>
        <w:rStyle w:val="HideTWBExt"/>
      </w:rPr>
      <w:t>&lt;PathFdR&gt;</w:t>
    </w:r>
    <w:r>
      <w:t>AM\1327210CS.docx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AM\1327210CS.docx</w:t>
    </w:r>
    <w:r>
      <w:rPr>
        <w:rStyle w:val="HideTWBExt"/>
      </w:rPr>
      <w:t>&lt;/PathFdR&gt;</w:t>
    </w:r>
    <w:r>
      <w:tab/>
    </w:r>
    <w:r>
      <w:fldChar w:fldCharType="begin"/>
    </w:r>
    <w:r>
      <w:instrText xml:space="preserve"> PAGE </w:instrText>
    </w:r>
    <w:r>
      <w:fldChar w:fldCharType="separate"/>
    </w:r>
    <w:r>
      <w:t>83</w:t>
    </w:r>
    <w:r>
      <w:fldChar w:fldCharType="end"/>
    </w:r>
    <w:r>
      <w:t>/</w:t>
    </w:r>
    <w:r>
      <w:fldChar w:fldCharType="begin"/>
    </w:r>
    <w:r>
      <w:instrText xml:space="preserve"> NUMPAGES </w:instrText>
    </w:r>
    <w:r>
      <w:fldChar w:fldCharType="separate"/>
    </w:r>
    <w:r>
      <w:t>84</w:t>
    </w:r>
    <w:r>
      <w:fldChar w:fldCharType="end"/>
    </w:r>
    <w:r>
      <w:tab/>
    </w:r>
    <w:r>
      <w:t>PE</w:t>
    </w:r>
    <w:r>
      <w:rPr>
        <w:rStyle w:val="HideTWBExt"/>
      </w:rPr>
      <w:t>&lt;NoPE&gt;</w:t>
    </w:r>
    <w:r>
      <w:t>776.910</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AM\1327210CS.docx</w:t>
    </w:r>
    <w:r>
      <w:rPr>
        <w:rStyle w:val="HideTWBExt"/>
      </w:rPr>
      <w:t>&lt;/PathFdR&gt;</w:t>
    </w:r>
    <w:r>
      <w:tab/>
    </w:r>
    <w:r>
      <w:tab/>
    </w:r>
    <w:r>
      <w:t>PE</w:t>
    </w:r>
    <w:r>
      <w:rPr>
        <w:rStyle w:val="HideTWBExt"/>
      </w:rPr>
      <w:t>&lt;NoPE&gt;</w:t>
    </w:r>
    <w:r>
      <w:t>776.910</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84</Pages>
  <Words>16132</Words>
  <Characters>95943</Characters>
  <Application>Microsoft Office Word</Application>
  <DocSecurity>0</DocSecurity>
  <Lines>1</Lines>
  <Paragraphs>1535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1327210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244965</vt:lpwstr>
  </property>
  <property fmtid="{D5CDD505-2E9C-101B-9397-08002B2CF9AE}" pid="7" name="dmxml.render.traceId">
    <vt:lpwstr>68d3b714e2d0971ca8d03163cb175139</vt:lpwstr>
  </property>
  <property fmtid="{D5CDD505-2E9C-101B-9397-08002B2CF9AE}" pid="8" name="FooterPath">
    <vt:lpwstr>AM\1327210CS.docx</vt:lpwstr>
  </property>
  <property fmtid="{D5CDD505-2E9C-101B-9397-08002B2CF9AE}" pid="9" name="PE Number">
    <vt:lpwstr>776.910</vt:lpwstr>
  </property>
  <property fmtid="{D5CDD505-2E9C-101B-9397-08002B2CF9AE}" pid="10" name="UID">
    <vt:lpwstr>eu.europa.europarl-DIN1-2025-0000161907_01.00-cs-01.00_text-xml</vt:lpwstr>
  </property>
</Properties>
</file>